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napToGrid w:val="0"/>
        <w:spacing w:line="360" w:lineRule="auto"/>
        <w:jc w:val="both"/>
        <w:rPr>
          <w:rFonts w:ascii="Book Antiqua" w:hAnsi="Book Antiqua" w:eastAsia="黑体"/>
          <w:b/>
          <w:bCs/>
          <w:i/>
          <w:color w:val="auto"/>
          <w:sz w:val="24"/>
          <w:szCs w:val="24"/>
          <w:lang w:val="en-US"/>
        </w:rPr>
      </w:pPr>
      <w:bookmarkStart w:id="0" w:name="_Hlk6582272"/>
      <w:bookmarkStart w:id="1" w:name="_Hlk6581159"/>
      <w:bookmarkStart w:id="2" w:name="_Hlk6588537"/>
      <w:r>
        <w:rPr>
          <w:rFonts w:ascii="Book Antiqua" w:hAnsi="Book Antiqua" w:eastAsia="黑体"/>
          <w:b/>
          <w:color w:val="auto"/>
          <w:sz w:val="24"/>
          <w:szCs w:val="24"/>
          <w:lang w:val="en-US"/>
        </w:rPr>
        <w:t xml:space="preserve">Name of Journal: </w:t>
      </w:r>
      <w:r>
        <w:rPr>
          <w:rFonts w:ascii="Book Antiqua" w:hAnsi="Book Antiqua" w:eastAsia="黑体"/>
          <w:b/>
          <w:bCs/>
          <w:i/>
          <w:color w:val="auto"/>
          <w:sz w:val="24"/>
          <w:szCs w:val="24"/>
          <w:lang w:val="en-US"/>
        </w:rPr>
        <w:t>World Journal of Clinical Cases</w:t>
      </w:r>
    </w:p>
    <w:p>
      <w:pPr>
        <w:snapToGrid w:val="0"/>
        <w:spacing w:line="360" w:lineRule="auto"/>
        <w:ind w:right="136" w:rightChars="65"/>
        <w:rPr>
          <w:rFonts w:ascii="Book Antiqua" w:hAnsi="Book Antiqua" w:eastAsia="黑体"/>
          <w:b/>
          <w:bCs/>
          <w:sz w:val="24"/>
        </w:rPr>
      </w:pPr>
      <w:r>
        <w:rPr>
          <w:rFonts w:ascii="Book Antiqua" w:hAnsi="Book Antiqua" w:eastAsia="黑体"/>
          <w:b/>
          <w:bCs/>
          <w:sz w:val="24"/>
        </w:rPr>
        <w:t xml:space="preserve">Manuscript NO: </w:t>
      </w:r>
      <w:r>
        <w:rPr>
          <w:rFonts w:ascii="Book Antiqua" w:hAnsi="Book Antiqua" w:eastAsia="黑体"/>
          <w:b/>
          <w:bCs/>
          <w:sz w:val="24"/>
        </w:rPr>
        <w:t>48302</w:t>
      </w:r>
    </w:p>
    <w:p>
      <w:pPr>
        <w:snapToGrid w:val="0"/>
        <w:spacing w:line="360" w:lineRule="auto"/>
        <w:ind w:right="136" w:rightChars="65"/>
        <w:rPr>
          <w:rFonts w:ascii="Book Antiqua" w:hAnsi="Book Antiqua" w:eastAsia="黑体"/>
          <w:b/>
          <w:bCs/>
          <w:sz w:val="24"/>
        </w:rPr>
      </w:pPr>
      <w:r>
        <w:rPr>
          <w:rFonts w:ascii="Book Antiqua" w:hAnsi="Book Antiqua" w:eastAsia="黑体"/>
          <w:b/>
          <w:bCs/>
          <w:sz w:val="24"/>
        </w:rPr>
        <w:t xml:space="preserve">Manuscript Type: </w:t>
      </w:r>
      <w:r>
        <w:rPr>
          <w:rFonts w:ascii="Book Antiqua" w:hAnsi="Book Antiqua" w:eastAsia="黑体"/>
          <w:b/>
          <w:bCs/>
          <w:sz w:val="24"/>
        </w:rPr>
        <w:t>ORIGINAL ARTICLE</w:t>
      </w:r>
    </w:p>
    <w:p>
      <w:pPr>
        <w:snapToGrid w:val="0"/>
        <w:spacing w:line="360" w:lineRule="auto"/>
        <w:ind w:right="136" w:rightChars="65"/>
        <w:rPr>
          <w:rFonts w:ascii="Book Antiqua" w:hAnsi="Book Antiqua" w:eastAsia="黑体"/>
          <w:b/>
          <w:sz w:val="24"/>
        </w:rPr>
      </w:pPr>
    </w:p>
    <w:p>
      <w:pPr>
        <w:snapToGrid w:val="0"/>
        <w:spacing w:line="360" w:lineRule="auto"/>
        <w:ind w:right="136" w:rightChars="65"/>
        <w:rPr>
          <w:rFonts w:ascii="Book Antiqua" w:hAnsi="Book Antiqua" w:eastAsia="黑体"/>
          <w:b/>
          <w:bCs/>
          <w:i/>
          <w:iCs/>
          <w:sz w:val="24"/>
        </w:rPr>
      </w:pPr>
      <w:r>
        <w:rPr>
          <w:rFonts w:ascii="Book Antiqua" w:hAnsi="Book Antiqua" w:eastAsia="黑体"/>
          <w:b/>
          <w:bCs/>
          <w:i/>
          <w:iCs/>
          <w:sz w:val="24"/>
        </w:rPr>
        <w:t>Retrospective Study</w:t>
      </w:r>
    </w:p>
    <w:p>
      <w:pPr>
        <w:snapToGrid w:val="0"/>
        <w:spacing w:line="360" w:lineRule="auto"/>
        <w:rPr>
          <w:rFonts w:ascii="Book Antiqua" w:hAnsi="Book Antiqua" w:eastAsia="黑体" w:cs="Arial"/>
          <w:b/>
          <w:bCs/>
          <w:iCs/>
          <w:kern w:val="0"/>
          <w:sz w:val="24"/>
          <w:lang w:eastAsia="pl-PL"/>
        </w:rPr>
      </w:pPr>
      <w:bookmarkStart w:id="3" w:name="OLE_LINK33"/>
      <w:bookmarkStart w:id="4" w:name="OLE_LINK1"/>
      <w:bookmarkStart w:id="5" w:name="OLE_LINK34"/>
      <w:bookmarkStart w:id="6" w:name="OLE_LINK2"/>
      <w:r>
        <w:rPr>
          <w:rFonts w:ascii="Book Antiqua" w:hAnsi="Book Antiqua" w:eastAsia="黑体" w:cs="Arial"/>
          <w:b/>
          <w:bCs/>
          <w:iCs/>
          <w:kern w:val="0"/>
          <w:sz w:val="24"/>
          <w:lang w:eastAsia="pl-PL"/>
        </w:rPr>
        <w:t xml:space="preserve">Incidence of portal vein thrombosis after splenectomy and its influence on </w:t>
      </w:r>
      <w:r>
        <w:rPr>
          <w:rFonts w:ascii="Book Antiqua" w:hAnsi="Book Antiqua" w:eastAsia="黑体"/>
          <w:b/>
          <w:bCs/>
          <w:sz w:val="24"/>
        </w:rPr>
        <w:t>transjugular intrahepatic portosystemic shunt</w:t>
      </w:r>
      <w:r>
        <w:rPr>
          <w:rFonts w:ascii="Book Antiqua" w:hAnsi="Book Antiqua" w:eastAsia="黑体" w:cs="Arial"/>
          <w:b/>
          <w:bCs/>
          <w:iCs/>
          <w:kern w:val="0"/>
          <w:sz w:val="24"/>
          <w:lang w:eastAsia="pl-PL"/>
        </w:rPr>
        <w:t xml:space="preserve"> stent patency</w:t>
      </w:r>
    </w:p>
    <w:bookmarkEnd w:id="3"/>
    <w:bookmarkEnd w:id="4"/>
    <w:bookmarkEnd w:id="5"/>
    <w:bookmarkEnd w:id="6"/>
    <w:p>
      <w:pPr>
        <w:snapToGrid w:val="0"/>
        <w:spacing w:line="360" w:lineRule="auto"/>
        <w:rPr>
          <w:rFonts w:ascii="Book Antiqua" w:hAnsi="Book Antiqua" w:eastAsia="黑体"/>
          <w:b/>
          <w:sz w:val="24"/>
        </w:rPr>
      </w:pPr>
    </w:p>
    <w:p>
      <w:pPr>
        <w:snapToGrid w:val="0"/>
        <w:spacing w:line="360" w:lineRule="auto"/>
        <w:rPr>
          <w:rFonts w:ascii="Book Antiqua" w:hAnsi="Book Antiqua" w:eastAsia="黑体"/>
          <w:sz w:val="24"/>
        </w:rPr>
      </w:pPr>
      <w:r>
        <w:rPr>
          <w:rFonts w:ascii="Book Antiqua" w:hAnsi="Book Antiqua" w:eastAsia="黑体"/>
          <w:sz w:val="24"/>
        </w:rPr>
        <w:t xml:space="preserve">Dong F </w:t>
      </w:r>
      <w:r>
        <w:rPr>
          <w:rFonts w:ascii="Book Antiqua" w:hAnsi="Book Antiqua" w:eastAsia="黑体"/>
          <w:i/>
          <w:iCs/>
          <w:sz w:val="24"/>
        </w:rPr>
        <w:t>et al</w:t>
      </w:r>
      <w:r>
        <w:rPr>
          <w:rFonts w:ascii="Book Antiqua" w:hAnsi="Book Antiqua" w:eastAsia="黑体"/>
          <w:sz w:val="24"/>
        </w:rPr>
        <w:t>.</w:t>
      </w:r>
      <w:bookmarkStart w:id="7" w:name="OLE_LINK3"/>
      <w:r>
        <w:rPr>
          <w:rFonts w:ascii="Book Antiqua" w:hAnsi="Book Antiqua" w:eastAsia="黑体"/>
          <w:b/>
          <w:i/>
          <w:sz w:val="24"/>
        </w:rPr>
        <w:t xml:space="preserve"> </w:t>
      </w:r>
      <w:r>
        <w:rPr>
          <w:rFonts w:hint="eastAsia" w:ascii="Book Antiqua" w:hAnsi="Book Antiqua" w:eastAsia="黑体"/>
          <w:sz w:val="24"/>
          <w:lang w:val="en-US" w:eastAsia="zh-CN"/>
        </w:rPr>
        <w:t>P</w:t>
      </w:r>
      <w:r>
        <w:rPr>
          <w:rFonts w:ascii="Book Antiqua" w:hAnsi="Book Antiqua" w:eastAsia="黑体"/>
          <w:sz w:val="24"/>
        </w:rPr>
        <w:t>VT and TIPS stent patency</w:t>
      </w:r>
      <w:bookmarkEnd w:id="7"/>
    </w:p>
    <w:p>
      <w:pPr>
        <w:snapToGrid w:val="0"/>
        <w:spacing w:line="360" w:lineRule="auto"/>
        <w:rPr>
          <w:rFonts w:ascii="Book Antiqua" w:hAnsi="Book Antiqua" w:eastAsia="黑体" w:cs="Times New Roman"/>
          <w:sz w:val="24"/>
        </w:rPr>
      </w:pPr>
    </w:p>
    <w:p>
      <w:pPr>
        <w:snapToGrid w:val="0"/>
        <w:spacing w:line="360" w:lineRule="auto"/>
        <w:ind w:right="136" w:rightChars="65"/>
        <w:rPr>
          <w:rFonts w:ascii="Book Antiqua" w:hAnsi="Book Antiqua" w:eastAsia="黑体"/>
          <w:b/>
          <w:bCs/>
          <w:sz w:val="24"/>
        </w:rPr>
      </w:pPr>
      <w:r>
        <w:rPr>
          <w:rFonts w:ascii="Book Antiqua" w:hAnsi="Book Antiqua" w:eastAsia="黑体"/>
          <w:b/>
          <w:bCs/>
          <w:sz w:val="24"/>
        </w:rPr>
        <w:t xml:space="preserve">Fang Dong, </w:t>
      </w:r>
      <w:bookmarkStart w:id="8" w:name="OLE_LINK35"/>
      <w:bookmarkStart w:id="9" w:name="OLE_LINK36"/>
      <w:r>
        <w:rPr>
          <w:rFonts w:ascii="Book Antiqua" w:hAnsi="Book Antiqua" w:eastAsia="黑体"/>
          <w:b/>
          <w:bCs/>
          <w:sz w:val="24"/>
        </w:rPr>
        <w:t>Shi-Hua</w:t>
      </w:r>
      <w:bookmarkEnd w:id="8"/>
      <w:bookmarkEnd w:id="9"/>
      <w:r>
        <w:rPr>
          <w:rFonts w:ascii="Book Antiqua" w:hAnsi="Book Antiqua" w:eastAsia="黑体"/>
          <w:b/>
          <w:bCs/>
          <w:sz w:val="24"/>
        </w:rPr>
        <w:t xml:space="preserve"> Luo, Li-Juan Zheng, </w:t>
      </w:r>
      <w:bookmarkStart w:id="10" w:name="OLE_LINK38"/>
      <w:bookmarkStart w:id="11" w:name="OLE_LINK37"/>
      <w:r>
        <w:rPr>
          <w:rFonts w:ascii="Book Antiqua" w:hAnsi="Book Antiqua" w:eastAsia="黑体"/>
          <w:b/>
          <w:bCs/>
          <w:sz w:val="24"/>
        </w:rPr>
        <w:t>Jian-Guo</w:t>
      </w:r>
      <w:bookmarkEnd w:id="10"/>
      <w:bookmarkEnd w:id="11"/>
      <w:r>
        <w:rPr>
          <w:rFonts w:ascii="Book Antiqua" w:hAnsi="Book Antiqua" w:eastAsia="黑体"/>
          <w:b/>
          <w:bCs/>
          <w:sz w:val="24"/>
        </w:rPr>
        <w:t xml:space="preserve"> Chu, He Huang, </w:t>
      </w:r>
      <w:bookmarkStart w:id="12" w:name="OLE_LINK39"/>
      <w:r>
        <w:rPr>
          <w:rFonts w:ascii="Book Antiqua" w:hAnsi="Book Antiqua" w:eastAsia="黑体"/>
          <w:b/>
          <w:bCs/>
          <w:sz w:val="24"/>
        </w:rPr>
        <w:t>Xue-Qiang</w:t>
      </w:r>
      <w:bookmarkEnd w:id="12"/>
      <w:r>
        <w:rPr>
          <w:rFonts w:ascii="Book Antiqua" w:hAnsi="Book Antiqua" w:eastAsia="黑体"/>
          <w:b/>
          <w:bCs/>
          <w:sz w:val="24"/>
        </w:rPr>
        <w:t xml:space="preserve"> Zhang, </w:t>
      </w:r>
      <w:bookmarkStart w:id="13" w:name="OLE_LINK40"/>
      <w:bookmarkStart w:id="14" w:name="OLE_LINK41"/>
      <w:r>
        <w:rPr>
          <w:rFonts w:ascii="Book Antiqua" w:hAnsi="Book Antiqua" w:eastAsia="黑体"/>
          <w:b/>
          <w:bCs/>
          <w:sz w:val="24"/>
        </w:rPr>
        <w:t>Ke-Chun</w:t>
      </w:r>
      <w:bookmarkEnd w:id="13"/>
      <w:bookmarkEnd w:id="14"/>
      <w:r>
        <w:rPr>
          <w:rFonts w:ascii="Book Antiqua" w:hAnsi="Book Antiqua" w:eastAsia="黑体"/>
          <w:b/>
          <w:bCs/>
          <w:sz w:val="24"/>
        </w:rPr>
        <w:t xml:space="preserve"> Yao</w:t>
      </w:r>
    </w:p>
    <w:p>
      <w:pPr>
        <w:snapToGrid w:val="0"/>
        <w:spacing w:line="360" w:lineRule="auto"/>
        <w:ind w:right="136" w:rightChars="65"/>
        <w:rPr>
          <w:rFonts w:ascii="Book Antiqua" w:hAnsi="Book Antiqua" w:eastAsia="黑体"/>
          <w:sz w:val="24"/>
          <w:vertAlign w:val="superscript"/>
        </w:rPr>
      </w:pPr>
    </w:p>
    <w:p>
      <w:pPr>
        <w:snapToGrid w:val="0"/>
        <w:spacing w:line="360" w:lineRule="auto"/>
        <w:ind w:right="136" w:rightChars="65"/>
        <w:rPr>
          <w:rFonts w:ascii="Book Antiqua" w:hAnsi="Book Antiqua" w:eastAsia="黑体"/>
          <w:sz w:val="24"/>
        </w:rPr>
      </w:pPr>
      <w:r>
        <w:rPr>
          <w:rFonts w:ascii="Book Antiqua" w:hAnsi="Book Antiqua" w:eastAsia="黑体"/>
          <w:b/>
          <w:bCs/>
          <w:sz w:val="24"/>
        </w:rPr>
        <w:t>Fang Dong</w:t>
      </w:r>
      <w:r>
        <w:rPr>
          <w:rFonts w:ascii="Book Antiqua" w:hAnsi="Book Antiqua" w:eastAsia="黑体"/>
          <w:b/>
          <w:bCs/>
          <w:sz w:val="24"/>
        </w:rPr>
        <w:t xml:space="preserve">, </w:t>
      </w:r>
      <w:r>
        <w:rPr>
          <w:rFonts w:ascii="Book Antiqua" w:hAnsi="Book Antiqua" w:eastAsia="黑体"/>
          <w:sz w:val="24"/>
        </w:rPr>
        <w:t>Department of Vascular Surgery, Gansu Provincial Hospital, Lanzhou 730000, Gansu Province, China</w:t>
      </w:r>
    </w:p>
    <w:p>
      <w:pPr>
        <w:snapToGrid w:val="0"/>
        <w:spacing w:line="360" w:lineRule="auto"/>
        <w:ind w:right="136" w:rightChars="65"/>
        <w:rPr>
          <w:rFonts w:ascii="Book Antiqua" w:hAnsi="Book Antiqua" w:eastAsia="黑体"/>
          <w:sz w:val="24"/>
        </w:rPr>
      </w:pPr>
    </w:p>
    <w:p>
      <w:pPr>
        <w:snapToGrid w:val="0"/>
        <w:spacing w:line="360" w:lineRule="auto"/>
        <w:ind w:right="136" w:rightChars="65"/>
        <w:rPr>
          <w:rFonts w:ascii="Book Antiqua" w:hAnsi="Book Antiqua" w:eastAsia="黑体"/>
          <w:sz w:val="24"/>
        </w:rPr>
      </w:pPr>
      <w:r>
        <w:rPr>
          <w:rFonts w:ascii="Book Antiqua" w:hAnsi="Book Antiqua" w:eastAsia="黑体"/>
          <w:b/>
          <w:bCs/>
          <w:sz w:val="24"/>
        </w:rPr>
        <w:t>Shi-Hua Luo</w:t>
      </w:r>
      <w:r>
        <w:rPr>
          <w:rFonts w:ascii="Book Antiqua" w:hAnsi="Book Antiqua" w:eastAsia="黑体"/>
          <w:b/>
          <w:bCs/>
          <w:sz w:val="24"/>
        </w:rPr>
        <w:t>,</w:t>
      </w:r>
      <w:r>
        <w:rPr>
          <w:rFonts w:ascii="Book Antiqua" w:hAnsi="Book Antiqua" w:eastAsia="黑体"/>
          <w:sz w:val="24"/>
        </w:rPr>
        <w:t xml:space="preserve"> Department of Radiology, Zhongnan Hospital of Wuhan University, Wuhan 430071, Hubei Province, China</w:t>
      </w:r>
    </w:p>
    <w:p>
      <w:pPr>
        <w:snapToGrid w:val="0"/>
        <w:spacing w:line="360" w:lineRule="auto"/>
        <w:ind w:right="136" w:rightChars="65"/>
        <w:rPr>
          <w:rFonts w:ascii="Book Antiqua" w:hAnsi="Book Antiqua" w:eastAsia="黑体"/>
          <w:sz w:val="24"/>
        </w:rPr>
      </w:pPr>
    </w:p>
    <w:p>
      <w:pPr>
        <w:snapToGrid w:val="0"/>
        <w:spacing w:line="360" w:lineRule="auto"/>
        <w:ind w:right="136" w:rightChars="65"/>
        <w:rPr>
          <w:rFonts w:ascii="Book Antiqua" w:hAnsi="Book Antiqua" w:eastAsia="黑体"/>
          <w:sz w:val="24"/>
        </w:rPr>
      </w:pPr>
      <w:r>
        <w:rPr>
          <w:rFonts w:ascii="Book Antiqua" w:hAnsi="Book Antiqua" w:eastAsia="黑体"/>
          <w:b/>
          <w:bCs/>
          <w:sz w:val="24"/>
        </w:rPr>
        <w:t>Li-Juan Zheng</w:t>
      </w:r>
      <w:r>
        <w:rPr>
          <w:rFonts w:ascii="Book Antiqua" w:hAnsi="Book Antiqua" w:eastAsia="黑体"/>
          <w:b/>
          <w:bCs/>
          <w:sz w:val="24"/>
        </w:rPr>
        <w:t>,</w:t>
      </w:r>
      <w:r>
        <w:rPr>
          <w:rFonts w:ascii="Book Antiqua" w:hAnsi="Book Antiqua" w:eastAsia="黑体"/>
          <w:sz w:val="24"/>
        </w:rPr>
        <w:t xml:space="preserve"> Department of Gastroenterology, Gansu Provincial Hospital, Lanzhou 730000, Gansu Province, China</w:t>
      </w:r>
    </w:p>
    <w:p>
      <w:pPr>
        <w:snapToGrid w:val="0"/>
        <w:spacing w:line="360" w:lineRule="auto"/>
        <w:ind w:right="136" w:rightChars="65"/>
        <w:rPr>
          <w:rFonts w:ascii="Book Antiqua" w:hAnsi="Book Antiqua" w:eastAsia="黑体"/>
          <w:sz w:val="24"/>
        </w:rPr>
      </w:pPr>
    </w:p>
    <w:p>
      <w:pPr>
        <w:snapToGrid w:val="0"/>
        <w:spacing w:line="360" w:lineRule="auto"/>
        <w:ind w:right="136" w:rightChars="65"/>
        <w:rPr>
          <w:rFonts w:ascii="Book Antiqua" w:hAnsi="Book Antiqua" w:eastAsia="黑体"/>
          <w:sz w:val="24"/>
        </w:rPr>
      </w:pPr>
      <w:r>
        <w:rPr>
          <w:rFonts w:ascii="Book Antiqua" w:hAnsi="Book Antiqua" w:eastAsia="黑体"/>
          <w:b/>
          <w:bCs/>
          <w:sz w:val="24"/>
        </w:rPr>
        <w:t>Jian-Guo Chu</w:t>
      </w:r>
      <w:r>
        <w:rPr>
          <w:rFonts w:ascii="Book Antiqua" w:hAnsi="Book Antiqua" w:eastAsia="黑体"/>
          <w:sz w:val="24"/>
        </w:rPr>
        <w:t xml:space="preserve">, </w:t>
      </w:r>
      <w:r>
        <w:rPr>
          <w:rFonts w:ascii="Book Antiqua" w:hAnsi="Book Antiqua" w:eastAsia="黑体"/>
          <w:b/>
          <w:bCs/>
          <w:sz w:val="24"/>
        </w:rPr>
        <w:t>He Huang,</w:t>
      </w:r>
      <w:r>
        <w:rPr>
          <w:rFonts w:ascii="Book Antiqua" w:hAnsi="Book Antiqua" w:eastAsia="黑体"/>
          <w:sz w:val="24"/>
        </w:rPr>
        <w:t xml:space="preserve"> Department of Radiology, Air Force Medical Center of PLA, Beijing 100142, China</w:t>
      </w:r>
    </w:p>
    <w:p>
      <w:pPr>
        <w:snapToGrid w:val="0"/>
        <w:spacing w:line="360" w:lineRule="auto"/>
        <w:ind w:right="136" w:rightChars="65"/>
        <w:rPr>
          <w:rFonts w:ascii="Book Antiqua" w:hAnsi="Book Antiqua" w:eastAsia="黑体"/>
          <w:sz w:val="24"/>
        </w:rPr>
      </w:pPr>
    </w:p>
    <w:p>
      <w:pPr>
        <w:snapToGrid w:val="0"/>
        <w:spacing w:line="360" w:lineRule="auto"/>
        <w:ind w:right="136" w:rightChars="65"/>
        <w:rPr>
          <w:rFonts w:ascii="Book Antiqua" w:hAnsi="Book Antiqua" w:eastAsia="黑体"/>
          <w:sz w:val="24"/>
        </w:rPr>
      </w:pPr>
      <w:r>
        <w:rPr>
          <w:rFonts w:ascii="Book Antiqua" w:hAnsi="Book Antiqua" w:eastAsia="黑体"/>
          <w:b/>
          <w:bCs/>
          <w:sz w:val="24"/>
        </w:rPr>
        <w:t>Xue-Qiang Zhang</w:t>
      </w:r>
      <w:r>
        <w:rPr>
          <w:rFonts w:ascii="Book Antiqua" w:hAnsi="Book Antiqua" w:eastAsia="黑体"/>
          <w:b/>
          <w:bCs/>
          <w:sz w:val="24"/>
        </w:rPr>
        <w:t>,</w:t>
      </w:r>
      <w:r>
        <w:rPr>
          <w:rFonts w:ascii="Book Antiqua" w:hAnsi="Book Antiqua" w:eastAsia="黑体"/>
          <w:sz w:val="24"/>
        </w:rPr>
        <w:t xml:space="preserve"> Department of Gastroenterology, the Second Hospital of Hebei Medical University, Shijiazhuang 050000, Hebei Province, China</w:t>
      </w:r>
    </w:p>
    <w:p>
      <w:pPr>
        <w:snapToGrid w:val="0"/>
        <w:spacing w:line="360" w:lineRule="auto"/>
        <w:ind w:right="136" w:rightChars="65"/>
        <w:rPr>
          <w:rFonts w:ascii="Book Antiqua" w:hAnsi="Book Antiqua" w:eastAsia="黑体"/>
          <w:sz w:val="24"/>
        </w:rPr>
      </w:pPr>
    </w:p>
    <w:p>
      <w:pPr>
        <w:snapToGrid w:val="0"/>
        <w:spacing w:line="360" w:lineRule="auto"/>
        <w:ind w:right="136" w:rightChars="65"/>
        <w:rPr>
          <w:rFonts w:ascii="Book Antiqua" w:hAnsi="Book Antiqua" w:eastAsia="黑体"/>
          <w:sz w:val="24"/>
        </w:rPr>
      </w:pPr>
      <w:r>
        <w:rPr>
          <w:rFonts w:ascii="Book Antiqua" w:hAnsi="Book Antiqua" w:eastAsia="黑体"/>
          <w:b/>
          <w:bCs/>
          <w:sz w:val="24"/>
        </w:rPr>
        <w:t>Ke-Chun Yao</w:t>
      </w:r>
      <w:r>
        <w:rPr>
          <w:rFonts w:ascii="Book Antiqua" w:hAnsi="Book Antiqua" w:eastAsia="黑体"/>
          <w:b/>
          <w:bCs/>
          <w:sz w:val="24"/>
        </w:rPr>
        <w:t xml:space="preserve">, </w:t>
      </w:r>
      <w:r>
        <w:rPr>
          <w:rFonts w:ascii="Book Antiqua" w:hAnsi="Book Antiqua" w:eastAsia="黑体"/>
          <w:sz w:val="24"/>
        </w:rPr>
        <w:t>Department of Ultrasound, Air Force Medical Center of PLA, Beijing 100142, China</w:t>
      </w:r>
    </w:p>
    <w:p>
      <w:pPr>
        <w:autoSpaceDE w:val="0"/>
        <w:autoSpaceDN w:val="0"/>
        <w:adjustRightInd w:val="0"/>
        <w:snapToGrid w:val="0"/>
        <w:spacing w:line="360" w:lineRule="auto"/>
        <w:rPr>
          <w:rFonts w:ascii="Book Antiqua" w:hAnsi="Book Antiqua" w:eastAsia="黑体"/>
          <w:b/>
          <w:bCs/>
          <w:kern w:val="0"/>
          <w:sz w:val="24"/>
        </w:rPr>
      </w:pPr>
    </w:p>
    <w:p>
      <w:pPr>
        <w:autoSpaceDE w:val="0"/>
        <w:autoSpaceDN w:val="0"/>
        <w:adjustRightInd w:val="0"/>
        <w:snapToGrid w:val="0"/>
        <w:spacing w:line="360" w:lineRule="auto"/>
        <w:rPr>
          <w:rFonts w:ascii="Book Antiqua" w:hAnsi="Book Antiqua" w:eastAsia="黑体"/>
          <w:b/>
          <w:sz w:val="24"/>
          <w:shd w:val="clear" w:color="auto" w:fill="FFFFFF"/>
        </w:rPr>
      </w:pPr>
      <w:r>
        <w:rPr>
          <w:rFonts w:ascii="Book Antiqua" w:hAnsi="Book Antiqua" w:cs="Times New Roman"/>
          <w:b/>
          <w:sz w:val="24"/>
        </w:rPr>
        <w:t>ORCID number:</w:t>
      </w:r>
      <w:r>
        <w:rPr>
          <w:rFonts w:ascii="Book Antiqua" w:hAnsi="Book Antiqua" w:eastAsia="黑体"/>
          <w:b/>
          <w:sz w:val="24"/>
          <w:shd w:val="clear" w:color="auto" w:fill="FFFFFF"/>
        </w:rPr>
        <w:t xml:space="preserve"> </w:t>
      </w:r>
      <w:r>
        <w:rPr>
          <w:rFonts w:ascii="Book Antiqua" w:hAnsi="Book Antiqua" w:eastAsia="黑体"/>
          <w:bCs/>
          <w:sz w:val="24"/>
          <w:shd w:val="clear" w:color="auto" w:fill="FFFFFF"/>
        </w:rPr>
        <w:t>Fang Dong (</w:t>
      </w:r>
      <w:r>
        <w:rPr>
          <w:rFonts w:ascii="Book Antiqua" w:hAnsi="Book Antiqua"/>
          <w:sz w:val="24"/>
        </w:rPr>
        <w:t>0000-0001-8931-7562</w:t>
      </w:r>
      <w:r>
        <w:rPr>
          <w:rFonts w:ascii="Book Antiqua" w:hAnsi="Book Antiqua" w:eastAsia="黑体"/>
          <w:bCs/>
          <w:sz w:val="24"/>
          <w:shd w:val="clear" w:color="auto" w:fill="FFFFFF"/>
        </w:rPr>
        <w:t>); Shi-Hua Luo (</w:t>
      </w:r>
      <w:r>
        <w:rPr>
          <w:rFonts w:ascii="Book Antiqua" w:hAnsi="Book Antiqua"/>
          <w:sz w:val="24"/>
        </w:rPr>
        <w:t>0000-0003-4926-144X</w:t>
      </w:r>
      <w:r>
        <w:rPr>
          <w:rFonts w:ascii="Book Antiqua" w:hAnsi="Book Antiqua" w:eastAsia="黑体"/>
          <w:bCs/>
          <w:sz w:val="24"/>
          <w:shd w:val="clear" w:color="auto" w:fill="FFFFFF"/>
        </w:rPr>
        <w:t>); Li-Juan Zheng (</w:t>
      </w:r>
      <w:r>
        <w:rPr>
          <w:rFonts w:ascii="Book Antiqua" w:hAnsi="Book Antiqua"/>
          <w:sz w:val="24"/>
        </w:rPr>
        <w:t>0000-0002-9609-7219</w:t>
      </w:r>
      <w:r>
        <w:rPr>
          <w:rFonts w:ascii="Book Antiqua" w:hAnsi="Book Antiqua" w:eastAsia="黑体"/>
          <w:bCs/>
          <w:sz w:val="24"/>
          <w:shd w:val="clear" w:color="auto" w:fill="FFFFFF"/>
        </w:rPr>
        <w:t>); Jian-Guo Chu (</w:t>
      </w:r>
      <w:r>
        <w:rPr>
          <w:rFonts w:ascii="Book Antiqua" w:hAnsi="Book Antiqua"/>
          <w:sz w:val="24"/>
        </w:rPr>
        <w:t>0000-0002-4815-1129</w:t>
      </w:r>
      <w:r>
        <w:rPr>
          <w:rFonts w:ascii="Book Antiqua" w:hAnsi="Book Antiqua" w:eastAsia="黑体"/>
          <w:bCs/>
          <w:sz w:val="24"/>
          <w:shd w:val="clear" w:color="auto" w:fill="FFFFFF"/>
        </w:rPr>
        <w:t>); He Huang (</w:t>
      </w:r>
      <w:r>
        <w:rPr>
          <w:rFonts w:ascii="Book Antiqua" w:hAnsi="Book Antiqua"/>
          <w:sz w:val="24"/>
        </w:rPr>
        <w:t>0000-0001-7842-3984</w:t>
      </w:r>
      <w:r>
        <w:rPr>
          <w:rFonts w:ascii="Book Antiqua" w:hAnsi="Book Antiqua" w:eastAsia="黑体"/>
          <w:bCs/>
          <w:sz w:val="24"/>
          <w:shd w:val="clear" w:color="auto" w:fill="FFFFFF"/>
        </w:rPr>
        <w:t>); Xue-Qiang Zhang (</w:t>
      </w:r>
      <w:r>
        <w:rPr>
          <w:rFonts w:ascii="Book Antiqua" w:hAnsi="Book Antiqua"/>
          <w:sz w:val="24"/>
        </w:rPr>
        <w:t>0000-0002-5654-7086</w:t>
      </w:r>
      <w:r>
        <w:rPr>
          <w:rFonts w:ascii="Book Antiqua" w:hAnsi="Book Antiqua" w:eastAsia="黑体"/>
          <w:bCs/>
          <w:sz w:val="24"/>
          <w:shd w:val="clear" w:color="auto" w:fill="FFFFFF"/>
        </w:rPr>
        <w:t>); Ke-Chun Yao (</w:t>
      </w:r>
      <w:r>
        <w:rPr>
          <w:rFonts w:ascii="Book Antiqua" w:hAnsi="Book Antiqua"/>
          <w:sz w:val="24"/>
        </w:rPr>
        <w:t>0000-0003-4694-2813</w:t>
      </w:r>
      <w:r>
        <w:rPr>
          <w:rFonts w:ascii="Book Antiqua" w:hAnsi="Book Antiqua" w:eastAsia="黑体"/>
          <w:bCs/>
          <w:sz w:val="24"/>
          <w:shd w:val="clear" w:color="auto" w:fill="FFFFFF"/>
        </w:rPr>
        <w:t>).</w:t>
      </w:r>
    </w:p>
    <w:p>
      <w:pPr>
        <w:autoSpaceDE w:val="0"/>
        <w:autoSpaceDN w:val="0"/>
        <w:adjustRightInd w:val="0"/>
        <w:snapToGrid w:val="0"/>
        <w:spacing w:line="360" w:lineRule="auto"/>
        <w:rPr>
          <w:rFonts w:ascii="Book Antiqua" w:hAnsi="Book Antiqua" w:eastAsia="黑体"/>
          <w:b/>
          <w:bCs/>
          <w:kern w:val="0"/>
          <w:sz w:val="24"/>
        </w:rPr>
      </w:pPr>
    </w:p>
    <w:p>
      <w:pPr>
        <w:snapToGrid w:val="0"/>
        <w:spacing w:line="360" w:lineRule="auto"/>
        <w:ind w:right="136" w:rightChars="65"/>
        <w:rPr>
          <w:rFonts w:ascii="Book Antiqua" w:hAnsi="Book Antiqua" w:eastAsia="黑体"/>
          <w:sz w:val="24"/>
        </w:rPr>
      </w:pPr>
      <w:bookmarkStart w:id="15" w:name="_Hlk7505323"/>
      <w:r>
        <w:rPr>
          <w:rFonts w:ascii="Book Antiqua" w:hAnsi="Book Antiqua" w:cs="Times New Roman"/>
          <w:b/>
          <w:sz w:val="24"/>
        </w:rPr>
        <w:t>Author contributions:</w:t>
      </w:r>
      <w:r>
        <w:rPr>
          <w:rFonts w:ascii="Book Antiqua" w:hAnsi="Book Antiqua" w:cs="Times New Roman"/>
          <w:sz w:val="24"/>
        </w:rPr>
        <w:t xml:space="preserve"> </w:t>
      </w:r>
      <w:bookmarkEnd w:id="15"/>
      <w:r>
        <w:rPr>
          <w:rFonts w:ascii="Book Antiqua" w:hAnsi="Book Antiqua" w:eastAsia="黑体"/>
          <w:sz w:val="24"/>
        </w:rPr>
        <w:t>Dong F designed the research; Luo SH wrote the manuscript; Huang H carried out the experiment; Zheng LJ prepared the figures and tables; Zhang XQ performed data analysis; Chu JG was responsible for the experiment; and Yao KC supervised the study.</w:t>
      </w:r>
    </w:p>
    <w:p>
      <w:pPr>
        <w:snapToGrid w:val="0"/>
        <w:spacing w:line="360" w:lineRule="auto"/>
        <w:ind w:right="136" w:rightChars="65"/>
        <w:rPr>
          <w:rFonts w:ascii="Book Antiqua" w:hAnsi="Book Antiqua" w:eastAsia="黑体"/>
          <w:sz w:val="24"/>
        </w:rPr>
      </w:pPr>
    </w:p>
    <w:p>
      <w:pPr>
        <w:snapToGrid w:val="0"/>
        <w:spacing w:line="360" w:lineRule="auto"/>
        <w:ind w:right="136" w:rightChars="65"/>
        <w:rPr>
          <w:rFonts w:ascii="Book Antiqua" w:hAnsi="Book Antiqua" w:eastAsia="黑体"/>
          <w:sz w:val="24"/>
        </w:rPr>
      </w:pPr>
      <w:r>
        <w:rPr>
          <w:rFonts w:ascii="Book Antiqua" w:hAnsi="Book Antiqua"/>
          <w:b/>
          <w:sz w:val="24"/>
        </w:rPr>
        <w:t>Institutional review board statement</w:t>
      </w:r>
      <w:r>
        <w:rPr>
          <w:rFonts w:ascii="Book Antiqua" w:hAnsi="Book Antiqua"/>
          <w:b/>
          <w:iCs/>
          <w:kern w:val="0"/>
          <w:sz w:val="24"/>
        </w:rPr>
        <w:t xml:space="preserve">: </w:t>
      </w:r>
      <w:r>
        <w:rPr>
          <w:rFonts w:ascii="Book Antiqua" w:hAnsi="Book Antiqua" w:eastAsia="黑体"/>
          <w:sz w:val="24"/>
        </w:rPr>
        <w:t>This study was reviewed and approved by the Ethics Committee of Air Force Medical Center of PLA, Beijing, China.</w:t>
      </w:r>
    </w:p>
    <w:p>
      <w:pPr>
        <w:snapToGrid w:val="0"/>
        <w:spacing w:line="360" w:lineRule="auto"/>
        <w:ind w:right="136" w:rightChars="65"/>
        <w:rPr>
          <w:rFonts w:ascii="Book Antiqua" w:hAnsi="Book Antiqua" w:eastAsia="黑体"/>
          <w:sz w:val="24"/>
        </w:rPr>
      </w:pPr>
    </w:p>
    <w:p>
      <w:pPr>
        <w:snapToGrid w:val="0"/>
        <w:spacing w:line="360" w:lineRule="auto"/>
        <w:ind w:right="136" w:rightChars="65"/>
        <w:rPr>
          <w:rFonts w:ascii="Book Antiqua" w:hAnsi="Book Antiqua" w:eastAsia="黑体"/>
          <w:sz w:val="24"/>
        </w:rPr>
      </w:pPr>
      <w:r>
        <w:rPr>
          <w:rFonts w:ascii="Book Antiqua" w:hAnsi="Book Antiqua" w:cs="Calibri"/>
          <w:b/>
          <w:bCs/>
          <w:iCs/>
          <w:sz w:val="24"/>
        </w:rPr>
        <w:t xml:space="preserve">Informed consent statement: </w:t>
      </w:r>
      <w:r>
        <w:rPr>
          <w:rFonts w:ascii="Book Antiqua" w:hAnsi="Book Antiqua" w:eastAsia="黑体"/>
          <w:sz w:val="24"/>
        </w:rPr>
        <w:t>This is a retrospective study, and informed written consent was thus waived.</w:t>
      </w:r>
    </w:p>
    <w:p>
      <w:pPr>
        <w:snapToGrid w:val="0"/>
        <w:spacing w:line="360" w:lineRule="auto"/>
        <w:ind w:right="136" w:rightChars="65"/>
        <w:rPr>
          <w:rFonts w:ascii="Book Antiqua" w:hAnsi="Book Antiqua" w:eastAsia="黑体"/>
          <w:sz w:val="24"/>
        </w:rPr>
      </w:pPr>
    </w:p>
    <w:p>
      <w:pPr>
        <w:snapToGrid w:val="0"/>
        <w:spacing w:line="360" w:lineRule="auto"/>
        <w:ind w:right="136" w:rightChars="65"/>
        <w:rPr>
          <w:rFonts w:ascii="Book Antiqua" w:hAnsi="Book Antiqua" w:eastAsia="黑体"/>
          <w:sz w:val="24"/>
        </w:rPr>
      </w:pPr>
      <w:bookmarkStart w:id="16" w:name="_Hlk7505351"/>
      <w:r>
        <w:rPr>
          <w:rFonts w:ascii="Book Antiqua" w:hAnsi="Book Antiqua" w:cs="TimesNewRomanPS-BoldItalicMT"/>
          <w:b/>
          <w:bCs/>
          <w:iCs/>
          <w:sz w:val="24"/>
        </w:rPr>
        <w:t>Conflict-of-interest</w:t>
      </w:r>
      <w:r>
        <w:rPr>
          <w:rFonts w:ascii="Book Antiqua" w:hAnsi="Book Antiqua"/>
          <w:sz w:val="24"/>
        </w:rPr>
        <w:t xml:space="preserve"> </w:t>
      </w:r>
      <w:r>
        <w:rPr>
          <w:rFonts w:ascii="Book Antiqua" w:hAnsi="Book Antiqua" w:cs="TimesNewRomanPS-BoldItalicMT"/>
          <w:b/>
          <w:bCs/>
          <w:iCs/>
          <w:sz w:val="24"/>
        </w:rPr>
        <w:t xml:space="preserve">statement: </w:t>
      </w:r>
      <w:bookmarkEnd w:id="16"/>
      <w:r>
        <w:rPr>
          <w:rFonts w:ascii="Book Antiqua" w:hAnsi="Book Antiqua" w:eastAsia="黑体"/>
          <w:sz w:val="24"/>
        </w:rPr>
        <w:t>The authors declare no conflicts of interest related to this study.</w:t>
      </w:r>
    </w:p>
    <w:p>
      <w:pPr>
        <w:snapToGrid w:val="0"/>
        <w:spacing w:line="360" w:lineRule="auto"/>
        <w:ind w:right="136" w:rightChars="65"/>
        <w:rPr>
          <w:rFonts w:ascii="Book Antiqua" w:hAnsi="Book Antiqua" w:eastAsia="黑体"/>
          <w:sz w:val="24"/>
        </w:rPr>
      </w:pPr>
    </w:p>
    <w:p>
      <w:pPr>
        <w:snapToGrid w:val="0"/>
        <w:spacing w:line="360" w:lineRule="auto"/>
        <w:rPr>
          <w:rFonts w:ascii="Book Antiqua" w:hAnsi="Book Antiqua"/>
          <w:b/>
          <w:sz w:val="24"/>
        </w:rPr>
      </w:pPr>
      <w:r>
        <w:rPr>
          <w:rFonts w:ascii="Book Antiqua" w:hAnsi="Book Antiqua"/>
          <w:b/>
          <w:sz w:val="24"/>
        </w:rPr>
        <w:t>Data sharing statement</w:t>
      </w:r>
      <w:r>
        <w:rPr>
          <w:rFonts w:ascii="Book Antiqua" w:hAnsi="Book Antiqua" w:cs="TimesNewRomanPS-BoldItalicMT"/>
          <w:b/>
          <w:iCs/>
          <w:sz w:val="24"/>
        </w:rPr>
        <w:t>:</w:t>
      </w:r>
      <w:r>
        <w:rPr>
          <w:rFonts w:ascii="Book Antiqua" w:hAnsi="Book Antiqua"/>
          <w:b/>
          <w:sz w:val="24"/>
        </w:rPr>
        <w:t xml:space="preserve"> </w:t>
      </w:r>
      <w:r>
        <w:rPr>
          <w:rFonts w:ascii="Book Antiqua" w:hAnsi="Book Antiqua"/>
          <w:sz w:val="24"/>
        </w:rPr>
        <w:t>No additional data are available.</w:t>
      </w:r>
    </w:p>
    <w:p>
      <w:pPr>
        <w:snapToGrid w:val="0"/>
        <w:spacing w:line="360" w:lineRule="auto"/>
        <w:ind w:right="136" w:rightChars="65"/>
        <w:rPr>
          <w:rFonts w:ascii="Book Antiqua" w:hAnsi="Book Antiqua" w:eastAsia="黑体"/>
          <w:sz w:val="24"/>
        </w:rPr>
      </w:pPr>
    </w:p>
    <w:p>
      <w:pPr>
        <w:snapToGrid w:val="0"/>
        <w:spacing w:line="360" w:lineRule="auto"/>
        <w:rPr>
          <w:rFonts w:ascii="Book Antiqua" w:hAnsi="Book Antiqua" w:cs="Times New Roman"/>
          <w:b/>
          <w:sz w:val="24"/>
        </w:rPr>
      </w:pPr>
      <w:bookmarkStart w:id="17" w:name="OLE_LINK1840"/>
      <w:bookmarkStart w:id="18" w:name="OLE_LINK1839"/>
      <w:bookmarkStart w:id="19" w:name="OLE_LINK1025"/>
      <w:bookmarkStart w:id="20" w:name="OLE_LINK1096"/>
      <w:bookmarkStart w:id="21" w:name="OLE_LINK1706"/>
      <w:bookmarkStart w:id="22" w:name="OLE_LINK985"/>
      <w:bookmarkStart w:id="23" w:name="OLE_LINK1707"/>
      <w:bookmarkStart w:id="24" w:name="OLE_LINK1098"/>
      <w:bookmarkStart w:id="25" w:name="OLE_LINK649"/>
      <w:bookmarkStart w:id="26" w:name="OLE_LINK1097"/>
      <w:bookmarkStart w:id="27" w:name="OLE_LINK1024"/>
      <w:bookmarkStart w:id="28" w:name="OLE_LINK986"/>
      <w:bookmarkStart w:id="29" w:name="OLE_LINK1122"/>
      <w:bookmarkStart w:id="30" w:name="OLE_LINK650"/>
      <w:bookmarkStart w:id="31" w:name="OLE_LINK570"/>
      <w:bookmarkStart w:id="32" w:name="OLE_LINK564"/>
      <w:bookmarkStart w:id="33" w:name="OLE_LINK687"/>
      <w:bookmarkStart w:id="34" w:name="OLE_LINK183"/>
      <w:bookmarkStart w:id="35" w:name="OLE_LINK441"/>
      <w:bookmarkStart w:id="36" w:name="OLE_LINK142"/>
      <w:bookmarkStart w:id="37" w:name="OLE_LINK155"/>
      <w:bookmarkStart w:id="38" w:name="OLE_LINK376"/>
      <w:bookmarkStart w:id="39" w:name="OLE_LINK917"/>
      <w:bookmarkStart w:id="40" w:name="OLE_LINK1013"/>
      <w:bookmarkStart w:id="41" w:name="OLE_LINK731"/>
      <w:bookmarkStart w:id="42" w:name="OLE_LINK812"/>
      <w:bookmarkStart w:id="43" w:name="OLE_LINK1015"/>
      <w:bookmarkStart w:id="44" w:name="OLE_LINK1016"/>
      <w:bookmarkStart w:id="45" w:name="OLE_LINK716"/>
      <w:bookmarkStart w:id="46" w:name="OLE_LINK916"/>
      <w:bookmarkStart w:id="47" w:name="OLE_LINK809"/>
      <w:bookmarkStart w:id="48" w:name="OLE_LINK1935"/>
      <w:bookmarkStart w:id="49" w:name="OLE_LINK1596"/>
      <w:bookmarkStart w:id="50" w:name="OLE_LINK1546"/>
      <w:bookmarkStart w:id="51" w:name="OLE_LINK1896"/>
      <w:bookmarkStart w:id="52" w:name="OLE_LINK1751"/>
      <w:bookmarkStart w:id="53" w:name="OLE_LINK1996"/>
      <w:bookmarkStart w:id="54" w:name="OLE_LINK1924"/>
      <w:bookmarkStart w:id="55" w:name="OLE_LINK1749"/>
      <w:bookmarkStart w:id="56" w:name="OLE_LINK1750"/>
      <w:bookmarkStart w:id="57" w:name="OLE_LINK1547"/>
      <w:bookmarkStart w:id="58" w:name="OLE_LINK1934"/>
      <w:bookmarkStart w:id="59" w:name="OLE_LINK2088"/>
      <w:bookmarkStart w:id="60" w:name="OLE_LINK1900"/>
      <w:bookmarkStart w:id="61" w:name="OLE_LINK1933"/>
      <w:bookmarkStart w:id="62" w:name="_Hlk7505383"/>
      <w:r>
        <w:rPr>
          <w:rFonts w:ascii="Book Antiqua" w:hAnsi="Book Antiqua" w:cs="Times New Roman"/>
          <w:b/>
          <w:sz w:val="24"/>
        </w:rPr>
        <w:t>Open-Access:</w:t>
      </w:r>
      <w:bookmarkEnd w:id="17"/>
      <w:bookmarkEnd w:id="18"/>
      <w:r>
        <w:rPr>
          <w:rFonts w:ascii="Book Antiqua" w:hAnsi="Book Antiqua" w:cs="Times New Roman"/>
          <w:b/>
          <w:sz w:val="24"/>
        </w:rPr>
        <w:t xml:space="preserve"> </w:t>
      </w:r>
      <w:bookmarkStart w:id="63" w:name="OLE_LINK760"/>
      <w:bookmarkStart w:id="64" w:name="OLE_LINK907"/>
      <w:bookmarkStart w:id="65" w:name="OLE_LINK1365"/>
      <w:bookmarkStart w:id="66" w:name="OLE_LINK25"/>
      <w:r>
        <w:rPr>
          <w:rFonts w:ascii="Book Antiqua" w:hAnsi="Book Antiqua" w:cs="Times New Roman"/>
          <w:sz w:val="24"/>
        </w:rPr>
        <w:t>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63"/>
      <w:bookmarkEnd w:id="64"/>
      <w:bookmarkEnd w:id="65"/>
    </w:p>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66"/>
    <w:p>
      <w:pPr>
        <w:snapToGrid w:val="0"/>
        <w:spacing w:line="360" w:lineRule="auto"/>
        <w:rPr>
          <w:rFonts w:ascii="Book Antiqua" w:hAnsi="Book Antiqua" w:cs="Arial Unicode MS"/>
          <w:sz w:val="24"/>
        </w:rPr>
      </w:pPr>
    </w:p>
    <w:p>
      <w:pPr>
        <w:autoSpaceDE w:val="0"/>
        <w:autoSpaceDN w:val="0"/>
        <w:adjustRightInd w:val="0"/>
        <w:snapToGrid w:val="0"/>
        <w:spacing w:line="360" w:lineRule="auto"/>
        <w:rPr>
          <w:rFonts w:ascii="Book Antiqua" w:hAnsi="Book Antiqua" w:cs="Arial Unicode MS"/>
          <w:sz w:val="24"/>
        </w:rPr>
      </w:pPr>
      <w:bookmarkStart w:id="67" w:name="OLE_LINK1123"/>
      <w:bookmarkStart w:id="68" w:name="OLE_LINK927"/>
      <w:bookmarkStart w:id="69" w:name="OLE_LINK759"/>
      <w:bookmarkStart w:id="70" w:name="OLE_LINK709"/>
      <w:bookmarkStart w:id="71" w:name="OLE_LINK776"/>
      <w:bookmarkStart w:id="72" w:name="OLE_LINK918"/>
      <w:bookmarkStart w:id="73" w:name="OLE_LINK571"/>
      <w:bookmarkStart w:id="74" w:name="OLE_LINK919"/>
      <w:r>
        <w:rPr>
          <w:rFonts w:ascii="Book Antiqua" w:hAnsi="Book Antiqua" w:cs="Arial Unicode MS"/>
          <w:b/>
          <w:sz w:val="24"/>
        </w:rPr>
        <w:t>Manuscript source:</w:t>
      </w:r>
      <w:r>
        <w:rPr>
          <w:rFonts w:ascii="Book Antiqua" w:hAnsi="Book Antiqua" w:cs="Arial Unicode MS"/>
          <w:sz w:val="24"/>
        </w:rPr>
        <w:t xml:space="preserve"> </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7"/>
      <w:bookmarkEnd w:id="68"/>
      <w:bookmarkEnd w:id="69"/>
      <w:bookmarkEnd w:id="70"/>
      <w:bookmarkEnd w:id="71"/>
      <w:bookmarkEnd w:id="72"/>
      <w:bookmarkEnd w:id="73"/>
      <w:bookmarkEnd w:id="74"/>
      <w:r>
        <w:rPr>
          <w:rFonts w:ascii="Book Antiqua" w:hAnsi="Book Antiqua" w:cs="Times New Roman"/>
          <w:sz w:val="24"/>
        </w:rPr>
        <w:t>Unsolicited manuscript</w:t>
      </w:r>
    </w:p>
    <w:p>
      <w:pPr>
        <w:snapToGrid w:val="0"/>
        <w:spacing w:line="360" w:lineRule="auto"/>
        <w:rPr>
          <w:rFonts w:ascii="Book Antiqua" w:hAnsi="Book Antiqua" w:cs="Book Antiqua"/>
          <w:sz w:val="24"/>
        </w:rPr>
      </w:pPr>
    </w:p>
    <w:p>
      <w:pPr>
        <w:snapToGrid w:val="0"/>
        <w:spacing w:line="360" w:lineRule="auto"/>
        <w:ind w:right="136" w:rightChars="65"/>
        <w:rPr>
          <w:rFonts w:ascii="Book Antiqua" w:hAnsi="Book Antiqua" w:eastAsia="黑体"/>
          <w:sz w:val="24"/>
        </w:rPr>
      </w:pPr>
      <w:bookmarkStart w:id="75" w:name="OLE_LINK951"/>
      <w:bookmarkStart w:id="76" w:name="OLE_LINK950"/>
      <w:bookmarkStart w:id="77" w:name="OLE_LINK948"/>
      <w:bookmarkStart w:id="78" w:name="OLE_LINK949"/>
      <w:bookmarkStart w:id="79" w:name="OLE_LINK1270"/>
      <w:bookmarkStart w:id="80" w:name="OLE_LINK1271"/>
      <w:bookmarkStart w:id="81" w:name="OLE_LINK1263"/>
      <w:bookmarkStart w:id="82" w:name="OLE_LINK1018"/>
      <w:bookmarkStart w:id="83" w:name="OLE_LINK1752"/>
      <w:bookmarkStart w:id="84" w:name="OLE_LINK1997"/>
      <w:bookmarkStart w:id="85" w:name="OLE_LINK1020"/>
      <w:bookmarkStart w:id="86" w:name="OLE_LINK1268"/>
      <w:bookmarkStart w:id="87" w:name="OLE_LINK1269"/>
      <w:bookmarkStart w:id="88" w:name="OLE_LINK1031"/>
      <w:bookmarkStart w:id="89" w:name="OLE_LINK1019"/>
      <w:bookmarkStart w:id="90" w:name="OLE_LINK1267"/>
      <w:r>
        <w:rPr>
          <w:rFonts w:ascii="Book Antiqua" w:hAnsi="Book Antiqua"/>
          <w:b/>
          <w:sz w:val="24"/>
        </w:rPr>
        <w:t>Correspond</w:t>
      </w:r>
      <w:bookmarkEnd w:id="75"/>
      <w:bookmarkEnd w:id="76"/>
      <w:bookmarkEnd w:id="77"/>
      <w:bookmarkEnd w:id="78"/>
      <w:r>
        <w:rPr>
          <w:rFonts w:ascii="Book Antiqua" w:hAnsi="Book Antiqua"/>
          <w:b/>
          <w:sz w:val="24"/>
        </w:rPr>
        <w:t>ing author:</w:t>
      </w:r>
      <w:bookmarkEnd w:id="79"/>
      <w:bookmarkEnd w:id="80"/>
      <w:bookmarkEnd w:id="81"/>
      <w:bookmarkEnd w:id="82"/>
      <w:bookmarkEnd w:id="83"/>
      <w:bookmarkEnd w:id="84"/>
      <w:bookmarkEnd w:id="85"/>
      <w:bookmarkEnd w:id="86"/>
      <w:bookmarkEnd w:id="87"/>
      <w:bookmarkEnd w:id="88"/>
      <w:bookmarkEnd w:id="89"/>
      <w:bookmarkEnd w:id="90"/>
      <w:r>
        <w:rPr>
          <w:rFonts w:ascii="Book Antiqua" w:hAnsi="Book Antiqua"/>
          <w:b/>
          <w:sz w:val="24"/>
        </w:rPr>
        <w:t xml:space="preserve"> </w:t>
      </w:r>
      <w:bookmarkEnd w:id="62"/>
      <w:r>
        <w:rPr>
          <w:rFonts w:ascii="Book Antiqua" w:hAnsi="Book Antiqua" w:eastAsia="黑体"/>
          <w:b/>
          <w:bCs/>
          <w:sz w:val="24"/>
        </w:rPr>
        <w:t>Shi-Hua Luo, MD, Postdoc,</w:t>
      </w:r>
      <w:r>
        <w:rPr>
          <w:rFonts w:ascii="Book Antiqua" w:hAnsi="Book Antiqua" w:eastAsia="黑体"/>
          <w:sz w:val="24"/>
        </w:rPr>
        <w:t xml:space="preserve"> Department of Radiology, Zhongnan Hospital of Wuhan University, 169#, Donghu Road, Wuchang District, Wuhan 430071, Hubei Province, China. doctorluosh@sina.com</w:t>
      </w:r>
    </w:p>
    <w:p>
      <w:pPr>
        <w:snapToGrid w:val="0"/>
        <w:spacing w:line="360" w:lineRule="auto"/>
        <w:ind w:right="136" w:rightChars="65"/>
        <w:rPr>
          <w:rFonts w:ascii="Book Antiqua" w:hAnsi="Book Antiqua" w:eastAsia="黑体"/>
          <w:sz w:val="24"/>
        </w:rPr>
      </w:pPr>
      <w:r>
        <w:rPr>
          <w:rFonts w:ascii="Book Antiqua" w:hAnsi="Book Antiqua"/>
          <w:b/>
          <w:sz w:val="24"/>
        </w:rPr>
        <w:t>Telephone:</w:t>
      </w:r>
      <w:r>
        <w:rPr>
          <w:rFonts w:ascii="Book Antiqua" w:hAnsi="Book Antiqua"/>
          <w:sz w:val="24"/>
        </w:rPr>
        <w:t xml:space="preserve"> </w:t>
      </w:r>
      <w:r>
        <w:rPr>
          <w:rFonts w:ascii="Book Antiqua" w:hAnsi="Book Antiqua" w:eastAsia="黑体"/>
          <w:sz w:val="24"/>
        </w:rPr>
        <w:t>+86-13871529785</w:t>
      </w:r>
    </w:p>
    <w:p>
      <w:pPr>
        <w:snapToGrid w:val="0"/>
        <w:spacing w:line="360" w:lineRule="auto"/>
        <w:ind w:right="136" w:rightChars="65"/>
        <w:rPr>
          <w:rFonts w:ascii="Book Antiqua" w:hAnsi="Book Antiqua" w:eastAsia="黑体"/>
          <w:sz w:val="24"/>
        </w:rPr>
      </w:pPr>
    </w:p>
    <w:p>
      <w:pPr>
        <w:snapToGrid w:val="0"/>
        <w:spacing w:line="360" w:lineRule="auto"/>
        <w:rPr>
          <w:rFonts w:ascii="Book Antiqua" w:hAnsi="Book Antiqua" w:cs="Times New Roman"/>
          <w:b/>
          <w:sz w:val="24"/>
        </w:rPr>
      </w:pPr>
      <w:bookmarkStart w:id="91" w:name="OLE_LINK1712"/>
      <w:bookmarkStart w:id="92" w:name="OLE_LINK2089"/>
      <w:bookmarkStart w:id="93" w:name="OLE_LINK1979"/>
      <w:bookmarkStart w:id="94" w:name="OLE_LINK1974"/>
      <w:bookmarkStart w:id="95" w:name="OLE_LINK2150"/>
      <w:bookmarkStart w:id="96" w:name="OLE_LINK1973"/>
      <w:bookmarkStart w:id="97" w:name="OLE_LINK1978"/>
      <w:bookmarkStart w:id="98" w:name="OLE_LINK1961"/>
      <w:bookmarkStart w:id="99" w:name="OLE_LINK989"/>
      <w:bookmarkStart w:id="100" w:name="OLE_LINK1124"/>
      <w:bookmarkStart w:id="101" w:name="OLE_LINK1107"/>
      <w:bookmarkStart w:id="102" w:name="OLE_LINK1959"/>
      <w:bookmarkStart w:id="103" w:name="OLE_LINK2001"/>
      <w:bookmarkStart w:id="104" w:name="OLE_LINK1509"/>
      <w:bookmarkStart w:id="105" w:name="OLE_LINK1109"/>
      <w:bookmarkStart w:id="106" w:name="OLE_LINK1601"/>
      <w:bookmarkStart w:id="107" w:name="OLE_LINK971"/>
      <w:bookmarkStart w:id="108" w:name="OLE_LINK1108"/>
      <w:bookmarkStart w:id="109" w:name="OLE_LINK218"/>
      <w:bookmarkStart w:id="110" w:name="OLE_LINK1960"/>
      <w:bookmarkStart w:id="111" w:name="OLE_LINK1014"/>
      <w:bookmarkStart w:id="112" w:name="OLE_LINK924"/>
      <w:bookmarkStart w:id="113" w:name="OLE_LINK1213"/>
      <w:bookmarkStart w:id="114" w:name="OLE_LINK990"/>
      <w:bookmarkStart w:id="115" w:name="OLE_LINK1730"/>
      <w:bookmarkStart w:id="116" w:name="OLE_LINK245"/>
      <w:bookmarkStart w:id="117" w:name="OLE_LINK1602"/>
      <w:bookmarkStart w:id="118" w:name="OLE_LINK1153"/>
      <w:bookmarkStart w:id="119" w:name="OLE_LINK1541"/>
      <w:bookmarkStart w:id="120" w:name="OLE_LINK1542"/>
      <w:bookmarkStart w:id="121" w:name="OLE_LINK1966"/>
      <w:bookmarkStart w:id="122" w:name="OLE_LINK1779"/>
      <w:bookmarkStart w:id="123" w:name="OLE_LINK2000"/>
      <w:bookmarkStart w:id="124" w:name="OLE_LINK934"/>
      <w:bookmarkStart w:id="125" w:name="OLE_LINK580"/>
      <w:bookmarkStart w:id="126" w:name="OLE_LINK1757"/>
      <w:bookmarkStart w:id="127" w:name="OLE_LINK1965"/>
      <w:bookmarkStart w:id="128" w:name="OLE_LINK67"/>
      <w:bookmarkStart w:id="129" w:name="OLE_LINK64"/>
      <w:bookmarkStart w:id="130" w:name="_Hlk7505421"/>
      <w:bookmarkStart w:id="131" w:name="OLE_LINK923"/>
      <w:bookmarkStart w:id="132" w:name="OLE_LINK775"/>
      <w:r>
        <w:rPr>
          <w:rFonts w:ascii="Book Antiqua" w:hAnsi="Book Antiqua" w:cs="Times New Roman"/>
          <w:b/>
          <w:sz w:val="24"/>
        </w:rPr>
        <w:t xml:space="preserve">Received: </w:t>
      </w:r>
      <w:bookmarkStart w:id="133" w:name="OLE_LINK2486"/>
      <w:bookmarkStart w:id="134" w:name="OLE_LINK2487"/>
      <w:r>
        <w:rPr>
          <w:rFonts w:ascii="Book Antiqua" w:hAnsi="Book Antiqua" w:cs="Times New Roman"/>
          <w:sz w:val="24"/>
        </w:rPr>
        <w:t>April 15, 201</w:t>
      </w:r>
      <w:bookmarkEnd w:id="133"/>
      <w:bookmarkEnd w:id="134"/>
      <w:r>
        <w:rPr>
          <w:rFonts w:ascii="Book Antiqua" w:hAnsi="Book Antiqua" w:cs="Times New Roman"/>
          <w:sz w:val="24"/>
        </w:rPr>
        <w:t>9</w:t>
      </w:r>
    </w:p>
    <w:p>
      <w:pPr>
        <w:snapToGrid w:val="0"/>
        <w:spacing w:line="360" w:lineRule="auto"/>
        <w:rPr>
          <w:rFonts w:ascii="Book Antiqua" w:hAnsi="Book Antiqua" w:cs="Times New Roman"/>
          <w:b/>
          <w:sz w:val="24"/>
        </w:rPr>
      </w:pPr>
      <w:r>
        <w:rPr>
          <w:rFonts w:ascii="Book Antiqua" w:hAnsi="Book Antiqua" w:cs="Times New Roman"/>
          <w:b/>
          <w:sz w:val="24"/>
        </w:rPr>
        <w:t xml:space="preserve">Peer-review started: </w:t>
      </w:r>
      <w:r>
        <w:rPr>
          <w:rFonts w:ascii="Book Antiqua" w:hAnsi="Book Antiqua" w:cs="Times New Roman"/>
          <w:sz w:val="24"/>
        </w:rPr>
        <w:t>April 15, 2019</w:t>
      </w:r>
    </w:p>
    <w:p>
      <w:pPr>
        <w:snapToGrid w:val="0"/>
        <w:spacing w:line="360" w:lineRule="auto"/>
        <w:rPr>
          <w:rFonts w:ascii="Book Antiqua" w:hAnsi="Book Antiqua" w:cs="Times New Roman"/>
          <w:b/>
          <w:sz w:val="24"/>
        </w:rPr>
      </w:pPr>
      <w:r>
        <w:rPr>
          <w:rFonts w:ascii="Book Antiqua" w:hAnsi="Book Antiqua" w:cs="Times New Roman"/>
          <w:b/>
          <w:sz w:val="24"/>
        </w:rPr>
        <w:t xml:space="preserve">First decision: </w:t>
      </w:r>
      <w:bookmarkStart w:id="135" w:name="OLE_LINK2489"/>
      <w:bookmarkStart w:id="136" w:name="OLE_LINK2488"/>
      <w:r>
        <w:rPr>
          <w:rFonts w:ascii="Book Antiqua" w:hAnsi="Book Antiqua" w:cs="Times New Roman"/>
          <w:sz w:val="24"/>
        </w:rPr>
        <w:t>May 31, 201</w:t>
      </w:r>
      <w:bookmarkEnd w:id="135"/>
      <w:bookmarkEnd w:id="136"/>
      <w:r>
        <w:rPr>
          <w:rFonts w:ascii="Book Antiqua" w:hAnsi="Book Antiqua" w:cs="Times New Roman"/>
          <w:sz w:val="24"/>
        </w:rPr>
        <w:t>9</w:t>
      </w:r>
    </w:p>
    <w:p>
      <w:pPr>
        <w:snapToGrid w:val="0"/>
        <w:spacing w:line="360" w:lineRule="auto"/>
        <w:rPr>
          <w:rFonts w:ascii="Book Antiqua" w:hAnsi="Book Antiqua" w:cs="Times New Roman"/>
          <w:b/>
          <w:sz w:val="24"/>
        </w:rPr>
      </w:pPr>
      <w:r>
        <w:rPr>
          <w:rFonts w:ascii="Book Antiqua" w:hAnsi="Book Antiqua" w:cs="Times New Roman"/>
          <w:b/>
          <w:sz w:val="24"/>
        </w:rPr>
        <w:t xml:space="preserve">Revised: </w:t>
      </w:r>
      <w:r>
        <w:rPr>
          <w:rFonts w:ascii="Book Antiqua" w:hAnsi="Book Antiqua" w:eastAsia="宋体" w:cs="Times New Roman"/>
          <w:sz w:val="24"/>
        </w:rPr>
        <w:t>July</w:t>
      </w:r>
      <w:r>
        <w:rPr>
          <w:rFonts w:ascii="Book Antiqua" w:hAnsi="Book Antiqua" w:cs="Times New Roman"/>
          <w:sz w:val="24"/>
        </w:rPr>
        <w:t xml:space="preserve"> 11, 2019</w:t>
      </w:r>
    </w:p>
    <w:p>
      <w:pPr>
        <w:snapToGrid w:val="0"/>
        <w:spacing w:line="360" w:lineRule="auto"/>
        <w:rPr>
          <w:rFonts w:ascii="Book Antiqua" w:hAnsi="Book Antiqua" w:cs="Times New Roman"/>
          <w:b/>
          <w:sz w:val="24"/>
        </w:rPr>
      </w:pPr>
      <w:r>
        <w:rPr>
          <w:rFonts w:ascii="Book Antiqua" w:hAnsi="Book Antiqua" w:cs="Times New Roman"/>
          <w:b/>
          <w:sz w:val="24"/>
        </w:rPr>
        <w:t>Accepted:</w:t>
      </w:r>
      <w:r>
        <w:rPr>
          <w:rFonts w:ascii="Book Antiqua" w:hAnsi="Book Antiqua"/>
          <w:sz w:val="24"/>
        </w:rPr>
        <w:t xml:space="preserve"> </w:t>
      </w:r>
      <w:r>
        <w:rPr>
          <w:rFonts w:ascii="Book Antiqua" w:hAnsi="Book Antiqua" w:cs="Times New Roman"/>
          <w:sz w:val="24"/>
        </w:rPr>
        <w:t xml:space="preserve">July 20, 2019 </w:t>
      </w:r>
    </w:p>
    <w:p>
      <w:pPr>
        <w:snapToGrid w:val="0"/>
        <w:spacing w:line="360" w:lineRule="auto"/>
        <w:rPr>
          <w:rFonts w:ascii="Book Antiqua" w:hAnsi="Book Antiqua" w:cs="Times New Roman"/>
          <w:b/>
          <w:sz w:val="24"/>
        </w:rPr>
      </w:pPr>
      <w:r>
        <w:rPr>
          <w:rFonts w:ascii="Book Antiqua" w:hAnsi="Book Antiqua" w:cs="Times New Roman"/>
          <w:b/>
          <w:sz w:val="24"/>
        </w:rPr>
        <w:t>Article in press:</w:t>
      </w:r>
    </w:p>
    <w:p>
      <w:pPr>
        <w:snapToGrid w:val="0"/>
        <w:spacing w:line="360" w:lineRule="auto"/>
        <w:rPr>
          <w:rFonts w:ascii="Book Antiqua" w:hAnsi="Book Antiqua" w:cs="Times New Roman"/>
          <w:bCs/>
          <w:sz w:val="24"/>
          <w:lang w:bidi="th-TH"/>
        </w:rPr>
      </w:pPr>
      <w:r>
        <w:rPr>
          <w:rFonts w:ascii="Book Antiqua" w:hAnsi="Book Antiqua" w:cs="Times New Roman"/>
          <w:b/>
          <w:sz w:val="24"/>
        </w:rPr>
        <w:t>Published online</w:t>
      </w:r>
      <w:bookmarkEnd w:id="91"/>
      <w:r>
        <w:rPr>
          <w:rFonts w:ascii="Book Antiqua" w:hAnsi="Book Antiqua" w:cs="Times New Roman"/>
          <w:b/>
          <w:sz w:val="24"/>
        </w:rPr>
        <w:t>:</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snapToGrid w:val="0"/>
        <w:spacing w:line="360" w:lineRule="auto"/>
        <w:rPr>
          <w:rFonts w:ascii="Book Antiqua" w:hAnsi="Book Antiqua" w:eastAsia="黑体" w:cs="Times New Roman"/>
          <w:b/>
          <w:bCs/>
          <w:sz w:val="24"/>
        </w:rPr>
      </w:pPr>
    </w:p>
    <w:p>
      <w:pPr>
        <w:widowControl/>
        <w:snapToGrid w:val="0"/>
        <w:spacing w:line="360" w:lineRule="auto"/>
        <w:rPr>
          <w:rFonts w:ascii="Book Antiqua" w:hAnsi="Book Antiqua" w:eastAsia="黑体"/>
          <w:b/>
          <w:bCs/>
          <w:sz w:val="24"/>
        </w:rPr>
      </w:pPr>
      <w:r>
        <w:rPr>
          <w:rFonts w:ascii="Book Antiqua" w:hAnsi="Book Antiqua" w:eastAsia="黑体"/>
          <w:b/>
          <w:bCs/>
          <w:sz w:val="24"/>
        </w:rPr>
        <w:br w:type="page"/>
      </w:r>
    </w:p>
    <w:bookmarkEnd w:id="0"/>
    <w:bookmarkEnd w:id="1"/>
    <w:bookmarkEnd w:id="2"/>
    <w:p>
      <w:pPr>
        <w:snapToGrid w:val="0"/>
        <w:spacing w:line="360" w:lineRule="auto"/>
        <w:rPr>
          <w:rFonts w:ascii="Book Antiqua" w:hAnsi="Book Antiqua" w:cs="Times New Roman"/>
          <w:b/>
          <w:bCs/>
          <w:sz w:val="24"/>
        </w:rPr>
      </w:pPr>
      <w:r>
        <w:rPr>
          <w:rFonts w:ascii="Book Antiqua" w:hAnsi="Book Antiqua" w:eastAsia="Book Antiqua"/>
          <w:b/>
          <w:bCs/>
          <w:sz w:val="24"/>
        </w:rPr>
        <w:t>Abstract</w:t>
      </w:r>
    </w:p>
    <w:p>
      <w:pPr>
        <w:snapToGrid w:val="0"/>
        <w:spacing w:line="360" w:lineRule="auto"/>
        <w:ind w:right="136" w:rightChars="65"/>
        <w:rPr>
          <w:rFonts w:ascii="Book Antiqua" w:hAnsi="Book Antiqua" w:eastAsia="Book Antiqua"/>
          <w:sz w:val="24"/>
        </w:rPr>
      </w:pPr>
      <w:bookmarkStart w:id="137" w:name="_Hlk6581699"/>
      <w:r>
        <w:rPr>
          <w:rFonts w:ascii="Book Antiqua" w:hAnsi="Book Antiqua" w:eastAsia="Book Antiqua"/>
          <w:b/>
          <w:bCs/>
          <w:i/>
          <w:iCs/>
          <w:sz w:val="24"/>
        </w:rPr>
        <w:t>BACKGROUND</w:t>
      </w:r>
    </w:p>
    <w:bookmarkEnd w:id="137"/>
    <w:p>
      <w:pPr>
        <w:snapToGrid w:val="0"/>
        <w:spacing w:line="360" w:lineRule="auto"/>
        <w:ind w:right="136" w:rightChars="65"/>
        <w:rPr>
          <w:rFonts w:ascii="Book Antiqua" w:hAnsi="Book Antiqua" w:eastAsia="Book Antiqua"/>
          <w:sz w:val="24"/>
        </w:rPr>
      </w:pPr>
      <w:r>
        <w:rPr>
          <w:rFonts w:ascii="Book Antiqua" w:hAnsi="Book Antiqua" w:eastAsia="Book Antiqua"/>
          <w:sz w:val="24"/>
        </w:rPr>
        <w:t>Transjugular intrahepatic portosystemic shunt (TIPS) is widely accepted as an alternative to surgery for management of complications of portal hypertension. TIPS has been used to treat portal vein thrombosis (PVT) in many centers since the 1990s. Although TIPS has good therapeutic effects on the formation of PVT, the effect of PVT on TIPS stenting has rarely been reported. Patients with splenectomy and pericardial devascularization have a high incidence of PVT, which can markedly affect TIPS stent patency and increase the risk of recurrent symptoms associated with shunt stenosis or occlusion.</w:t>
      </w:r>
    </w:p>
    <w:p>
      <w:pPr>
        <w:snapToGrid w:val="0"/>
        <w:spacing w:line="360" w:lineRule="auto"/>
        <w:ind w:right="136" w:rightChars="65"/>
        <w:rPr>
          <w:rFonts w:ascii="Book Antiqua" w:hAnsi="Book Antiqua" w:eastAsia="Book Antiqua"/>
          <w:sz w:val="24"/>
        </w:rPr>
      </w:pPr>
    </w:p>
    <w:p>
      <w:pPr>
        <w:snapToGrid w:val="0"/>
        <w:spacing w:line="360" w:lineRule="auto"/>
        <w:ind w:right="136" w:rightChars="65"/>
        <w:rPr>
          <w:rFonts w:ascii="Book Antiqua" w:hAnsi="Book Antiqua" w:eastAsia="Book Antiqua"/>
          <w:b/>
          <w:bCs/>
          <w:i/>
          <w:iCs/>
          <w:sz w:val="24"/>
        </w:rPr>
      </w:pPr>
      <w:r>
        <w:rPr>
          <w:rFonts w:ascii="Book Antiqua" w:hAnsi="Book Antiqua" w:eastAsia="Book Antiqua"/>
          <w:b/>
          <w:bCs/>
          <w:i/>
          <w:iCs/>
          <w:sz w:val="24"/>
        </w:rPr>
        <w:t>AIM</w:t>
      </w:r>
    </w:p>
    <w:p>
      <w:pPr>
        <w:snapToGrid w:val="0"/>
        <w:spacing w:line="360" w:lineRule="auto"/>
        <w:ind w:right="136" w:rightChars="65"/>
        <w:rPr>
          <w:rFonts w:ascii="Book Antiqua" w:hAnsi="Book Antiqua" w:eastAsia="Book Antiqua"/>
          <w:sz w:val="24"/>
        </w:rPr>
      </w:pPr>
      <w:r>
        <w:rPr>
          <w:rFonts w:ascii="Book Antiqua" w:hAnsi="Book Antiqua" w:eastAsia="Book Antiqua"/>
          <w:sz w:val="24"/>
        </w:rPr>
        <w:t>To investigate the incidence of PVT after splenectomy and its influence on the patency rate of TIPS in patients with cirrhosis and portal hypertension.</w:t>
      </w:r>
    </w:p>
    <w:p>
      <w:pPr>
        <w:snapToGrid w:val="0"/>
        <w:spacing w:line="360" w:lineRule="auto"/>
        <w:ind w:right="136" w:rightChars="65"/>
        <w:rPr>
          <w:rFonts w:ascii="Book Antiqua" w:hAnsi="Book Antiqua" w:eastAsia="Book Antiqua"/>
          <w:sz w:val="24"/>
        </w:rPr>
      </w:pPr>
    </w:p>
    <w:p>
      <w:pPr>
        <w:snapToGrid w:val="0"/>
        <w:spacing w:line="360" w:lineRule="auto"/>
        <w:ind w:right="136" w:rightChars="65"/>
        <w:rPr>
          <w:rFonts w:ascii="Book Antiqua" w:hAnsi="Book Antiqua" w:eastAsia="Book Antiqua"/>
          <w:b/>
          <w:bCs/>
          <w:i/>
          <w:iCs/>
          <w:sz w:val="24"/>
        </w:rPr>
      </w:pPr>
      <w:r>
        <w:rPr>
          <w:rFonts w:ascii="Book Antiqua" w:hAnsi="Book Antiqua" w:eastAsia="Book Antiqua"/>
          <w:b/>
          <w:bCs/>
          <w:i/>
          <w:iCs/>
          <w:sz w:val="24"/>
        </w:rPr>
        <w:t>METHODS</w:t>
      </w:r>
    </w:p>
    <w:p>
      <w:pPr>
        <w:snapToGrid w:val="0"/>
        <w:spacing w:line="360" w:lineRule="auto"/>
        <w:ind w:right="136" w:rightChars="65"/>
        <w:rPr>
          <w:rFonts w:ascii="Book Antiqua" w:hAnsi="Book Antiqua" w:eastAsia="Book Antiqua"/>
          <w:sz w:val="24"/>
        </w:rPr>
      </w:pPr>
      <w:r>
        <w:rPr>
          <w:rFonts w:ascii="Book Antiqua" w:hAnsi="Book Antiqua" w:eastAsia="Book Antiqua"/>
          <w:sz w:val="24"/>
        </w:rPr>
        <w:t>Four hundred and eighty-six patients with portal hypertension for refractory ascites and/or variceal bleeding who required TIPS placement between January 2010 and January 2016 were included in this retrospective analysis. Patients without prior splenectomy were defined as group A (</w:t>
      </w:r>
      <w:r>
        <w:rPr>
          <w:rFonts w:ascii="Book Antiqua" w:hAnsi="Book Antiqua" w:eastAsia="Book Antiqua"/>
          <w:i/>
          <w:iCs/>
          <w:sz w:val="24"/>
        </w:rPr>
        <w:t>n</w:t>
      </w:r>
      <w:r>
        <w:rPr>
          <w:rFonts w:ascii="Book Antiqua" w:hAnsi="Book Antiqua" w:eastAsia="Book Antiqua"/>
          <w:sz w:val="24"/>
        </w:rPr>
        <w:t xml:space="preserve"> = 289) and those with prior splenectomy as group B (</w:t>
      </w:r>
      <w:r>
        <w:rPr>
          <w:rFonts w:ascii="Book Antiqua" w:hAnsi="Book Antiqua" w:eastAsia="Book Antiqua"/>
          <w:i/>
          <w:iCs/>
          <w:sz w:val="24"/>
        </w:rPr>
        <w:t>n</w:t>
      </w:r>
      <w:r>
        <w:rPr>
          <w:rFonts w:ascii="Book Antiqua" w:hAnsi="Book Antiqua" w:eastAsia="Book Antiqua"/>
          <w:sz w:val="24"/>
        </w:rPr>
        <w:t xml:space="preserve"> = 197). The incidence of PVT before TIPS was compared between the two groups. After TIPS placement, primary patency rate was compared using Kaplan–Meier analysis at 3, 6, 9 and 12 mo, and 2 and 3 years. The clinical outcomes were analyzed.</w:t>
      </w:r>
    </w:p>
    <w:p>
      <w:pPr>
        <w:snapToGrid w:val="0"/>
        <w:spacing w:line="360" w:lineRule="auto"/>
        <w:ind w:right="136" w:rightChars="65"/>
        <w:rPr>
          <w:rFonts w:ascii="Book Antiqua" w:hAnsi="Book Antiqua" w:eastAsia="Book Antiqua"/>
          <w:sz w:val="24"/>
        </w:rPr>
      </w:pPr>
    </w:p>
    <w:p>
      <w:pPr>
        <w:snapToGrid w:val="0"/>
        <w:spacing w:line="360" w:lineRule="auto"/>
        <w:ind w:right="136" w:rightChars="65"/>
        <w:rPr>
          <w:rFonts w:ascii="Book Antiqua" w:hAnsi="Book Antiqua" w:eastAsia="Book Antiqua"/>
          <w:b/>
          <w:bCs/>
          <w:i/>
          <w:iCs/>
          <w:sz w:val="24"/>
        </w:rPr>
      </w:pPr>
      <w:r>
        <w:rPr>
          <w:rFonts w:ascii="Book Antiqua" w:hAnsi="Book Antiqua" w:eastAsia="Book Antiqua"/>
          <w:b/>
          <w:bCs/>
          <w:i/>
          <w:iCs/>
          <w:sz w:val="24"/>
        </w:rPr>
        <w:t>RESULTS</w:t>
      </w:r>
    </w:p>
    <w:p>
      <w:pPr>
        <w:snapToGrid w:val="0"/>
        <w:spacing w:line="360" w:lineRule="auto"/>
        <w:ind w:right="136" w:rightChars="65"/>
        <w:rPr>
          <w:rFonts w:ascii="Book Antiqua" w:hAnsi="Book Antiqua" w:eastAsia="黑体"/>
          <w:sz w:val="24"/>
        </w:rPr>
      </w:pPr>
      <w:r>
        <w:rPr>
          <w:rFonts w:ascii="Book Antiqua" w:hAnsi="Book Antiqua" w:eastAsia="Book Antiqua"/>
          <w:sz w:val="24"/>
        </w:rPr>
        <w:t>Before TIPS procedure, the incidence of PVT in group A was lower than in group B</w:t>
      </w:r>
      <w:r>
        <w:rPr>
          <w:rFonts w:ascii="Book Antiqua" w:hAnsi="Book Antiqua" w:eastAsia="黑体"/>
          <w:sz w:val="24"/>
        </w:rPr>
        <w:t xml:space="preserve"> (</w:t>
      </w:r>
      <w:r>
        <w:rPr>
          <w:rFonts w:ascii="Book Antiqua" w:hAnsi="Book Antiqua" w:eastAsia="黑体"/>
          <w:i/>
          <w:iCs/>
          <w:sz w:val="24"/>
        </w:rPr>
        <w:t>P</w:t>
      </w:r>
      <w:r>
        <w:rPr>
          <w:rFonts w:ascii="Book Antiqua" w:hAnsi="Book Antiqua" w:eastAsia="黑体"/>
          <w:sz w:val="24"/>
        </w:rPr>
        <w:t xml:space="preserve"> = 0.003)</w:t>
      </w:r>
      <w:r>
        <w:rPr>
          <w:rFonts w:ascii="Book Antiqua" w:hAnsi="Book Antiqua" w:eastAsia="Book Antiqua"/>
          <w:sz w:val="24"/>
        </w:rPr>
        <w:t>, and TIPS technical success rate in group A was higher than in group B</w:t>
      </w:r>
      <w:r>
        <w:rPr>
          <w:rFonts w:ascii="Book Antiqua" w:hAnsi="Book Antiqua" w:eastAsia="黑体"/>
          <w:sz w:val="24"/>
        </w:rPr>
        <w:t xml:space="preserve"> (</w:t>
      </w:r>
      <w:r>
        <w:rPr>
          <w:rFonts w:ascii="Book Antiqua" w:hAnsi="Book Antiqua" w:eastAsia="黑体"/>
          <w:i/>
          <w:iCs/>
          <w:sz w:val="24"/>
        </w:rPr>
        <w:t>P</w:t>
      </w:r>
      <w:r>
        <w:rPr>
          <w:rFonts w:ascii="Book Antiqua" w:hAnsi="Book Antiqua" w:eastAsia="黑体"/>
          <w:sz w:val="24"/>
        </w:rPr>
        <w:t xml:space="preserve"> = 0.016)</w:t>
      </w:r>
      <w:r>
        <w:rPr>
          <w:rFonts w:ascii="Book Antiqua" w:hAnsi="Book Antiqua" w:eastAsia="Book Antiqua"/>
          <w:sz w:val="24"/>
        </w:rPr>
        <w:t xml:space="preserve">. The primary patency rate in group A tended to be </w:t>
      </w:r>
      <w:r>
        <w:rPr>
          <w:rFonts w:ascii="Book Antiqua" w:hAnsi="Book Antiqua" w:eastAsia="黑体"/>
          <w:sz w:val="24"/>
        </w:rPr>
        <w:t>higher than in group B at 3, 6, 9 and 12 mo, 2 years and 3 years (</w:t>
      </w:r>
      <w:r>
        <w:rPr>
          <w:rFonts w:ascii="Book Antiqua" w:hAnsi="Book Antiqua" w:eastAsia="黑体"/>
          <w:i/>
          <w:iCs/>
          <w:sz w:val="24"/>
        </w:rPr>
        <w:t>P</w:t>
      </w:r>
      <w:r>
        <w:rPr>
          <w:rFonts w:ascii="Book Antiqua" w:hAnsi="Book Antiqua" w:eastAsia="黑体"/>
          <w:sz w:val="24"/>
        </w:rPr>
        <w:t xml:space="preserve"> = 0.006, </w:t>
      </w:r>
      <w:r>
        <w:rPr>
          <w:rFonts w:ascii="Book Antiqua" w:hAnsi="Book Antiqua" w:eastAsia="黑体"/>
          <w:i/>
          <w:iCs/>
          <w:sz w:val="24"/>
        </w:rPr>
        <w:t>P</w:t>
      </w:r>
      <w:r>
        <w:rPr>
          <w:rFonts w:ascii="Book Antiqua" w:hAnsi="Book Antiqua" w:eastAsia="黑体"/>
          <w:sz w:val="24"/>
        </w:rPr>
        <w:t xml:space="preserve"> = 0.011, </w:t>
      </w:r>
      <w:r>
        <w:rPr>
          <w:rFonts w:ascii="Book Antiqua" w:hAnsi="Book Antiqua" w:eastAsia="黑体"/>
          <w:i/>
          <w:iCs/>
          <w:sz w:val="24"/>
        </w:rPr>
        <w:t>P</w:t>
      </w:r>
      <w:r>
        <w:rPr>
          <w:rFonts w:ascii="Book Antiqua" w:hAnsi="Book Antiqua" w:eastAsia="黑体"/>
          <w:sz w:val="24"/>
        </w:rPr>
        <w:t xml:space="preserve"> = 0.023, </w:t>
      </w:r>
      <w:r>
        <w:rPr>
          <w:rFonts w:ascii="Book Antiqua" w:hAnsi="Book Antiqua" w:eastAsia="黑体"/>
          <w:i/>
          <w:iCs/>
          <w:sz w:val="24"/>
        </w:rPr>
        <w:t>P</w:t>
      </w:r>
      <w:r>
        <w:rPr>
          <w:rFonts w:ascii="Book Antiqua" w:hAnsi="Book Antiqua" w:eastAsia="黑体"/>
          <w:sz w:val="24"/>
        </w:rPr>
        <w:t xml:space="preserve"> = 0.032, </w:t>
      </w:r>
      <w:r>
        <w:rPr>
          <w:rFonts w:ascii="Book Antiqua" w:hAnsi="Book Antiqua" w:eastAsia="黑体"/>
          <w:i/>
          <w:iCs/>
          <w:sz w:val="24"/>
        </w:rPr>
        <w:t>P</w:t>
      </w:r>
      <w:r>
        <w:rPr>
          <w:rFonts w:ascii="Book Antiqua" w:hAnsi="Book Antiqua" w:eastAsia="黑体"/>
          <w:sz w:val="24"/>
        </w:rPr>
        <w:t xml:space="preserve"> = 0.037 and </w:t>
      </w:r>
      <w:r>
        <w:rPr>
          <w:rFonts w:ascii="Book Antiqua" w:hAnsi="Book Antiqua" w:eastAsia="黑体"/>
          <w:i/>
          <w:iCs/>
          <w:sz w:val="24"/>
        </w:rPr>
        <w:t>P</w:t>
      </w:r>
      <w:r>
        <w:rPr>
          <w:rFonts w:ascii="Book Antiqua" w:hAnsi="Book Antiqua" w:eastAsia="黑体"/>
          <w:sz w:val="24"/>
        </w:rPr>
        <w:t xml:space="preserve"> = 0.028, respectively). Recurrence of bleeding and ascites rate in group A was lower than in group B at 3 mo (</w:t>
      </w:r>
      <w:r>
        <w:rPr>
          <w:rFonts w:ascii="Book Antiqua" w:hAnsi="Book Antiqua" w:eastAsia="黑体"/>
          <w:i/>
          <w:iCs/>
          <w:sz w:val="24"/>
        </w:rPr>
        <w:t>P</w:t>
      </w:r>
      <w:r>
        <w:rPr>
          <w:rFonts w:ascii="Book Antiqua" w:hAnsi="Book Antiqua" w:eastAsia="黑体"/>
          <w:sz w:val="24"/>
        </w:rPr>
        <w:t xml:space="preserve"> ≤ 0.001 and </w:t>
      </w:r>
      <w:r>
        <w:rPr>
          <w:rFonts w:ascii="Book Antiqua" w:hAnsi="Book Antiqua" w:eastAsia="黑体"/>
          <w:i/>
          <w:iCs/>
          <w:sz w:val="24"/>
        </w:rPr>
        <w:t>P</w:t>
      </w:r>
      <w:r>
        <w:rPr>
          <w:rFonts w:ascii="Book Antiqua" w:hAnsi="Book Antiqua" w:eastAsia="黑体"/>
          <w:sz w:val="24"/>
        </w:rPr>
        <w:t xml:space="preserve"> = 0.001), 6 mo (</w:t>
      </w:r>
      <w:r>
        <w:rPr>
          <w:rFonts w:ascii="Book Antiqua" w:hAnsi="Book Antiqua" w:eastAsia="黑体"/>
          <w:i/>
          <w:iCs/>
          <w:sz w:val="24"/>
        </w:rPr>
        <w:t>P</w:t>
      </w:r>
      <w:r>
        <w:rPr>
          <w:rFonts w:ascii="Book Antiqua" w:hAnsi="Book Antiqua" w:eastAsia="黑体"/>
          <w:sz w:val="24"/>
        </w:rPr>
        <w:t xml:space="preserve"> = 0.003 and </w:t>
      </w:r>
      <w:r>
        <w:rPr>
          <w:rFonts w:ascii="Book Antiqua" w:hAnsi="Book Antiqua" w:eastAsia="黑体"/>
          <w:i/>
          <w:iCs/>
          <w:sz w:val="24"/>
        </w:rPr>
        <w:t>P</w:t>
      </w:r>
      <w:r>
        <w:rPr>
          <w:rFonts w:ascii="Book Antiqua" w:hAnsi="Book Antiqua" w:eastAsia="黑体"/>
          <w:sz w:val="24"/>
        </w:rPr>
        <w:t xml:space="preserve"> = 0.005), 9 mo (</w:t>
      </w:r>
      <w:r>
        <w:rPr>
          <w:rFonts w:ascii="Book Antiqua" w:hAnsi="Book Antiqua" w:eastAsia="黑体"/>
          <w:i/>
          <w:iCs/>
          <w:sz w:val="24"/>
        </w:rPr>
        <w:t>P</w:t>
      </w:r>
      <w:r>
        <w:rPr>
          <w:rFonts w:ascii="Book Antiqua" w:hAnsi="Book Antiqua" w:eastAsia="黑体"/>
          <w:sz w:val="24"/>
        </w:rPr>
        <w:t xml:space="preserve"> = 0.005 and </w:t>
      </w:r>
      <w:r>
        <w:rPr>
          <w:rFonts w:ascii="Book Antiqua" w:hAnsi="Book Antiqua" w:eastAsia="黑体"/>
          <w:i/>
          <w:iCs/>
          <w:sz w:val="24"/>
        </w:rPr>
        <w:t>P</w:t>
      </w:r>
      <w:r>
        <w:rPr>
          <w:rFonts w:ascii="Book Antiqua" w:hAnsi="Book Antiqua" w:eastAsia="黑体"/>
          <w:sz w:val="24"/>
        </w:rPr>
        <w:t xml:space="preserve"> = 0.012), 12 mo (</w:t>
      </w:r>
      <w:r>
        <w:rPr>
          <w:rFonts w:ascii="Book Antiqua" w:hAnsi="Book Antiqua" w:eastAsia="黑体"/>
          <w:i/>
          <w:iCs/>
          <w:sz w:val="24"/>
        </w:rPr>
        <w:t>P</w:t>
      </w:r>
      <w:r>
        <w:rPr>
          <w:rFonts w:ascii="Book Antiqua" w:hAnsi="Book Antiqua" w:eastAsia="黑体"/>
          <w:sz w:val="24"/>
        </w:rPr>
        <w:t xml:space="preserve"> = 0.008 and </w:t>
      </w:r>
      <w:r>
        <w:rPr>
          <w:rFonts w:ascii="Book Antiqua" w:hAnsi="Book Antiqua" w:eastAsia="黑体"/>
          <w:i/>
          <w:iCs/>
          <w:sz w:val="24"/>
        </w:rPr>
        <w:t>P</w:t>
      </w:r>
      <w:r>
        <w:rPr>
          <w:rFonts w:ascii="Book Antiqua" w:hAnsi="Book Antiqua" w:eastAsia="黑体"/>
          <w:sz w:val="24"/>
        </w:rPr>
        <w:t xml:space="preserve"> = 0.024), 2 years (</w:t>
      </w:r>
      <w:r>
        <w:rPr>
          <w:rFonts w:ascii="Book Antiqua" w:hAnsi="Book Antiqua" w:eastAsia="黑体"/>
          <w:i/>
          <w:iCs/>
          <w:sz w:val="24"/>
        </w:rPr>
        <w:t>P</w:t>
      </w:r>
      <w:r>
        <w:rPr>
          <w:rFonts w:ascii="Book Antiqua" w:hAnsi="Book Antiqua" w:eastAsia="黑体"/>
          <w:sz w:val="24"/>
        </w:rPr>
        <w:t xml:space="preserve"> = 0.011 and </w:t>
      </w:r>
      <w:r>
        <w:rPr>
          <w:rFonts w:ascii="Book Antiqua" w:hAnsi="Book Antiqua" w:eastAsia="黑体"/>
          <w:i/>
          <w:iCs/>
          <w:sz w:val="24"/>
        </w:rPr>
        <w:t>P</w:t>
      </w:r>
      <w:r>
        <w:rPr>
          <w:rFonts w:ascii="Book Antiqua" w:hAnsi="Book Antiqua" w:eastAsia="黑体"/>
          <w:sz w:val="24"/>
        </w:rPr>
        <w:t xml:space="preserve"> = 0.018) and 3 years (</w:t>
      </w:r>
      <w:r>
        <w:rPr>
          <w:rFonts w:ascii="Book Antiqua" w:hAnsi="Book Antiqua" w:eastAsia="黑体"/>
          <w:i/>
          <w:iCs/>
          <w:sz w:val="24"/>
        </w:rPr>
        <w:t>P</w:t>
      </w:r>
      <w:r>
        <w:rPr>
          <w:rFonts w:ascii="Book Antiqua" w:hAnsi="Book Antiqua" w:eastAsia="黑体"/>
          <w:sz w:val="24"/>
        </w:rPr>
        <w:t xml:space="preserve"> = 0.016 and </w:t>
      </w:r>
      <w:r>
        <w:rPr>
          <w:rFonts w:ascii="Book Antiqua" w:hAnsi="Book Antiqua" w:eastAsia="黑体"/>
          <w:i/>
          <w:iCs/>
          <w:sz w:val="24"/>
        </w:rPr>
        <w:t>P</w:t>
      </w:r>
      <w:r>
        <w:rPr>
          <w:rFonts w:ascii="Book Antiqua" w:hAnsi="Book Antiqua" w:eastAsia="黑体"/>
          <w:sz w:val="24"/>
        </w:rPr>
        <w:t xml:space="preserve"> = 0.017), respectively. During 3-years follow-up, the 1-, 2- and 3-year survival rate in group A were higher than in group B (</w:t>
      </w:r>
      <w:r>
        <w:rPr>
          <w:rFonts w:ascii="Book Antiqua" w:hAnsi="Book Antiqua" w:eastAsia="黑体"/>
          <w:i/>
          <w:iCs/>
          <w:sz w:val="24"/>
        </w:rPr>
        <w:t>P</w:t>
      </w:r>
      <w:r>
        <w:rPr>
          <w:rFonts w:ascii="Book Antiqua" w:hAnsi="Book Antiqua" w:eastAsia="黑体"/>
          <w:sz w:val="24"/>
        </w:rPr>
        <w:t xml:space="preserve"> = 0.008, </w:t>
      </w:r>
      <w:r>
        <w:rPr>
          <w:rFonts w:ascii="Book Antiqua" w:hAnsi="Book Antiqua" w:eastAsia="黑体"/>
          <w:i/>
          <w:iCs/>
          <w:sz w:val="24"/>
        </w:rPr>
        <w:t>P</w:t>
      </w:r>
      <w:r>
        <w:rPr>
          <w:rFonts w:ascii="Book Antiqua" w:hAnsi="Book Antiqua" w:eastAsia="黑体"/>
          <w:sz w:val="24"/>
        </w:rPr>
        <w:t xml:space="preserve"> = 0.021, </w:t>
      </w:r>
      <w:r>
        <w:rPr>
          <w:rFonts w:ascii="Book Antiqua" w:hAnsi="Book Antiqua" w:eastAsia="黑体"/>
          <w:i/>
          <w:iCs/>
          <w:sz w:val="24"/>
        </w:rPr>
        <w:t>P</w:t>
      </w:r>
      <w:r>
        <w:rPr>
          <w:rFonts w:ascii="Book Antiqua" w:hAnsi="Book Antiqua" w:eastAsia="黑体"/>
          <w:sz w:val="24"/>
        </w:rPr>
        <w:t xml:space="preserve"> = 0.018, respectively), but there was no difference of the incidence of hepatic encephalopathy (</w:t>
      </w:r>
      <w:r>
        <w:rPr>
          <w:rFonts w:ascii="Book Antiqua" w:hAnsi="Book Antiqua" w:eastAsia="黑体"/>
          <w:i/>
          <w:iCs/>
          <w:sz w:val="24"/>
        </w:rPr>
        <w:t>P</w:t>
      </w:r>
      <w:r>
        <w:rPr>
          <w:rFonts w:ascii="Book Antiqua" w:hAnsi="Book Antiqua" w:eastAsia="黑体"/>
          <w:sz w:val="24"/>
        </w:rPr>
        <w:t xml:space="preserve"> = 0.527).</w:t>
      </w:r>
    </w:p>
    <w:p>
      <w:pPr>
        <w:snapToGrid w:val="0"/>
        <w:spacing w:line="360" w:lineRule="auto"/>
        <w:ind w:right="136" w:rightChars="65"/>
        <w:rPr>
          <w:rFonts w:ascii="Book Antiqua" w:hAnsi="Book Antiqua" w:eastAsia="Book Antiqua"/>
          <w:sz w:val="24"/>
        </w:rPr>
      </w:pPr>
    </w:p>
    <w:p>
      <w:pPr>
        <w:snapToGrid w:val="0"/>
        <w:spacing w:line="360" w:lineRule="auto"/>
        <w:ind w:right="136" w:rightChars="65"/>
        <w:rPr>
          <w:rFonts w:ascii="Book Antiqua" w:hAnsi="Book Antiqua" w:eastAsia="Book Antiqua"/>
          <w:b/>
          <w:bCs/>
          <w:i/>
          <w:iCs/>
          <w:sz w:val="24"/>
        </w:rPr>
      </w:pPr>
      <w:r>
        <w:rPr>
          <w:rFonts w:ascii="Book Antiqua" w:hAnsi="Book Antiqua" w:eastAsia="Book Antiqua"/>
          <w:b/>
          <w:bCs/>
          <w:i/>
          <w:iCs/>
          <w:sz w:val="24"/>
        </w:rPr>
        <w:t>CONCLUSION</w:t>
      </w:r>
    </w:p>
    <w:p>
      <w:pPr>
        <w:snapToGrid w:val="0"/>
        <w:spacing w:line="360" w:lineRule="auto"/>
        <w:ind w:right="136" w:rightChars="65"/>
        <w:rPr>
          <w:rFonts w:ascii="Book Antiqua" w:hAnsi="Book Antiqua" w:eastAsia="Book Antiqua"/>
          <w:sz w:val="24"/>
        </w:rPr>
      </w:pPr>
      <w:r>
        <w:rPr>
          <w:rFonts w:ascii="Book Antiqua" w:hAnsi="Book Antiqua" w:eastAsia="Book Antiqua"/>
          <w:sz w:val="24"/>
        </w:rPr>
        <w:t>Patients with prior splenectomy have a high incidence of PVT, which potentially increases the risk of recurrent symptoms associated with shunt stenosis or occlusion.</w:t>
      </w:r>
    </w:p>
    <w:p>
      <w:pPr>
        <w:snapToGrid w:val="0"/>
        <w:spacing w:line="360" w:lineRule="auto"/>
        <w:ind w:right="136" w:rightChars="65"/>
        <w:rPr>
          <w:rFonts w:ascii="Book Antiqua" w:hAnsi="Book Antiqua" w:eastAsia="Book Antiqua"/>
          <w:sz w:val="24"/>
        </w:rPr>
      </w:pPr>
    </w:p>
    <w:p>
      <w:pPr>
        <w:snapToGrid w:val="0"/>
        <w:spacing w:line="360" w:lineRule="auto"/>
        <w:ind w:right="136" w:rightChars="65"/>
        <w:rPr>
          <w:rFonts w:ascii="Book Antiqua" w:hAnsi="Book Antiqua" w:eastAsia="Book Antiqua"/>
          <w:sz w:val="24"/>
        </w:rPr>
      </w:pPr>
      <w:r>
        <w:rPr>
          <w:rFonts w:ascii="Book Antiqua" w:hAnsi="Book Antiqua" w:eastAsia="Book Antiqua"/>
          <w:b/>
          <w:bCs/>
          <w:sz w:val="24"/>
        </w:rPr>
        <w:t>Key words:</w:t>
      </w:r>
      <w:r>
        <w:rPr>
          <w:rFonts w:ascii="Book Antiqua" w:hAnsi="Book Antiqua" w:eastAsia="Book Antiqua"/>
          <w:sz w:val="24"/>
        </w:rPr>
        <w:t xml:space="preserve"> </w:t>
      </w:r>
      <w:bookmarkStart w:id="138" w:name="OLE_LINK4"/>
      <w:bookmarkStart w:id="139" w:name="OLE_LINK5"/>
      <w:r>
        <w:rPr>
          <w:rFonts w:ascii="Book Antiqua" w:hAnsi="Book Antiqua" w:eastAsia="Book Antiqua"/>
          <w:sz w:val="24"/>
        </w:rPr>
        <w:t>Portal hypertension; Transjugular intrahepatic portosystemic shunt; Splenectomy; Portal vein thrombosis</w:t>
      </w:r>
    </w:p>
    <w:bookmarkEnd w:id="138"/>
    <w:bookmarkEnd w:id="139"/>
    <w:p>
      <w:pPr>
        <w:snapToGrid w:val="0"/>
        <w:spacing w:line="360" w:lineRule="auto"/>
        <w:ind w:right="136" w:rightChars="65"/>
        <w:rPr>
          <w:rFonts w:ascii="Book Antiqua" w:hAnsi="Book Antiqua" w:eastAsia="Book Antiqua"/>
          <w:sz w:val="24"/>
        </w:rPr>
      </w:pPr>
    </w:p>
    <w:p>
      <w:pPr>
        <w:snapToGrid w:val="0"/>
        <w:spacing w:line="360" w:lineRule="auto"/>
        <w:rPr>
          <w:rFonts w:ascii="Book Antiqua" w:hAnsi="Book Antiqua" w:cs="Arial"/>
          <w:sz w:val="24"/>
        </w:rPr>
      </w:pPr>
      <w:bookmarkStart w:id="140" w:name="OLE_LINK56"/>
      <w:bookmarkStart w:id="141" w:name="OLE_LINK55"/>
      <w:bookmarkStart w:id="142" w:name="OLE_LINK1796"/>
      <w:bookmarkStart w:id="143" w:name="OLE_LINK1986"/>
      <w:bookmarkStart w:id="144" w:name="OLE_LINK2158"/>
      <w:bookmarkStart w:id="145" w:name="OLE_LINK2157"/>
      <w:bookmarkStart w:id="146" w:name="OLE_LINK1985"/>
      <w:bookmarkStart w:id="147" w:name="OLE_LINK1983"/>
      <w:bookmarkStart w:id="148" w:name="OLE_LINK2156"/>
      <w:bookmarkStart w:id="149" w:name="OLE_LINK1987"/>
      <w:bookmarkStart w:id="150" w:name="OLE_LINK1691"/>
      <w:bookmarkStart w:id="151" w:name="OLE_LINK2093"/>
      <w:bookmarkStart w:id="152" w:name="OLE_LINK1690"/>
      <w:bookmarkStart w:id="153" w:name="OLE_LINK1226"/>
      <w:bookmarkStart w:id="154" w:name="OLE_LINK1714"/>
      <w:bookmarkStart w:id="155" w:name="OLE_LINK1640"/>
      <w:bookmarkStart w:id="156" w:name="OLE_LINK1715"/>
      <w:bookmarkStart w:id="157" w:name="OLE_LINK1637"/>
      <w:bookmarkStart w:id="158" w:name="OLE_LINK1228"/>
      <w:bookmarkStart w:id="159" w:name="OLE_LINK1364"/>
      <w:bookmarkStart w:id="160" w:name="OLE_LINK1230"/>
      <w:bookmarkStart w:id="161" w:name="OLE_LINK1167"/>
      <w:bookmarkStart w:id="162" w:name="OLE_LINK1125"/>
      <w:bookmarkStart w:id="163" w:name="OLE_LINK1641"/>
      <w:bookmarkStart w:id="164" w:name="OLE_LINK1150"/>
      <w:bookmarkStart w:id="165" w:name="OLE_LINK1688"/>
      <w:bookmarkStart w:id="166" w:name="OLE_LINK931"/>
      <w:bookmarkStart w:id="167" w:name="OLE_LINK1794"/>
      <w:bookmarkStart w:id="168" w:name="OLE_LINK930"/>
      <w:bookmarkStart w:id="169" w:name="OLE_LINK1166"/>
      <w:bookmarkStart w:id="170" w:name="OLE_LINK929"/>
      <w:bookmarkStart w:id="171" w:name="OLE_LINK1227"/>
      <w:bookmarkStart w:id="172" w:name="OLE_LINK1635"/>
      <w:bookmarkStart w:id="173" w:name="OLE_LINK1603"/>
      <w:bookmarkStart w:id="174" w:name="OLE_LINK1633"/>
      <w:bookmarkStart w:id="175" w:name="OLE_LINK1831"/>
      <w:bookmarkStart w:id="176" w:name="OLE_LINK1687"/>
      <w:bookmarkStart w:id="177" w:name="OLE_LINK1634"/>
      <w:bookmarkStart w:id="178" w:name="OLE_LINK1164"/>
      <w:bookmarkStart w:id="179" w:name="OLE_LINK1795"/>
      <w:bookmarkStart w:id="180" w:name="OLE_LINK1604"/>
      <w:bookmarkStart w:id="181" w:name="OLE_LINK1229"/>
      <w:bookmarkStart w:id="182" w:name="OLE_LINK1151"/>
      <w:bookmarkStart w:id="183" w:name="OLE_LINK1231"/>
      <w:bookmarkStart w:id="184" w:name="OLE_LINK932"/>
      <w:bookmarkStart w:id="185" w:name="OLE_LINK1112"/>
      <w:bookmarkStart w:id="186" w:name="OLE_LINK779"/>
      <w:bookmarkStart w:id="187" w:name="OLE_LINK255"/>
      <w:bookmarkStart w:id="188" w:name="OLE_LINK942"/>
      <w:bookmarkStart w:id="189" w:name="OLE_LINK1114"/>
      <w:bookmarkStart w:id="190" w:name="OLE_LINK940"/>
      <w:bookmarkStart w:id="191" w:name="OLE_LINK1115"/>
      <w:bookmarkStart w:id="192" w:name="OLE_LINK936"/>
      <w:bookmarkStart w:id="193" w:name="OLE_LINK941"/>
      <w:bookmarkStart w:id="194" w:name="OLE_LINK780"/>
      <w:bookmarkStart w:id="195" w:name="OLE_LINK935"/>
      <w:bookmarkStart w:id="196" w:name="OLE_LINK1113"/>
      <w:bookmarkStart w:id="197" w:name="_Hlk7505613"/>
      <w:bookmarkStart w:id="198" w:name="_Hlk6581786"/>
      <w:r>
        <w:rPr>
          <w:rFonts w:ascii="Book Antiqua" w:hAnsi="Book Antiqua"/>
          <w:b/>
          <w:sz w:val="24"/>
        </w:rPr>
        <w:t>©</w:t>
      </w:r>
      <w:bookmarkEnd w:id="140"/>
      <w:bookmarkEnd w:id="141"/>
      <w:r>
        <w:rPr>
          <w:rFonts w:ascii="Book Antiqua" w:hAnsi="Book Antiqua"/>
          <w:b/>
          <w:sz w:val="24"/>
        </w:rPr>
        <w:t xml:space="preserve"> </w:t>
      </w:r>
      <w:r>
        <w:rPr>
          <w:rFonts w:ascii="Book Antiqua" w:hAnsi="Book Antiqua" w:cs="Arial"/>
          <w:b/>
          <w:sz w:val="24"/>
        </w:rPr>
        <w:t xml:space="preserve">The Author(s) 2019. </w:t>
      </w:r>
      <w:r>
        <w:rPr>
          <w:rFonts w:ascii="Book Antiqua" w:hAnsi="Book Antiqua" w:cs="Arial"/>
          <w:sz w:val="24"/>
        </w:rPr>
        <w:t>Published by Baishideng Publishing Group Inc. All rights reserved</w:t>
      </w:r>
      <w:bookmarkStart w:id="199" w:name="OLE_LINK976"/>
      <w:bookmarkStart w:id="200" w:name="OLE_LINK974"/>
      <w:bookmarkStart w:id="201" w:name="OLE_LINK972"/>
      <w:bookmarkStart w:id="202" w:name="OLE_LINK973"/>
      <w:bookmarkStart w:id="203" w:name="OLE_LINK975"/>
      <w:bookmarkStart w:id="204" w:name="OLE_LINK970"/>
      <w:bookmarkStart w:id="205" w:name="OLE_LINK969"/>
      <w:r>
        <w:rPr>
          <w:rFonts w:ascii="Book Antiqua" w:hAnsi="Book Antiqua" w:cs="Arial"/>
          <w:sz w:val="24"/>
        </w:rPr>
        <w:t>.</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9"/>
      <w:bookmarkEnd w:id="200"/>
      <w:bookmarkEnd w:id="201"/>
      <w:bookmarkEnd w:id="202"/>
      <w:bookmarkEnd w:id="203"/>
      <w:bookmarkEnd w:id="204"/>
      <w:bookmarkEnd w:id="205"/>
    </w:p>
    <w:p>
      <w:pPr>
        <w:snapToGrid w:val="0"/>
        <w:spacing w:line="360" w:lineRule="auto"/>
        <w:rPr>
          <w:rFonts w:ascii="Book Antiqua" w:hAnsi="Book Antiqua" w:cs="Calibri"/>
          <w:sz w:val="24"/>
        </w:rPr>
      </w:pPr>
    </w:p>
    <w:p>
      <w:pPr>
        <w:snapToGrid w:val="0"/>
        <w:spacing w:line="360" w:lineRule="auto"/>
        <w:ind w:right="136" w:rightChars="65"/>
        <w:rPr>
          <w:rFonts w:ascii="Book Antiqua" w:hAnsi="Book Antiqua" w:eastAsia="黑体"/>
          <w:sz w:val="24"/>
        </w:rPr>
      </w:pPr>
      <w:r>
        <w:rPr>
          <w:rFonts w:ascii="Book Antiqua" w:hAnsi="Book Antiqua" w:cs="Times New Roman"/>
          <w:b/>
          <w:sz w:val="24"/>
        </w:rPr>
        <w:t xml:space="preserve">Core tip: </w:t>
      </w:r>
      <w:bookmarkEnd w:id="197"/>
      <w:bookmarkStart w:id="206" w:name="OLE_LINK6"/>
      <w:bookmarkStart w:id="207" w:name="OLE_LINK7"/>
      <w:r>
        <w:rPr>
          <w:rFonts w:ascii="Book Antiqua" w:hAnsi="Book Antiqua" w:eastAsia="黑体"/>
          <w:sz w:val="24"/>
        </w:rPr>
        <w:t>There are several approaches for treatment of portal hypertension related varices and variceal hemorrhage, including drugs, endoscopic variceal ligation, transjugular intrahepatic portosystemic shunt, splenectomy with pericardial devascularization and liver transplantation. Transjugular intrahepatic portosystemic shunt is widely accepted as an alternative to surgery for management of complications of portal hypertension such as variceal bleeding, refractory ascites, Budd–Chiari syndrome, hepatorenal syndrome, hepatic hydrothorax and even hepatopulmonary syndrome. Patients with splenectomy with pericardial devascularization had a high incidence of portal vein thrombosis, which can markedly affect transjugular intrahepatic portosystemic shunt stent patency and potentially increase the risk of recurrent symptoms associated with shunt stenosis or occlusion.</w:t>
      </w:r>
    </w:p>
    <w:bookmarkEnd w:id="206"/>
    <w:bookmarkEnd w:id="207"/>
    <w:p>
      <w:pPr>
        <w:snapToGrid w:val="0"/>
        <w:spacing w:line="360" w:lineRule="auto"/>
        <w:ind w:right="136" w:rightChars="65"/>
        <w:rPr>
          <w:rFonts w:ascii="Book Antiqua" w:hAnsi="Book Antiqua" w:eastAsia="黑体"/>
          <w:sz w:val="24"/>
        </w:rPr>
      </w:pPr>
      <w:bookmarkStart w:id="208" w:name="_Hlk6582555"/>
    </w:p>
    <w:p>
      <w:pPr>
        <w:snapToGrid w:val="0"/>
        <w:spacing w:line="360" w:lineRule="auto"/>
        <w:rPr>
          <w:rFonts w:ascii="Book Antiqua" w:hAnsi="Book Antiqua" w:cs="Book Antiqua"/>
          <w:sz w:val="24"/>
        </w:rPr>
      </w:pPr>
      <w:r>
        <w:rPr>
          <w:rFonts w:ascii="Book Antiqua" w:hAnsi="Book Antiqua" w:eastAsia="黑体"/>
          <w:sz w:val="24"/>
        </w:rPr>
        <w:t xml:space="preserve">Dong F, Luo SH, Zheng LJ, Chu JG, Huang H, Zhang XQ, Yao KC. Incidence of portal vein thrombosis after splenectomy and its influence on transjugular intrahepatic portosystemic shunt stent patency. </w:t>
      </w:r>
      <w:r>
        <w:rPr>
          <w:rFonts w:ascii="Book Antiqua" w:hAnsi="Book Antiqua"/>
          <w:i/>
          <w:sz w:val="24"/>
        </w:rPr>
        <w:t xml:space="preserve">World J Clin Cases </w:t>
      </w:r>
      <w:r>
        <w:rPr>
          <w:rFonts w:ascii="Book Antiqua" w:hAnsi="Book Antiqua" w:eastAsia="Book Antiqua" w:cs="Book Antiqua"/>
          <w:sz w:val="24"/>
        </w:rPr>
        <w:t>2019; In pre</w:t>
      </w:r>
      <w:r>
        <w:rPr>
          <w:rFonts w:ascii="Book Antiqua" w:hAnsi="Book Antiqua" w:cs="Book Antiqua"/>
          <w:sz w:val="24"/>
        </w:rPr>
        <w:t>ss</w:t>
      </w:r>
      <w:bookmarkEnd w:id="198"/>
      <w:bookmarkEnd w:id="208"/>
    </w:p>
    <w:p>
      <w:pPr>
        <w:widowControl/>
        <w:snapToGrid w:val="0"/>
        <w:spacing w:line="360" w:lineRule="auto"/>
        <w:rPr>
          <w:rFonts w:ascii="Book Antiqua" w:hAnsi="Book Antiqua" w:eastAsia="Book Antiqua"/>
          <w:b/>
          <w:bCs/>
          <w:sz w:val="24"/>
        </w:rPr>
      </w:pPr>
      <w:r>
        <w:rPr>
          <w:rFonts w:ascii="Book Antiqua" w:hAnsi="Book Antiqua" w:eastAsia="Book Antiqua"/>
          <w:b/>
          <w:bCs/>
          <w:sz w:val="24"/>
        </w:rPr>
        <w:br w:type="page"/>
      </w:r>
    </w:p>
    <w:p>
      <w:pPr>
        <w:snapToGrid w:val="0"/>
        <w:spacing w:line="360" w:lineRule="auto"/>
        <w:ind w:right="136" w:rightChars="65"/>
        <w:rPr>
          <w:rFonts w:ascii="Book Antiqua" w:hAnsi="Book Antiqua" w:eastAsia="Book Antiqua"/>
          <w:b/>
          <w:bCs/>
          <w:sz w:val="24"/>
        </w:rPr>
      </w:pPr>
      <w:r>
        <w:rPr>
          <w:rFonts w:ascii="Book Antiqua" w:hAnsi="Book Antiqua" w:eastAsia="Book Antiqua"/>
          <w:b/>
          <w:bCs/>
          <w:sz w:val="24"/>
        </w:rPr>
        <w:t>INTRODUCTION</w:t>
      </w:r>
    </w:p>
    <w:p>
      <w:pPr>
        <w:snapToGrid w:val="0"/>
        <w:spacing w:line="360" w:lineRule="auto"/>
        <w:ind w:right="136" w:rightChars="65"/>
        <w:rPr>
          <w:rFonts w:ascii="Book Antiqua" w:hAnsi="Book Antiqua" w:eastAsia="Book Antiqua"/>
          <w:sz w:val="24"/>
        </w:rPr>
      </w:pPr>
      <w:r>
        <w:rPr>
          <w:rFonts w:ascii="Book Antiqua" w:hAnsi="Book Antiqua" w:eastAsia="Book Antiqua"/>
          <w:sz w:val="24"/>
        </w:rPr>
        <w:t>Portal hypertension secondary to liver cirrhosis is mainly due to chronic hepatitis and alcoholic liver disease</w:t>
      </w:r>
      <w:r>
        <w:rPr>
          <w:rFonts w:ascii="Book Antiqua" w:hAnsi="Book Antiqua" w:eastAsia="Book Antiqua"/>
          <w:sz w:val="24"/>
          <w:vertAlign w:val="superscript"/>
        </w:rPr>
        <w:t>[1]</w:t>
      </w:r>
      <w:r>
        <w:rPr>
          <w:rFonts w:ascii="Book Antiqua" w:hAnsi="Book Antiqua" w:eastAsia="Book Antiqua"/>
          <w:sz w:val="24"/>
        </w:rPr>
        <w:t>. Esophagogastric varices and ascites secondary to portal hypertension are common major complications of liver cirrhosis</w:t>
      </w:r>
      <w:r>
        <w:rPr>
          <w:rFonts w:ascii="Book Antiqua" w:hAnsi="Book Antiqua" w:eastAsia="Book Antiqua"/>
          <w:sz w:val="24"/>
          <w:vertAlign w:val="superscript"/>
        </w:rPr>
        <w:t>[2]</w:t>
      </w:r>
      <w:r>
        <w:rPr>
          <w:rFonts w:ascii="Book Antiqua" w:hAnsi="Book Antiqua" w:eastAsia="Book Antiqua"/>
          <w:sz w:val="24"/>
        </w:rPr>
        <w:t>. Esophagogastric varices are a serious, life-threatening complication and hypersplenism is often associated with portal hypertension in cirrhotic patients</w:t>
      </w:r>
      <w:r>
        <w:rPr>
          <w:rFonts w:ascii="Book Antiqua" w:hAnsi="Book Antiqua" w:eastAsia="Book Antiqua"/>
          <w:sz w:val="24"/>
          <w:vertAlign w:val="superscript"/>
        </w:rPr>
        <w:t>[3]</w:t>
      </w:r>
      <w:r>
        <w:rPr>
          <w:rFonts w:ascii="Book Antiqua" w:hAnsi="Book Antiqua" w:eastAsia="Book Antiqua"/>
          <w:sz w:val="24"/>
        </w:rPr>
        <w:t>.</w:t>
      </w:r>
    </w:p>
    <w:p>
      <w:pPr>
        <w:snapToGrid w:val="0"/>
        <w:spacing w:line="360" w:lineRule="auto"/>
        <w:ind w:right="136" w:rightChars="65" w:firstLine="240" w:firstLineChars="100"/>
        <w:rPr>
          <w:rFonts w:ascii="Book Antiqua" w:hAnsi="Book Antiqua" w:eastAsia="Book Antiqua"/>
          <w:sz w:val="24"/>
        </w:rPr>
      </w:pPr>
      <w:r>
        <w:rPr>
          <w:rFonts w:ascii="Book Antiqua" w:hAnsi="Book Antiqua" w:eastAsia="Book Antiqua"/>
          <w:sz w:val="24"/>
        </w:rPr>
        <w:t>There are several approaches for treatment of portal hypertension related varices and variceal hemorrhage, including drugs, endoscopic variceal ligation, transjugular intrahepatic portosystemic shunt (TIPS), splenectomy with pericardial devascularization (SPD) and liver transplantation</w:t>
      </w:r>
      <w:r>
        <w:rPr>
          <w:rFonts w:ascii="Book Antiqua" w:hAnsi="Book Antiqua" w:eastAsia="Book Antiqua"/>
          <w:sz w:val="24"/>
          <w:vertAlign w:val="superscript"/>
        </w:rPr>
        <w:t>[4]</w:t>
      </w:r>
      <w:r>
        <w:rPr>
          <w:rFonts w:ascii="Book Antiqua" w:hAnsi="Book Antiqua" w:eastAsia="Book Antiqua"/>
          <w:sz w:val="24"/>
        </w:rPr>
        <w:t>. SPD without liver transplantation has been widely accepted as a surgical treatment for cirrhosis in patients with variceal bleeding and secondary hypersplenism in China for many years</w:t>
      </w:r>
      <w:r>
        <w:rPr>
          <w:rFonts w:ascii="Book Antiqua" w:hAnsi="Book Antiqua" w:eastAsia="Book Antiqua"/>
          <w:sz w:val="24"/>
          <w:vertAlign w:val="superscript"/>
        </w:rPr>
        <w:t>[5]</w:t>
      </w:r>
      <w:r>
        <w:rPr>
          <w:rFonts w:ascii="Book Antiqua" w:hAnsi="Book Antiqua" w:eastAsia="Book Antiqua"/>
          <w:sz w:val="24"/>
        </w:rPr>
        <w:t>. However, when compared with other treatments, simple splenectomy and SPD are associated with an increased incidence of postoperative complications, such as portal vein thrombosis (PVT)</w:t>
      </w:r>
      <w:r>
        <w:rPr>
          <w:rFonts w:ascii="Book Antiqua" w:hAnsi="Book Antiqua" w:eastAsia="Book Antiqua"/>
          <w:sz w:val="24"/>
          <w:vertAlign w:val="superscript"/>
        </w:rPr>
        <w:t>[6]</w:t>
      </w:r>
      <w:r>
        <w:rPr>
          <w:rFonts w:ascii="Book Antiqua" w:hAnsi="Book Antiqua" w:eastAsia="Book Antiqua"/>
          <w:sz w:val="24"/>
        </w:rPr>
        <w:t>.</w:t>
      </w:r>
    </w:p>
    <w:p>
      <w:pPr>
        <w:snapToGrid w:val="0"/>
        <w:spacing w:line="360" w:lineRule="auto"/>
        <w:ind w:right="136" w:rightChars="65" w:firstLine="240" w:firstLineChars="100"/>
        <w:rPr>
          <w:rFonts w:ascii="Book Antiqua" w:hAnsi="Book Antiqua" w:eastAsia="Book Antiqua"/>
          <w:sz w:val="24"/>
        </w:rPr>
      </w:pPr>
      <w:r>
        <w:rPr>
          <w:rFonts w:ascii="Book Antiqua" w:hAnsi="Book Antiqua" w:eastAsia="Book Antiqua"/>
          <w:sz w:val="24"/>
        </w:rPr>
        <w:t>TIPS is widely accepted as an alternative to surgery for management of complications of portal hypertension such as variceal bleeding, refractory ascites, Budd–Chiari syndrome, hepatorenal syndrome, hepatic hydrothorax and even hepatopulmonary syndrome</w:t>
      </w:r>
      <w:r>
        <w:rPr>
          <w:rFonts w:ascii="Book Antiqua" w:hAnsi="Book Antiqua" w:eastAsia="Book Antiqua"/>
          <w:sz w:val="24"/>
          <w:vertAlign w:val="superscript"/>
        </w:rPr>
        <w:t>[7]</w:t>
      </w:r>
      <w:r>
        <w:rPr>
          <w:rFonts w:ascii="Book Antiqua" w:hAnsi="Book Antiqua" w:eastAsia="Book Antiqua"/>
          <w:sz w:val="24"/>
        </w:rPr>
        <w:t>. TIPS has been used to effectively treat PVT in many centers since the 1990s</w:t>
      </w:r>
      <w:r>
        <w:rPr>
          <w:rFonts w:ascii="Book Antiqua" w:hAnsi="Book Antiqua" w:eastAsia="Book Antiqua"/>
          <w:sz w:val="24"/>
          <w:vertAlign w:val="superscript"/>
        </w:rPr>
        <w:t>[8]</w:t>
      </w:r>
      <w:r>
        <w:rPr>
          <w:rFonts w:ascii="Book Antiqua" w:hAnsi="Book Antiqua" w:eastAsia="Book Antiqua"/>
          <w:sz w:val="24"/>
        </w:rPr>
        <w:t>. PVT is still considered a contraindication to the creation of a TIPS, however the advantages of TIPS for PVT in patients with cirrhosis are evident</w:t>
      </w:r>
      <w:r>
        <w:rPr>
          <w:rFonts w:ascii="Book Antiqua" w:hAnsi="Book Antiqua" w:eastAsia="Book Antiqua"/>
          <w:sz w:val="24"/>
          <w:vertAlign w:val="superscript"/>
        </w:rPr>
        <w:t>[9]</w:t>
      </w:r>
      <w:r>
        <w:rPr>
          <w:rFonts w:ascii="Book Antiqua" w:hAnsi="Book Antiqua" w:eastAsia="Book Antiqua"/>
          <w:sz w:val="24"/>
        </w:rPr>
        <w:t xml:space="preserve"> as it addresses portal hypertension and reconstructs </w:t>
      </w:r>
      <w:r>
        <w:rPr>
          <w:rFonts w:ascii="Book Antiqua" w:hAnsi="Book Antiqua"/>
          <w:sz w:val="24"/>
        </w:rPr>
        <w:t>portal vein (PV)</w:t>
      </w:r>
      <w:r>
        <w:rPr>
          <w:rFonts w:ascii="Book Antiqua" w:hAnsi="Book Antiqua" w:eastAsia="Book Antiqua"/>
          <w:sz w:val="24"/>
        </w:rPr>
        <w:t xml:space="preserve"> flow.</w:t>
      </w:r>
    </w:p>
    <w:p>
      <w:pPr>
        <w:snapToGrid w:val="0"/>
        <w:spacing w:line="360" w:lineRule="auto"/>
        <w:ind w:right="136" w:rightChars="65" w:firstLine="240" w:firstLineChars="100"/>
        <w:rPr>
          <w:rFonts w:ascii="Book Antiqua" w:hAnsi="Book Antiqua" w:eastAsia="Book Antiqua"/>
          <w:sz w:val="24"/>
        </w:rPr>
      </w:pPr>
      <w:r>
        <w:rPr>
          <w:rFonts w:ascii="Book Antiqua" w:hAnsi="Book Antiqua" w:eastAsia="Book Antiqua"/>
          <w:sz w:val="24"/>
        </w:rPr>
        <w:t>Despite its efficacy in treatment of complications of portal hypertension, TIPS is prone to shunt stenosis or occlusion leading to shunt failure, and approximately half of all patients with TIPS require shunt revision during follow-up</w:t>
      </w:r>
      <w:r>
        <w:rPr>
          <w:rFonts w:ascii="Book Antiqua" w:hAnsi="Book Antiqua" w:eastAsia="Book Antiqua"/>
          <w:sz w:val="24"/>
          <w:vertAlign w:val="superscript"/>
        </w:rPr>
        <w:t>[10]</w:t>
      </w:r>
      <w:r>
        <w:rPr>
          <w:rFonts w:ascii="Book Antiqua" w:hAnsi="Book Antiqua" w:eastAsia="Book Antiqua"/>
          <w:sz w:val="24"/>
        </w:rPr>
        <w:t>, which makes close surveillance and frequent costly revisions mandatory</w:t>
      </w:r>
      <w:r>
        <w:rPr>
          <w:rFonts w:ascii="Book Antiqua" w:hAnsi="Book Antiqua" w:eastAsia="Book Antiqua"/>
          <w:sz w:val="24"/>
          <w:vertAlign w:val="superscript"/>
        </w:rPr>
        <w:t>[11]</w:t>
      </w:r>
      <w:r>
        <w:rPr>
          <w:rFonts w:ascii="Book Antiqua" w:hAnsi="Book Antiqua" w:eastAsia="Book Antiqua"/>
          <w:sz w:val="24"/>
        </w:rPr>
        <w:t xml:space="preserve"> especially in patients with PVT despite the use of stent grafts covered with polytetrafluoroethylene. Even with these new stents, post-TIPS shunt obstruction and a high rate of clinical symptom recurrence remain problematic.</w:t>
      </w:r>
    </w:p>
    <w:p>
      <w:pPr>
        <w:snapToGrid w:val="0"/>
        <w:spacing w:line="360" w:lineRule="auto"/>
        <w:ind w:right="136" w:rightChars="65" w:firstLine="240" w:firstLineChars="100"/>
        <w:rPr>
          <w:rFonts w:ascii="Book Antiqua" w:hAnsi="Book Antiqua" w:eastAsia="Book Antiqua"/>
          <w:sz w:val="24"/>
        </w:rPr>
      </w:pPr>
      <w:r>
        <w:rPr>
          <w:rFonts w:ascii="Book Antiqua" w:hAnsi="Book Antiqua" w:eastAsia="Book Antiqua"/>
          <w:sz w:val="24"/>
        </w:rPr>
        <w:t>Although TIPS has good therapeutic effects on the formation of PVT, the effect of PVT on TIPS stenting has rarely been reported. The purpose of this study was to evaluate the incidence of PVT after splenectomy and its influence on the patency rate of TIPS in patients with cirrhosis of portal hypertension.</w:t>
      </w:r>
    </w:p>
    <w:p>
      <w:pPr>
        <w:snapToGrid w:val="0"/>
        <w:spacing w:line="360" w:lineRule="auto"/>
        <w:ind w:firstLine="240" w:firstLineChars="100"/>
        <w:rPr>
          <w:rFonts w:ascii="Book Antiqua" w:hAnsi="Book Antiqua" w:cs="Times New Roman"/>
          <w:sz w:val="24"/>
        </w:rPr>
      </w:pPr>
    </w:p>
    <w:p>
      <w:pPr>
        <w:snapToGrid w:val="0"/>
        <w:spacing w:line="360" w:lineRule="auto"/>
        <w:ind w:right="136" w:rightChars="65"/>
        <w:rPr>
          <w:rFonts w:ascii="Book Antiqua" w:hAnsi="Book Antiqua" w:eastAsia="Book Antiqua"/>
          <w:b/>
          <w:bCs/>
          <w:sz w:val="24"/>
        </w:rPr>
      </w:pPr>
      <w:r>
        <w:rPr>
          <w:rFonts w:ascii="Book Antiqua" w:hAnsi="Book Antiqua" w:eastAsia="Book Antiqua"/>
          <w:b/>
          <w:bCs/>
          <w:sz w:val="24"/>
        </w:rPr>
        <w:t>MATERIALS AND METHODS</w:t>
      </w:r>
    </w:p>
    <w:p>
      <w:pPr>
        <w:snapToGrid w:val="0"/>
        <w:spacing w:line="360" w:lineRule="auto"/>
        <w:rPr>
          <w:rFonts w:ascii="Book Antiqua" w:hAnsi="Book Antiqua"/>
          <w:b/>
          <w:bCs/>
          <w:i/>
          <w:iCs/>
          <w:kern w:val="0"/>
          <w:sz w:val="24"/>
        </w:rPr>
      </w:pPr>
      <w:r>
        <w:rPr>
          <w:rFonts w:ascii="Book Antiqua" w:hAnsi="Book Antiqua"/>
          <w:b/>
          <w:bCs/>
          <w:i/>
          <w:iCs/>
          <w:kern w:val="0"/>
          <w:sz w:val="24"/>
        </w:rPr>
        <w:t>Patients</w:t>
      </w:r>
    </w:p>
    <w:p>
      <w:pPr>
        <w:snapToGrid w:val="0"/>
        <w:spacing w:line="360" w:lineRule="auto"/>
        <w:rPr>
          <w:rFonts w:ascii="Book Antiqua" w:hAnsi="Book Antiqua"/>
          <w:sz w:val="24"/>
        </w:rPr>
      </w:pPr>
      <w:r>
        <w:rPr>
          <w:rFonts w:ascii="Book Antiqua" w:hAnsi="Book Antiqua"/>
          <w:sz w:val="24"/>
        </w:rPr>
        <w:t>A total of 486 patients who underwent a TIPS procedure between January 2010 and January 2016 were enrolled retrospectively. The study protocol was approved by the Institutional Review Board and Ethics Committee, and all the patients provided a written consent at the time of operation in the hospital. All procedures were conducted according to the guidelines approved by the ethics committee. We reviewed the patients’ medical records and medical images to gather information regarding the underlying etiologies, clinical presentations, age, sex and severity of cirrhosis.</w:t>
      </w:r>
    </w:p>
    <w:p>
      <w:pPr>
        <w:snapToGrid w:val="0"/>
        <w:spacing w:line="360" w:lineRule="auto"/>
        <w:rPr>
          <w:rFonts w:ascii="Book Antiqua" w:hAnsi="Book Antiqua"/>
          <w:sz w:val="24"/>
        </w:rPr>
      </w:pPr>
    </w:p>
    <w:p>
      <w:pPr>
        <w:snapToGrid w:val="0"/>
        <w:spacing w:line="360" w:lineRule="auto"/>
        <w:rPr>
          <w:rFonts w:ascii="Book Antiqua" w:hAnsi="Book Antiqua"/>
          <w:b/>
          <w:bCs/>
          <w:i/>
          <w:iCs/>
          <w:sz w:val="24"/>
        </w:rPr>
      </w:pPr>
      <w:r>
        <w:rPr>
          <w:rFonts w:ascii="Book Antiqua" w:hAnsi="Book Antiqua"/>
          <w:b/>
          <w:bCs/>
          <w:i/>
          <w:iCs/>
          <w:sz w:val="24"/>
        </w:rPr>
        <w:t>Study design</w:t>
      </w:r>
    </w:p>
    <w:p>
      <w:pPr>
        <w:snapToGrid w:val="0"/>
        <w:spacing w:line="360" w:lineRule="auto"/>
        <w:rPr>
          <w:rFonts w:ascii="Book Antiqua" w:hAnsi="Book Antiqua"/>
          <w:sz w:val="24"/>
        </w:rPr>
      </w:pPr>
      <w:r>
        <w:rPr>
          <w:rFonts w:ascii="Book Antiqua" w:hAnsi="Book Antiqua"/>
          <w:sz w:val="24"/>
        </w:rPr>
        <w:t>This was a multi-center, retrospective study. Patients with cirrhosis without prior splenectomy served as group A (</w:t>
      </w:r>
      <w:r>
        <w:rPr>
          <w:rFonts w:ascii="Book Antiqua" w:hAnsi="Book Antiqua"/>
          <w:i/>
          <w:iCs/>
          <w:sz w:val="24"/>
        </w:rPr>
        <w:t>n</w:t>
      </w:r>
      <w:r>
        <w:rPr>
          <w:rFonts w:ascii="Book Antiqua" w:hAnsi="Book Antiqua"/>
          <w:sz w:val="24"/>
        </w:rPr>
        <w:t xml:space="preserve"> = 289), and those with cirrhosis and prior splenectomy served as group B (</w:t>
      </w:r>
      <w:r>
        <w:rPr>
          <w:rFonts w:ascii="Book Antiqua" w:hAnsi="Book Antiqua"/>
          <w:i/>
          <w:iCs/>
          <w:sz w:val="24"/>
        </w:rPr>
        <w:t>n</w:t>
      </w:r>
      <w:r>
        <w:rPr>
          <w:rFonts w:ascii="Book Antiqua" w:hAnsi="Book Antiqua"/>
          <w:sz w:val="24"/>
        </w:rPr>
        <w:t xml:space="preserve"> = 197). Three hundred and sixty-five patients with portal-hypertension-related complications of recurrent variceal bleeding after band ligation and/or glue injection, 121 patients with refractory ascites and 86 with both who underwent TIPS were included. The incidence of PVT before TIPS was compared between the </w:t>
      </w:r>
      <w:bookmarkStart w:id="273" w:name="_GoBack"/>
      <w:r>
        <w:rPr>
          <w:rFonts w:ascii="Book Antiqua" w:hAnsi="Book Antiqua"/>
          <w:sz w:val="24"/>
        </w:rPr>
        <w:t>two groups. After TIPS placement, primary patency rate was compared at 3, 6, 9 and 12 mo, and 2 and 3 years. The clinical outcomes were analyzed.</w:t>
      </w:r>
    </w:p>
    <w:p>
      <w:pPr>
        <w:autoSpaceDE w:val="0"/>
        <w:autoSpaceDN w:val="0"/>
        <w:adjustRightInd w:val="0"/>
        <w:snapToGrid w:val="0"/>
        <w:spacing w:line="360" w:lineRule="auto"/>
        <w:ind w:firstLine="240" w:firstLineChars="100"/>
        <w:rPr>
          <w:rFonts w:ascii="Book Antiqua" w:hAnsi="Book Antiqua"/>
          <w:sz w:val="24"/>
        </w:rPr>
      </w:pPr>
      <w:r>
        <w:rPr>
          <w:rFonts w:ascii="Book Antiqua" w:hAnsi="Book Antiqua"/>
          <w:sz w:val="24"/>
        </w:rPr>
        <w:t>Patients with acute PVT, variceal bleeding as an emergency indication, hepatic encephalopathy (HE), severe right-sided heart failure, severe liver failure, polycystic liver disease, dilated biliary ducts, age &gt; 75 years, Child–Pugh score &gt; 11, Model for End-stage Liver Disease score &gt; 18, hepatic carcinoma, sepsis or spontaneous bacterial peritonitis and patients who underwent liver transplantation were excluded.</w:t>
      </w:r>
    </w:p>
    <w:bookmarkEnd w:id="273"/>
    <w:p>
      <w:pPr>
        <w:autoSpaceDE w:val="0"/>
        <w:autoSpaceDN w:val="0"/>
        <w:adjustRightInd w:val="0"/>
        <w:snapToGrid w:val="0"/>
        <w:spacing w:line="360" w:lineRule="auto"/>
        <w:ind w:firstLine="240" w:firstLineChars="100"/>
        <w:rPr>
          <w:rFonts w:ascii="Book Antiqua" w:hAnsi="Book Antiqua"/>
          <w:sz w:val="24"/>
        </w:rPr>
      </w:pPr>
    </w:p>
    <w:p>
      <w:pPr>
        <w:snapToGrid w:val="0"/>
        <w:spacing w:line="360" w:lineRule="auto"/>
        <w:rPr>
          <w:rFonts w:ascii="Book Antiqua" w:hAnsi="Book Antiqua" w:eastAsia="宋体" w:cs="Times New Roman"/>
          <w:b/>
          <w:bCs/>
          <w:i/>
          <w:iCs/>
          <w:sz w:val="24"/>
        </w:rPr>
      </w:pPr>
      <w:r>
        <w:rPr>
          <w:rFonts w:ascii="Book Antiqua" w:hAnsi="Book Antiqua" w:eastAsia="宋体" w:cs="Times New Roman"/>
          <w:b/>
          <w:bCs/>
          <w:i/>
          <w:iCs/>
          <w:sz w:val="24"/>
        </w:rPr>
        <w:t>Diagnosis and definitions</w:t>
      </w:r>
    </w:p>
    <w:p>
      <w:pPr>
        <w:snapToGrid w:val="0"/>
        <w:spacing w:line="360" w:lineRule="auto"/>
        <w:rPr>
          <w:rFonts w:ascii="Book Antiqua" w:hAnsi="Book Antiqua"/>
          <w:sz w:val="24"/>
        </w:rPr>
      </w:pPr>
      <w:r>
        <w:rPr>
          <w:rFonts w:ascii="Book Antiqua" w:hAnsi="Book Antiqua"/>
          <w:sz w:val="24"/>
        </w:rPr>
        <w:t>Color Doppler ultrasound was performed initially for the diagnosis of PVT. It revealed that the main PV was obstructed along with a reduction or absence of portal flow or disappearance of the native PV and formation of extensive collaterals. Contrast-enhanced computed tomography and/or magnetic resonance imaging showed stenosis, filling defects or complete occlusion of the PV with or without collaterals.</w:t>
      </w:r>
    </w:p>
    <w:p>
      <w:pPr>
        <w:autoSpaceDE w:val="0"/>
        <w:autoSpaceDN w:val="0"/>
        <w:adjustRightInd w:val="0"/>
        <w:snapToGrid w:val="0"/>
        <w:spacing w:line="360" w:lineRule="auto"/>
        <w:ind w:firstLine="240" w:firstLineChars="100"/>
        <w:rPr>
          <w:rFonts w:ascii="Book Antiqua" w:hAnsi="Book Antiqua"/>
          <w:sz w:val="24"/>
        </w:rPr>
      </w:pPr>
      <w:r>
        <w:rPr>
          <w:rFonts w:ascii="Book Antiqua" w:hAnsi="Book Antiqua"/>
          <w:sz w:val="24"/>
        </w:rPr>
        <w:t>Acute PVT was defined by the absence of collateral vessels and any one of the following: (1) rapid onset of abdominal pain due to PVT within 14 d and intestinal ischemia or infarction without chronic thrombosis; or (2) a high intraluminal density within the PV on non-contrast-enhanced computed tomography. Chronic PVT was defined by at least one of the following: (1) a low intraluminal density on contrast-enhanced computed tomography; (2) replacement of the original main PV (MPV) with a fibrotic cord or no identifiable MPV; or (3) presence of portal cavernoma. Thrombosis in the MPV was further classified as partial occlusion, complete occlusion and fibrotic cord in place of the original MPV.</w:t>
      </w:r>
    </w:p>
    <w:p>
      <w:pPr>
        <w:autoSpaceDE w:val="0"/>
        <w:autoSpaceDN w:val="0"/>
        <w:adjustRightInd w:val="0"/>
        <w:snapToGrid w:val="0"/>
        <w:spacing w:line="360" w:lineRule="auto"/>
        <w:ind w:firstLine="240" w:firstLineChars="100"/>
        <w:rPr>
          <w:rFonts w:ascii="Book Antiqua" w:hAnsi="Book Antiqua"/>
          <w:sz w:val="24"/>
        </w:rPr>
      </w:pPr>
    </w:p>
    <w:p>
      <w:pPr>
        <w:snapToGrid w:val="0"/>
        <w:spacing w:line="360" w:lineRule="auto"/>
        <w:rPr>
          <w:rFonts w:ascii="Book Antiqua" w:hAnsi="Book Antiqua" w:eastAsia="宋体" w:cs="Times New Roman"/>
          <w:b/>
          <w:bCs/>
          <w:i/>
          <w:iCs/>
          <w:sz w:val="24"/>
        </w:rPr>
      </w:pPr>
      <w:r>
        <w:rPr>
          <w:rFonts w:ascii="Book Antiqua" w:hAnsi="Book Antiqua" w:eastAsia="宋体" w:cs="Times New Roman"/>
          <w:b/>
          <w:bCs/>
          <w:i/>
          <w:iCs/>
          <w:sz w:val="24"/>
        </w:rPr>
        <w:t>TIPS procedure</w:t>
      </w:r>
    </w:p>
    <w:p>
      <w:pPr>
        <w:snapToGrid w:val="0"/>
        <w:spacing w:line="360" w:lineRule="auto"/>
        <w:rPr>
          <w:rFonts w:ascii="Book Antiqua" w:hAnsi="Book Antiqua"/>
          <w:sz w:val="24"/>
        </w:rPr>
      </w:pPr>
      <w:r>
        <w:rPr>
          <w:rFonts w:ascii="Book Antiqua" w:hAnsi="Book Antiqua"/>
          <w:sz w:val="24"/>
        </w:rPr>
        <w:t>Using standard local anesthesia, TIPS was performed through a transjugular approach, and the technique has been described previously</w:t>
      </w:r>
      <w:r>
        <w:rPr>
          <w:rFonts w:ascii="Book Antiqua" w:hAnsi="Book Antiqua"/>
          <w:sz w:val="24"/>
          <w:vertAlign w:val="superscript"/>
        </w:rPr>
        <w:t>[12]</w:t>
      </w:r>
      <w:r>
        <w:rPr>
          <w:rFonts w:ascii="Book Antiqua" w:hAnsi="Book Antiqua"/>
          <w:sz w:val="24"/>
        </w:rPr>
        <w:t>. For PVT patients with cirrhosis, the TIPS procedure was performed as described previously</w:t>
      </w:r>
      <w:r>
        <w:rPr>
          <w:rFonts w:ascii="Book Antiqua" w:hAnsi="Book Antiqua"/>
          <w:sz w:val="24"/>
          <w:vertAlign w:val="superscript"/>
        </w:rPr>
        <w:t>[13]</w:t>
      </w:r>
      <w:r>
        <w:rPr>
          <w:rFonts w:ascii="Book Antiqua" w:hAnsi="Book Antiqua"/>
          <w:sz w:val="24"/>
        </w:rPr>
        <w:t xml:space="preserve">. The entire length of the intrahepatic tract was covered by the 8-mm stent graft (Fluency; BARD, Voisins le Bretonneux, France or Viatorr; W.L. Gore and Associates, Flagstaff, AZ, </w:t>
      </w:r>
      <w:r>
        <w:rPr>
          <w:rFonts w:ascii="Book Antiqua" w:hAnsi="Book Antiqua" w:eastAsia="黑体"/>
          <w:sz w:val="24"/>
        </w:rPr>
        <w:t>United States</w:t>
      </w:r>
      <w:r>
        <w:rPr>
          <w:rFonts w:ascii="Book Antiqua" w:hAnsi="Book Antiqua"/>
          <w:sz w:val="24"/>
        </w:rPr>
        <w:t xml:space="preserve">). The shunts were dilated to full nominal diameter to reach a target portosystemic gradient of &lt; 12 mmHg, and prominent gastroesophageal collateral vessels observed during the TIPS procedure were embolized with coils (Cook Inc., Bloomington, IL, </w:t>
      </w:r>
      <w:r>
        <w:rPr>
          <w:rFonts w:ascii="Book Antiqua" w:hAnsi="Book Antiqua" w:eastAsia="黑体"/>
          <w:sz w:val="24"/>
        </w:rPr>
        <w:t>United States</w:t>
      </w:r>
      <w:r>
        <w:rPr>
          <w:rFonts w:ascii="Book Antiqua" w:hAnsi="Book Antiqua"/>
          <w:sz w:val="24"/>
        </w:rPr>
        <w:t>).</w:t>
      </w:r>
    </w:p>
    <w:p>
      <w:pPr>
        <w:autoSpaceDE w:val="0"/>
        <w:autoSpaceDN w:val="0"/>
        <w:adjustRightInd w:val="0"/>
        <w:snapToGrid w:val="0"/>
        <w:spacing w:line="360" w:lineRule="auto"/>
        <w:ind w:firstLine="240" w:firstLineChars="100"/>
        <w:rPr>
          <w:rFonts w:ascii="Book Antiqua" w:hAnsi="Book Antiqua"/>
          <w:sz w:val="24"/>
        </w:rPr>
      </w:pPr>
      <w:r>
        <w:rPr>
          <w:rFonts w:ascii="Book Antiqua" w:hAnsi="Book Antiqua"/>
          <w:sz w:val="24"/>
        </w:rPr>
        <w:t>Direct portography was then performed to confirm if the PV system was entirely patent. After the TIPS procedure, patients were treated with intravenous heparin (4000 U/d; Chase Sun Pharma Co. Ltd, Tianjing, China) and oral warfarin (2.5 mg/d; Orion Pharma Co. Ltd, Orionintie, Finland).</w:t>
      </w:r>
    </w:p>
    <w:p>
      <w:pPr>
        <w:autoSpaceDE w:val="0"/>
        <w:autoSpaceDN w:val="0"/>
        <w:adjustRightInd w:val="0"/>
        <w:snapToGrid w:val="0"/>
        <w:spacing w:line="360" w:lineRule="auto"/>
        <w:ind w:firstLine="240" w:firstLineChars="100"/>
        <w:rPr>
          <w:rFonts w:ascii="Book Antiqua" w:hAnsi="Book Antiqua"/>
          <w:sz w:val="24"/>
        </w:rPr>
      </w:pPr>
    </w:p>
    <w:p>
      <w:pPr>
        <w:snapToGrid w:val="0"/>
        <w:spacing w:line="360" w:lineRule="auto"/>
        <w:rPr>
          <w:rFonts w:ascii="Book Antiqua" w:hAnsi="Book Antiqua" w:eastAsia="宋体" w:cs="Times New Roman"/>
          <w:b/>
          <w:bCs/>
          <w:i/>
          <w:iCs/>
          <w:sz w:val="24"/>
        </w:rPr>
      </w:pPr>
      <w:r>
        <w:rPr>
          <w:rFonts w:ascii="Book Antiqua" w:hAnsi="Book Antiqua" w:eastAsia="宋体" w:cs="Times New Roman"/>
          <w:b/>
          <w:bCs/>
          <w:i/>
          <w:iCs/>
          <w:sz w:val="24"/>
        </w:rPr>
        <w:t>Follow-up</w:t>
      </w:r>
    </w:p>
    <w:p>
      <w:pPr>
        <w:snapToGrid w:val="0"/>
        <w:spacing w:line="360" w:lineRule="auto"/>
        <w:rPr>
          <w:rFonts w:ascii="Book Antiqua" w:hAnsi="Book Antiqua"/>
          <w:sz w:val="24"/>
        </w:rPr>
      </w:pPr>
      <w:r>
        <w:rPr>
          <w:rFonts w:ascii="Book Antiqua" w:hAnsi="Book Antiqua"/>
          <w:sz w:val="24"/>
        </w:rPr>
        <w:t xml:space="preserve">Patients underwent baseline duplex sonography on the day after TIPS. The results were compared with subsequent shunt velocities. After TIPS, patients were followed up using the same protocol for each group </w:t>
      </w:r>
      <w:r>
        <w:rPr>
          <w:rFonts w:ascii="Book Antiqua" w:hAnsi="Book Antiqua"/>
          <w:i/>
          <w:iCs/>
          <w:sz w:val="24"/>
        </w:rPr>
        <w:t>via</w:t>
      </w:r>
      <w:r>
        <w:rPr>
          <w:rFonts w:ascii="Book Antiqua" w:hAnsi="Book Antiqua"/>
          <w:sz w:val="24"/>
        </w:rPr>
        <w:t xml:space="preserve"> outpatient visit 1 mo after the procedure and then every 3 mo or whenever needed. Clinical examination, blood chemistry test and assessment of HE were carried out during the follow-up period. Ultrasonography was also performed after TIPS or in case of recurrent bleeding or ascites.</w:t>
      </w:r>
    </w:p>
    <w:p>
      <w:pPr>
        <w:autoSpaceDE w:val="0"/>
        <w:autoSpaceDN w:val="0"/>
        <w:adjustRightInd w:val="0"/>
        <w:snapToGrid w:val="0"/>
        <w:spacing w:line="360" w:lineRule="auto"/>
        <w:ind w:firstLine="240" w:firstLineChars="100"/>
        <w:rPr>
          <w:rFonts w:ascii="Book Antiqua" w:hAnsi="Book Antiqua"/>
          <w:sz w:val="24"/>
        </w:rPr>
      </w:pPr>
      <w:r>
        <w:rPr>
          <w:rFonts w:ascii="Book Antiqua" w:hAnsi="Book Antiqua"/>
          <w:sz w:val="24"/>
        </w:rPr>
        <w:t>Shunt dysfunction or significant recurrent symptoms were used as endpoints for the loss of primary unassisted patency. TIPS angiography was performed in these patients and TIPS revision was made when hemodynamically significant shunt stenosis was &gt; 50% with recurrent variceal bleeding and ascites, and portosystemic pressure gradient was ≥ 15 mmHg without grade III/IV HE (West Haven Criteria)</w:t>
      </w:r>
    </w:p>
    <w:p>
      <w:pPr>
        <w:autoSpaceDE w:val="0"/>
        <w:autoSpaceDN w:val="0"/>
        <w:adjustRightInd w:val="0"/>
        <w:snapToGrid w:val="0"/>
        <w:spacing w:line="360" w:lineRule="auto"/>
        <w:ind w:firstLine="240" w:firstLineChars="100"/>
        <w:rPr>
          <w:rFonts w:ascii="Book Antiqua" w:hAnsi="Book Antiqua"/>
          <w:sz w:val="24"/>
        </w:rPr>
      </w:pPr>
      <w:r>
        <w:rPr>
          <w:rFonts w:ascii="Book Antiqua" w:hAnsi="Book Antiqua"/>
          <w:sz w:val="24"/>
        </w:rPr>
        <w:t>.</w:t>
      </w:r>
    </w:p>
    <w:p>
      <w:pPr>
        <w:snapToGrid w:val="0"/>
        <w:spacing w:line="360" w:lineRule="auto"/>
        <w:rPr>
          <w:rFonts w:ascii="Book Antiqua" w:hAnsi="Book Antiqua" w:eastAsia="宋体" w:cs="Times New Roman"/>
          <w:b/>
          <w:bCs/>
          <w:i/>
          <w:iCs/>
          <w:sz w:val="24"/>
        </w:rPr>
      </w:pPr>
      <w:r>
        <w:rPr>
          <w:rFonts w:ascii="Book Antiqua" w:hAnsi="Book Antiqua" w:eastAsia="宋体" w:cs="Times New Roman"/>
          <w:b/>
          <w:bCs/>
          <w:i/>
          <w:iCs/>
          <w:sz w:val="24"/>
        </w:rPr>
        <w:t>Statistical analysis</w:t>
      </w:r>
    </w:p>
    <w:p>
      <w:pPr>
        <w:snapToGrid w:val="0"/>
        <w:spacing w:line="360" w:lineRule="auto"/>
        <w:rPr>
          <w:rFonts w:ascii="Book Antiqua" w:hAnsi="Book Antiqua"/>
          <w:sz w:val="24"/>
        </w:rPr>
      </w:pPr>
      <w:r>
        <w:rPr>
          <w:rFonts w:ascii="Book Antiqua" w:hAnsi="Book Antiqua"/>
          <w:sz w:val="24"/>
        </w:rPr>
        <w:t xml:space="preserve">Results are expressed as mean ± SD. Patency time was calculated by the Kaplan–Meier method, and the median time was compared by the log-rank test. Variables were subjected to logistic regression analysis. Differences between the groups were compared using one-way analysis of variance and least significant difference </w:t>
      </w:r>
      <w:r>
        <w:rPr>
          <w:rFonts w:ascii="Book Antiqua" w:hAnsi="Book Antiqua"/>
          <w:i/>
          <w:sz w:val="24"/>
        </w:rPr>
        <w:t>t</w:t>
      </w:r>
      <w:r>
        <w:rPr>
          <w:rFonts w:ascii="Book Antiqua" w:hAnsi="Book Antiqua"/>
          <w:sz w:val="24"/>
        </w:rPr>
        <w:t xml:space="preserve"> test. </w:t>
      </w:r>
      <w:r>
        <w:rPr>
          <w:rFonts w:ascii="Book Antiqua" w:hAnsi="Book Antiqua"/>
          <w:i/>
          <w:sz w:val="24"/>
        </w:rPr>
        <w:t>P</w:t>
      </w:r>
      <w:r>
        <w:rPr>
          <w:rFonts w:ascii="Book Antiqua" w:hAnsi="Book Antiqua"/>
          <w:sz w:val="24"/>
        </w:rPr>
        <w:t xml:space="preserve"> &lt; 0.05 was considered statistically significant. SPSS version 20.0 (SPSS, Chicago, IL, </w:t>
      </w:r>
      <w:r>
        <w:rPr>
          <w:rFonts w:ascii="Book Antiqua" w:hAnsi="Book Antiqua" w:eastAsia="黑体"/>
          <w:sz w:val="24"/>
        </w:rPr>
        <w:t>United States</w:t>
      </w:r>
      <w:r>
        <w:rPr>
          <w:rFonts w:ascii="Book Antiqua" w:hAnsi="Book Antiqua"/>
          <w:sz w:val="24"/>
        </w:rPr>
        <w:t>) was used for the statistical analysis.</w:t>
      </w:r>
    </w:p>
    <w:p>
      <w:pPr>
        <w:snapToGrid w:val="0"/>
        <w:spacing w:line="360" w:lineRule="auto"/>
        <w:rPr>
          <w:rFonts w:ascii="Book Antiqua" w:hAnsi="Book Antiqua" w:cs="Times New Roman"/>
          <w:sz w:val="24"/>
        </w:rPr>
      </w:pPr>
    </w:p>
    <w:p>
      <w:pPr>
        <w:snapToGrid w:val="0"/>
        <w:spacing w:line="360" w:lineRule="auto"/>
        <w:rPr>
          <w:rFonts w:ascii="Book Antiqua" w:hAnsi="Book Antiqua" w:eastAsia="宋体" w:cs="Times New Roman"/>
          <w:b/>
          <w:bCs/>
          <w:iCs/>
          <w:sz w:val="24"/>
        </w:rPr>
      </w:pPr>
      <w:r>
        <w:rPr>
          <w:rFonts w:ascii="Book Antiqua" w:hAnsi="Book Antiqua" w:eastAsia="宋体" w:cs="Times New Roman"/>
          <w:b/>
          <w:bCs/>
          <w:iCs/>
          <w:sz w:val="24"/>
        </w:rPr>
        <w:t>RESULTS</w:t>
      </w:r>
    </w:p>
    <w:p>
      <w:pPr>
        <w:snapToGrid w:val="0"/>
        <w:spacing w:line="360" w:lineRule="auto"/>
        <w:rPr>
          <w:rFonts w:ascii="Book Antiqua" w:hAnsi="Book Antiqua"/>
          <w:sz w:val="24"/>
        </w:rPr>
      </w:pPr>
      <w:r>
        <w:rPr>
          <w:rFonts w:ascii="Book Antiqua" w:hAnsi="Book Antiqua"/>
          <w:sz w:val="24"/>
        </w:rPr>
        <w:t>Between January 2010 and January 2016, there were 289 patients with cirrhosis with no prior splenectomy in group A, and 197 patients with cirrhosis who underwent splenectomy in group B. The etiology, clinical presentations, age, sex and severity of cirrhosis did not differ significantly (Table 1). In group A, the incidence of PVT was 11.0% (65/289). In group B, the incidence of PVT was 44.2% (87/197). The distribution of patients is shown in Figure 1. The incidence of PVT in group B was higher than in group A, and the difference was significant between the two groups (</w:t>
      </w:r>
      <w:r>
        <w:rPr>
          <w:rFonts w:ascii="Book Antiqua" w:hAnsi="Book Antiqua"/>
          <w:i/>
          <w:iCs/>
          <w:sz w:val="24"/>
        </w:rPr>
        <w:t>P</w:t>
      </w:r>
      <w:r>
        <w:rPr>
          <w:rFonts w:ascii="Book Antiqua" w:hAnsi="Book Antiqua"/>
          <w:sz w:val="24"/>
        </w:rPr>
        <w:t xml:space="preserve"> = 0.003). </w:t>
      </w:r>
    </w:p>
    <w:p>
      <w:pPr>
        <w:snapToGrid w:val="0"/>
        <w:spacing w:line="360" w:lineRule="auto"/>
        <w:ind w:firstLine="240" w:firstLineChars="0"/>
        <w:rPr>
          <w:rFonts w:ascii="Book Antiqua" w:hAnsi="Book Antiqua"/>
          <w:sz w:val="24"/>
        </w:rPr>
      </w:pPr>
      <w:r>
        <w:rPr>
          <w:rFonts w:ascii="Book Antiqua" w:hAnsi="Book Antiqua"/>
          <w:sz w:val="24"/>
        </w:rPr>
        <w:t>Of the 289 patients in group A, 255 (88.2%) cases had technically successful TIPS compared with 144 (73.1%) cases in group B. TIPS technical success rate in group A was higher than in group B (</w:t>
      </w:r>
      <w:r>
        <w:rPr>
          <w:rFonts w:ascii="Book Antiqua" w:hAnsi="Book Antiqua"/>
          <w:i/>
          <w:iCs/>
          <w:sz w:val="24"/>
        </w:rPr>
        <w:t>P</w:t>
      </w:r>
      <w:r>
        <w:rPr>
          <w:rFonts w:ascii="Book Antiqua" w:hAnsi="Book Antiqua"/>
          <w:sz w:val="24"/>
        </w:rPr>
        <w:t xml:space="preserve"> = 0.016). No patient died of severe procedure-related complications within 30 d after TIPS (Figure 2). After TIPS, the mean portosystemic pressure gradient decreased from 32.43 ± 6.64 to 11.15 ± 1.20 mmHg in group A (</w:t>
      </w:r>
      <w:r>
        <w:rPr>
          <w:rFonts w:ascii="Book Antiqua" w:hAnsi="Book Antiqua"/>
          <w:i/>
          <w:iCs/>
          <w:sz w:val="24"/>
        </w:rPr>
        <w:t>P</w:t>
      </w:r>
      <w:r>
        <w:rPr>
          <w:rFonts w:ascii="Book Antiqua" w:hAnsi="Book Antiqua"/>
          <w:sz w:val="24"/>
        </w:rPr>
        <w:t xml:space="preserve"> = 0.027), and 31.90 ± 4.63 to 10.79 ± 1.18 mmHg in group B (</w:t>
      </w:r>
      <w:r>
        <w:rPr>
          <w:rFonts w:ascii="Book Antiqua" w:hAnsi="Book Antiqua"/>
          <w:i/>
          <w:iCs/>
          <w:sz w:val="24"/>
        </w:rPr>
        <w:t>P</w:t>
      </w:r>
      <w:r>
        <w:rPr>
          <w:rFonts w:ascii="Book Antiqua" w:hAnsi="Book Antiqua"/>
          <w:sz w:val="24"/>
        </w:rPr>
        <w:t xml:space="preserve"> = 0.025). There were significant differences before and after TIPS (</w:t>
      </w:r>
      <w:r>
        <w:rPr>
          <w:rFonts w:ascii="Book Antiqua" w:hAnsi="Book Antiqua"/>
          <w:i/>
          <w:iCs/>
          <w:sz w:val="24"/>
        </w:rPr>
        <w:t>P</w:t>
      </w:r>
      <w:r>
        <w:rPr>
          <w:rFonts w:ascii="Book Antiqua" w:hAnsi="Book Antiqua"/>
          <w:sz w:val="24"/>
        </w:rPr>
        <w:t xml:space="preserve"> &lt; 0.05), but there was no difference before and after TIPS between the two groups (</w:t>
      </w:r>
      <w:r>
        <w:rPr>
          <w:rFonts w:ascii="Book Antiqua" w:hAnsi="Book Antiqua"/>
          <w:i/>
          <w:iCs/>
          <w:sz w:val="24"/>
        </w:rPr>
        <w:t>P</w:t>
      </w:r>
      <w:r>
        <w:rPr>
          <w:rFonts w:ascii="Book Antiqua" w:hAnsi="Book Antiqua"/>
          <w:sz w:val="24"/>
        </w:rPr>
        <w:t xml:space="preserve"> = 0.447, </w:t>
      </w:r>
      <w:r>
        <w:rPr>
          <w:rFonts w:ascii="Book Antiqua" w:hAnsi="Book Antiqua"/>
          <w:i/>
          <w:iCs/>
          <w:sz w:val="24"/>
        </w:rPr>
        <w:t>P</w:t>
      </w:r>
      <w:r>
        <w:rPr>
          <w:rFonts w:ascii="Book Antiqua" w:hAnsi="Book Antiqua"/>
          <w:sz w:val="24"/>
        </w:rPr>
        <w:t xml:space="preserve"> = 0.605, respectively) (Table 2).</w:t>
      </w:r>
    </w:p>
    <w:p>
      <w:pPr>
        <w:snapToGrid w:val="0"/>
        <w:spacing w:line="360" w:lineRule="auto"/>
        <w:ind w:firstLine="240" w:firstLineChars="100"/>
        <w:rPr>
          <w:rFonts w:ascii="Book Antiqua" w:hAnsi="Book Antiqua"/>
          <w:sz w:val="24"/>
        </w:rPr>
      </w:pPr>
      <w:r>
        <w:rPr>
          <w:rFonts w:ascii="Book Antiqua" w:hAnsi="Book Antiqua"/>
          <w:sz w:val="24"/>
        </w:rPr>
        <w:t>The primary patency rate for group A was 97.6% at 3 mo, 88.6% at 6 mo, 84.3% at 9 mo, 69.4% at 12 mo, 51.0% at 2 years and 30.6% at 3 years. In group B, the patency rate was 88.1% at 3 mo, 78.7% at 6 mo, 68.1% at 9 mo, 45.1% at 12 mo, 26.4% at 2 years and 12.5% at 3 years. Compared with the two groups, there were significant statistical differences at the time 3 mo, 6 mo, 9 mo, 12 mo, 2 year and 3 year</w:t>
      </w:r>
      <w:r>
        <w:rPr>
          <w:rFonts w:ascii="Book Antiqua" w:hAnsi="Book Antiqua" w:eastAsia="黑体"/>
          <w:sz w:val="24"/>
        </w:rPr>
        <w:t xml:space="preserve"> (</w:t>
      </w:r>
      <w:r>
        <w:rPr>
          <w:rFonts w:ascii="Book Antiqua" w:hAnsi="Book Antiqua" w:eastAsia="黑体"/>
          <w:i/>
          <w:iCs/>
          <w:sz w:val="24"/>
        </w:rPr>
        <w:t>P</w:t>
      </w:r>
      <w:r>
        <w:rPr>
          <w:rFonts w:ascii="Book Antiqua" w:hAnsi="Book Antiqua" w:eastAsia="黑体"/>
          <w:sz w:val="24"/>
        </w:rPr>
        <w:t xml:space="preserve"> = 0.006, </w:t>
      </w:r>
      <w:r>
        <w:rPr>
          <w:rFonts w:ascii="Book Antiqua" w:hAnsi="Book Antiqua" w:eastAsia="黑体"/>
          <w:i/>
          <w:iCs/>
          <w:sz w:val="24"/>
        </w:rPr>
        <w:t>P</w:t>
      </w:r>
      <w:r>
        <w:rPr>
          <w:rFonts w:ascii="Book Antiqua" w:hAnsi="Book Antiqua" w:eastAsia="黑体"/>
          <w:sz w:val="24"/>
        </w:rPr>
        <w:t xml:space="preserve"> = 0.011, </w:t>
      </w:r>
      <w:r>
        <w:rPr>
          <w:rFonts w:ascii="Book Antiqua" w:hAnsi="Book Antiqua" w:eastAsia="黑体"/>
          <w:i/>
          <w:iCs/>
          <w:sz w:val="24"/>
        </w:rPr>
        <w:t>P</w:t>
      </w:r>
      <w:r>
        <w:rPr>
          <w:rFonts w:ascii="Book Antiqua" w:hAnsi="Book Antiqua" w:eastAsia="黑体"/>
          <w:sz w:val="24"/>
        </w:rPr>
        <w:t xml:space="preserve"> = 0.023, </w:t>
      </w:r>
      <w:r>
        <w:rPr>
          <w:rFonts w:ascii="Book Antiqua" w:hAnsi="Book Antiqua" w:eastAsia="黑体"/>
          <w:i/>
          <w:iCs/>
          <w:sz w:val="24"/>
        </w:rPr>
        <w:t>P</w:t>
      </w:r>
      <w:r>
        <w:rPr>
          <w:rFonts w:ascii="Book Antiqua" w:hAnsi="Book Antiqua" w:eastAsia="黑体"/>
          <w:sz w:val="24"/>
        </w:rPr>
        <w:t xml:space="preserve"> = 0.032, </w:t>
      </w:r>
      <w:r>
        <w:rPr>
          <w:rFonts w:ascii="Book Antiqua" w:hAnsi="Book Antiqua" w:eastAsia="黑体"/>
          <w:i/>
          <w:iCs/>
          <w:sz w:val="24"/>
        </w:rPr>
        <w:t>P</w:t>
      </w:r>
      <w:r>
        <w:rPr>
          <w:rFonts w:ascii="Book Antiqua" w:hAnsi="Book Antiqua" w:eastAsia="黑体"/>
          <w:sz w:val="24"/>
        </w:rPr>
        <w:t xml:space="preserve"> = 0.037, </w:t>
      </w:r>
      <w:r>
        <w:rPr>
          <w:rFonts w:ascii="Book Antiqua" w:hAnsi="Book Antiqua" w:eastAsia="黑体"/>
          <w:i/>
          <w:iCs/>
          <w:sz w:val="24"/>
        </w:rPr>
        <w:t>P</w:t>
      </w:r>
      <w:r>
        <w:rPr>
          <w:rFonts w:ascii="Book Antiqua" w:hAnsi="Book Antiqua" w:eastAsia="黑体"/>
          <w:sz w:val="24"/>
        </w:rPr>
        <w:t xml:space="preserve"> = 0.028, respectively).</w:t>
      </w:r>
      <w:r>
        <w:rPr>
          <w:rFonts w:ascii="Book Antiqua" w:hAnsi="Book Antiqua"/>
          <w:sz w:val="24"/>
        </w:rPr>
        <w:t xml:space="preserve"> The median patency time of the total 3 years was 12 mo in group A (95% confidence interval (CI): 10-14) and 4 mo in group B (95% CI: 3-6), and a significant difference was observed in stent dysfunction times between groups A and B (</w:t>
      </w:r>
      <w:r>
        <w:rPr>
          <w:rFonts w:ascii="Book Antiqua" w:hAnsi="Book Antiqua"/>
          <w:i/>
          <w:iCs/>
          <w:sz w:val="24"/>
        </w:rPr>
        <w:t>P</w:t>
      </w:r>
      <w:r>
        <w:rPr>
          <w:rFonts w:ascii="Book Antiqua" w:hAnsi="Book Antiqua"/>
          <w:sz w:val="24"/>
        </w:rPr>
        <w:t xml:space="preserve"> = 0.009, log-rank test) (Table 3).</w:t>
      </w:r>
    </w:p>
    <w:p>
      <w:pPr>
        <w:snapToGrid w:val="0"/>
        <w:spacing w:line="360" w:lineRule="auto"/>
        <w:ind w:firstLine="240" w:firstLineChars="100"/>
        <w:rPr>
          <w:rFonts w:ascii="Book Antiqua" w:hAnsi="Book Antiqua"/>
          <w:sz w:val="24"/>
        </w:rPr>
      </w:pPr>
      <w:r>
        <w:rPr>
          <w:rFonts w:ascii="Book Antiqua" w:hAnsi="Book Antiqua"/>
          <w:sz w:val="24"/>
        </w:rPr>
        <w:t>Total shunt malfunction occurred 378 times of 289 patients in group A and 419 times of 197 patients in group B. There was a significant difference in stent dysfunction times between groups A and B (</w:t>
      </w:r>
      <w:r>
        <w:rPr>
          <w:rFonts w:ascii="Book Antiqua" w:hAnsi="Book Antiqua"/>
          <w:i/>
          <w:iCs/>
          <w:sz w:val="24"/>
        </w:rPr>
        <w:t>P</w:t>
      </w:r>
      <w:r>
        <w:rPr>
          <w:rFonts w:ascii="Book Antiqua" w:hAnsi="Book Antiqua"/>
          <w:sz w:val="24"/>
        </w:rPr>
        <w:t xml:space="preserve"> = 0.006, log-rank test). The patients with stent dysfunction underwent balloon dilation. After stent revision, their symptoms disappeared.</w:t>
      </w:r>
    </w:p>
    <w:p>
      <w:pPr>
        <w:snapToGrid w:val="0"/>
        <w:spacing w:line="360" w:lineRule="auto"/>
        <w:ind w:firstLine="240" w:firstLineChars="100"/>
        <w:rPr>
          <w:rFonts w:ascii="Book Antiqua" w:hAnsi="Book Antiqua"/>
          <w:sz w:val="24"/>
        </w:rPr>
      </w:pPr>
      <w:r>
        <w:rPr>
          <w:rFonts w:ascii="Book Antiqua" w:hAnsi="Book Antiqua"/>
          <w:sz w:val="24"/>
        </w:rPr>
        <w:t xml:space="preserve">Incidence of recurrent bleeding (Table 4) and ascites (Table 5) in group B was higher than in group A at 3 mo (14.6% </w:t>
      </w:r>
      <w:r>
        <w:rPr>
          <w:rFonts w:ascii="Book Antiqua" w:hAnsi="Book Antiqua"/>
          <w:i/>
          <w:iCs/>
          <w:sz w:val="24"/>
        </w:rPr>
        <w:t>vs</w:t>
      </w:r>
      <w:r>
        <w:rPr>
          <w:rFonts w:ascii="Book Antiqua" w:hAnsi="Book Antiqua"/>
          <w:sz w:val="24"/>
        </w:rPr>
        <w:t xml:space="preserve"> 5.1%, </w:t>
      </w:r>
      <w:r>
        <w:rPr>
          <w:rFonts w:ascii="Book Antiqua" w:hAnsi="Book Antiqua"/>
          <w:i/>
          <w:iCs/>
          <w:sz w:val="24"/>
        </w:rPr>
        <w:t xml:space="preserve">P </w:t>
      </w:r>
      <w:r>
        <w:rPr>
          <w:rFonts w:ascii="Book Antiqua" w:hAnsi="Book Antiqua"/>
          <w:sz w:val="24"/>
        </w:rPr>
        <w:t xml:space="preserve">≤ 0.001; 16.7% </w:t>
      </w:r>
      <w:r>
        <w:rPr>
          <w:rFonts w:ascii="Book Antiqua" w:hAnsi="Book Antiqua"/>
          <w:i/>
          <w:iCs/>
          <w:sz w:val="24"/>
        </w:rPr>
        <w:t>vs</w:t>
      </w:r>
      <w:r>
        <w:rPr>
          <w:rFonts w:ascii="Book Antiqua" w:hAnsi="Book Antiqua"/>
          <w:sz w:val="24"/>
        </w:rPr>
        <w:t xml:space="preserve"> 5.9%, </w:t>
      </w:r>
      <w:r>
        <w:rPr>
          <w:rFonts w:ascii="Book Antiqua" w:hAnsi="Book Antiqua"/>
          <w:i/>
          <w:iCs/>
          <w:sz w:val="24"/>
        </w:rPr>
        <w:t>P</w:t>
      </w:r>
      <w:r>
        <w:rPr>
          <w:rFonts w:ascii="Book Antiqua" w:hAnsi="Book Antiqua"/>
          <w:sz w:val="24"/>
        </w:rPr>
        <w:t xml:space="preserve"> = 0.001), 6 mo (25.7% </w:t>
      </w:r>
      <w:r>
        <w:rPr>
          <w:rFonts w:ascii="Book Antiqua" w:hAnsi="Book Antiqua"/>
          <w:i/>
          <w:iCs/>
          <w:sz w:val="24"/>
        </w:rPr>
        <w:t>vs</w:t>
      </w:r>
      <w:r>
        <w:rPr>
          <w:rFonts w:ascii="Book Antiqua" w:hAnsi="Book Antiqua"/>
          <w:sz w:val="24"/>
        </w:rPr>
        <w:t xml:space="preserve"> 9.8%, </w:t>
      </w:r>
      <w:r>
        <w:rPr>
          <w:rFonts w:ascii="Book Antiqua" w:hAnsi="Book Antiqua"/>
          <w:i/>
          <w:iCs/>
          <w:sz w:val="24"/>
        </w:rPr>
        <w:t>P</w:t>
      </w:r>
      <w:r>
        <w:rPr>
          <w:rFonts w:ascii="Book Antiqua" w:hAnsi="Book Antiqua"/>
          <w:sz w:val="24"/>
        </w:rPr>
        <w:t xml:space="preserve"> = 0.003; 24.3% </w:t>
      </w:r>
      <w:r>
        <w:rPr>
          <w:rFonts w:ascii="Book Antiqua" w:hAnsi="Book Antiqua"/>
          <w:i/>
          <w:iCs/>
          <w:sz w:val="24"/>
        </w:rPr>
        <w:t>vs</w:t>
      </w:r>
      <w:r>
        <w:rPr>
          <w:rFonts w:ascii="Book Antiqua" w:hAnsi="Book Antiqua"/>
          <w:sz w:val="24"/>
        </w:rPr>
        <w:t xml:space="preserve"> 10.2%, </w:t>
      </w:r>
      <w:r>
        <w:rPr>
          <w:rFonts w:ascii="Book Antiqua" w:hAnsi="Book Antiqua"/>
          <w:i/>
          <w:iCs/>
          <w:sz w:val="24"/>
        </w:rPr>
        <w:t>P</w:t>
      </w:r>
      <w:r>
        <w:rPr>
          <w:rFonts w:ascii="Book Antiqua" w:hAnsi="Book Antiqua"/>
          <w:sz w:val="24"/>
        </w:rPr>
        <w:t xml:space="preserve"> = 0.005), 9 mo </w:t>
      </w:r>
      <w:r>
        <w:rPr>
          <w:rFonts w:ascii="Book Antiqua" w:hAnsi="Book Antiqua" w:eastAsia="黑体"/>
          <w:sz w:val="24"/>
        </w:rPr>
        <w:t xml:space="preserve">(29.8% </w:t>
      </w:r>
      <w:r>
        <w:rPr>
          <w:rFonts w:ascii="Book Antiqua" w:hAnsi="Book Antiqua" w:eastAsia="黑体"/>
          <w:i/>
          <w:iCs/>
          <w:sz w:val="24"/>
        </w:rPr>
        <w:t>vs</w:t>
      </w:r>
      <w:r>
        <w:rPr>
          <w:rFonts w:ascii="Book Antiqua" w:hAnsi="Book Antiqua" w:eastAsia="黑体"/>
          <w:sz w:val="24"/>
        </w:rPr>
        <w:t xml:space="preserve"> 15.3%, </w:t>
      </w:r>
      <w:r>
        <w:rPr>
          <w:rFonts w:ascii="Book Antiqua" w:hAnsi="Book Antiqua" w:eastAsia="黑体"/>
          <w:i/>
          <w:iCs/>
          <w:sz w:val="24"/>
        </w:rPr>
        <w:t>P</w:t>
      </w:r>
      <w:r>
        <w:rPr>
          <w:rFonts w:ascii="Book Antiqua" w:hAnsi="Book Antiqua" w:eastAsia="黑体"/>
          <w:sz w:val="24"/>
        </w:rPr>
        <w:t xml:space="preserve"> = 0.005; 35.4% </w:t>
      </w:r>
      <w:r>
        <w:rPr>
          <w:rFonts w:ascii="Book Antiqua" w:hAnsi="Book Antiqua" w:eastAsia="黑体"/>
          <w:i/>
          <w:iCs/>
          <w:sz w:val="24"/>
        </w:rPr>
        <w:t>vs</w:t>
      </w:r>
      <w:r>
        <w:rPr>
          <w:rFonts w:ascii="Book Antiqua" w:hAnsi="Book Antiqua" w:eastAsia="黑体"/>
          <w:sz w:val="24"/>
        </w:rPr>
        <w:t xml:space="preserve"> 20.0%, </w:t>
      </w:r>
      <w:r>
        <w:rPr>
          <w:rFonts w:ascii="Book Antiqua" w:hAnsi="Book Antiqua" w:eastAsia="黑体"/>
          <w:i/>
          <w:iCs/>
          <w:sz w:val="24"/>
        </w:rPr>
        <w:t>P</w:t>
      </w:r>
      <w:r>
        <w:rPr>
          <w:rFonts w:ascii="Book Antiqua" w:hAnsi="Book Antiqua" w:eastAsia="黑体"/>
          <w:sz w:val="24"/>
        </w:rPr>
        <w:t xml:space="preserve"> = 0.012), 12 mo (39.6% </w:t>
      </w:r>
      <w:r>
        <w:rPr>
          <w:rFonts w:ascii="Book Antiqua" w:hAnsi="Book Antiqua" w:eastAsia="黑体"/>
          <w:i/>
          <w:iCs/>
          <w:sz w:val="24"/>
        </w:rPr>
        <w:t>vs</w:t>
      </w:r>
      <w:r>
        <w:rPr>
          <w:rFonts w:ascii="Book Antiqua" w:hAnsi="Book Antiqua" w:eastAsia="黑体"/>
          <w:sz w:val="24"/>
        </w:rPr>
        <w:t xml:space="preserve"> 20.0%, </w:t>
      </w:r>
      <w:r>
        <w:rPr>
          <w:rFonts w:ascii="Book Antiqua" w:hAnsi="Book Antiqua" w:eastAsia="黑体"/>
          <w:i/>
          <w:iCs/>
          <w:sz w:val="24"/>
        </w:rPr>
        <w:t>P</w:t>
      </w:r>
      <w:r>
        <w:rPr>
          <w:rFonts w:ascii="Book Antiqua" w:hAnsi="Book Antiqua" w:eastAsia="黑体"/>
          <w:sz w:val="24"/>
        </w:rPr>
        <w:t xml:space="preserve"> = 0.008; 43.8% </w:t>
      </w:r>
      <w:r>
        <w:rPr>
          <w:rFonts w:ascii="Book Antiqua" w:hAnsi="Book Antiqua" w:eastAsia="黑体"/>
          <w:i/>
          <w:iCs/>
          <w:sz w:val="24"/>
        </w:rPr>
        <w:t>vs</w:t>
      </w:r>
      <w:r>
        <w:rPr>
          <w:rFonts w:ascii="Book Antiqua" w:hAnsi="Book Antiqua" w:eastAsia="黑体"/>
          <w:sz w:val="24"/>
        </w:rPr>
        <w:t xml:space="preserve"> 34.1%, </w:t>
      </w:r>
      <w:r>
        <w:rPr>
          <w:rFonts w:ascii="Book Antiqua" w:hAnsi="Book Antiqua" w:eastAsia="黑体"/>
          <w:i/>
          <w:iCs/>
          <w:sz w:val="24"/>
        </w:rPr>
        <w:t>P</w:t>
      </w:r>
      <w:r>
        <w:rPr>
          <w:rFonts w:ascii="Book Antiqua" w:hAnsi="Book Antiqua" w:eastAsia="黑体"/>
          <w:sz w:val="24"/>
        </w:rPr>
        <w:t xml:space="preserve"> = 0.024), 2 years (45.1% </w:t>
      </w:r>
      <w:r>
        <w:rPr>
          <w:rFonts w:ascii="Book Antiqua" w:hAnsi="Book Antiqua" w:eastAsia="黑体"/>
          <w:i/>
          <w:iCs/>
          <w:sz w:val="24"/>
        </w:rPr>
        <w:t>vs</w:t>
      </w:r>
      <w:r>
        <w:rPr>
          <w:rFonts w:ascii="Book Antiqua" w:hAnsi="Book Antiqua" w:eastAsia="黑体"/>
          <w:sz w:val="24"/>
        </w:rPr>
        <w:t xml:space="preserve"> 29.0%, </w:t>
      </w:r>
      <w:r>
        <w:rPr>
          <w:rFonts w:ascii="Book Antiqua" w:hAnsi="Book Antiqua" w:eastAsia="黑体"/>
          <w:i/>
          <w:iCs/>
          <w:sz w:val="24"/>
        </w:rPr>
        <w:t>P</w:t>
      </w:r>
      <w:r>
        <w:rPr>
          <w:rFonts w:ascii="Book Antiqua" w:hAnsi="Book Antiqua" w:eastAsia="黑体"/>
          <w:sz w:val="24"/>
        </w:rPr>
        <w:t xml:space="preserve"> = 0.011; 39.6% </w:t>
      </w:r>
      <w:r>
        <w:rPr>
          <w:rFonts w:ascii="Book Antiqua" w:hAnsi="Book Antiqua" w:eastAsia="黑体"/>
          <w:i/>
          <w:iCs/>
          <w:sz w:val="24"/>
        </w:rPr>
        <w:t>vs</w:t>
      </w:r>
      <w:r>
        <w:rPr>
          <w:rFonts w:ascii="Book Antiqua" w:hAnsi="Book Antiqua" w:eastAsia="黑体"/>
          <w:sz w:val="24"/>
        </w:rPr>
        <w:t xml:space="preserve"> 27.8%, </w:t>
      </w:r>
      <w:r>
        <w:rPr>
          <w:rFonts w:ascii="Book Antiqua" w:hAnsi="Book Antiqua" w:eastAsia="黑体"/>
          <w:i/>
          <w:iCs/>
          <w:sz w:val="24"/>
        </w:rPr>
        <w:t>P</w:t>
      </w:r>
      <w:r>
        <w:rPr>
          <w:rFonts w:ascii="Book Antiqua" w:hAnsi="Book Antiqua" w:eastAsia="黑体"/>
          <w:sz w:val="24"/>
        </w:rPr>
        <w:t xml:space="preserve"> = 0.018) and 3 years (59.7% </w:t>
      </w:r>
      <w:r>
        <w:rPr>
          <w:rFonts w:ascii="Book Antiqua" w:hAnsi="Book Antiqua" w:eastAsia="黑体"/>
          <w:i/>
          <w:iCs/>
          <w:sz w:val="24"/>
        </w:rPr>
        <w:t>vs</w:t>
      </w:r>
      <w:r>
        <w:rPr>
          <w:rFonts w:ascii="Book Antiqua" w:hAnsi="Book Antiqua" w:eastAsia="黑体"/>
          <w:sz w:val="24"/>
        </w:rPr>
        <w:t xml:space="preserve"> 40.0%, </w:t>
      </w:r>
      <w:r>
        <w:rPr>
          <w:rFonts w:ascii="Book Antiqua" w:hAnsi="Book Antiqua" w:eastAsia="黑体"/>
          <w:i/>
          <w:iCs/>
          <w:sz w:val="24"/>
        </w:rPr>
        <w:t>P</w:t>
      </w:r>
      <w:r>
        <w:rPr>
          <w:rFonts w:ascii="Book Antiqua" w:hAnsi="Book Antiqua" w:eastAsia="黑体"/>
          <w:sz w:val="24"/>
        </w:rPr>
        <w:t xml:space="preserve"> = 0.016; 56.3% </w:t>
      </w:r>
      <w:r>
        <w:rPr>
          <w:rFonts w:ascii="Book Antiqua" w:hAnsi="Book Antiqua" w:eastAsia="黑体"/>
          <w:i/>
          <w:iCs/>
          <w:sz w:val="24"/>
        </w:rPr>
        <w:t>vs</w:t>
      </w:r>
      <w:r>
        <w:rPr>
          <w:rFonts w:ascii="Book Antiqua" w:hAnsi="Book Antiqua" w:eastAsia="黑体"/>
          <w:sz w:val="24"/>
        </w:rPr>
        <w:t xml:space="preserve"> 40.8%, </w:t>
      </w:r>
      <w:r>
        <w:rPr>
          <w:rFonts w:ascii="Book Antiqua" w:hAnsi="Book Antiqua" w:eastAsia="黑体"/>
          <w:i/>
          <w:iCs/>
          <w:sz w:val="24"/>
        </w:rPr>
        <w:t>P</w:t>
      </w:r>
      <w:r>
        <w:rPr>
          <w:rFonts w:ascii="Book Antiqua" w:hAnsi="Book Antiqua" w:eastAsia="黑体"/>
          <w:sz w:val="24"/>
        </w:rPr>
        <w:t xml:space="preserve"> = 0.017).</w:t>
      </w:r>
    </w:p>
    <w:p>
      <w:pPr>
        <w:snapToGrid w:val="0"/>
        <w:spacing w:line="360" w:lineRule="auto"/>
        <w:ind w:firstLine="240" w:firstLineChars="100"/>
        <w:rPr>
          <w:rFonts w:ascii="Book Antiqua" w:hAnsi="Book Antiqua"/>
          <w:sz w:val="24"/>
        </w:rPr>
      </w:pPr>
      <w:r>
        <w:rPr>
          <w:rFonts w:ascii="Book Antiqua" w:hAnsi="Book Antiqua"/>
          <w:sz w:val="24"/>
        </w:rPr>
        <w:t>The median time to recurrent bleeding was 10 mo in group A (95% CI: 8-12) and 5 mo in group B (95% CI: 4-7). The median time to recurrence of ascites was 11 mo in group A (95% CI: 6-16) and 16 mo in group B (95% CI: 12-19). There were significant differences in median time to recurrent bleeding and ascites between the two groups (</w:t>
      </w:r>
      <w:r>
        <w:rPr>
          <w:rFonts w:ascii="Book Antiqua" w:hAnsi="Book Antiqua"/>
          <w:i/>
          <w:iCs/>
          <w:sz w:val="24"/>
        </w:rPr>
        <w:t>P</w:t>
      </w:r>
      <w:r>
        <w:rPr>
          <w:rFonts w:ascii="Book Antiqua" w:hAnsi="Book Antiqua"/>
          <w:sz w:val="24"/>
        </w:rPr>
        <w:t xml:space="preserve"> = 0.009, </w:t>
      </w:r>
      <w:r>
        <w:rPr>
          <w:rFonts w:ascii="Book Antiqua" w:hAnsi="Book Antiqua"/>
          <w:i/>
          <w:iCs/>
          <w:sz w:val="24"/>
        </w:rPr>
        <w:t>P</w:t>
      </w:r>
      <w:r>
        <w:rPr>
          <w:rFonts w:ascii="Book Antiqua" w:hAnsi="Book Antiqua"/>
          <w:sz w:val="24"/>
        </w:rPr>
        <w:t xml:space="preserve"> ≤ 0.001, log-rank test).</w:t>
      </w:r>
    </w:p>
    <w:p>
      <w:pPr>
        <w:snapToGrid w:val="0"/>
        <w:spacing w:line="360" w:lineRule="auto"/>
        <w:ind w:firstLine="240" w:firstLineChars="100"/>
        <w:rPr>
          <w:rFonts w:ascii="Book Antiqua" w:hAnsi="Book Antiqua"/>
          <w:sz w:val="24"/>
        </w:rPr>
      </w:pPr>
      <w:r>
        <w:rPr>
          <w:rFonts w:ascii="Book Antiqua" w:hAnsi="Book Antiqua"/>
          <w:sz w:val="24"/>
        </w:rPr>
        <w:t xml:space="preserve">During the 3-year follow-up, the 1-year survival rate was 92.9% </w:t>
      </w:r>
      <w:r>
        <w:rPr>
          <w:rFonts w:ascii="Book Antiqua" w:hAnsi="Book Antiqua"/>
          <w:i/>
          <w:iCs/>
          <w:sz w:val="24"/>
        </w:rPr>
        <w:t>versus</w:t>
      </w:r>
      <w:r>
        <w:rPr>
          <w:rFonts w:ascii="Book Antiqua" w:hAnsi="Book Antiqua"/>
          <w:sz w:val="24"/>
        </w:rPr>
        <w:t xml:space="preserve"> 85.4%, 2-year survival rate was 83.9% </w:t>
      </w:r>
      <w:r>
        <w:rPr>
          <w:rFonts w:ascii="Book Antiqua" w:hAnsi="Book Antiqua"/>
          <w:i/>
          <w:iCs/>
          <w:sz w:val="24"/>
        </w:rPr>
        <w:t>versus</w:t>
      </w:r>
      <w:r>
        <w:rPr>
          <w:rFonts w:ascii="Book Antiqua" w:hAnsi="Book Antiqua"/>
          <w:sz w:val="24"/>
        </w:rPr>
        <w:t xml:space="preserve"> 68.1%, and 3-year survival rate was 69.4% </w:t>
      </w:r>
      <w:r>
        <w:rPr>
          <w:rFonts w:ascii="Book Antiqua" w:hAnsi="Book Antiqua"/>
          <w:i/>
          <w:iCs/>
          <w:sz w:val="24"/>
        </w:rPr>
        <w:t>versus</w:t>
      </w:r>
      <w:r>
        <w:rPr>
          <w:rFonts w:ascii="Book Antiqua" w:hAnsi="Book Antiqua"/>
          <w:sz w:val="24"/>
        </w:rPr>
        <w:t xml:space="preserve"> 56.3% in group A and group B. Compared with group B, the 1-, 2-, and 3–year survival rates in group A were longer (</w:t>
      </w:r>
      <w:r>
        <w:rPr>
          <w:rFonts w:ascii="Book Antiqua" w:hAnsi="Book Antiqua"/>
          <w:i/>
          <w:iCs/>
          <w:sz w:val="24"/>
        </w:rPr>
        <w:t>P</w:t>
      </w:r>
      <w:r>
        <w:rPr>
          <w:rFonts w:ascii="Book Antiqua" w:hAnsi="Book Antiqua"/>
          <w:sz w:val="24"/>
        </w:rPr>
        <w:t xml:space="preserve"> = 0.008, </w:t>
      </w:r>
      <w:r>
        <w:rPr>
          <w:rFonts w:ascii="Book Antiqua" w:hAnsi="Book Antiqua"/>
          <w:i/>
          <w:iCs/>
          <w:sz w:val="24"/>
        </w:rPr>
        <w:t>P</w:t>
      </w:r>
      <w:r>
        <w:rPr>
          <w:rFonts w:ascii="Book Antiqua" w:hAnsi="Book Antiqua"/>
          <w:sz w:val="24"/>
        </w:rPr>
        <w:t xml:space="preserve"> = 0.021 and </w:t>
      </w:r>
      <w:r>
        <w:rPr>
          <w:rFonts w:ascii="Book Antiqua" w:hAnsi="Book Antiqua"/>
          <w:i/>
          <w:iCs/>
          <w:sz w:val="24"/>
        </w:rPr>
        <w:t>P</w:t>
      </w:r>
      <w:r>
        <w:rPr>
          <w:rFonts w:ascii="Book Antiqua" w:hAnsi="Book Antiqua"/>
          <w:sz w:val="24"/>
        </w:rPr>
        <w:t xml:space="preserve"> = 0.011, respectively) (Table 6) (Figure 3).</w:t>
      </w:r>
    </w:p>
    <w:p>
      <w:pPr>
        <w:snapToGrid w:val="0"/>
        <w:spacing w:line="360" w:lineRule="auto"/>
        <w:ind w:firstLine="240" w:firstLineChars="100"/>
        <w:rPr>
          <w:rFonts w:ascii="Book Antiqua" w:hAnsi="Book Antiqua"/>
          <w:sz w:val="24"/>
        </w:rPr>
      </w:pPr>
      <w:r>
        <w:rPr>
          <w:rFonts w:ascii="Book Antiqua" w:hAnsi="Book Antiqua"/>
          <w:sz w:val="24"/>
        </w:rPr>
        <w:t>HE occurred in 70 patients in group A and in 35 patients in group B during follow-up with an incidence of 27.5% and 24.3%, respectively. There were no significant differences between the groups (</w:t>
      </w:r>
      <w:r>
        <w:rPr>
          <w:rFonts w:ascii="Book Antiqua" w:hAnsi="Book Antiqua"/>
          <w:i/>
          <w:iCs/>
          <w:sz w:val="24"/>
        </w:rPr>
        <w:t>P</w:t>
      </w:r>
      <w:r>
        <w:rPr>
          <w:rFonts w:ascii="Book Antiqua" w:hAnsi="Book Antiqua"/>
          <w:sz w:val="24"/>
        </w:rPr>
        <w:t xml:space="preserve"> = 0.527). After drug treatment, the symptoms disappeared in patients with grade overt and grade II of HE. In patients with grade III and grade IV of HE, the symptoms disappeared after 18 stents were implanted for shunt reduction.</w:t>
      </w:r>
    </w:p>
    <w:p>
      <w:pPr>
        <w:snapToGrid w:val="0"/>
        <w:spacing w:line="360" w:lineRule="auto"/>
        <w:ind w:firstLine="240" w:firstLineChars="100"/>
        <w:rPr>
          <w:rFonts w:ascii="Book Antiqua" w:hAnsi="Book Antiqua" w:cs="Times New Roman"/>
          <w:sz w:val="24"/>
        </w:rPr>
      </w:pPr>
    </w:p>
    <w:p>
      <w:pPr>
        <w:snapToGrid w:val="0"/>
        <w:spacing w:line="360" w:lineRule="auto"/>
        <w:rPr>
          <w:rFonts w:ascii="Book Antiqua" w:hAnsi="Book Antiqua"/>
          <w:b/>
          <w:bCs/>
          <w:sz w:val="24"/>
        </w:rPr>
      </w:pPr>
      <w:r>
        <w:rPr>
          <w:rFonts w:ascii="Book Antiqua" w:hAnsi="Book Antiqua"/>
          <w:b/>
          <w:bCs/>
          <w:sz w:val="24"/>
        </w:rPr>
        <w:t>DISCUSSION</w:t>
      </w:r>
    </w:p>
    <w:p>
      <w:pPr>
        <w:snapToGrid w:val="0"/>
        <w:spacing w:line="360" w:lineRule="auto"/>
        <w:rPr>
          <w:rFonts w:ascii="Book Antiqua" w:hAnsi="Book Antiqua" w:eastAsia="宋体" w:cs="Times New Roman"/>
          <w:sz w:val="24"/>
        </w:rPr>
      </w:pPr>
      <w:r>
        <w:rPr>
          <w:rFonts w:ascii="Book Antiqua" w:hAnsi="Book Antiqua" w:eastAsia="宋体" w:cs="Times New Roman"/>
          <w:sz w:val="24"/>
        </w:rPr>
        <w:t>Portal hypertension is a consequence of liver cirrhosis; the mechanisms by which it develops are complicated and associated with changes in the vascular architecture of the liver due to fibrosis and regenerative nodules</w:t>
      </w:r>
      <w:r>
        <w:rPr>
          <w:rFonts w:ascii="Book Antiqua" w:hAnsi="Book Antiqua" w:eastAsia="宋体" w:cs="Times New Roman"/>
          <w:sz w:val="24"/>
          <w:vertAlign w:val="superscript"/>
        </w:rPr>
        <w:t>[14]</w:t>
      </w:r>
      <w:r>
        <w:rPr>
          <w:rFonts w:ascii="Book Antiqua" w:hAnsi="Book Antiqua" w:eastAsia="宋体" w:cs="Times New Roman"/>
          <w:sz w:val="24"/>
        </w:rPr>
        <w:t>. Surgical treatments have been designed to prevent many complications. Currently, SPD is the most commonly used method in China</w:t>
      </w:r>
      <w:r>
        <w:rPr>
          <w:rFonts w:ascii="Book Antiqua" w:hAnsi="Book Antiqua" w:eastAsia="宋体" w:cs="Times New Roman"/>
          <w:sz w:val="24"/>
          <w:vertAlign w:val="superscript"/>
        </w:rPr>
        <w:t>[15]</w:t>
      </w:r>
      <w:r>
        <w:rPr>
          <w:rFonts w:ascii="Book Antiqua" w:hAnsi="Book Antiqua" w:eastAsia="宋体" w:cs="Times New Roman"/>
          <w:sz w:val="24"/>
        </w:rPr>
        <w:t>. SPD is one of the common treatment methods for patients with cirrhosis with portal-hypertension-related complications and hypersplenism</w:t>
      </w:r>
      <w:r>
        <w:rPr>
          <w:rFonts w:ascii="Book Antiqua" w:hAnsi="Book Antiqua" w:eastAsia="宋体" w:cs="Times New Roman"/>
          <w:sz w:val="24"/>
          <w:vertAlign w:val="superscript"/>
        </w:rPr>
        <w:t>[16]</w:t>
      </w:r>
      <w:r>
        <w:rPr>
          <w:rFonts w:ascii="Book Antiqua" w:hAnsi="Book Antiqua" w:eastAsia="宋体" w:cs="Times New Roman"/>
          <w:sz w:val="24"/>
        </w:rPr>
        <w:t xml:space="preserve"> and can correct hypersplenism and reduce PV blood flow and pressure within a short period of time</w:t>
      </w:r>
      <w:r>
        <w:rPr>
          <w:rFonts w:ascii="Book Antiqua" w:hAnsi="Book Antiqua" w:eastAsia="宋体" w:cs="Times New Roman"/>
          <w:sz w:val="24"/>
          <w:vertAlign w:val="superscript"/>
        </w:rPr>
        <w:t>[17]</w:t>
      </w:r>
      <w:r>
        <w:rPr>
          <w:rFonts w:ascii="Book Antiqua" w:hAnsi="Book Antiqua" w:eastAsia="宋体" w:cs="Times New Roman"/>
          <w:sz w:val="24"/>
        </w:rPr>
        <w:t>.</w:t>
      </w:r>
    </w:p>
    <w:p>
      <w:pPr>
        <w:autoSpaceDE w:val="0"/>
        <w:autoSpaceDN w:val="0"/>
        <w:adjustRightInd w:val="0"/>
        <w:snapToGrid w:val="0"/>
        <w:spacing w:line="360" w:lineRule="auto"/>
        <w:ind w:firstLine="240" w:firstLineChars="100"/>
        <w:rPr>
          <w:rFonts w:ascii="Book Antiqua" w:hAnsi="Book Antiqua" w:eastAsia="宋体" w:cs="Times New Roman"/>
          <w:sz w:val="24"/>
        </w:rPr>
      </w:pPr>
      <w:r>
        <w:rPr>
          <w:rFonts w:ascii="Book Antiqua" w:hAnsi="Book Antiqua" w:eastAsia="宋体" w:cs="Times New Roman"/>
          <w:sz w:val="24"/>
        </w:rPr>
        <w:t>However, the availability of many treatment methods suggests that no one in particular yields entirely satisfactory outcomes for all patients or in all clinical situations</w:t>
      </w:r>
      <w:r>
        <w:rPr>
          <w:rFonts w:ascii="Book Antiqua" w:hAnsi="Book Antiqua" w:eastAsia="宋体" w:cs="Times New Roman"/>
          <w:sz w:val="24"/>
          <w:vertAlign w:val="superscript"/>
        </w:rPr>
        <w:t>[18]</w:t>
      </w:r>
      <w:r>
        <w:rPr>
          <w:rFonts w:ascii="Book Antiqua" w:hAnsi="Book Antiqua" w:eastAsia="宋体" w:cs="Times New Roman"/>
          <w:sz w:val="24"/>
        </w:rPr>
        <w:t>. Splenectomy in patients with portal hypertension does not resolve the risk of PVT, and it can further aggravate portal hypertension, cause PVT, increase the probability of rebleeding and ultimately affects quality of life</w:t>
      </w:r>
      <w:r>
        <w:rPr>
          <w:rFonts w:ascii="Book Antiqua" w:hAnsi="Book Antiqua" w:eastAsia="宋体" w:cs="Times New Roman"/>
          <w:sz w:val="24"/>
          <w:vertAlign w:val="superscript"/>
        </w:rPr>
        <w:t>[19,20]</w:t>
      </w:r>
      <w:r>
        <w:rPr>
          <w:rFonts w:ascii="Book Antiqua" w:hAnsi="Book Antiqua" w:eastAsia="宋体" w:cs="Times New Roman"/>
          <w:sz w:val="24"/>
        </w:rPr>
        <w:t>. In the study of resection of spleen, reduction of portal venous pressure depends on the splenic venous blood reflux and portal venous shunt. Resection of the communicating branches from the splenic hilus will cause increased portal venous pressure and portal venous thrombosis.</w:t>
      </w:r>
    </w:p>
    <w:p>
      <w:pPr>
        <w:autoSpaceDE w:val="0"/>
        <w:autoSpaceDN w:val="0"/>
        <w:adjustRightInd w:val="0"/>
        <w:snapToGrid w:val="0"/>
        <w:spacing w:line="360" w:lineRule="auto"/>
        <w:ind w:firstLine="240" w:firstLineChars="100"/>
        <w:rPr>
          <w:rFonts w:ascii="Book Antiqua" w:hAnsi="Book Antiqua" w:eastAsia="宋体" w:cs="Times New Roman"/>
          <w:sz w:val="24"/>
        </w:rPr>
      </w:pPr>
      <w:r>
        <w:rPr>
          <w:rFonts w:ascii="Book Antiqua" w:hAnsi="Book Antiqua" w:eastAsia="宋体" w:cs="Times New Roman"/>
          <w:sz w:val="24"/>
        </w:rPr>
        <w:t>The incidence of PVT is mostly 12%-72% after splenectomy or SPD, and the risk factors for PVT after splenectomy have been studied</w:t>
      </w:r>
      <w:r>
        <w:rPr>
          <w:rFonts w:ascii="Book Antiqua" w:hAnsi="Book Antiqua" w:eastAsia="宋体" w:cs="Times New Roman"/>
          <w:sz w:val="24"/>
          <w:vertAlign w:val="superscript"/>
        </w:rPr>
        <w:t>[21,22]</w:t>
      </w:r>
      <w:r>
        <w:rPr>
          <w:rFonts w:ascii="Book Antiqua" w:hAnsi="Book Antiqua" w:eastAsia="宋体" w:cs="Times New Roman"/>
          <w:sz w:val="24"/>
        </w:rPr>
        <w:t>. Patients with portal hypertension were seeking TIPS treatment in our center. However, it has been found that the probability of PVT is significantly increased after splenectomy. This highlights the difficulties in the TIPS procedure, and it also affects the patient prognosis and the effect of liver transplantation. We found that the total incidence of PVT after splenectomy was 44.2%, which was higher in the splenectomy group than that in the group without splenectomy.</w:t>
      </w:r>
    </w:p>
    <w:p>
      <w:pPr>
        <w:autoSpaceDE w:val="0"/>
        <w:autoSpaceDN w:val="0"/>
        <w:adjustRightInd w:val="0"/>
        <w:snapToGrid w:val="0"/>
        <w:spacing w:line="360" w:lineRule="auto"/>
        <w:ind w:firstLine="240" w:firstLineChars="100"/>
        <w:rPr>
          <w:rFonts w:ascii="Book Antiqua" w:hAnsi="Book Antiqua" w:eastAsia="宋体" w:cs="Times New Roman"/>
          <w:sz w:val="24"/>
        </w:rPr>
      </w:pPr>
      <w:r>
        <w:rPr>
          <w:rFonts w:ascii="Book Antiqua" w:hAnsi="Book Antiqua" w:eastAsia="宋体" w:cs="Times New Roman"/>
          <w:sz w:val="24"/>
        </w:rPr>
        <w:t>TIPS creation has been widely used in the treatment of patients with esophageal and gastric variceal bleeding secondary to portal hypertension and has achieved good results</w:t>
      </w:r>
      <w:r>
        <w:rPr>
          <w:rFonts w:ascii="Book Antiqua" w:hAnsi="Book Antiqua" w:eastAsia="宋体" w:cs="Times New Roman"/>
          <w:sz w:val="24"/>
          <w:vertAlign w:val="superscript"/>
        </w:rPr>
        <w:t>[23,24]</w:t>
      </w:r>
      <w:r>
        <w:rPr>
          <w:rFonts w:ascii="Book Antiqua" w:hAnsi="Book Antiqua" w:eastAsia="宋体" w:cs="Times New Roman"/>
          <w:sz w:val="24"/>
        </w:rPr>
        <w:t>. With the improvement of procedure methods and instruments, the incidence of complications after TIPS has greatly decreased. Although being effective in preventing such syndromes, TIPS may cause shunt stenosis or occlusion leading to shunt failure. Stent stenosis and occlusion are the main complications of TIPS placement and cause recurrent bleeding and ascites</w:t>
      </w:r>
      <w:r>
        <w:rPr>
          <w:rFonts w:ascii="Book Antiqua" w:hAnsi="Book Antiqua" w:eastAsia="宋体" w:cs="Times New Roman"/>
          <w:sz w:val="24"/>
          <w:vertAlign w:val="superscript"/>
        </w:rPr>
        <w:t>[25]</w:t>
      </w:r>
      <w:r>
        <w:rPr>
          <w:rFonts w:ascii="Book Antiqua" w:hAnsi="Book Antiqua" w:eastAsia="宋体" w:cs="Times New Roman"/>
          <w:sz w:val="24"/>
        </w:rPr>
        <w:t>.</w:t>
      </w:r>
    </w:p>
    <w:p>
      <w:pPr>
        <w:autoSpaceDE w:val="0"/>
        <w:autoSpaceDN w:val="0"/>
        <w:adjustRightInd w:val="0"/>
        <w:snapToGrid w:val="0"/>
        <w:spacing w:line="360" w:lineRule="auto"/>
        <w:ind w:firstLine="240" w:firstLineChars="100"/>
        <w:rPr>
          <w:rFonts w:ascii="Book Antiqua" w:hAnsi="Book Antiqua" w:eastAsia="宋体" w:cs="Times New Roman"/>
          <w:sz w:val="24"/>
        </w:rPr>
      </w:pPr>
      <w:r>
        <w:rPr>
          <w:rFonts w:ascii="Book Antiqua" w:hAnsi="Book Antiqua" w:eastAsia="宋体" w:cs="Times New Roman"/>
          <w:sz w:val="24"/>
        </w:rPr>
        <w:t>There are multiple causes of thrombosis after splenectomy. It is believed that splenectomy reduces synthesis of coagulation factors in patients with liver cirrhosis, and the scavenging activity of tissue plasminogen activator is decreased resulting in a high blood coagulation state</w:t>
      </w:r>
      <w:r>
        <w:rPr>
          <w:rFonts w:ascii="Book Antiqua" w:hAnsi="Book Antiqua" w:eastAsia="宋体" w:cs="Times New Roman"/>
          <w:sz w:val="24"/>
          <w:vertAlign w:val="superscript"/>
        </w:rPr>
        <w:t>[26]</w:t>
      </w:r>
      <w:r>
        <w:rPr>
          <w:rFonts w:ascii="Book Antiqua" w:hAnsi="Book Antiqua" w:eastAsia="宋体" w:cs="Times New Roman"/>
          <w:sz w:val="24"/>
        </w:rPr>
        <w:t>. In addition, the risk of PVT after splenectomy can be caused by lack of microcirculation, increased blood viscosity, blood stasis induced by splenic vein stump, decreased blind pouch postoperative PV pressure, slower blood flow and platelet count</w:t>
      </w:r>
      <w:r>
        <w:rPr>
          <w:rFonts w:ascii="Book Antiqua" w:hAnsi="Book Antiqua" w:eastAsia="宋体" w:cs="Times New Roman"/>
          <w:sz w:val="24"/>
          <w:vertAlign w:val="superscript"/>
        </w:rPr>
        <w:t>[27,28]</w:t>
      </w:r>
      <w:r>
        <w:rPr>
          <w:rFonts w:ascii="Book Antiqua" w:hAnsi="Book Antiqua" w:eastAsia="宋体" w:cs="Times New Roman"/>
          <w:sz w:val="24"/>
        </w:rPr>
        <w:t>. The presence of these factors can lead to the formation of PVT and have a continuous impact on the PV system despite treatment with TIPS. It is also easy to cause thrombosis in the TIPS shunt and PV system and to cause stenosis or occlusion of the TIPS shunt, and these factors promote each other.</w:t>
      </w:r>
    </w:p>
    <w:p>
      <w:pPr>
        <w:autoSpaceDE w:val="0"/>
        <w:autoSpaceDN w:val="0"/>
        <w:adjustRightInd w:val="0"/>
        <w:snapToGrid w:val="0"/>
        <w:spacing w:line="360" w:lineRule="auto"/>
        <w:ind w:firstLine="240" w:firstLineChars="100"/>
        <w:rPr>
          <w:rFonts w:ascii="Book Antiqua" w:hAnsi="Book Antiqua" w:eastAsia="宋体" w:cs="Times New Roman"/>
          <w:sz w:val="24"/>
        </w:rPr>
      </w:pPr>
      <w:r>
        <w:rPr>
          <w:rFonts w:ascii="Book Antiqua" w:hAnsi="Book Antiqua" w:eastAsia="宋体" w:cs="Times New Roman"/>
          <w:sz w:val="24"/>
        </w:rPr>
        <w:t>PVT can develop in the trunk of the PV, including its right and left intrahepatic branches, or it can originate everywhere in the portal system and may even extend to the splenic or superior mesenteric veins or towards the liver involving the intrahepatic PV branches</w:t>
      </w:r>
      <w:r>
        <w:rPr>
          <w:rFonts w:ascii="Book Antiqua" w:hAnsi="Book Antiqua" w:eastAsia="宋体" w:cs="Times New Roman"/>
          <w:sz w:val="24"/>
          <w:vertAlign w:val="superscript"/>
        </w:rPr>
        <w:t>[29]</w:t>
      </w:r>
      <w:r>
        <w:rPr>
          <w:rFonts w:ascii="Book Antiqua" w:hAnsi="Book Antiqua" w:eastAsia="宋体" w:cs="Times New Roman"/>
          <w:sz w:val="24"/>
        </w:rPr>
        <w:t>. PVT leads to portal hypertension and cavernous transformation of the PV, which causes difficulty with TIPS creation</w:t>
      </w:r>
      <w:r>
        <w:rPr>
          <w:rFonts w:ascii="Book Antiqua" w:hAnsi="Book Antiqua" w:eastAsia="宋体" w:cs="Times New Roman"/>
          <w:sz w:val="24"/>
          <w:vertAlign w:val="superscript"/>
        </w:rPr>
        <w:t>[30]</w:t>
      </w:r>
      <w:r>
        <w:rPr>
          <w:rFonts w:ascii="Book Antiqua" w:hAnsi="Book Antiqua" w:eastAsia="宋体" w:cs="Times New Roman"/>
          <w:sz w:val="24"/>
        </w:rPr>
        <w:t>. Although TIPS has good therapeutic effects on the formation of PVT, the effect of PVT on TIPS stenting is rarely reported.</w:t>
      </w:r>
    </w:p>
    <w:p>
      <w:pPr>
        <w:autoSpaceDE w:val="0"/>
        <w:autoSpaceDN w:val="0"/>
        <w:adjustRightInd w:val="0"/>
        <w:snapToGrid w:val="0"/>
        <w:spacing w:line="360" w:lineRule="auto"/>
        <w:ind w:firstLine="240" w:firstLineChars="100"/>
        <w:rPr>
          <w:rFonts w:ascii="Book Antiqua" w:hAnsi="Book Antiqua" w:eastAsia="宋体" w:cs="Times New Roman"/>
          <w:sz w:val="24"/>
        </w:rPr>
      </w:pPr>
      <w:r>
        <w:rPr>
          <w:rFonts w:ascii="Book Antiqua" w:hAnsi="Book Antiqua" w:eastAsia="宋体" w:cs="Times New Roman"/>
          <w:sz w:val="24"/>
        </w:rPr>
        <w:t>In our study, the incidence of PVT in group A was lower than in group B, and the success rate of TIPS placement was also higher in group A. Our results indicated that PVT easily forms after splenectomy as described previously, and it creates difficulty for treatment with TIPS and other methods. The patency rate after TIPS in group A was higher than in group B, the median unassisted patency time in group A was longer than in group B, and recurrent bleeding and ascites in group A were less than in group B. Our results confirmed that prior splenectomy is an important determinant of shunt patency.</w:t>
      </w:r>
    </w:p>
    <w:p>
      <w:pPr>
        <w:autoSpaceDE w:val="0"/>
        <w:autoSpaceDN w:val="0"/>
        <w:adjustRightInd w:val="0"/>
        <w:snapToGrid w:val="0"/>
        <w:spacing w:line="360" w:lineRule="auto"/>
        <w:ind w:firstLine="240" w:firstLineChars="100"/>
        <w:rPr>
          <w:rFonts w:ascii="Book Antiqua" w:hAnsi="Book Antiqua" w:eastAsia="宋体" w:cs="Times New Roman"/>
          <w:sz w:val="24"/>
        </w:rPr>
      </w:pPr>
      <w:r>
        <w:rPr>
          <w:rFonts w:ascii="Book Antiqua" w:hAnsi="Book Antiqua" w:eastAsia="宋体" w:cs="Times New Roman"/>
          <w:sz w:val="24"/>
        </w:rPr>
        <w:t>It is reported</w:t>
      </w:r>
      <w:r>
        <w:rPr>
          <w:rFonts w:ascii="Book Antiqua" w:hAnsi="Book Antiqua" w:eastAsia="宋体" w:cs="Times New Roman"/>
          <w:sz w:val="24"/>
          <w:vertAlign w:val="superscript"/>
        </w:rPr>
        <w:t>[31]</w:t>
      </w:r>
      <w:r>
        <w:rPr>
          <w:rFonts w:ascii="Book Antiqua" w:hAnsi="Book Antiqua" w:eastAsia="宋体" w:cs="Times New Roman"/>
          <w:sz w:val="24"/>
        </w:rPr>
        <w:t xml:space="preserve"> that after TIPS treatment, hypersplenism is relieved due to decreased PV pressure and splenic blood flow, which can improve quality of life. However, there are still some patients with hypersplenism with no satisfactory outcome of treatments, including partial splenic arterial embolization, which can improve the symptoms of hypersplenism</w:t>
      </w:r>
      <w:r>
        <w:rPr>
          <w:rFonts w:ascii="Book Antiqua" w:hAnsi="Book Antiqua" w:eastAsia="宋体" w:cs="Times New Roman"/>
          <w:sz w:val="24"/>
          <w:vertAlign w:val="superscript"/>
        </w:rPr>
        <w:t>[32,33]</w:t>
      </w:r>
      <w:r>
        <w:rPr>
          <w:rFonts w:ascii="Book Antiqua" w:hAnsi="Book Antiqua" w:eastAsia="宋体" w:cs="Times New Roman"/>
          <w:sz w:val="24"/>
        </w:rPr>
        <w:t>. In patients with cirrhosis who are prone to PVT, which can lead to difficulty with TIPS creation and stent stenosis or occlusion, we suggest that splenectomy should be considered carefully.</w:t>
      </w:r>
    </w:p>
    <w:p>
      <w:pPr>
        <w:autoSpaceDE w:val="0"/>
        <w:autoSpaceDN w:val="0"/>
        <w:adjustRightInd w:val="0"/>
        <w:snapToGrid w:val="0"/>
        <w:spacing w:line="360" w:lineRule="auto"/>
        <w:ind w:firstLine="240" w:firstLineChars="100"/>
        <w:rPr>
          <w:rFonts w:ascii="Book Antiqua" w:hAnsi="Book Antiqua" w:eastAsia="宋体" w:cs="Times New Roman"/>
          <w:sz w:val="24"/>
        </w:rPr>
      </w:pPr>
      <w:r>
        <w:rPr>
          <w:rFonts w:ascii="Book Antiqua" w:hAnsi="Book Antiqua" w:eastAsia="宋体" w:cs="Times New Roman"/>
          <w:sz w:val="24"/>
        </w:rPr>
        <w:t>The present study has some limitations. TIPS was established by the left branch of the intrahepatic PV, which may affect the results of patency rate. This is only a retrospective study. Randomized controlled trials are needed to verify our results.</w:t>
      </w:r>
    </w:p>
    <w:p>
      <w:pPr>
        <w:autoSpaceDE w:val="0"/>
        <w:autoSpaceDN w:val="0"/>
        <w:adjustRightInd w:val="0"/>
        <w:snapToGrid w:val="0"/>
        <w:spacing w:line="360" w:lineRule="auto"/>
        <w:ind w:firstLine="240" w:firstLineChars="100"/>
        <w:rPr>
          <w:rFonts w:ascii="Book Antiqua" w:hAnsi="Book Antiqua" w:eastAsia="宋体" w:cs="Times New Roman"/>
          <w:sz w:val="24"/>
        </w:rPr>
      </w:pPr>
      <w:r>
        <w:rPr>
          <w:rFonts w:ascii="Book Antiqua" w:hAnsi="Book Antiqua" w:eastAsia="宋体" w:cs="Times New Roman"/>
          <w:sz w:val="24"/>
        </w:rPr>
        <w:t>In conclusion, patients with portal hypertension with prior splenectomy had a high incidence of PVT, which is an important determinant of TIPS stent patency and potentially increases the risk of recurrent symptoms associated with shunt stenosis or occlusion. Patients with portal hypertension have the opportunity to avoid splenectomy if they are undergoing TIPS treatment.</w:t>
      </w:r>
    </w:p>
    <w:p>
      <w:pPr>
        <w:snapToGrid w:val="0"/>
        <w:spacing w:line="360" w:lineRule="auto"/>
        <w:rPr>
          <w:rFonts w:ascii="Book Antiqua" w:hAnsi="Book Antiqua" w:cs="Times New Roman"/>
          <w:sz w:val="24"/>
        </w:rPr>
      </w:pPr>
    </w:p>
    <w:p>
      <w:pPr>
        <w:snapToGrid w:val="0"/>
        <w:spacing w:line="360" w:lineRule="auto"/>
        <w:rPr>
          <w:rFonts w:ascii="Book Antiqua" w:hAnsi="Book Antiqua"/>
          <w:b/>
          <w:sz w:val="24"/>
        </w:rPr>
      </w:pPr>
      <w:r>
        <w:rPr>
          <w:rFonts w:ascii="Book Antiqua" w:hAnsi="Book Antiqua"/>
          <w:b/>
          <w:sz w:val="24"/>
        </w:rPr>
        <w:t>ARTICLE HIGHLIGHTS</w:t>
      </w:r>
    </w:p>
    <w:p>
      <w:pPr>
        <w:adjustRightInd w:val="0"/>
        <w:snapToGrid w:val="0"/>
        <w:spacing w:line="360" w:lineRule="auto"/>
        <w:rPr>
          <w:rFonts w:ascii="Book Antiqua" w:hAnsi="Book Antiqua"/>
          <w:b/>
          <w:i/>
          <w:iCs/>
          <w:sz w:val="24"/>
        </w:rPr>
      </w:pPr>
      <w:r>
        <w:rPr>
          <w:rFonts w:ascii="Book Antiqua" w:hAnsi="Book Antiqua"/>
          <w:b/>
          <w:i/>
          <w:iCs/>
          <w:sz w:val="24"/>
        </w:rPr>
        <w:t>Research background</w:t>
      </w:r>
    </w:p>
    <w:p>
      <w:pPr>
        <w:snapToGrid w:val="0"/>
        <w:spacing w:line="360" w:lineRule="auto"/>
        <w:rPr>
          <w:rFonts w:ascii="Book Antiqua" w:hAnsi="Book Antiqua"/>
          <w:sz w:val="24"/>
        </w:rPr>
      </w:pPr>
      <w:r>
        <w:rPr>
          <w:rFonts w:ascii="Book Antiqua" w:hAnsi="Book Antiqua"/>
          <w:sz w:val="24"/>
        </w:rPr>
        <w:t>Splenectomy with pericardial devascularization (SPD) without liver transplantation has been widely accepted for the treatment of cirrhosis in patients with variceal bleeding and secondary hypersplenism in China. However, when compared with other treatments, simple splenectomy and SPD are associated with an increased incidence of postoperative complications, such as portal vein thrombosis (PVT). Transjugular intrahepatic portosystemic shunt (TIPS), as an alternative to surgery, is now commonly used for management of complications of portal hypertension. Patients with SPD had a high incidence of PVT, which can markedly affect TIPS stent patency and increase the risk of recurrent symptoms associated with shunt stenosis or occlusion.</w:t>
      </w:r>
    </w:p>
    <w:p>
      <w:pPr>
        <w:adjustRightInd w:val="0"/>
        <w:snapToGrid w:val="0"/>
        <w:spacing w:line="360" w:lineRule="auto"/>
        <w:rPr>
          <w:rFonts w:ascii="Book Antiqua" w:hAnsi="Book Antiqua"/>
          <w:b/>
          <w:i/>
          <w:sz w:val="24"/>
        </w:rPr>
      </w:pPr>
    </w:p>
    <w:p>
      <w:pPr>
        <w:adjustRightInd w:val="0"/>
        <w:snapToGrid w:val="0"/>
        <w:spacing w:line="360" w:lineRule="auto"/>
        <w:rPr>
          <w:rFonts w:ascii="Book Antiqua" w:hAnsi="Book Antiqua"/>
          <w:b/>
          <w:i/>
          <w:sz w:val="24"/>
        </w:rPr>
      </w:pPr>
      <w:r>
        <w:rPr>
          <w:rFonts w:ascii="Book Antiqua" w:hAnsi="Book Antiqua"/>
          <w:b/>
          <w:i/>
          <w:sz w:val="24"/>
        </w:rPr>
        <w:t>Research motivation</w:t>
      </w:r>
    </w:p>
    <w:p>
      <w:pPr>
        <w:snapToGrid w:val="0"/>
        <w:spacing w:line="360" w:lineRule="auto"/>
        <w:rPr>
          <w:rFonts w:ascii="Book Antiqua" w:hAnsi="Book Antiqua"/>
          <w:sz w:val="24"/>
        </w:rPr>
      </w:pPr>
      <w:r>
        <w:rPr>
          <w:rFonts w:ascii="Book Antiqua" w:hAnsi="Book Antiqua"/>
          <w:sz w:val="24"/>
        </w:rPr>
        <w:t>SPD is one of the common treatment methods used in China for patients with cirrhosis and portal-hypertension-related complications and hypersplenism. It can correct hypersplenism and reduce PV blood flow and pressure within a short period of time. However, it may aggravate the portal hypertension, cause PVT, increase the probability of rebleeding and ultimately affects quality of life. In this study, we evaluated the incidence of PVT after splenectomy and its influence on the patency rate of TIPS in patients with cirrhosis and portal hypertension.</w:t>
      </w:r>
    </w:p>
    <w:p>
      <w:pPr>
        <w:adjustRightInd w:val="0"/>
        <w:snapToGrid w:val="0"/>
        <w:spacing w:line="360" w:lineRule="auto"/>
        <w:rPr>
          <w:rFonts w:ascii="Book Antiqua" w:hAnsi="Book Antiqua"/>
          <w:b/>
          <w:i/>
          <w:sz w:val="24"/>
        </w:rPr>
      </w:pPr>
    </w:p>
    <w:p>
      <w:pPr>
        <w:adjustRightInd w:val="0"/>
        <w:snapToGrid w:val="0"/>
        <w:spacing w:line="360" w:lineRule="auto"/>
        <w:rPr>
          <w:rFonts w:ascii="Book Antiqua" w:hAnsi="Book Antiqua"/>
          <w:b/>
          <w:i/>
          <w:sz w:val="24"/>
        </w:rPr>
      </w:pPr>
      <w:r>
        <w:rPr>
          <w:rFonts w:ascii="Book Antiqua" w:hAnsi="Book Antiqua"/>
          <w:b/>
          <w:i/>
          <w:sz w:val="24"/>
        </w:rPr>
        <w:t>Research objectives</w:t>
      </w:r>
    </w:p>
    <w:p>
      <w:pPr>
        <w:adjustRightInd w:val="0"/>
        <w:snapToGrid w:val="0"/>
        <w:spacing w:line="360" w:lineRule="auto"/>
        <w:rPr>
          <w:rFonts w:ascii="Book Antiqua" w:hAnsi="Book Antiqua"/>
          <w:sz w:val="24"/>
        </w:rPr>
      </w:pPr>
      <w:r>
        <w:rPr>
          <w:rFonts w:ascii="Book Antiqua" w:hAnsi="Book Antiqua"/>
          <w:sz w:val="24"/>
        </w:rPr>
        <w:t>The main objective of this study was to investigate the effects of high incidence of PVT in patients with portal hypertension and prior SPD on the TIPS stent patency and the risk of recurrent symptoms associated with shunt stenosis or occlusion.</w:t>
      </w:r>
    </w:p>
    <w:p>
      <w:pPr>
        <w:adjustRightInd w:val="0"/>
        <w:snapToGrid w:val="0"/>
        <w:spacing w:line="360" w:lineRule="auto"/>
        <w:rPr>
          <w:rFonts w:ascii="Book Antiqua" w:hAnsi="Book Antiqua"/>
          <w:b/>
          <w:i/>
          <w:sz w:val="24"/>
        </w:rPr>
      </w:pPr>
    </w:p>
    <w:p>
      <w:pPr>
        <w:adjustRightInd w:val="0"/>
        <w:snapToGrid w:val="0"/>
        <w:spacing w:line="360" w:lineRule="auto"/>
        <w:rPr>
          <w:rFonts w:ascii="Book Antiqua" w:hAnsi="Book Antiqua"/>
          <w:b/>
          <w:i/>
          <w:sz w:val="24"/>
        </w:rPr>
      </w:pPr>
      <w:r>
        <w:rPr>
          <w:rFonts w:ascii="Book Antiqua" w:hAnsi="Book Antiqua"/>
          <w:b/>
          <w:i/>
          <w:sz w:val="24"/>
        </w:rPr>
        <w:t>Research methods</w:t>
      </w:r>
    </w:p>
    <w:p>
      <w:pPr>
        <w:snapToGrid w:val="0"/>
        <w:spacing w:line="360" w:lineRule="auto"/>
        <w:rPr>
          <w:rFonts w:ascii="Book Antiqua" w:hAnsi="Book Antiqua"/>
          <w:sz w:val="24"/>
        </w:rPr>
      </w:pPr>
      <w:r>
        <w:rPr>
          <w:rFonts w:ascii="Book Antiqua" w:hAnsi="Book Antiqua"/>
          <w:sz w:val="24"/>
        </w:rPr>
        <w:t xml:space="preserve">We conducted a retrospective study to compare the incidence of PVT before TIPS for patients without prior SPD (group A) and those with prior SPD (group B). After TIPS placement, primary patency rate was compared using Kaplan-Meier analysis at 3, 6, 9 and 12 mo, and 2 and 3 years. The clinical outcomes were analyzed. Results are expressed as mean ± SD. Patency time was calculated using the Kaplan-Meier method, and the median time was compared by means of the log-rank test. Logistic regression analysis was performed on the variables. The differences between the groups were compared using one-way analysis of variance followed by least significant difference </w:t>
      </w:r>
      <w:r>
        <w:rPr>
          <w:rFonts w:ascii="Book Antiqua" w:hAnsi="Book Antiqua"/>
          <w:i/>
          <w:iCs/>
          <w:sz w:val="24"/>
        </w:rPr>
        <w:t>t</w:t>
      </w:r>
      <w:r>
        <w:rPr>
          <w:rFonts w:ascii="Book Antiqua" w:hAnsi="Book Antiqua"/>
          <w:sz w:val="24"/>
        </w:rPr>
        <w:t xml:space="preserve"> tests. Differences were considered significant at </w:t>
      </w:r>
      <w:r>
        <w:rPr>
          <w:rFonts w:ascii="Book Antiqua" w:hAnsi="Book Antiqua"/>
          <w:i/>
          <w:iCs/>
          <w:sz w:val="24"/>
        </w:rPr>
        <w:t xml:space="preserve">P </w:t>
      </w:r>
      <w:r>
        <w:rPr>
          <w:rFonts w:ascii="Book Antiqua" w:hAnsi="Book Antiqua"/>
          <w:sz w:val="24"/>
        </w:rPr>
        <w:t>&lt; 0.05. The statistical analysis was performed with SPSS version 20.0 (SPSS, Chicago, IL, United States).</w:t>
      </w:r>
    </w:p>
    <w:p>
      <w:pPr>
        <w:adjustRightInd w:val="0"/>
        <w:snapToGrid w:val="0"/>
        <w:spacing w:line="360" w:lineRule="auto"/>
        <w:rPr>
          <w:rFonts w:ascii="Book Antiqua" w:hAnsi="Book Antiqua"/>
          <w:b/>
          <w:i/>
          <w:sz w:val="24"/>
        </w:rPr>
      </w:pPr>
    </w:p>
    <w:p>
      <w:pPr>
        <w:adjustRightInd w:val="0"/>
        <w:snapToGrid w:val="0"/>
        <w:spacing w:line="360" w:lineRule="auto"/>
        <w:rPr>
          <w:rFonts w:ascii="Book Antiqua" w:hAnsi="Book Antiqua"/>
          <w:b/>
          <w:i/>
          <w:sz w:val="24"/>
        </w:rPr>
      </w:pPr>
      <w:r>
        <w:rPr>
          <w:rFonts w:ascii="Book Antiqua" w:hAnsi="Book Antiqua"/>
          <w:b/>
          <w:i/>
          <w:sz w:val="24"/>
        </w:rPr>
        <w:t>Research results</w:t>
      </w:r>
    </w:p>
    <w:p>
      <w:pPr>
        <w:snapToGrid w:val="0"/>
        <w:spacing w:line="360" w:lineRule="auto"/>
        <w:rPr>
          <w:rFonts w:ascii="Book Antiqua" w:hAnsi="Book Antiqua"/>
          <w:sz w:val="24"/>
        </w:rPr>
      </w:pPr>
      <w:r>
        <w:rPr>
          <w:rFonts w:ascii="Book Antiqua" w:hAnsi="Book Antiqua"/>
          <w:sz w:val="24"/>
        </w:rPr>
        <w:t>The incidence of PVT in group B was higher than in group A, and the difference was significant between the two groups (</w:t>
      </w:r>
      <w:r>
        <w:rPr>
          <w:rFonts w:ascii="Book Antiqua" w:hAnsi="Book Antiqua"/>
          <w:i/>
          <w:iCs/>
          <w:sz w:val="24"/>
        </w:rPr>
        <w:t>P</w:t>
      </w:r>
      <w:r>
        <w:rPr>
          <w:rFonts w:ascii="Book Antiqua" w:hAnsi="Book Antiqua"/>
          <w:sz w:val="24"/>
        </w:rPr>
        <w:t xml:space="preserve"> = 0.003). The success rate of TIPS in group A was higher than in group B, and the primary patency rate in group A tended to be higher than in group B at 3, 6, 9 and 12 mo, 2 years and 3 years. Recurrence of bleeding and ascites rate in group A were lower than in group B at 3 mo, 6 mo, 9 mo, 12 mo, 2 years and 3 years. During the 3-year follow-up, the 1-, 2- and 3-year survival rates in group A were higher than in group B, but there was no difference of the incidence of hepatic encephalopathy.</w:t>
      </w:r>
    </w:p>
    <w:p>
      <w:pPr>
        <w:adjustRightInd w:val="0"/>
        <w:snapToGrid w:val="0"/>
        <w:spacing w:line="360" w:lineRule="auto"/>
        <w:rPr>
          <w:rFonts w:ascii="Book Antiqua" w:hAnsi="Book Antiqua"/>
          <w:b/>
          <w:i/>
          <w:sz w:val="24"/>
        </w:rPr>
      </w:pPr>
    </w:p>
    <w:p>
      <w:pPr>
        <w:adjustRightInd w:val="0"/>
        <w:snapToGrid w:val="0"/>
        <w:spacing w:line="360" w:lineRule="auto"/>
        <w:rPr>
          <w:rFonts w:ascii="Book Antiqua" w:hAnsi="Book Antiqua"/>
          <w:b/>
          <w:i/>
          <w:sz w:val="24"/>
        </w:rPr>
      </w:pPr>
      <w:r>
        <w:rPr>
          <w:rFonts w:ascii="Book Antiqua" w:hAnsi="Book Antiqua"/>
          <w:b/>
          <w:i/>
          <w:sz w:val="24"/>
        </w:rPr>
        <w:t>Research conclusions</w:t>
      </w:r>
    </w:p>
    <w:p>
      <w:pPr>
        <w:adjustRightInd w:val="0"/>
        <w:snapToGrid w:val="0"/>
        <w:spacing w:line="360" w:lineRule="auto"/>
        <w:rPr>
          <w:rFonts w:ascii="Book Antiqua" w:hAnsi="Book Antiqua"/>
          <w:sz w:val="24"/>
        </w:rPr>
      </w:pPr>
      <w:r>
        <w:rPr>
          <w:rFonts w:ascii="Book Antiqua" w:hAnsi="Book Antiqua"/>
          <w:sz w:val="24"/>
        </w:rPr>
        <w:t>Patients with a SPD have a high incidence of PVT, which potentially increases the risk of recurrent symptoms associated with TIPS stenosis or occlusion.</w:t>
      </w:r>
    </w:p>
    <w:p>
      <w:pPr>
        <w:adjustRightInd w:val="0"/>
        <w:snapToGrid w:val="0"/>
        <w:spacing w:line="360" w:lineRule="auto"/>
        <w:rPr>
          <w:rFonts w:ascii="Book Antiqua" w:hAnsi="Book Antiqua"/>
          <w:b/>
          <w:i/>
          <w:sz w:val="24"/>
        </w:rPr>
      </w:pPr>
    </w:p>
    <w:p>
      <w:pPr>
        <w:adjustRightInd w:val="0"/>
        <w:snapToGrid w:val="0"/>
        <w:spacing w:line="360" w:lineRule="auto"/>
        <w:rPr>
          <w:rFonts w:ascii="Book Antiqua" w:hAnsi="Book Antiqua"/>
          <w:b/>
          <w:i/>
          <w:sz w:val="24"/>
        </w:rPr>
      </w:pPr>
      <w:r>
        <w:rPr>
          <w:rFonts w:ascii="Book Antiqua" w:hAnsi="Book Antiqua"/>
          <w:b/>
          <w:i/>
          <w:sz w:val="24"/>
        </w:rPr>
        <w:t>Research perspectives</w:t>
      </w:r>
    </w:p>
    <w:p>
      <w:pPr>
        <w:snapToGrid w:val="0"/>
        <w:spacing w:line="360" w:lineRule="auto"/>
        <w:rPr>
          <w:rFonts w:ascii="Book Antiqua" w:hAnsi="Book Antiqua"/>
          <w:sz w:val="24"/>
        </w:rPr>
      </w:pPr>
      <w:r>
        <w:rPr>
          <w:rFonts w:ascii="Book Antiqua" w:hAnsi="Book Antiqua"/>
          <w:sz w:val="24"/>
        </w:rPr>
        <w:t>This study showed that patients with portal hypertension with prior splenectomy had a high incidence of PVT, which is an important determinant of TIPS stent patency and potentially increases the risk of recurrent symptoms associated with shunt stenosis or occlusion. Patients with portal hypertension may avoid splenectomy when they are undergoing TIPS treatment. However, this is only a retrospective study, and randomized controlled trials are needed to verify our results.</w:t>
      </w:r>
    </w:p>
    <w:p>
      <w:pPr>
        <w:snapToGrid w:val="0"/>
        <w:spacing w:line="360" w:lineRule="auto"/>
        <w:rPr>
          <w:rFonts w:ascii="Book Antiqua" w:hAnsi="Book Antiqua"/>
          <w:b/>
          <w:sz w:val="24"/>
        </w:rPr>
      </w:pPr>
    </w:p>
    <w:p>
      <w:pPr>
        <w:snapToGrid w:val="0"/>
        <w:spacing w:line="360" w:lineRule="auto"/>
        <w:rPr>
          <w:rFonts w:ascii="Book Antiqua" w:hAnsi="Book Antiqua"/>
          <w:b/>
          <w:bCs/>
          <w:kern w:val="0"/>
          <w:sz w:val="24"/>
        </w:rPr>
      </w:pPr>
      <w:r>
        <w:rPr>
          <w:rFonts w:ascii="Book Antiqua" w:hAnsi="Book Antiqua"/>
          <w:b/>
          <w:bCs/>
          <w:kern w:val="0"/>
          <w:sz w:val="24"/>
        </w:rPr>
        <w:t>ACKNOWLEDGEMENTS</w:t>
      </w:r>
    </w:p>
    <w:p>
      <w:pPr>
        <w:snapToGrid w:val="0"/>
        <w:spacing w:line="360" w:lineRule="auto"/>
        <w:rPr>
          <w:rFonts w:ascii="Book Antiqua" w:hAnsi="Book Antiqua"/>
          <w:kern w:val="0"/>
          <w:sz w:val="24"/>
        </w:rPr>
      </w:pPr>
      <w:r>
        <w:rPr>
          <w:rFonts w:ascii="Book Antiqua" w:hAnsi="Book Antiqua"/>
          <w:kern w:val="0"/>
          <w:sz w:val="24"/>
        </w:rPr>
        <w:t>We are grateful to all the patients who were involved in this study and our colleagues in the Department of Radiology of Air Force General Hospital of PLA for their contributions to the data collection.</w:t>
      </w:r>
    </w:p>
    <w:p>
      <w:pPr>
        <w:snapToGrid w:val="0"/>
        <w:spacing w:line="360" w:lineRule="auto"/>
        <w:rPr>
          <w:rFonts w:ascii="Book Antiqua" w:hAnsi="Book Antiqua"/>
          <w:kern w:val="0"/>
          <w:sz w:val="24"/>
        </w:rPr>
      </w:pPr>
    </w:p>
    <w:p>
      <w:pPr>
        <w:widowControl/>
        <w:snapToGrid w:val="0"/>
        <w:spacing w:line="360" w:lineRule="auto"/>
        <w:jc w:val="left"/>
        <w:rPr>
          <w:rFonts w:ascii="Book Antiqua" w:hAnsi="Book Antiqua"/>
          <w:b/>
          <w:sz w:val="24"/>
        </w:rPr>
      </w:pPr>
      <w:r>
        <w:rPr>
          <w:rFonts w:ascii="Book Antiqua" w:hAnsi="Book Antiqua"/>
          <w:b/>
          <w:sz w:val="24"/>
        </w:rPr>
        <w:br w:type="page"/>
      </w:r>
    </w:p>
    <w:p>
      <w:pPr>
        <w:snapToGrid w:val="0"/>
        <w:spacing w:line="360" w:lineRule="auto"/>
        <w:rPr>
          <w:rFonts w:ascii="Book Antiqua" w:hAnsi="Book Antiqua"/>
          <w:b/>
          <w:sz w:val="24"/>
        </w:rPr>
      </w:pPr>
      <w:r>
        <w:rPr>
          <w:rFonts w:ascii="Book Antiqua" w:hAnsi="Book Antiqua"/>
          <w:b/>
          <w:sz w:val="24"/>
        </w:rPr>
        <w:t>REFERENCES</w:t>
      </w:r>
    </w:p>
    <w:p>
      <w:pPr>
        <w:snapToGrid w:val="0"/>
        <w:spacing w:line="360" w:lineRule="auto"/>
        <w:rPr>
          <w:rFonts w:ascii="Book Antiqua" w:hAnsi="Book Antiqua"/>
          <w:sz w:val="24"/>
        </w:rPr>
      </w:pPr>
      <w:r>
        <w:rPr>
          <w:rFonts w:ascii="Book Antiqua" w:hAnsi="Book Antiqua"/>
          <w:sz w:val="24"/>
        </w:rPr>
        <w:t xml:space="preserve">1 </w:t>
      </w:r>
      <w:r>
        <w:rPr>
          <w:rFonts w:ascii="Book Antiqua" w:hAnsi="Book Antiqua"/>
          <w:b/>
          <w:sz w:val="24"/>
        </w:rPr>
        <w:t>Augustin S</w:t>
      </w:r>
      <w:r>
        <w:rPr>
          <w:rFonts w:ascii="Book Antiqua" w:hAnsi="Book Antiqua"/>
          <w:sz w:val="24"/>
        </w:rPr>
        <w:t xml:space="preserve">, Pons M, Maurice JB, Bureau C, Stefanescu H, Ney M, Blasco H, Procopet B, Tsochatzis E, Westbrook RH, Bosch J, Berzigotti A, Abraldes JG, Genescà J. Expanding the Baveno VI criteria for the screening of varices in patients with compensated advanced chronic liver disease. </w:t>
      </w:r>
      <w:r>
        <w:rPr>
          <w:rFonts w:ascii="Book Antiqua" w:hAnsi="Book Antiqua"/>
          <w:i/>
          <w:sz w:val="24"/>
        </w:rPr>
        <w:t>Hepatology</w:t>
      </w:r>
      <w:r>
        <w:rPr>
          <w:rFonts w:ascii="Book Antiqua" w:hAnsi="Book Antiqua"/>
          <w:sz w:val="24"/>
        </w:rPr>
        <w:t xml:space="preserve"> 2017; </w:t>
      </w:r>
      <w:r>
        <w:rPr>
          <w:rFonts w:ascii="Book Antiqua" w:hAnsi="Book Antiqua"/>
          <w:b/>
          <w:sz w:val="24"/>
        </w:rPr>
        <w:t>66</w:t>
      </w:r>
      <w:r>
        <w:rPr>
          <w:rFonts w:ascii="Book Antiqua" w:hAnsi="Book Antiqua"/>
          <w:sz w:val="24"/>
        </w:rPr>
        <w:t>: 1980-1988 [PMID: 28696510 DOI: 10.1002/hep.29363]</w:t>
      </w:r>
    </w:p>
    <w:p>
      <w:pPr>
        <w:snapToGrid w:val="0"/>
        <w:spacing w:line="360" w:lineRule="auto"/>
        <w:rPr>
          <w:rFonts w:ascii="Book Antiqua" w:hAnsi="Book Antiqua"/>
          <w:sz w:val="24"/>
        </w:rPr>
      </w:pPr>
      <w:r>
        <w:rPr>
          <w:rFonts w:ascii="Book Antiqua" w:hAnsi="Book Antiqua"/>
          <w:sz w:val="24"/>
        </w:rPr>
        <w:t xml:space="preserve">2 </w:t>
      </w:r>
      <w:r>
        <w:rPr>
          <w:rFonts w:ascii="Book Antiqua" w:hAnsi="Book Antiqua"/>
          <w:b/>
          <w:sz w:val="24"/>
        </w:rPr>
        <w:t>Berzigotti A</w:t>
      </w:r>
      <w:r>
        <w:rPr>
          <w:rFonts w:ascii="Book Antiqua" w:hAnsi="Book Antiqua"/>
          <w:sz w:val="24"/>
        </w:rPr>
        <w:t xml:space="preserve">. Advances and challenges in cirrhosis and portal hypertension. </w:t>
      </w:r>
      <w:r>
        <w:rPr>
          <w:rFonts w:ascii="Book Antiqua" w:hAnsi="Book Antiqua"/>
          <w:i/>
          <w:sz w:val="24"/>
        </w:rPr>
        <w:t>BMC Med</w:t>
      </w:r>
      <w:r>
        <w:rPr>
          <w:rFonts w:ascii="Book Antiqua" w:hAnsi="Book Antiqua"/>
          <w:sz w:val="24"/>
        </w:rPr>
        <w:t xml:space="preserve"> 2017; </w:t>
      </w:r>
      <w:r>
        <w:rPr>
          <w:rFonts w:ascii="Book Antiqua" w:hAnsi="Book Antiqua"/>
          <w:b/>
          <w:sz w:val="24"/>
        </w:rPr>
        <w:t>15</w:t>
      </w:r>
      <w:r>
        <w:rPr>
          <w:rFonts w:ascii="Book Antiqua" w:hAnsi="Book Antiqua"/>
          <w:sz w:val="24"/>
        </w:rPr>
        <w:t>: 200 [PMID: 29121925 DOI: 10.1186/s12916-017-0966-6]</w:t>
      </w:r>
    </w:p>
    <w:p>
      <w:pPr>
        <w:snapToGrid w:val="0"/>
        <w:spacing w:line="360" w:lineRule="auto"/>
        <w:rPr>
          <w:rFonts w:ascii="Book Antiqua" w:hAnsi="Book Antiqua"/>
          <w:sz w:val="24"/>
        </w:rPr>
      </w:pPr>
      <w:r>
        <w:rPr>
          <w:rFonts w:ascii="Book Antiqua" w:hAnsi="Book Antiqua"/>
          <w:sz w:val="24"/>
        </w:rPr>
        <w:t xml:space="preserve">3 </w:t>
      </w:r>
      <w:r>
        <w:rPr>
          <w:rFonts w:ascii="Book Antiqua" w:hAnsi="Book Antiqua"/>
          <w:b/>
          <w:sz w:val="24"/>
        </w:rPr>
        <w:t>Keller EJ</w:t>
      </w:r>
      <w:r>
        <w:rPr>
          <w:rFonts w:ascii="Book Antiqua" w:hAnsi="Book Antiqua"/>
          <w:sz w:val="24"/>
        </w:rPr>
        <w:t xml:space="preserve">, Kulik L, Stankovic Z, Lewandowski RJ, Salem R, Carr JC, Schnell S, Markl M, Collins JD. JOURNAL CLUB: Four-Dimensional Flow MRI-Based Splenic Flow Index for Predicting Cirrhosis-Associated Hypersplenism. </w:t>
      </w:r>
      <w:r>
        <w:rPr>
          <w:rFonts w:ascii="Book Antiqua" w:hAnsi="Book Antiqua"/>
          <w:i/>
          <w:sz w:val="24"/>
        </w:rPr>
        <w:t>AJR Am J Roentgenol</w:t>
      </w:r>
      <w:r>
        <w:rPr>
          <w:rFonts w:ascii="Book Antiqua" w:hAnsi="Book Antiqua"/>
          <w:sz w:val="24"/>
        </w:rPr>
        <w:t xml:space="preserve"> 2017; </w:t>
      </w:r>
      <w:r>
        <w:rPr>
          <w:rFonts w:ascii="Book Antiqua" w:hAnsi="Book Antiqua"/>
          <w:b/>
          <w:sz w:val="24"/>
        </w:rPr>
        <w:t>209</w:t>
      </w:r>
      <w:r>
        <w:rPr>
          <w:rFonts w:ascii="Book Antiqua" w:hAnsi="Book Antiqua"/>
          <w:sz w:val="24"/>
        </w:rPr>
        <w:t>: 46-54 [PMID: 28463524 DOI: 10.2214/AJR.16.17620]</w:t>
      </w:r>
    </w:p>
    <w:p>
      <w:pPr>
        <w:snapToGrid w:val="0"/>
        <w:spacing w:line="360" w:lineRule="auto"/>
        <w:rPr>
          <w:rFonts w:ascii="Book Antiqua" w:hAnsi="Book Antiqua"/>
          <w:sz w:val="24"/>
        </w:rPr>
      </w:pPr>
      <w:r>
        <w:rPr>
          <w:rFonts w:ascii="Book Antiqua" w:hAnsi="Book Antiqua"/>
          <w:sz w:val="24"/>
        </w:rPr>
        <w:t xml:space="preserve">4 </w:t>
      </w:r>
      <w:r>
        <w:rPr>
          <w:rFonts w:ascii="Book Antiqua" w:hAnsi="Book Antiqua"/>
          <w:b/>
          <w:sz w:val="24"/>
        </w:rPr>
        <w:t>Costa Lacet CM</w:t>
      </w:r>
      <w:r>
        <w:rPr>
          <w:rFonts w:ascii="Book Antiqua" w:hAnsi="Book Antiqua"/>
          <w:sz w:val="24"/>
        </w:rPr>
        <w:t xml:space="preserve">, Neto JB, Ribeiro LT, Oliveira FS, Wyszomirska RF, Strauss E. Schistosomal portal hypertension: Randomized trial comparing endoscopic therapy alone or preceded by esophagogastric devascularization and splenectomy. </w:t>
      </w:r>
      <w:r>
        <w:rPr>
          <w:rFonts w:ascii="Book Antiqua" w:hAnsi="Book Antiqua"/>
          <w:i/>
          <w:sz w:val="24"/>
        </w:rPr>
        <w:t>Ann Hepatol</w:t>
      </w:r>
      <w:r>
        <w:rPr>
          <w:rFonts w:ascii="Book Antiqua" w:hAnsi="Book Antiqua"/>
          <w:sz w:val="24"/>
        </w:rPr>
        <w:t xml:space="preserve"> 2016; </w:t>
      </w:r>
      <w:r>
        <w:rPr>
          <w:rFonts w:ascii="Book Antiqua" w:hAnsi="Book Antiqua"/>
          <w:b/>
          <w:sz w:val="24"/>
        </w:rPr>
        <w:t>15</w:t>
      </w:r>
      <w:r>
        <w:rPr>
          <w:rFonts w:ascii="Book Antiqua" w:hAnsi="Book Antiqua"/>
          <w:sz w:val="24"/>
        </w:rPr>
        <w:t>: 738-744 [PMID: 27493113]</w:t>
      </w:r>
    </w:p>
    <w:p>
      <w:pPr>
        <w:snapToGrid w:val="0"/>
        <w:spacing w:line="360" w:lineRule="auto"/>
        <w:rPr>
          <w:rFonts w:ascii="Book Antiqua" w:hAnsi="Book Antiqua"/>
          <w:sz w:val="24"/>
        </w:rPr>
      </w:pPr>
      <w:r>
        <w:rPr>
          <w:rFonts w:ascii="Book Antiqua" w:hAnsi="Book Antiqua"/>
          <w:sz w:val="24"/>
        </w:rPr>
        <w:t xml:space="preserve">5 </w:t>
      </w:r>
      <w:r>
        <w:rPr>
          <w:rFonts w:ascii="Book Antiqua" w:hAnsi="Book Antiqua"/>
          <w:b/>
          <w:sz w:val="24"/>
        </w:rPr>
        <w:t>Bao H</w:t>
      </w:r>
      <w:r>
        <w:rPr>
          <w:rFonts w:ascii="Book Antiqua" w:hAnsi="Book Antiqua"/>
          <w:sz w:val="24"/>
        </w:rPr>
        <w:t xml:space="preserve">, He Q, Dai N, Ye R, Zhang Q. Retrospective Study to Compare Selective Decongestive Devascularization and Gastrosplenic Shunt versus Splenectomy with Pericardial Devascularization for the Treatment of Patients with Esophagogastric Varices Due to Cirrhotic Portal Hypertension. </w:t>
      </w:r>
      <w:r>
        <w:rPr>
          <w:rFonts w:ascii="Book Antiqua" w:hAnsi="Book Antiqua"/>
          <w:i/>
          <w:sz w:val="24"/>
        </w:rPr>
        <w:t>Med Sci Monit</w:t>
      </w:r>
      <w:r>
        <w:rPr>
          <w:rFonts w:ascii="Book Antiqua" w:hAnsi="Book Antiqua"/>
          <w:sz w:val="24"/>
        </w:rPr>
        <w:t xml:space="preserve"> 2017; </w:t>
      </w:r>
      <w:r>
        <w:rPr>
          <w:rFonts w:ascii="Book Antiqua" w:hAnsi="Book Antiqua"/>
          <w:b/>
          <w:sz w:val="24"/>
        </w:rPr>
        <w:t>23</w:t>
      </w:r>
      <w:r>
        <w:rPr>
          <w:rFonts w:ascii="Book Antiqua" w:hAnsi="Book Antiqua"/>
          <w:sz w:val="24"/>
        </w:rPr>
        <w:t>: 2788-2795 [PMID: 28594784 DOI: 10.12659/MSM.904660]</w:t>
      </w:r>
    </w:p>
    <w:p>
      <w:pPr>
        <w:snapToGrid w:val="0"/>
        <w:spacing w:line="360" w:lineRule="auto"/>
        <w:rPr>
          <w:rFonts w:ascii="Book Antiqua" w:hAnsi="Book Antiqua"/>
          <w:sz w:val="24"/>
        </w:rPr>
      </w:pPr>
      <w:r>
        <w:rPr>
          <w:rFonts w:ascii="Book Antiqua" w:hAnsi="Book Antiqua"/>
          <w:sz w:val="24"/>
        </w:rPr>
        <w:t xml:space="preserve">6 </w:t>
      </w:r>
      <w:r>
        <w:rPr>
          <w:rFonts w:ascii="Book Antiqua" w:hAnsi="Book Antiqua"/>
          <w:b/>
          <w:sz w:val="24"/>
        </w:rPr>
        <w:t>Wu S</w:t>
      </w:r>
      <w:r>
        <w:rPr>
          <w:rFonts w:ascii="Book Antiqua" w:hAnsi="Book Antiqua"/>
          <w:sz w:val="24"/>
        </w:rPr>
        <w:t xml:space="preserve">, Wu Z, Zhang X, Wang R, Bai J. The incidence and risk factors of portal vein system thrombosis after splenectomy and pericardial devascularization. </w:t>
      </w:r>
      <w:r>
        <w:rPr>
          <w:rFonts w:ascii="Book Antiqua" w:hAnsi="Book Antiqua"/>
          <w:i/>
          <w:sz w:val="24"/>
        </w:rPr>
        <w:t>Turk J Gastroenterol</w:t>
      </w:r>
      <w:r>
        <w:rPr>
          <w:rFonts w:ascii="Book Antiqua" w:hAnsi="Book Antiqua"/>
          <w:sz w:val="24"/>
        </w:rPr>
        <w:t xml:space="preserve"> 2015; </w:t>
      </w:r>
      <w:r>
        <w:rPr>
          <w:rFonts w:ascii="Book Antiqua" w:hAnsi="Book Antiqua"/>
          <w:b/>
          <w:sz w:val="24"/>
        </w:rPr>
        <w:t>26</w:t>
      </w:r>
      <w:r>
        <w:rPr>
          <w:rFonts w:ascii="Book Antiqua" w:hAnsi="Book Antiqua"/>
          <w:sz w:val="24"/>
        </w:rPr>
        <w:t>: 423-428 [PMID: 26350689 DOI: 10.5152/tjg.2015.0063]</w:t>
      </w:r>
    </w:p>
    <w:p>
      <w:pPr>
        <w:snapToGrid w:val="0"/>
        <w:spacing w:line="360" w:lineRule="auto"/>
        <w:rPr>
          <w:rFonts w:ascii="Book Antiqua" w:hAnsi="Book Antiqua"/>
          <w:sz w:val="24"/>
        </w:rPr>
      </w:pPr>
      <w:r>
        <w:rPr>
          <w:rFonts w:ascii="Book Antiqua" w:hAnsi="Book Antiqua"/>
          <w:sz w:val="24"/>
        </w:rPr>
        <w:t xml:space="preserve">7 </w:t>
      </w:r>
      <w:r>
        <w:rPr>
          <w:rFonts w:ascii="Book Antiqua" w:hAnsi="Book Antiqua"/>
          <w:b/>
          <w:sz w:val="24"/>
        </w:rPr>
        <w:t>Luo SH</w:t>
      </w:r>
      <w:r>
        <w:rPr>
          <w:rFonts w:ascii="Book Antiqua" w:hAnsi="Book Antiqua"/>
          <w:sz w:val="24"/>
        </w:rPr>
        <w:t xml:space="preserve">, Chu JG, Huang H, Yao KC. Effect of initial stent position on patency of transjugular intrahepatic portosystemic shunt. </w:t>
      </w:r>
      <w:r>
        <w:rPr>
          <w:rFonts w:ascii="Book Antiqua" w:hAnsi="Book Antiqua"/>
          <w:i/>
          <w:sz w:val="24"/>
        </w:rPr>
        <w:t>World J Gastroenterol</w:t>
      </w:r>
      <w:r>
        <w:rPr>
          <w:rFonts w:ascii="Book Antiqua" w:hAnsi="Book Antiqua"/>
          <w:sz w:val="24"/>
        </w:rPr>
        <w:t xml:space="preserve"> 2017; </w:t>
      </w:r>
      <w:r>
        <w:rPr>
          <w:rFonts w:ascii="Book Antiqua" w:hAnsi="Book Antiqua"/>
          <w:b/>
          <w:sz w:val="24"/>
        </w:rPr>
        <w:t>23</w:t>
      </w:r>
      <w:r>
        <w:rPr>
          <w:rFonts w:ascii="Book Antiqua" w:hAnsi="Book Antiqua"/>
          <w:sz w:val="24"/>
        </w:rPr>
        <w:t>: 4779-4787 [PMID: 28765699 DOI: 10.3748/wjg.v23.i26.4779]</w:t>
      </w:r>
    </w:p>
    <w:p>
      <w:pPr>
        <w:snapToGrid w:val="0"/>
        <w:spacing w:line="360" w:lineRule="auto"/>
        <w:rPr>
          <w:rFonts w:ascii="Book Antiqua" w:hAnsi="Book Antiqua"/>
          <w:sz w:val="24"/>
        </w:rPr>
      </w:pPr>
      <w:r>
        <w:rPr>
          <w:rFonts w:ascii="Book Antiqua" w:hAnsi="Book Antiqua"/>
          <w:sz w:val="24"/>
        </w:rPr>
        <w:t xml:space="preserve">8 </w:t>
      </w:r>
      <w:r>
        <w:rPr>
          <w:rFonts w:ascii="Book Antiqua" w:hAnsi="Book Antiqua"/>
          <w:b/>
          <w:sz w:val="24"/>
        </w:rPr>
        <w:t>Jiang TT</w:t>
      </w:r>
      <w:r>
        <w:rPr>
          <w:rFonts w:ascii="Book Antiqua" w:hAnsi="Book Antiqua"/>
          <w:sz w:val="24"/>
        </w:rPr>
        <w:t xml:space="preserve">, Luo XP, Sun JM, Gao J. Clinical outcomes of transcatheter selective superior mesenteric artery urokinase infusion therapy </w:t>
      </w:r>
      <w:r>
        <w:rPr>
          <w:rFonts w:ascii="Book Antiqua" w:hAnsi="Book Antiqua"/>
          <w:i/>
          <w:iCs/>
          <w:sz w:val="24"/>
        </w:rPr>
        <w:t>vs</w:t>
      </w:r>
      <w:r>
        <w:rPr>
          <w:rFonts w:ascii="Book Antiqua" w:hAnsi="Book Antiqua"/>
          <w:sz w:val="24"/>
        </w:rPr>
        <w:t xml:space="preserve"> transjugular intrahepatic portosystemic shunt in patients with cirrhosis and acute portal vein thrombosis. </w:t>
      </w:r>
      <w:r>
        <w:rPr>
          <w:rFonts w:ascii="Book Antiqua" w:hAnsi="Book Antiqua"/>
          <w:i/>
          <w:sz w:val="24"/>
        </w:rPr>
        <w:t>World J Gastroenterol</w:t>
      </w:r>
      <w:r>
        <w:rPr>
          <w:rFonts w:ascii="Book Antiqua" w:hAnsi="Book Antiqua"/>
          <w:sz w:val="24"/>
        </w:rPr>
        <w:t xml:space="preserve"> 2017; </w:t>
      </w:r>
      <w:r>
        <w:rPr>
          <w:rFonts w:ascii="Book Antiqua" w:hAnsi="Book Antiqua"/>
          <w:b/>
          <w:sz w:val="24"/>
        </w:rPr>
        <w:t>23</w:t>
      </w:r>
      <w:r>
        <w:rPr>
          <w:rFonts w:ascii="Book Antiqua" w:hAnsi="Book Antiqua"/>
          <w:sz w:val="24"/>
        </w:rPr>
        <w:t>: 7470-7477 [PMID: 29151701 DOI: 10.3748/wjg.v23.i41.7470]</w:t>
      </w:r>
    </w:p>
    <w:p>
      <w:pPr>
        <w:snapToGrid w:val="0"/>
        <w:spacing w:line="360" w:lineRule="auto"/>
        <w:rPr>
          <w:rFonts w:ascii="Book Antiqua" w:hAnsi="Book Antiqua"/>
          <w:sz w:val="24"/>
        </w:rPr>
      </w:pPr>
      <w:r>
        <w:rPr>
          <w:rFonts w:ascii="Book Antiqua" w:hAnsi="Book Antiqua"/>
          <w:sz w:val="24"/>
        </w:rPr>
        <w:t xml:space="preserve">9 </w:t>
      </w:r>
      <w:r>
        <w:rPr>
          <w:rFonts w:ascii="Book Antiqua" w:hAnsi="Book Antiqua"/>
          <w:b/>
          <w:sz w:val="24"/>
        </w:rPr>
        <w:t>Wang Z</w:t>
      </w:r>
      <w:r>
        <w:rPr>
          <w:rFonts w:ascii="Book Antiqua" w:hAnsi="Book Antiqua"/>
          <w:sz w:val="24"/>
        </w:rPr>
        <w:t xml:space="preserve">, Jiang MS, Zhang HL, Weng NN, Luo XF, Li X, Yang L. Is Post-TIPS Anticoagulation Therapy Necessary in Patients with Cirrhosis and Portal Vein Thrombosis? A Randomized Controlled Trial. </w:t>
      </w:r>
      <w:r>
        <w:rPr>
          <w:rFonts w:ascii="Book Antiqua" w:hAnsi="Book Antiqua"/>
          <w:i/>
          <w:sz w:val="24"/>
        </w:rPr>
        <w:t>Radiology</w:t>
      </w:r>
      <w:r>
        <w:rPr>
          <w:rFonts w:ascii="Book Antiqua" w:hAnsi="Book Antiqua"/>
          <w:sz w:val="24"/>
        </w:rPr>
        <w:t xml:space="preserve"> 2016; </w:t>
      </w:r>
      <w:r>
        <w:rPr>
          <w:rFonts w:ascii="Book Antiqua" w:hAnsi="Book Antiqua"/>
          <w:b/>
          <w:sz w:val="24"/>
        </w:rPr>
        <w:t>279</w:t>
      </w:r>
      <w:r>
        <w:rPr>
          <w:rFonts w:ascii="Book Antiqua" w:hAnsi="Book Antiqua"/>
          <w:sz w:val="24"/>
        </w:rPr>
        <w:t>: 943-951 [PMID: 26653681 DOI: 10.1148/radiol.2015150369]</w:t>
      </w:r>
    </w:p>
    <w:p>
      <w:pPr>
        <w:snapToGrid w:val="0"/>
        <w:spacing w:line="360" w:lineRule="auto"/>
        <w:rPr>
          <w:rFonts w:ascii="Book Antiqua" w:hAnsi="Book Antiqua"/>
          <w:sz w:val="24"/>
        </w:rPr>
      </w:pPr>
      <w:r>
        <w:rPr>
          <w:rFonts w:ascii="Book Antiqua" w:hAnsi="Book Antiqua"/>
          <w:sz w:val="24"/>
        </w:rPr>
        <w:t xml:space="preserve">10 </w:t>
      </w:r>
      <w:r>
        <w:rPr>
          <w:rFonts w:ascii="Book Antiqua" w:hAnsi="Book Antiqua"/>
          <w:b/>
          <w:sz w:val="24"/>
        </w:rPr>
        <w:t>Rösch J</w:t>
      </w:r>
      <w:r>
        <w:rPr>
          <w:rFonts w:ascii="Book Antiqua" w:hAnsi="Book Antiqua"/>
          <w:sz w:val="24"/>
        </w:rPr>
        <w:t xml:space="preserve">, Keller FS. Transjugular intrahepatic portosystemic shunt: present status, comparison with endoscopic therapy and shunt surgery, and future prospectives. </w:t>
      </w:r>
      <w:r>
        <w:rPr>
          <w:rFonts w:ascii="Book Antiqua" w:hAnsi="Book Antiqua"/>
          <w:i/>
          <w:sz w:val="24"/>
        </w:rPr>
        <w:t>World J Surg</w:t>
      </w:r>
      <w:r>
        <w:rPr>
          <w:rFonts w:ascii="Book Antiqua" w:hAnsi="Book Antiqua"/>
          <w:sz w:val="24"/>
        </w:rPr>
        <w:t xml:space="preserve"> 2001; </w:t>
      </w:r>
      <w:r>
        <w:rPr>
          <w:rFonts w:ascii="Book Antiqua" w:hAnsi="Book Antiqua"/>
          <w:b/>
          <w:sz w:val="24"/>
        </w:rPr>
        <w:t>25</w:t>
      </w:r>
      <w:r>
        <w:rPr>
          <w:rFonts w:ascii="Book Antiqua" w:hAnsi="Book Antiqua"/>
          <w:sz w:val="24"/>
        </w:rPr>
        <w:t>: 337-45; discussion 345-6 [PMID: 11343189 DOI: 10.1007/s002680020380]</w:t>
      </w:r>
    </w:p>
    <w:p>
      <w:pPr>
        <w:snapToGrid w:val="0"/>
        <w:spacing w:line="360" w:lineRule="auto"/>
        <w:rPr>
          <w:rFonts w:ascii="Book Antiqua" w:hAnsi="Book Antiqua"/>
          <w:sz w:val="24"/>
        </w:rPr>
      </w:pPr>
      <w:r>
        <w:rPr>
          <w:rFonts w:ascii="Book Antiqua" w:hAnsi="Book Antiqua"/>
          <w:sz w:val="24"/>
        </w:rPr>
        <w:t xml:space="preserve">11 </w:t>
      </w:r>
      <w:r>
        <w:rPr>
          <w:rFonts w:ascii="Book Antiqua" w:hAnsi="Book Antiqua"/>
          <w:b/>
          <w:sz w:val="24"/>
        </w:rPr>
        <w:t>Rossi P</w:t>
      </w:r>
      <w:r>
        <w:rPr>
          <w:rFonts w:ascii="Book Antiqua" w:hAnsi="Book Antiqua"/>
          <w:sz w:val="24"/>
        </w:rPr>
        <w:t xml:space="preserve">, Salvatori FM, Fanelli F, Bezzi M, Rossi M, Marcelli G, Pepino D, Riggio O, Passariello R. Polytetrafluoroethylene-covered nitinol stent-graft for transjugular intrahepatic portosystemic shunt creation: 3-year experience. </w:t>
      </w:r>
      <w:r>
        <w:rPr>
          <w:rFonts w:ascii="Book Antiqua" w:hAnsi="Book Antiqua"/>
          <w:i/>
          <w:sz w:val="24"/>
        </w:rPr>
        <w:t>Radiology</w:t>
      </w:r>
      <w:r>
        <w:rPr>
          <w:rFonts w:ascii="Book Antiqua" w:hAnsi="Book Antiqua"/>
          <w:sz w:val="24"/>
        </w:rPr>
        <w:t xml:space="preserve"> 2004; </w:t>
      </w:r>
      <w:r>
        <w:rPr>
          <w:rFonts w:ascii="Book Antiqua" w:hAnsi="Book Antiqua"/>
          <w:b/>
          <w:sz w:val="24"/>
        </w:rPr>
        <w:t>231</w:t>
      </w:r>
      <w:r>
        <w:rPr>
          <w:rFonts w:ascii="Book Antiqua" w:hAnsi="Book Antiqua"/>
          <w:sz w:val="24"/>
        </w:rPr>
        <w:t>: 820-830 [PMID: 15118117 DOI: 10.1148/radiol.2313030349]</w:t>
      </w:r>
    </w:p>
    <w:p>
      <w:pPr>
        <w:snapToGrid w:val="0"/>
        <w:spacing w:line="360" w:lineRule="auto"/>
        <w:rPr>
          <w:rFonts w:ascii="Book Antiqua" w:hAnsi="Book Antiqua"/>
          <w:sz w:val="24"/>
        </w:rPr>
      </w:pPr>
      <w:r>
        <w:rPr>
          <w:rFonts w:ascii="Book Antiqua" w:hAnsi="Book Antiqua"/>
          <w:sz w:val="24"/>
        </w:rPr>
        <w:t xml:space="preserve">12 </w:t>
      </w:r>
      <w:r>
        <w:rPr>
          <w:rFonts w:ascii="Book Antiqua" w:hAnsi="Book Antiqua"/>
          <w:b/>
          <w:sz w:val="24"/>
        </w:rPr>
        <w:t>Weber CN</w:t>
      </w:r>
      <w:r>
        <w:rPr>
          <w:rFonts w:ascii="Book Antiqua" w:hAnsi="Book Antiqua"/>
          <w:sz w:val="24"/>
        </w:rPr>
        <w:t xml:space="preserve">, Nadolski GJ, White SB, Clark TW, Mondschein JI, Stavropoulos SW, Shlansky-Goldberg RD, Trerotola SO, Soulen MC. Long-Term Patency and Clinical Analysis of Expanded Polytetrafluoroethylene-Covered Transjugular Intrahepatic Portosystemic Shunt Stent Grafts. </w:t>
      </w:r>
      <w:r>
        <w:rPr>
          <w:rFonts w:ascii="Book Antiqua" w:hAnsi="Book Antiqua"/>
          <w:i/>
          <w:sz w:val="24"/>
        </w:rPr>
        <w:t>J Vasc Interv Radiol</w:t>
      </w:r>
      <w:r>
        <w:rPr>
          <w:rFonts w:ascii="Book Antiqua" w:hAnsi="Book Antiqua"/>
          <w:sz w:val="24"/>
        </w:rPr>
        <w:t xml:space="preserve"> 2015; </w:t>
      </w:r>
      <w:r>
        <w:rPr>
          <w:rFonts w:ascii="Book Antiqua" w:hAnsi="Book Antiqua"/>
          <w:b/>
          <w:sz w:val="24"/>
        </w:rPr>
        <w:t>26</w:t>
      </w:r>
      <w:r>
        <w:rPr>
          <w:rFonts w:ascii="Book Antiqua" w:hAnsi="Book Antiqua"/>
          <w:sz w:val="24"/>
        </w:rPr>
        <w:t>: 1257-65; quiz 1265 [PMID: 25990133 DOI: 10.1016/j.jvir.2015.04.005]</w:t>
      </w:r>
    </w:p>
    <w:p>
      <w:pPr>
        <w:snapToGrid w:val="0"/>
        <w:spacing w:line="360" w:lineRule="auto"/>
        <w:rPr>
          <w:rFonts w:ascii="Book Antiqua" w:hAnsi="Book Antiqua"/>
          <w:sz w:val="24"/>
        </w:rPr>
      </w:pPr>
      <w:r>
        <w:rPr>
          <w:rFonts w:ascii="Book Antiqua" w:hAnsi="Book Antiqua"/>
          <w:sz w:val="24"/>
        </w:rPr>
        <w:t xml:space="preserve">13 </w:t>
      </w:r>
      <w:r>
        <w:rPr>
          <w:rFonts w:ascii="Book Antiqua" w:hAnsi="Book Antiqua"/>
          <w:b/>
          <w:sz w:val="24"/>
        </w:rPr>
        <w:t>Han G</w:t>
      </w:r>
      <w:r>
        <w:rPr>
          <w:rFonts w:ascii="Book Antiqua" w:hAnsi="Book Antiqua"/>
          <w:sz w:val="24"/>
        </w:rPr>
        <w:t xml:space="preserve">, Qi X, He C, Yin Z, Wang J, Xia J, Yang Z, Bai M, Meng X, Niu J, Wu K, Fan D. Transjugular intrahepatic portosystemic shunt for portal vein thrombosis with symptomatic portal hypertension in liver cirrhosis. </w:t>
      </w:r>
      <w:r>
        <w:rPr>
          <w:rFonts w:ascii="Book Antiqua" w:hAnsi="Book Antiqua"/>
          <w:i/>
          <w:sz w:val="24"/>
        </w:rPr>
        <w:t>J Hepatol</w:t>
      </w:r>
      <w:r>
        <w:rPr>
          <w:rFonts w:ascii="Book Antiqua" w:hAnsi="Book Antiqua"/>
          <w:sz w:val="24"/>
        </w:rPr>
        <w:t xml:space="preserve"> 2011; </w:t>
      </w:r>
      <w:r>
        <w:rPr>
          <w:rFonts w:ascii="Book Antiqua" w:hAnsi="Book Antiqua"/>
          <w:b/>
          <w:sz w:val="24"/>
        </w:rPr>
        <w:t>54</w:t>
      </w:r>
      <w:r>
        <w:rPr>
          <w:rFonts w:ascii="Book Antiqua" w:hAnsi="Book Antiqua"/>
          <w:sz w:val="24"/>
        </w:rPr>
        <w:t>: 78-88 [PMID: 20932597 DOI: 10.1016/j.jhep.2010.06.029]</w:t>
      </w:r>
    </w:p>
    <w:p>
      <w:pPr>
        <w:snapToGrid w:val="0"/>
        <w:spacing w:line="360" w:lineRule="auto"/>
        <w:rPr>
          <w:rFonts w:ascii="Book Antiqua" w:hAnsi="Book Antiqua"/>
          <w:sz w:val="24"/>
        </w:rPr>
      </w:pPr>
      <w:r>
        <w:rPr>
          <w:rFonts w:ascii="Book Antiqua" w:hAnsi="Book Antiqua"/>
          <w:sz w:val="24"/>
        </w:rPr>
        <w:t xml:space="preserve">14 </w:t>
      </w:r>
      <w:r>
        <w:rPr>
          <w:rFonts w:ascii="Book Antiqua" w:hAnsi="Book Antiqua"/>
          <w:b/>
          <w:sz w:val="24"/>
        </w:rPr>
        <w:t>Iwakiri Y</w:t>
      </w:r>
      <w:r>
        <w:rPr>
          <w:rFonts w:ascii="Book Antiqua" w:hAnsi="Book Antiqua"/>
          <w:sz w:val="24"/>
        </w:rPr>
        <w:t xml:space="preserve">, Groszmann RJ. Vascular endothelial dysfunction in cirrhosis. </w:t>
      </w:r>
      <w:r>
        <w:rPr>
          <w:rFonts w:ascii="Book Antiqua" w:hAnsi="Book Antiqua"/>
          <w:i/>
          <w:sz w:val="24"/>
        </w:rPr>
        <w:t>J Hepatol</w:t>
      </w:r>
      <w:r>
        <w:rPr>
          <w:rFonts w:ascii="Book Antiqua" w:hAnsi="Book Antiqua"/>
          <w:sz w:val="24"/>
        </w:rPr>
        <w:t xml:space="preserve"> 2007; </w:t>
      </w:r>
      <w:r>
        <w:rPr>
          <w:rFonts w:ascii="Book Antiqua" w:hAnsi="Book Antiqua"/>
          <w:b/>
          <w:sz w:val="24"/>
        </w:rPr>
        <w:t>46</w:t>
      </w:r>
      <w:r>
        <w:rPr>
          <w:rFonts w:ascii="Book Antiqua" w:hAnsi="Book Antiqua"/>
          <w:sz w:val="24"/>
        </w:rPr>
        <w:t>: 927-934 [PMID: 17391799 DOI: 10.1016/j.jhep.2007.02.006]</w:t>
      </w:r>
    </w:p>
    <w:p>
      <w:pPr>
        <w:snapToGrid w:val="0"/>
        <w:spacing w:line="360" w:lineRule="auto"/>
        <w:rPr>
          <w:rFonts w:ascii="Book Antiqua" w:hAnsi="Book Antiqua"/>
          <w:sz w:val="24"/>
        </w:rPr>
      </w:pPr>
      <w:r>
        <w:rPr>
          <w:rFonts w:ascii="Book Antiqua" w:hAnsi="Book Antiqua"/>
          <w:sz w:val="24"/>
        </w:rPr>
        <w:t xml:space="preserve">15 </w:t>
      </w:r>
      <w:r>
        <w:rPr>
          <w:rFonts w:ascii="Book Antiqua" w:hAnsi="Book Antiqua"/>
          <w:b/>
          <w:sz w:val="24"/>
        </w:rPr>
        <w:t>Choy TY</w:t>
      </w:r>
      <w:r>
        <w:rPr>
          <w:rFonts w:ascii="Book Antiqua" w:hAnsi="Book Antiqua"/>
          <w:sz w:val="24"/>
        </w:rPr>
        <w:t xml:space="preserve">, Simoens C, Thill V, Mboti F, Vandaele S, Mendes da Costa P. Results of surgical treatment of uncontrollable upper gastrointestinal hemorrhage using endoscopy. </w:t>
      </w:r>
      <w:r>
        <w:rPr>
          <w:rFonts w:ascii="Book Antiqua" w:hAnsi="Book Antiqua"/>
          <w:i/>
          <w:sz w:val="24"/>
        </w:rPr>
        <w:t>Hepatogastroenterology</w:t>
      </w:r>
      <w:r>
        <w:rPr>
          <w:rFonts w:ascii="Book Antiqua" w:hAnsi="Book Antiqua"/>
          <w:sz w:val="24"/>
        </w:rPr>
        <w:t xml:space="preserve"> 2011; </w:t>
      </w:r>
      <w:r>
        <w:rPr>
          <w:rFonts w:ascii="Book Antiqua" w:hAnsi="Book Antiqua"/>
          <w:b/>
          <w:sz w:val="24"/>
        </w:rPr>
        <w:t>58</w:t>
      </w:r>
      <w:r>
        <w:rPr>
          <w:rFonts w:ascii="Book Antiqua" w:hAnsi="Book Antiqua"/>
          <w:sz w:val="24"/>
        </w:rPr>
        <w:t>: 89-95 [PMID: 21510292 DOI: 10.1136/archdischild-2014-307384.35]</w:t>
      </w:r>
    </w:p>
    <w:p>
      <w:pPr>
        <w:snapToGrid w:val="0"/>
        <w:spacing w:line="360" w:lineRule="auto"/>
        <w:rPr>
          <w:rFonts w:ascii="Book Antiqua" w:hAnsi="Book Antiqua"/>
          <w:sz w:val="24"/>
        </w:rPr>
      </w:pPr>
      <w:r>
        <w:rPr>
          <w:rFonts w:ascii="Book Antiqua" w:hAnsi="Book Antiqua"/>
          <w:sz w:val="24"/>
        </w:rPr>
        <w:t xml:space="preserve">16 </w:t>
      </w:r>
      <w:r>
        <w:rPr>
          <w:rFonts w:ascii="Book Antiqua" w:hAnsi="Book Antiqua"/>
          <w:b/>
          <w:sz w:val="24"/>
        </w:rPr>
        <w:t>Wang RY</w:t>
      </w:r>
      <w:r>
        <w:rPr>
          <w:rFonts w:ascii="Book Antiqua" w:hAnsi="Book Antiqua"/>
          <w:sz w:val="24"/>
        </w:rPr>
        <w:t xml:space="preserve">, Wang JF, Liu Q, Ma N, Chen WX, Li JL. Combined Rex-bypass shunt with pericardial devascularization alleviated prehepatic portal hypertension caused by cavernomatous transformation of portal vein. </w:t>
      </w:r>
      <w:r>
        <w:rPr>
          <w:rFonts w:ascii="Book Antiqua" w:hAnsi="Book Antiqua"/>
          <w:i/>
          <w:sz w:val="24"/>
        </w:rPr>
        <w:t>Postgrad Med</w:t>
      </w:r>
      <w:r>
        <w:rPr>
          <w:rFonts w:ascii="Book Antiqua" w:hAnsi="Book Antiqua"/>
          <w:sz w:val="24"/>
        </w:rPr>
        <w:t xml:space="preserve"> 2017; </w:t>
      </w:r>
      <w:r>
        <w:rPr>
          <w:rFonts w:ascii="Book Antiqua" w:hAnsi="Book Antiqua"/>
          <w:b/>
          <w:sz w:val="24"/>
        </w:rPr>
        <w:t>129</w:t>
      </w:r>
      <w:r>
        <w:rPr>
          <w:rFonts w:ascii="Book Antiqua" w:hAnsi="Book Antiqua"/>
          <w:sz w:val="24"/>
        </w:rPr>
        <w:t>: 768-776 [PMID: 28643575 DOI: 10.1080/00325481.2017.1343646]</w:t>
      </w:r>
    </w:p>
    <w:p>
      <w:pPr>
        <w:snapToGrid w:val="0"/>
        <w:spacing w:line="360" w:lineRule="auto"/>
        <w:rPr>
          <w:rFonts w:ascii="Book Antiqua" w:hAnsi="Book Antiqua"/>
          <w:sz w:val="24"/>
        </w:rPr>
      </w:pPr>
      <w:r>
        <w:rPr>
          <w:rFonts w:ascii="Book Antiqua" w:hAnsi="Book Antiqua"/>
          <w:sz w:val="24"/>
        </w:rPr>
        <w:t xml:space="preserve">17 </w:t>
      </w:r>
      <w:r>
        <w:rPr>
          <w:rFonts w:ascii="Book Antiqua" w:hAnsi="Book Antiqua"/>
          <w:b/>
          <w:sz w:val="24"/>
        </w:rPr>
        <w:t>Zhang YB</w:t>
      </w:r>
      <w:r>
        <w:rPr>
          <w:rFonts w:ascii="Book Antiqua" w:hAnsi="Book Antiqua"/>
          <w:sz w:val="24"/>
        </w:rPr>
        <w:t xml:space="preserve">, Lu Y, Wu WD, Zhang CW, Shen GL, Hong dF. Indocyanine green retention is a potential prognostic indicator after splenectomy and pericardial devascularization for cirrhotic patients. </w:t>
      </w:r>
      <w:r>
        <w:rPr>
          <w:rFonts w:ascii="Book Antiqua" w:hAnsi="Book Antiqua"/>
          <w:i/>
          <w:sz w:val="24"/>
        </w:rPr>
        <w:t>Hepatobiliary Pancreat Dis Int</w:t>
      </w:r>
      <w:r>
        <w:rPr>
          <w:rFonts w:ascii="Book Antiqua" w:hAnsi="Book Antiqua"/>
          <w:sz w:val="24"/>
        </w:rPr>
        <w:t xml:space="preserve"> 2016; </w:t>
      </w:r>
      <w:r>
        <w:rPr>
          <w:rFonts w:ascii="Book Antiqua" w:hAnsi="Book Antiqua"/>
          <w:b/>
          <w:sz w:val="24"/>
        </w:rPr>
        <w:t>15</w:t>
      </w:r>
      <w:r>
        <w:rPr>
          <w:rFonts w:ascii="Book Antiqua" w:hAnsi="Book Antiqua"/>
          <w:sz w:val="24"/>
        </w:rPr>
        <w:t>: 386-390 [PMID: 27498578 DOI: 10.1016/s1499-3872(16)60114-5]</w:t>
      </w:r>
    </w:p>
    <w:p>
      <w:pPr>
        <w:snapToGrid w:val="0"/>
        <w:spacing w:line="360" w:lineRule="auto"/>
        <w:rPr>
          <w:rFonts w:ascii="Book Antiqua" w:hAnsi="Book Antiqua"/>
          <w:sz w:val="24"/>
        </w:rPr>
      </w:pPr>
      <w:r>
        <w:rPr>
          <w:rFonts w:ascii="Book Antiqua" w:hAnsi="Book Antiqua"/>
          <w:sz w:val="24"/>
        </w:rPr>
        <w:t xml:space="preserve">18 </w:t>
      </w:r>
      <w:r>
        <w:rPr>
          <w:rFonts w:ascii="Book Antiqua" w:hAnsi="Book Antiqua"/>
          <w:b/>
          <w:sz w:val="24"/>
        </w:rPr>
        <w:t>D'Amico G</w:t>
      </w:r>
      <w:r>
        <w:rPr>
          <w:rFonts w:ascii="Book Antiqua" w:hAnsi="Book Antiqua"/>
          <w:sz w:val="24"/>
        </w:rPr>
        <w:t xml:space="preserve">, Morabito A, D'Amico M, Pasta L, Malizia G, Rebora P, Valsecchi MG. Clinical states of cirrhosis and competing risks. </w:t>
      </w:r>
      <w:r>
        <w:rPr>
          <w:rFonts w:ascii="Book Antiqua" w:hAnsi="Book Antiqua"/>
          <w:i/>
          <w:sz w:val="24"/>
        </w:rPr>
        <w:t>J Hepatol</w:t>
      </w:r>
      <w:r>
        <w:rPr>
          <w:rFonts w:ascii="Book Antiqua" w:hAnsi="Book Antiqua"/>
          <w:sz w:val="24"/>
        </w:rPr>
        <w:t xml:space="preserve"> 2018; </w:t>
      </w:r>
      <w:r>
        <w:rPr>
          <w:rFonts w:ascii="Book Antiqua" w:hAnsi="Book Antiqua"/>
          <w:b/>
          <w:sz w:val="24"/>
        </w:rPr>
        <w:t>68</w:t>
      </w:r>
      <w:r>
        <w:rPr>
          <w:rFonts w:ascii="Book Antiqua" w:hAnsi="Book Antiqua"/>
          <w:sz w:val="24"/>
        </w:rPr>
        <w:t>: 563-576 [PMID: 29111320 DOI: 10.1016/j.jhep.2017.10.020]</w:t>
      </w:r>
    </w:p>
    <w:p>
      <w:pPr>
        <w:snapToGrid w:val="0"/>
        <w:spacing w:line="360" w:lineRule="auto"/>
        <w:rPr>
          <w:rFonts w:ascii="Book Antiqua" w:hAnsi="Book Antiqua"/>
          <w:sz w:val="24"/>
        </w:rPr>
      </w:pPr>
      <w:r>
        <w:rPr>
          <w:rFonts w:ascii="Book Antiqua" w:hAnsi="Book Antiqua"/>
          <w:sz w:val="24"/>
        </w:rPr>
        <w:t xml:space="preserve">19 </w:t>
      </w:r>
      <w:r>
        <w:rPr>
          <w:rFonts w:ascii="Book Antiqua" w:hAnsi="Book Antiqua"/>
          <w:b/>
          <w:sz w:val="24"/>
        </w:rPr>
        <w:t>Rottenstreich A</w:t>
      </w:r>
      <w:r>
        <w:rPr>
          <w:rFonts w:ascii="Book Antiqua" w:hAnsi="Book Antiqua"/>
          <w:sz w:val="24"/>
        </w:rPr>
        <w:t xml:space="preserve">, Kleinstern G, Spectre G, Da'as N, Ziv E, Kalish Y. Thromboembolic Events Following Splenectomy: Risk Factors, Prevention, Management and Outcomes. </w:t>
      </w:r>
      <w:r>
        <w:rPr>
          <w:rFonts w:ascii="Book Antiqua" w:hAnsi="Book Antiqua"/>
          <w:i/>
          <w:sz w:val="24"/>
        </w:rPr>
        <w:t>World J Surg</w:t>
      </w:r>
      <w:r>
        <w:rPr>
          <w:rFonts w:ascii="Book Antiqua" w:hAnsi="Book Antiqua"/>
          <w:sz w:val="24"/>
        </w:rPr>
        <w:t xml:space="preserve"> 2018; </w:t>
      </w:r>
      <w:r>
        <w:rPr>
          <w:rFonts w:ascii="Book Antiqua" w:hAnsi="Book Antiqua"/>
          <w:b/>
          <w:sz w:val="24"/>
        </w:rPr>
        <w:t>42</w:t>
      </w:r>
      <w:r>
        <w:rPr>
          <w:rFonts w:ascii="Book Antiqua" w:hAnsi="Book Antiqua"/>
          <w:sz w:val="24"/>
        </w:rPr>
        <w:t>: 675-681 [PMID: 28808782 DOI: 10.1007/s00268-017-4185-2]</w:t>
      </w:r>
    </w:p>
    <w:p>
      <w:pPr>
        <w:snapToGrid w:val="0"/>
        <w:spacing w:line="360" w:lineRule="auto"/>
        <w:rPr>
          <w:rFonts w:ascii="Book Antiqua" w:hAnsi="Book Antiqua"/>
          <w:sz w:val="24"/>
        </w:rPr>
      </w:pPr>
      <w:r>
        <w:rPr>
          <w:rFonts w:ascii="Book Antiqua" w:hAnsi="Book Antiqua"/>
          <w:sz w:val="24"/>
        </w:rPr>
        <w:t xml:space="preserve">20 </w:t>
      </w:r>
      <w:r>
        <w:rPr>
          <w:rFonts w:ascii="Book Antiqua" w:hAnsi="Book Antiqua"/>
          <w:b/>
          <w:sz w:val="24"/>
        </w:rPr>
        <w:t>Zhang X</w:t>
      </w:r>
      <w:r>
        <w:rPr>
          <w:rFonts w:ascii="Book Antiqua" w:hAnsi="Book Antiqua"/>
          <w:sz w:val="24"/>
        </w:rPr>
        <w:t xml:space="preserve">, Wang Y, Yu M, Huang J, Deng D, Xue H. Effective Prevention for Portal Venous System Thrombosis After Splenectomy: A Meta-Analysis. </w:t>
      </w:r>
      <w:r>
        <w:rPr>
          <w:rFonts w:ascii="Book Antiqua" w:hAnsi="Book Antiqua"/>
          <w:i/>
          <w:sz w:val="24"/>
        </w:rPr>
        <w:t>J Laparoendosc Adv Surg Tech A</w:t>
      </w:r>
      <w:r>
        <w:rPr>
          <w:rFonts w:ascii="Book Antiqua" w:hAnsi="Book Antiqua"/>
          <w:sz w:val="24"/>
        </w:rPr>
        <w:t xml:space="preserve"> 2017; </w:t>
      </w:r>
      <w:r>
        <w:rPr>
          <w:rFonts w:ascii="Book Antiqua" w:hAnsi="Book Antiqua"/>
          <w:b/>
          <w:sz w:val="24"/>
        </w:rPr>
        <w:t>27</w:t>
      </w:r>
      <w:r>
        <w:rPr>
          <w:rFonts w:ascii="Book Antiqua" w:hAnsi="Book Antiqua"/>
          <w:sz w:val="24"/>
        </w:rPr>
        <w:t>: 247-252 [PMID: 28296630 DOI: 10.1089/lap.2016.0511]</w:t>
      </w:r>
    </w:p>
    <w:p>
      <w:pPr>
        <w:snapToGrid w:val="0"/>
        <w:spacing w:line="360" w:lineRule="auto"/>
        <w:rPr>
          <w:rFonts w:ascii="Book Antiqua" w:hAnsi="Book Antiqua"/>
          <w:sz w:val="24"/>
        </w:rPr>
      </w:pPr>
      <w:r>
        <w:rPr>
          <w:rFonts w:ascii="Book Antiqua" w:hAnsi="Book Antiqua"/>
          <w:sz w:val="24"/>
        </w:rPr>
        <w:t xml:space="preserve">21 </w:t>
      </w:r>
      <w:r>
        <w:rPr>
          <w:rFonts w:ascii="Book Antiqua" w:hAnsi="Book Antiqua"/>
          <w:b/>
          <w:sz w:val="24"/>
        </w:rPr>
        <w:t>Zhang N</w:t>
      </w:r>
      <w:r>
        <w:rPr>
          <w:rFonts w:ascii="Book Antiqua" w:hAnsi="Book Antiqua"/>
          <w:sz w:val="24"/>
        </w:rPr>
        <w:t xml:space="preserve">, Yao Y, Xue W, Wu S. Early prophylactic anticoagulation for portal vein system thrombosis after splenectomy: A systematic review and meta-analysis. </w:t>
      </w:r>
      <w:r>
        <w:rPr>
          <w:rFonts w:ascii="Book Antiqua" w:hAnsi="Book Antiqua"/>
          <w:i/>
          <w:sz w:val="24"/>
        </w:rPr>
        <w:t>Biomed Rep</w:t>
      </w:r>
      <w:r>
        <w:rPr>
          <w:rFonts w:ascii="Book Antiqua" w:hAnsi="Book Antiqua"/>
          <w:sz w:val="24"/>
        </w:rPr>
        <w:t xml:space="preserve"> 2016; </w:t>
      </w:r>
      <w:r>
        <w:rPr>
          <w:rFonts w:ascii="Book Antiqua" w:hAnsi="Book Antiqua"/>
          <w:b/>
          <w:sz w:val="24"/>
        </w:rPr>
        <w:t>5</w:t>
      </w:r>
      <w:r>
        <w:rPr>
          <w:rFonts w:ascii="Book Antiqua" w:hAnsi="Book Antiqua"/>
          <w:sz w:val="24"/>
        </w:rPr>
        <w:t>: 483-490 [PMID: 27699018 DOI: 10.3892/br.2016.755]</w:t>
      </w:r>
    </w:p>
    <w:p>
      <w:pPr>
        <w:snapToGrid w:val="0"/>
        <w:spacing w:line="360" w:lineRule="auto"/>
        <w:rPr>
          <w:rFonts w:ascii="Book Antiqua" w:hAnsi="Book Antiqua"/>
          <w:sz w:val="24"/>
        </w:rPr>
      </w:pPr>
      <w:r>
        <w:rPr>
          <w:rFonts w:ascii="Book Antiqua" w:hAnsi="Book Antiqua"/>
          <w:sz w:val="24"/>
        </w:rPr>
        <w:t xml:space="preserve">22 </w:t>
      </w:r>
      <w:r>
        <w:rPr>
          <w:rFonts w:ascii="Book Antiqua" w:hAnsi="Book Antiqua"/>
          <w:b/>
          <w:sz w:val="24"/>
        </w:rPr>
        <w:t>Zhang W</w:t>
      </w:r>
      <w:r>
        <w:rPr>
          <w:rFonts w:ascii="Book Antiqua" w:hAnsi="Book Antiqua"/>
          <w:sz w:val="24"/>
        </w:rPr>
        <w:t xml:space="preserve">, Zhou DM, Li Y. [Clinical effect of low-molecular-weight heparin in prevention and treatment of liver cirrhosis and portal vein thrombosis after splenectomy: a systematic review and meta-analysis]. </w:t>
      </w:r>
      <w:r>
        <w:rPr>
          <w:rFonts w:ascii="Book Antiqua" w:hAnsi="Book Antiqua"/>
          <w:i/>
          <w:sz w:val="24"/>
        </w:rPr>
        <w:t>Zhonghua Gan Zang Bing Za Zhi</w:t>
      </w:r>
      <w:r>
        <w:rPr>
          <w:rFonts w:ascii="Book Antiqua" w:hAnsi="Book Antiqua"/>
          <w:sz w:val="24"/>
        </w:rPr>
        <w:t xml:space="preserve"> 2016; </w:t>
      </w:r>
      <w:r>
        <w:rPr>
          <w:rFonts w:ascii="Book Antiqua" w:hAnsi="Book Antiqua"/>
          <w:b/>
          <w:sz w:val="24"/>
        </w:rPr>
        <w:t>24</w:t>
      </w:r>
      <w:r>
        <w:rPr>
          <w:rFonts w:ascii="Book Antiqua" w:hAnsi="Book Antiqua"/>
          <w:sz w:val="24"/>
        </w:rPr>
        <w:t>: 732-737 [PMID: 27938557 DOI: 10.3760/cma.j.issn.1007-3418.2016.10.004]</w:t>
      </w:r>
    </w:p>
    <w:p>
      <w:pPr>
        <w:snapToGrid w:val="0"/>
        <w:spacing w:line="360" w:lineRule="auto"/>
        <w:rPr>
          <w:rFonts w:ascii="Book Antiqua" w:hAnsi="Book Antiqua"/>
          <w:sz w:val="24"/>
        </w:rPr>
      </w:pPr>
      <w:r>
        <w:rPr>
          <w:rFonts w:ascii="Book Antiqua" w:hAnsi="Book Antiqua"/>
          <w:sz w:val="24"/>
        </w:rPr>
        <w:t xml:space="preserve">23 </w:t>
      </w:r>
      <w:r>
        <w:rPr>
          <w:rFonts w:ascii="Book Antiqua" w:hAnsi="Book Antiqua"/>
          <w:b/>
          <w:sz w:val="24"/>
        </w:rPr>
        <w:t>Trebicka J</w:t>
      </w:r>
      <w:r>
        <w:rPr>
          <w:rFonts w:ascii="Book Antiqua" w:hAnsi="Book Antiqua"/>
          <w:sz w:val="24"/>
        </w:rPr>
        <w:t xml:space="preserve">. Emergency TIPS in a Child-Pugh B patient: When does the window of opportunity open and close? </w:t>
      </w:r>
      <w:r>
        <w:rPr>
          <w:rFonts w:ascii="Book Antiqua" w:hAnsi="Book Antiqua"/>
          <w:i/>
          <w:sz w:val="24"/>
        </w:rPr>
        <w:t>J Hepatol</w:t>
      </w:r>
      <w:r>
        <w:rPr>
          <w:rFonts w:ascii="Book Antiqua" w:hAnsi="Book Antiqua"/>
          <w:sz w:val="24"/>
        </w:rPr>
        <w:t xml:space="preserve"> 2017; </w:t>
      </w:r>
      <w:r>
        <w:rPr>
          <w:rFonts w:ascii="Book Antiqua" w:hAnsi="Book Antiqua"/>
          <w:b/>
          <w:sz w:val="24"/>
        </w:rPr>
        <w:t>66</w:t>
      </w:r>
      <w:r>
        <w:rPr>
          <w:rFonts w:ascii="Book Antiqua" w:hAnsi="Book Antiqua"/>
          <w:sz w:val="24"/>
        </w:rPr>
        <w:t>: 442-450 [PMID: 27984174 DOI: 10.1016/j.jhep.2016.10.025]</w:t>
      </w:r>
    </w:p>
    <w:p>
      <w:pPr>
        <w:snapToGrid w:val="0"/>
        <w:spacing w:line="360" w:lineRule="auto"/>
        <w:rPr>
          <w:rFonts w:ascii="Book Antiqua" w:hAnsi="Book Antiqua"/>
          <w:sz w:val="24"/>
        </w:rPr>
      </w:pPr>
      <w:r>
        <w:rPr>
          <w:rFonts w:ascii="Book Antiqua" w:hAnsi="Book Antiqua"/>
          <w:sz w:val="24"/>
        </w:rPr>
        <w:t xml:space="preserve">24 </w:t>
      </w:r>
      <w:r>
        <w:rPr>
          <w:rFonts w:ascii="Book Antiqua" w:hAnsi="Book Antiqua"/>
          <w:b/>
          <w:sz w:val="24"/>
        </w:rPr>
        <w:t>Miraglia R</w:t>
      </w:r>
      <w:r>
        <w:rPr>
          <w:rFonts w:ascii="Book Antiqua" w:hAnsi="Book Antiqua"/>
          <w:sz w:val="24"/>
        </w:rPr>
        <w:t xml:space="preserve">, Maruzzelli L, Tuzzolino F, Petridis I, D'Amico M, Luca A. Transjugular Intrahepatic Portosystemic Shunts in Patients with Cirrhosis with Refractory Ascites: Comparison of Clinical Outcomes by Using 8- and 10-mm PTFE-covered Stents. </w:t>
      </w:r>
      <w:r>
        <w:rPr>
          <w:rFonts w:ascii="Book Antiqua" w:hAnsi="Book Antiqua"/>
          <w:i/>
          <w:sz w:val="24"/>
        </w:rPr>
        <w:t>Radiology</w:t>
      </w:r>
      <w:r>
        <w:rPr>
          <w:rFonts w:ascii="Book Antiqua" w:hAnsi="Book Antiqua"/>
          <w:sz w:val="24"/>
        </w:rPr>
        <w:t xml:space="preserve"> 2017; </w:t>
      </w:r>
      <w:r>
        <w:rPr>
          <w:rFonts w:ascii="Book Antiqua" w:hAnsi="Book Antiqua"/>
          <w:b/>
          <w:sz w:val="24"/>
        </w:rPr>
        <w:t>284</w:t>
      </w:r>
      <w:r>
        <w:rPr>
          <w:rFonts w:ascii="Book Antiqua" w:hAnsi="Book Antiqua"/>
          <w:sz w:val="24"/>
        </w:rPr>
        <w:t>: 281-288 [PMID: 28121521 DOI: 10.1148/radiol.2017161644]</w:t>
      </w:r>
    </w:p>
    <w:p>
      <w:pPr>
        <w:snapToGrid w:val="0"/>
        <w:spacing w:line="360" w:lineRule="auto"/>
        <w:rPr>
          <w:rFonts w:ascii="Book Antiqua" w:hAnsi="Book Antiqua"/>
          <w:sz w:val="24"/>
        </w:rPr>
      </w:pPr>
      <w:r>
        <w:rPr>
          <w:rFonts w:ascii="Book Antiqua" w:hAnsi="Book Antiqua"/>
          <w:sz w:val="24"/>
        </w:rPr>
        <w:t xml:space="preserve">25 </w:t>
      </w:r>
      <w:r>
        <w:rPr>
          <w:rFonts w:ascii="Book Antiqua" w:hAnsi="Book Antiqua"/>
          <w:b/>
          <w:sz w:val="24"/>
        </w:rPr>
        <w:t>Marticorena Garcia SR</w:t>
      </w:r>
      <w:r>
        <w:rPr>
          <w:rFonts w:ascii="Book Antiqua" w:hAnsi="Book Antiqua"/>
          <w:sz w:val="24"/>
        </w:rPr>
        <w:t xml:space="preserve">, Langmann M, Schnorr B, Günther RW, Hamm B, Althoff CE. Use of Paclitaxel-Coated Balloon Catheter Dilation to Reduce In-Stent Restenosis in Transjugular Intrahepatic Portosystemic Shunt (TIPS). </w:t>
      </w:r>
      <w:r>
        <w:rPr>
          <w:rFonts w:ascii="Book Antiqua" w:hAnsi="Book Antiqua"/>
          <w:i/>
          <w:sz w:val="24"/>
        </w:rPr>
        <w:t>Rofo</w:t>
      </w:r>
      <w:r>
        <w:rPr>
          <w:rFonts w:ascii="Book Antiqua" w:hAnsi="Book Antiqua"/>
          <w:sz w:val="24"/>
        </w:rPr>
        <w:t xml:space="preserve"> 2016; </w:t>
      </w:r>
      <w:r>
        <w:rPr>
          <w:rFonts w:ascii="Book Antiqua" w:hAnsi="Book Antiqua"/>
          <w:b/>
          <w:sz w:val="24"/>
        </w:rPr>
        <w:t>188</w:t>
      </w:r>
      <w:r>
        <w:rPr>
          <w:rFonts w:ascii="Book Antiqua" w:hAnsi="Book Antiqua"/>
          <w:sz w:val="24"/>
        </w:rPr>
        <w:t>: 374-380 [PMID: 27002498 DOI: 10.1055/s-0042-101959]</w:t>
      </w:r>
    </w:p>
    <w:p>
      <w:pPr>
        <w:snapToGrid w:val="0"/>
        <w:spacing w:line="360" w:lineRule="auto"/>
        <w:rPr>
          <w:rFonts w:ascii="Book Antiqua" w:hAnsi="Book Antiqua"/>
          <w:sz w:val="24"/>
        </w:rPr>
      </w:pPr>
      <w:r>
        <w:rPr>
          <w:rFonts w:ascii="Book Antiqua" w:hAnsi="Book Antiqua"/>
          <w:sz w:val="24"/>
        </w:rPr>
        <w:t xml:space="preserve">26 </w:t>
      </w:r>
      <w:r>
        <w:rPr>
          <w:rFonts w:ascii="Book Antiqua" w:hAnsi="Book Antiqua"/>
          <w:b/>
          <w:sz w:val="24"/>
        </w:rPr>
        <w:t>Ruiz-Tovar J</w:t>
      </w:r>
      <w:r>
        <w:rPr>
          <w:rFonts w:ascii="Book Antiqua" w:hAnsi="Book Antiqua"/>
          <w:sz w:val="24"/>
        </w:rPr>
        <w:t xml:space="preserve">, Priego P. Portal Vein Thrombosis After Splenic and Pancreatic Surgery. </w:t>
      </w:r>
      <w:r>
        <w:rPr>
          <w:rFonts w:ascii="Book Antiqua" w:hAnsi="Book Antiqua"/>
          <w:i/>
          <w:sz w:val="24"/>
        </w:rPr>
        <w:t>Adv Exp Med Biol</w:t>
      </w:r>
      <w:r>
        <w:rPr>
          <w:rFonts w:ascii="Book Antiqua" w:hAnsi="Book Antiqua"/>
          <w:sz w:val="24"/>
        </w:rPr>
        <w:t xml:space="preserve"> 2017; </w:t>
      </w:r>
      <w:r>
        <w:rPr>
          <w:rFonts w:ascii="Book Antiqua" w:hAnsi="Book Antiqua"/>
          <w:b/>
          <w:sz w:val="24"/>
        </w:rPr>
        <w:t>906</w:t>
      </w:r>
      <w:r>
        <w:rPr>
          <w:rFonts w:ascii="Book Antiqua" w:hAnsi="Book Antiqua"/>
          <w:sz w:val="24"/>
        </w:rPr>
        <w:t>: 241-251 [PMID: 27638624 DOI: 10.1007/5584_2016_119]</w:t>
      </w:r>
    </w:p>
    <w:p>
      <w:pPr>
        <w:snapToGrid w:val="0"/>
        <w:spacing w:line="360" w:lineRule="auto"/>
        <w:rPr>
          <w:rFonts w:ascii="Book Antiqua" w:hAnsi="Book Antiqua"/>
          <w:sz w:val="24"/>
        </w:rPr>
      </w:pPr>
      <w:r>
        <w:rPr>
          <w:rFonts w:ascii="Book Antiqua" w:hAnsi="Book Antiqua"/>
          <w:sz w:val="24"/>
        </w:rPr>
        <w:t xml:space="preserve">27 </w:t>
      </w:r>
      <w:r>
        <w:rPr>
          <w:rFonts w:ascii="Book Antiqua" w:hAnsi="Book Antiqua"/>
          <w:b/>
          <w:sz w:val="24"/>
        </w:rPr>
        <w:t>Matsui T</w:t>
      </w:r>
      <w:r>
        <w:rPr>
          <w:rFonts w:ascii="Book Antiqua" w:hAnsi="Book Antiqua"/>
          <w:sz w:val="24"/>
        </w:rPr>
        <w:t xml:space="preserve">, Usui M, Wada H, Iizawa Y, Kato H, Tanemura A, Murata Y, Kuriyama N, Kishiwada M, Mizuno S, Sakurai H, Isaji S. Platelet Activation Assessed by Glycoprotein VI/Platelet Ratio Is Associated With Portal Vein Thrombosis After Hepatectomy and Splenectomy in Patients With Liver Cirrhosis. </w:t>
      </w:r>
      <w:r>
        <w:rPr>
          <w:rFonts w:ascii="Book Antiqua" w:hAnsi="Book Antiqua"/>
          <w:i/>
          <w:sz w:val="24"/>
        </w:rPr>
        <w:t>Clin Appl Thromb Hemost</w:t>
      </w:r>
      <w:r>
        <w:rPr>
          <w:rFonts w:ascii="Book Antiqua" w:hAnsi="Book Antiqua"/>
          <w:sz w:val="24"/>
        </w:rPr>
        <w:t xml:space="preserve"> 2018; </w:t>
      </w:r>
      <w:r>
        <w:rPr>
          <w:rFonts w:ascii="Book Antiqua" w:hAnsi="Book Antiqua"/>
          <w:b/>
          <w:sz w:val="24"/>
        </w:rPr>
        <w:t>24</w:t>
      </w:r>
      <w:r>
        <w:rPr>
          <w:rFonts w:ascii="Book Antiqua" w:hAnsi="Book Antiqua"/>
          <w:sz w:val="24"/>
        </w:rPr>
        <w:t>: 254-262 [PMID: 29050501 DOI: 10.1177/1076029617725600]</w:t>
      </w:r>
    </w:p>
    <w:p>
      <w:pPr>
        <w:snapToGrid w:val="0"/>
        <w:spacing w:line="360" w:lineRule="auto"/>
        <w:rPr>
          <w:rFonts w:ascii="Book Antiqua" w:hAnsi="Book Antiqua"/>
          <w:sz w:val="24"/>
        </w:rPr>
      </w:pPr>
      <w:r>
        <w:rPr>
          <w:rFonts w:ascii="Book Antiqua" w:hAnsi="Book Antiqua"/>
          <w:sz w:val="24"/>
        </w:rPr>
        <w:t xml:space="preserve">28 </w:t>
      </w:r>
      <w:r>
        <w:rPr>
          <w:rFonts w:ascii="Book Antiqua" w:hAnsi="Book Antiqua"/>
          <w:b/>
          <w:sz w:val="24"/>
        </w:rPr>
        <w:t>de'Angelis N</w:t>
      </w:r>
      <w:r>
        <w:rPr>
          <w:rFonts w:ascii="Book Antiqua" w:hAnsi="Book Antiqua"/>
          <w:sz w:val="24"/>
        </w:rPr>
        <w:t xml:space="preserve">, Abdalla S, Lizzi V, Esposito F, Genova P, Roy L, Galacteros F, Luciani A, Brunetti F. Incidence and predictors of portal and splenic vein thrombosis after pure laparoscopic splenectomy. </w:t>
      </w:r>
      <w:r>
        <w:rPr>
          <w:rFonts w:ascii="Book Antiqua" w:hAnsi="Book Antiqua"/>
          <w:i/>
          <w:sz w:val="24"/>
        </w:rPr>
        <w:t>Surgery</w:t>
      </w:r>
      <w:r>
        <w:rPr>
          <w:rFonts w:ascii="Book Antiqua" w:hAnsi="Book Antiqua"/>
          <w:sz w:val="24"/>
        </w:rPr>
        <w:t xml:space="preserve"> 2017; </w:t>
      </w:r>
      <w:r>
        <w:rPr>
          <w:rFonts w:ascii="Book Antiqua" w:hAnsi="Book Antiqua"/>
          <w:b/>
          <w:sz w:val="24"/>
        </w:rPr>
        <w:t>162</w:t>
      </w:r>
      <w:r>
        <w:rPr>
          <w:rFonts w:ascii="Book Antiqua" w:hAnsi="Book Antiqua"/>
          <w:sz w:val="24"/>
        </w:rPr>
        <w:t>: 1219-1230 [PMID: 28919051 DOI: 10.1016/j.surg.2017.07.016]</w:t>
      </w:r>
    </w:p>
    <w:p>
      <w:pPr>
        <w:snapToGrid w:val="0"/>
        <w:spacing w:line="360" w:lineRule="auto"/>
        <w:rPr>
          <w:rFonts w:ascii="Book Antiqua" w:hAnsi="Book Antiqua"/>
          <w:sz w:val="24"/>
        </w:rPr>
      </w:pPr>
      <w:r>
        <w:rPr>
          <w:rFonts w:ascii="Book Antiqua" w:hAnsi="Book Antiqua"/>
          <w:sz w:val="24"/>
        </w:rPr>
        <w:t xml:space="preserve">29 </w:t>
      </w:r>
      <w:r>
        <w:rPr>
          <w:rFonts w:ascii="Book Antiqua" w:hAnsi="Book Antiqua"/>
          <w:b/>
          <w:sz w:val="24"/>
        </w:rPr>
        <w:t>Lombardo S</w:t>
      </w:r>
      <w:r>
        <w:rPr>
          <w:rFonts w:ascii="Book Antiqua" w:hAnsi="Book Antiqua"/>
          <w:sz w:val="24"/>
        </w:rPr>
        <w:t xml:space="preserve">, Espejo JJ, Pérez-Montilla ME, Zurera LJ, González-Galilea Á. The keys to successful TIPS in patients with portal vein thrombosis and cavernous transformation. </w:t>
      </w:r>
      <w:r>
        <w:rPr>
          <w:rFonts w:ascii="Book Antiqua" w:hAnsi="Book Antiqua"/>
          <w:i/>
          <w:sz w:val="24"/>
        </w:rPr>
        <w:t>Radiologia</w:t>
      </w:r>
      <w:r>
        <w:rPr>
          <w:rFonts w:ascii="Book Antiqua" w:hAnsi="Book Antiqua"/>
          <w:sz w:val="24"/>
        </w:rPr>
        <w:t xml:space="preserve"> 2018; </w:t>
      </w:r>
      <w:r>
        <w:rPr>
          <w:rFonts w:ascii="Book Antiqua" w:hAnsi="Book Antiqua"/>
          <w:b/>
          <w:sz w:val="24"/>
        </w:rPr>
        <w:t>60</w:t>
      </w:r>
      <w:r>
        <w:rPr>
          <w:rFonts w:ascii="Book Antiqua" w:hAnsi="Book Antiqua"/>
          <w:sz w:val="24"/>
        </w:rPr>
        <w:t>: 94-104 [PMID: 29122309 DOI: 10.1016/j.rx.2017.08.006]</w:t>
      </w:r>
    </w:p>
    <w:p>
      <w:pPr>
        <w:snapToGrid w:val="0"/>
        <w:spacing w:line="360" w:lineRule="auto"/>
        <w:rPr>
          <w:rFonts w:ascii="Book Antiqua" w:hAnsi="Book Antiqua"/>
          <w:sz w:val="24"/>
        </w:rPr>
      </w:pPr>
      <w:r>
        <w:rPr>
          <w:rFonts w:ascii="Book Antiqua" w:hAnsi="Book Antiqua"/>
          <w:sz w:val="24"/>
        </w:rPr>
        <w:t xml:space="preserve">30 </w:t>
      </w:r>
      <w:r>
        <w:rPr>
          <w:rFonts w:ascii="Book Antiqua" w:hAnsi="Book Antiqua"/>
          <w:b/>
          <w:sz w:val="24"/>
        </w:rPr>
        <w:t>Qi X</w:t>
      </w:r>
      <w:r>
        <w:rPr>
          <w:rFonts w:ascii="Book Antiqua" w:hAnsi="Book Antiqua"/>
          <w:sz w:val="24"/>
        </w:rPr>
        <w:t xml:space="preserve">, He C, Guo W, Yin Z, Wang J, Wang Z, Niu J, Bai M, Yang Z, Fan D, Han G. Transjugular intrahepatic portosystemic shunt for portal vein thrombosis with variceal bleeding in liver cirrhosis: outcomes and predictors in a prospective cohort study. </w:t>
      </w:r>
      <w:r>
        <w:rPr>
          <w:rFonts w:ascii="Book Antiqua" w:hAnsi="Book Antiqua"/>
          <w:i/>
          <w:sz w:val="24"/>
        </w:rPr>
        <w:t>Liver Int</w:t>
      </w:r>
      <w:r>
        <w:rPr>
          <w:rFonts w:ascii="Book Antiqua" w:hAnsi="Book Antiqua"/>
          <w:sz w:val="24"/>
        </w:rPr>
        <w:t xml:space="preserve"> 2016; </w:t>
      </w:r>
      <w:r>
        <w:rPr>
          <w:rFonts w:ascii="Book Antiqua" w:hAnsi="Book Antiqua"/>
          <w:b/>
          <w:sz w:val="24"/>
        </w:rPr>
        <w:t>36</w:t>
      </w:r>
      <w:r>
        <w:rPr>
          <w:rFonts w:ascii="Book Antiqua" w:hAnsi="Book Antiqua"/>
          <w:sz w:val="24"/>
        </w:rPr>
        <w:t>: 667-676 [PMID: 26235541 DOI: 10.1111/liv.12929]</w:t>
      </w:r>
    </w:p>
    <w:p>
      <w:pPr>
        <w:snapToGrid w:val="0"/>
        <w:spacing w:line="360" w:lineRule="auto"/>
        <w:rPr>
          <w:rFonts w:ascii="Book Antiqua" w:hAnsi="Book Antiqua"/>
          <w:sz w:val="24"/>
        </w:rPr>
      </w:pPr>
      <w:r>
        <w:rPr>
          <w:rFonts w:ascii="Book Antiqua" w:hAnsi="Book Antiqua"/>
          <w:sz w:val="24"/>
        </w:rPr>
        <w:t xml:space="preserve">31 </w:t>
      </w:r>
      <w:r>
        <w:rPr>
          <w:rFonts w:ascii="Book Antiqua" w:hAnsi="Book Antiqua"/>
          <w:b/>
          <w:sz w:val="24"/>
        </w:rPr>
        <w:t>Massoud OI</w:t>
      </w:r>
      <w:r>
        <w:rPr>
          <w:rFonts w:ascii="Book Antiqua" w:hAnsi="Book Antiqua"/>
          <w:sz w:val="24"/>
        </w:rPr>
        <w:t xml:space="preserve">, Zein NN. The Effect of Transjugular Intrahepatic Portosystemic Shunt on Platelet Counts in Patients With Liver Cirrhosis. </w:t>
      </w:r>
      <w:r>
        <w:rPr>
          <w:rFonts w:ascii="Book Antiqua" w:hAnsi="Book Antiqua"/>
          <w:i/>
          <w:sz w:val="24"/>
        </w:rPr>
        <w:t>Gastroenterol Hepatol (N Y)</w:t>
      </w:r>
      <w:r>
        <w:rPr>
          <w:rFonts w:ascii="Book Antiqua" w:hAnsi="Book Antiqua"/>
          <w:sz w:val="24"/>
        </w:rPr>
        <w:t xml:space="preserve"> 2017; </w:t>
      </w:r>
      <w:r>
        <w:rPr>
          <w:rFonts w:ascii="Book Antiqua" w:hAnsi="Book Antiqua"/>
          <w:b/>
          <w:sz w:val="24"/>
        </w:rPr>
        <w:t>13</w:t>
      </w:r>
      <w:r>
        <w:rPr>
          <w:rFonts w:ascii="Book Antiqua" w:hAnsi="Book Antiqua"/>
          <w:sz w:val="24"/>
        </w:rPr>
        <w:t>: 286-291 [PMID: 28656025]</w:t>
      </w:r>
    </w:p>
    <w:p>
      <w:pPr>
        <w:snapToGrid w:val="0"/>
        <w:spacing w:line="360" w:lineRule="auto"/>
        <w:rPr>
          <w:rFonts w:ascii="Book Antiqua" w:hAnsi="Book Antiqua"/>
          <w:sz w:val="24"/>
        </w:rPr>
      </w:pPr>
      <w:r>
        <w:rPr>
          <w:rFonts w:ascii="Book Antiqua" w:hAnsi="Book Antiqua"/>
          <w:sz w:val="24"/>
        </w:rPr>
        <w:t xml:space="preserve">32 </w:t>
      </w:r>
      <w:r>
        <w:rPr>
          <w:rFonts w:ascii="Book Antiqua" w:hAnsi="Book Antiqua"/>
          <w:b/>
          <w:sz w:val="24"/>
        </w:rPr>
        <w:t>Karasu Z</w:t>
      </w:r>
      <w:r>
        <w:rPr>
          <w:rFonts w:ascii="Book Antiqua" w:hAnsi="Book Antiqua"/>
          <w:sz w:val="24"/>
        </w:rPr>
        <w:t xml:space="preserve">, Gurakar A, Kerwin B, Hulagu S, Jazzar A, McFadden R, Nour B, Sebastian A, Cassidy F, Stokes K, Van Thiel DH, Wright H. Effect of transjugular intrahepatic portosystemic shunt on thrombocytopenia associated with cirrhosis. </w:t>
      </w:r>
      <w:r>
        <w:rPr>
          <w:rFonts w:ascii="Book Antiqua" w:hAnsi="Book Antiqua"/>
          <w:i/>
          <w:sz w:val="24"/>
        </w:rPr>
        <w:t>Dig Dis Sci</w:t>
      </w:r>
      <w:r>
        <w:rPr>
          <w:rFonts w:ascii="Book Antiqua" w:hAnsi="Book Antiqua"/>
          <w:sz w:val="24"/>
        </w:rPr>
        <w:t xml:space="preserve"> 2000; </w:t>
      </w:r>
      <w:r>
        <w:rPr>
          <w:rFonts w:ascii="Book Antiqua" w:hAnsi="Book Antiqua"/>
          <w:b/>
          <w:sz w:val="24"/>
        </w:rPr>
        <w:t>45</w:t>
      </w:r>
      <w:r>
        <w:rPr>
          <w:rFonts w:ascii="Book Antiqua" w:hAnsi="Book Antiqua"/>
          <w:sz w:val="24"/>
        </w:rPr>
        <w:t>: 1971-1976 [PMID: 11117569 DOI: 10.1023/a:1005694617983]</w:t>
      </w:r>
    </w:p>
    <w:p>
      <w:pPr>
        <w:snapToGrid w:val="0"/>
        <w:spacing w:line="360" w:lineRule="auto"/>
        <w:rPr>
          <w:rFonts w:ascii="Book Antiqua" w:hAnsi="Book Antiqua"/>
          <w:sz w:val="24"/>
        </w:rPr>
      </w:pPr>
      <w:r>
        <w:rPr>
          <w:rFonts w:ascii="Book Antiqua" w:hAnsi="Book Antiqua"/>
          <w:sz w:val="24"/>
        </w:rPr>
        <w:t xml:space="preserve">33 </w:t>
      </w:r>
      <w:r>
        <w:rPr>
          <w:rFonts w:ascii="Book Antiqua" w:hAnsi="Book Antiqua"/>
          <w:b/>
          <w:sz w:val="24"/>
        </w:rPr>
        <w:t>Jabbour N</w:t>
      </w:r>
      <w:r>
        <w:rPr>
          <w:rFonts w:ascii="Book Antiqua" w:hAnsi="Book Antiqua"/>
          <w:sz w:val="24"/>
        </w:rPr>
        <w:t xml:space="preserve">, Zajko A, Orons P, Irish W, Fung JJ, Selby RR. Does transjugular intrahepatic portosystemic shunt (TIPS) resolve thrombocytopenia associated with cirrhosis? </w:t>
      </w:r>
      <w:r>
        <w:rPr>
          <w:rFonts w:ascii="Book Antiqua" w:hAnsi="Book Antiqua"/>
          <w:i/>
          <w:sz w:val="24"/>
        </w:rPr>
        <w:t>Dig Dis Sci</w:t>
      </w:r>
      <w:r>
        <w:rPr>
          <w:rFonts w:ascii="Book Antiqua" w:hAnsi="Book Antiqua"/>
          <w:sz w:val="24"/>
        </w:rPr>
        <w:t xml:space="preserve"> 1998; </w:t>
      </w:r>
      <w:r>
        <w:rPr>
          <w:rFonts w:ascii="Book Antiqua" w:hAnsi="Book Antiqua"/>
          <w:b/>
          <w:sz w:val="24"/>
        </w:rPr>
        <w:t>43</w:t>
      </w:r>
      <w:r>
        <w:rPr>
          <w:rFonts w:ascii="Book Antiqua" w:hAnsi="Book Antiqua"/>
          <w:sz w:val="24"/>
        </w:rPr>
        <w:t>: 2459-2462 [PMID: 9824134 DOI: 10.1023/A:1026634215918]</w:t>
      </w:r>
    </w:p>
    <w:p>
      <w:pPr>
        <w:snapToGrid w:val="0"/>
        <w:spacing w:line="360" w:lineRule="auto"/>
        <w:rPr>
          <w:rFonts w:ascii="Book Antiqua" w:hAnsi="Book Antiqua" w:eastAsia="黑体"/>
          <w:sz w:val="24"/>
        </w:rPr>
      </w:pPr>
    </w:p>
    <w:p>
      <w:pPr>
        <w:suppressAutoHyphens/>
        <w:snapToGrid w:val="0"/>
        <w:spacing w:line="360" w:lineRule="auto"/>
        <w:ind w:right="120"/>
        <w:jc w:val="right"/>
        <w:rPr>
          <w:rFonts w:ascii="Book Antiqua" w:hAnsi="Book Antiqua" w:cs="Mangal"/>
          <w:b/>
          <w:bCs/>
          <w:sz w:val="24"/>
          <w:lang w:bidi="hi-IN"/>
        </w:rPr>
      </w:pPr>
      <w:bookmarkStart w:id="209" w:name="OLE_LINK480"/>
      <w:bookmarkStart w:id="210" w:name="OLE_LINK502"/>
      <w:bookmarkStart w:id="211" w:name="OLE_LINK2200"/>
      <w:bookmarkStart w:id="212" w:name="OLE_LINK2199"/>
      <w:bookmarkStart w:id="213" w:name="OLE_LINK2090"/>
      <w:bookmarkStart w:id="214" w:name="OLE_LINK1811"/>
      <w:bookmarkStart w:id="215" w:name="OLE_LINK2198"/>
      <w:bookmarkStart w:id="216" w:name="OLE_LINK1844"/>
      <w:bookmarkStart w:id="217" w:name="OLE_LINK2162"/>
      <w:bookmarkStart w:id="218" w:name="OLE_LINK1266"/>
      <w:bookmarkStart w:id="219" w:name="OLE_LINK1042"/>
      <w:bookmarkStart w:id="220" w:name="OLE_LINK1807"/>
      <w:bookmarkStart w:id="221" w:name="OLE_LINK1261"/>
      <w:bookmarkStart w:id="222" w:name="OLE_LINK1801"/>
      <w:bookmarkStart w:id="223" w:name="OLE_LINK1264"/>
      <w:bookmarkStart w:id="224" w:name="OLE_LINK1044"/>
      <w:bookmarkStart w:id="225" w:name="OLE_LINK1041"/>
      <w:bookmarkStart w:id="226" w:name="OLE_LINK1800"/>
      <w:bookmarkStart w:id="227" w:name="OLE_LINK1260"/>
      <w:bookmarkStart w:id="228" w:name="OLE_LINK1636"/>
      <w:bookmarkStart w:id="229" w:name="OLE_LINK1043"/>
      <w:bookmarkStart w:id="230" w:name="OLE_LINK1806"/>
      <w:bookmarkStart w:id="231" w:name="OLE_LINK1964"/>
      <w:bookmarkStart w:id="232" w:name="OLE_LINK1813"/>
      <w:bookmarkStart w:id="233" w:name="OLE_LINK1755"/>
      <w:bookmarkStart w:id="234" w:name="OLE_LINK1843"/>
      <w:bookmarkStart w:id="235" w:name="OLE_LINK1282"/>
      <w:bookmarkStart w:id="236" w:name="OLE_LINK1962"/>
      <w:bookmarkStart w:id="237" w:name="OLE_LINK1963"/>
      <w:bookmarkStart w:id="238" w:name="OLE_LINK968"/>
      <w:bookmarkStart w:id="239" w:name="OLE_LINK1802"/>
      <w:bookmarkStart w:id="240" w:name="OLE_LINK1072"/>
      <w:bookmarkStart w:id="241" w:name="OLE_LINK1845"/>
      <w:bookmarkStart w:id="242" w:name="OLE_LINK1071"/>
      <w:bookmarkStart w:id="243" w:name="OLE_LINK1812"/>
      <w:bookmarkStart w:id="244" w:name="OLE_LINK1265"/>
      <w:bookmarkStart w:id="245" w:name="OLE_LINK1803"/>
      <w:bookmarkStart w:id="246" w:name="OLE_LINK1158"/>
      <w:bookmarkStart w:id="247" w:name="OLE_LINK1036"/>
      <w:bookmarkStart w:id="248" w:name="OLE_LINK1185"/>
      <w:bookmarkStart w:id="249" w:name="OLE_LINK987"/>
      <w:bookmarkStart w:id="250" w:name="OLE_LINK962"/>
      <w:bookmarkStart w:id="251" w:name="OLE_LINK1159"/>
      <w:bookmarkStart w:id="252" w:name="OLE_LINK1023"/>
      <w:bookmarkStart w:id="253" w:name="OLE_LINK1022"/>
      <w:bookmarkStart w:id="254" w:name="OLE_LINK1035"/>
      <w:bookmarkStart w:id="255" w:name="OLE_LINK1040"/>
      <w:bookmarkStart w:id="256" w:name="OLE_LINK1039"/>
      <w:bookmarkStart w:id="257" w:name="OLE_LINK958"/>
      <w:bookmarkStart w:id="258" w:name="OLE_LINK1157"/>
      <w:bookmarkStart w:id="259" w:name="OLE_LINK1037"/>
      <w:bookmarkStart w:id="260" w:name="OLE_LINK1065"/>
      <w:bookmarkStart w:id="261" w:name="OLE_LINK959"/>
      <w:bookmarkStart w:id="262" w:name="OLE_LINK946"/>
      <w:bookmarkStart w:id="263" w:name="OLE_LINK2182"/>
      <w:bookmarkStart w:id="264" w:name="OLE_LINK2183"/>
      <w:bookmarkStart w:id="265" w:name="OLE_LINK1127"/>
      <w:bookmarkStart w:id="266" w:name="OLE_LINK947"/>
      <w:bookmarkStart w:id="267" w:name="OLE_LINK1021"/>
      <w:bookmarkStart w:id="268" w:name="OLE_LINK2181"/>
      <w:bookmarkStart w:id="269" w:name="OLE_LINK945"/>
      <w:bookmarkStart w:id="270" w:name="OLE_LINK1038"/>
      <w:bookmarkStart w:id="271" w:name="OLE_LINK1156"/>
      <w:bookmarkStart w:id="272" w:name="OLE_LINK1064"/>
      <w:r>
        <w:rPr>
          <w:rFonts w:ascii="Book Antiqua" w:hAnsi="Book Antiqua" w:eastAsia="Lucida Sans Unicode" w:cs="Arial"/>
          <w:b/>
          <w:sz w:val="24"/>
          <w:lang w:eastAsia="hi-IN" w:bidi="hi-IN"/>
        </w:rPr>
        <w:t>P-Reviewer</w:t>
      </w:r>
      <w:r>
        <w:rPr>
          <w:rFonts w:ascii="Book Antiqua" w:hAnsi="Book Antiqua" w:cs="Arial"/>
          <w:b/>
          <w:sz w:val="24"/>
          <w:lang w:bidi="hi-IN"/>
        </w:rPr>
        <w:t>:</w:t>
      </w:r>
      <w:r>
        <w:rPr>
          <w:rFonts w:ascii="Book Antiqua" w:hAnsi="Book Antiqua" w:eastAsia="Lucida Sans Unicode" w:cs="Mangal"/>
          <w:bCs/>
          <w:sz w:val="24"/>
          <w:lang w:eastAsia="hi-IN" w:bidi="hi-IN"/>
        </w:rPr>
        <w:t xml:space="preserve"> </w:t>
      </w:r>
      <w:r>
        <w:rPr>
          <w:rFonts w:ascii="Book Antiqua" w:hAnsi="Book Antiqua"/>
          <w:sz w:val="24"/>
        </w:rPr>
        <w:t>Cheng TH</w:t>
      </w:r>
      <w:r>
        <w:rPr>
          <w:rFonts w:ascii="Book Antiqua" w:hAnsi="Book Antiqua" w:eastAsia="Lucida Sans Unicode" w:cs="Mangal"/>
          <w:bCs/>
          <w:sz w:val="24"/>
          <w:lang w:eastAsia="hi-IN" w:bidi="hi-IN"/>
        </w:rPr>
        <w:t xml:space="preserve"> </w:t>
      </w:r>
      <w:r>
        <w:rPr>
          <w:rFonts w:ascii="Book Antiqua" w:hAnsi="Book Antiqua" w:eastAsia="Lucida Sans Unicode" w:cs="Mangal"/>
          <w:b/>
          <w:bCs/>
          <w:sz w:val="24"/>
          <w:lang w:eastAsia="hi-IN" w:bidi="hi-IN"/>
        </w:rPr>
        <w:t>S-Editor</w:t>
      </w:r>
      <w:r>
        <w:rPr>
          <w:rFonts w:ascii="Book Antiqua" w:hAnsi="Book Antiqua" w:cs="Mangal"/>
          <w:b/>
          <w:bCs/>
          <w:sz w:val="24"/>
          <w:lang w:bidi="hi-IN"/>
        </w:rPr>
        <w:t>:</w:t>
      </w:r>
      <w:r>
        <w:rPr>
          <w:rFonts w:ascii="Book Antiqua" w:hAnsi="Book Antiqua" w:eastAsia="Lucida Sans Unicode" w:cs="Mangal"/>
          <w:bCs/>
          <w:sz w:val="24"/>
          <w:lang w:eastAsia="hi-IN" w:bidi="hi-IN"/>
        </w:rPr>
        <w:t xml:space="preserve"> </w:t>
      </w:r>
      <w:r>
        <w:rPr>
          <w:rFonts w:ascii="Book Antiqua" w:hAnsi="Book Antiqua" w:cs="Mangal"/>
          <w:bCs/>
          <w:sz w:val="24"/>
          <w:lang w:bidi="hi-IN"/>
        </w:rPr>
        <w:t>Dou Y</w:t>
      </w:r>
      <w:r>
        <w:rPr>
          <w:rFonts w:ascii="Book Antiqua" w:hAnsi="Book Antiqua" w:eastAsia="Lucida Sans Unicode" w:cs="Mangal"/>
          <w:b/>
          <w:bCs/>
          <w:sz w:val="24"/>
          <w:lang w:eastAsia="hi-IN" w:bidi="hi-IN"/>
        </w:rPr>
        <w:t xml:space="preserve"> L-Editor</w:t>
      </w:r>
      <w:r>
        <w:rPr>
          <w:rFonts w:ascii="Book Antiqua" w:hAnsi="Book Antiqua" w:cs="Mangal"/>
          <w:b/>
          <w:bCs/>
          <w:sz w:val="24"/>
          <w:lang w:bidi="hi-IN"/>
        </w:rPr>
        <w:t>:</w:t>
      </w:r>
      <w:r>
        <w:rPr>
          <w:rFonts w:ascii="Book Antiqua" w:hAnsi="Book Antiqua" w:eastAsia="Lucida Sans Unicode" w:cs="Mangal"/>
          <w:b/>
          <w:bCs/>
          <w:sz w:val="24"/>
          <w:lang w:eastAsia="hi-IN" w:bidi="hi-IN"/>
        </w:rPr>
        <w:t xml:space="preserve"> </w:t>
      </w:r>
      <w:r>
        <w:rPr>
          <w:rFonts w:ascii="Book Antiqua" w:hAnsi="Book Antiqua" w:eastAsia="Lucida Sans Unicode" w:cs="Mangal"/>
          <w:bCs/>
          <w:sz w:val="24"/>
          <w:lang w:eastAsia="hi-IN" w:bidi="hi-IN"/>
        </w:rPr>
        <w:t xml:space="preserve">Filipodia </w:t>
      </w:r>
      <w:r>
        <w:rPr>
          <w:rFonts w:ascii="Book Antiqua" w:hAnsi="Book Antiqua" w:eastAsia="Lucida Sans Unicode" w:cs="Mangal"/>
          <w:b/>
          <w:bCs/>
          <w:sz w:val="24"/>
          <w:lang w:eastAsia="hi-IN" w:bidi="hi-IN"/>
        </w:rPr>
        <w:t>E-Editor</w:t>
      </w:r>
      <w:r>
        <w:rPr>
          <w:rFonts w:ascii="Book Antiqua" w:hAnsi="Book Antiqua" w:cs="Mangal"/>
          <w:b/>
          <w:bCs/>
          <w:sz w:val="24"/>
          <w:lang w:bidi="hi-IN"/>
        </w:rPr>
        <w:t>:</w:t>
      </w:r>
    </w:p>
    <w:p>
      <w:pPr>
        <w:shd w:val="clear" w:color="auto" w:fill="FFFFFF"/>
        <w:snapToGrid w:val="0"/>
        <w:spacing w:line="360" w:lineRule="auto"/>
        <w:rPr>
          <w:rFonts w:ascii="Book Antiqua" w:hAnsi="Book Antiqua" w:cs="Helvetica"/>
          <w:b/>
          <w:sz w:val="24"/>
        </w:rPr>
      </w:pPr>
      <w:r>
        <w:rPr>
          <w:rFonts w:ascii="Book Antiqua" w:hAnsi="Book Antiqua" w:cs="Helvetica"/>
          <w:b/>
          <w:sz w:val="24"/>
        </w:rPr>
        <w:t xml:space="preserve">Specialty type: </w:t>
      </w:r>
      <w:r>
        <w:rPr>
          <w:rFonts w:ascii="Book Antiqua" w:hAnsi="Book Antiqua" w:eastAsia="微软雅黑" w:cs="宋体"/>
          <w:sz w:val="24"/>
        </w:rPr>
        <w:t>Medicine, Research and Experimental</w:t>
      </w:r>
    </w:p>
    <w:p>
      <w:pPr>
        <w:shd w:val="clear" w:color="auto" w:fill="FFFFFF"/>
        <w:snapToGrid w:val="0"/>
        <w:spacing w:line="360" w:lineRule="auto"/>
        <w:rPr>
          <w:rFonts w:ascii="Book Antiqua" w:hAnsi="Book Antiqua" w:cs="Helvetica"/>
          <w:b/>
          <w:sz w:val="24"/>
        </w:rPr>
      </w:pPr>
      <w:r>
        <w:rPr>
          <w:rFonts w:ascii="Book Antiqua" w:hAnsi="Book Antiqua" w:cs="Helvetica"/>
          <w:b/>
          <w:sz w:val="24"/>
        </w:rPr>
        <w:t xml:space="preserve">Country of origin: </w:t>
      </w:r>
      <w:r>
        <w:rPr>
          <w:rFonts w:ascii="Book Antiqua" w:hAnsi="Book Antiqua" w:cs="Helvetica"/>
          <w:sz w:val="24"/>
        </w:rPr>
        <w:t>China</w:t>
      </w:r>
    </w:p>
    <w:p>
      <w:pPr>
        <w:shd w:val="clear" w:color="auto" w:fill="FFFFFF"/>
        <w:snapToGrid w:val="0"/>
        <w:spacing w:line="360" w:lineRule="auto"/>
        <w:rPr>
          <w:rFonts w:ascii="Book Antiqua" w:hAnsi="Book Antiqua" w:cs="Helvetica"/>
          <w:b/>
          <w:sz w:val="24"/>
        </w:rPr>
      </w:pPr>
      <w:r>
        <w:rPr>
          <w:rFonts w:ascii="Book Antiqua" w:hAnsi="Book Antiqua" w:cs="Helvetica"/>
          <w:b/>
          <w:sz w:val="24"/>
        </w:rPr>
        <w:t>Peer-review report classification</w:t>
      </w:r>
    </w:p>
    <w:p>
      <w:pPr>
        <w:shd w:val="clear" w:color="auto" w:fill="FFFFFF"/>
        <w:snapToGrid w:val="0"/>
        <w:spacing w:line="360" w:lineRule="auto"/>
        <w:rPr>
          <w:rFonts w:ascii="Book Antiqua" w:hAnsi="Book Antiqua" w:cs="Helvetica"/>
          <w:sz w:val="24"/>
        </w:rPr>
      </w:pPr>
      <w:r>
        <w:rPr>
          <w:rFonts w:ascii="Book Antiqua" w:hAnsi="Book Antiqua" w:cs="Helvetica"/>
          <w:sz w:val="24"/>
        </w:rPr>
        <w:t>Grade A (Excellent): 0</w:t>
      </w:r>
    </w:p>
    <w:p>
      <w:pPr>
        <w:shd w:val="clear" w:color="auto" w:fill="FFFFFF"/>
        <w:snapToGrid w:val="0"/>
        <w:spacing w:line="360" w:lineRule="auto"/>
        <w:rPr>
          <w:rFonts w:ascii="Book Antiqua" w:hAnsi="Book Antiqua" w:cs="Helvetica"/>
          <w:sz w:val="24"/>
        </w:rPr>
      </w:pPr>
      <w:r>
        <w:rPr>
          <w:rFonts w:ascii="Book Antiqua" w:hAnsi="Book Antiqua" w:cs="Helvetica"/>
          <w:sz w:val="24"/>
        </w:rPr>
        <w:t>Grade B (Very good): 0</w:t>
      </w:r>
    </w:p>
    <w:p>
      <w:pPr>
        <w:shd w:val="clear" w:color="auto" w:fill="FFFFFF"/>
        <w:snapToGrid w:val="0"/>
        <w:spacing w:line="360" w:lineRule="auto"/>
        <w:rPr>
          <w:rFonts w:ascii="Book Antiqua" w:hAnsi="Book Antiqua" w:cs="Helvetica"/>
          <w:sz w:val="24"/>
        </w:rPr>
      </w:pPr>
      <w:r>
        <w:rPr>
          <w:rFonts w:ascii="Book Antiqua" w:hAnsi="Book Antiqua" w:cs="Helvetica"/>
          <w:sz w:val="24"/>
        </w:rPr>
        <w:t>Grade C (Good): C</w:t>
      </w:r>
    </w:p>
    <w:p>
      <w:pPr>
        <w:shd w:val="clear" w:color="auto" w:fill="FFFFFF"/>
        <w:snapToGrid w:val="0"/>
        <w:spacing w:line="360" w:lineRule="auto"/>
        <w:rPr>
          <w:rFonts w:ascii="Book Antiqua" w:hAnsi="Book Antiqua" w:cs="Helvetica"/>
          <w:sz w:val="24"/>
        </w:rPr>
      </w:pPr>
      <w:r>
        <w:rPr>
          <w:rFonts w:ascii="Book Antiqua" w:hAnsi="Book Antiqua" w:cs="Helvetica"/>
          <w:sz w:val="24"/>
        </w:rPr>
        <w:t xml:space="preserve">Grade D (Fair): </w:t>
      </w:r>
      <w:bookmarkEnd w:id="209"/>
      <w:bookmarkEnd w:id="210"/>
      <w:r>
        <w:rPr>
          <w:rFonts w:ascii="Book Antiqua" w:hAnsi="Book Antiqua" w:cs="Helvetica"/>
          <w:sz w:val="24"/>
        </w:rPr>
        <w:t>0</w:t>
      </w:r>
    </w:p>
    <w:p>
      <w:pPr>
        <w:shd w:val="clear" w:color="auto" w:fill="FFFFFF"/>
        <w:snapToGrid w:val="0"/>
        <w:spacing w:line="360" w:lineRule="auto"/>
        <w:rPr>
          <w:rFonts w:ascii="Book Antiqua" w:hAnsi="Book Antiqua" w:cs="Helvetica"/>
          <w:sz w:val="24"/>
        </w:rPr>
      </w:pPr>
      <w:r>
        <w:rPr>
          <w:rFonts w:ascii="Book Antiqua" w:hAnsi="Book Antiqua" w:cs="Helvetica"/>
          <w:sz w:val="24"/>
        </w:rPr>
        <w:t>Grade E (Poor): 0</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snapToGrid w:val="0"/>
        <w:spacing w:line="360" w:lineRule="auto"/>
        <w:rPr>
          <w:rFonts w:ascii="Book Antiqua" w:hAnsi="Book Antiqua" w:eastAsia="黑体" w:cs="Times New Roman"/>
          <w:b/>
          <w:sz w:val="24"/>
        </w:rPr>
      </w:pPr>
    </w:p>
    <w:p>
      <w:pPr>
        <w:widowControl/>
        <w:snapToGrid w:val="0"/>
        <w:spacing w:line="360" w:lineRule="auto"/>
        <w:rPr>
          <w:rFonts w:ascii="Book Antiqua" w:hAnsi="Book Antiqua" w:eastAsia="黑体"/>
          <w:b/>
          <w:sz w:val="24"/>
        </w:rPr>
      </w:pPr>
      <w:r>
        <w:rPr>
          <w:rFonts w:ascii="Book Antiqua" w:hAnsi="Book Antiqua" w:eastAsia="黑体"/>
          <w:b/>
          <w:sz w:val="24"/>
        </w:rPr>
        <w:br w:type="page"/>
      </w:r>
    </w:p>
    <w:p>
      <w:pPr>
        <w:widowControl/>
        <w:snapToGrid w:val="0"/>
        <w:spacing w:line="360" w:lineRule="auto"/>
        <w:rPr>
          <w:rFonts w:ascii="Book Antiqua" w:hAnsi="Book Antiqua"/>
          <w:sz w:val="24"/>
        </w:rPr>
      </w:pPr>
    </w:p>
    <w:p>
      <w:pPr>
        <w:snapToGrid w:val="0"/>
        <w:spacing w:line="360" w:lineRule="auto"/>
        <w:rPr>
          <w:rFonts w:ascii="Book Antiqua" w:hAnsi="Book Antiqua"/>
          <w:sz w:val="24"/>
        </w:rPr>
      </w:pPr>
      <w:r>
        <w:rPr>
          <w:rFonts w:ascii="Book Antiqua" w:hAnsi="Book Antiqua"/>
          <w:sz w:val="24"/>
          <w:lang w:eastAsia="en-US"/>
        </w:rPr>
        <mc:AlternateContent>
          <mc:Choice Requires="wps">
            <w:drawing>
              <wp:anchor distT="0" distB="0" distL="114300" distR="114300" simplePos="0" relativeHeight="251645952" behindDoc="0" locked="0" layoutInCell="1" allowOverlap="1">
                <wp:simplePos x="0" y="0"/>
                <wp:positionH relativeFrom="column">
                  <wp:align>center</wp:align>
                </wp:positionH>
                <wp:positionV relativeFrom="paragraph">
                  <wp:posOffset>5080</wp:posOffset>
                </wp:positionV>
                <wp:extent cx="2926715" cy="327025"/>
                <wp:effectExtent l="4445" t="4445" r="15240" b="11430"/>
                <wp:wrapNone/>
                <wp:docPr id="307" name="文本框 307"/>
                <wp:cNvGraphicFramePr/>
                <a:graphic xmlns:a="http://schemas.openxmlformats.org/drawingml/2006/main">
                  <a:graphicData uri="http://schemas.microsoft.com/office/word/2010/wordprocessingShape">
                    <wps:wsp>
                      <wps:cNvSpPr txBox="1">
                        <a:spLocks noChangeArrowheads="1"/>
                      </wps:cNvSpPr>
                      <wps:spPr bwMode="auto">
                        <a:xfrm>
                          <a:off x="0" y="0"/>
                          <a:ext cx="2993258" cy="543464"/>
                        </a:xfrm>
                        <a:prstGeom prst="rect">
                          <a:avLst/>
                        </a:prstGeom>
                        <a:solidFill>
                          <a:srgbClr val="FFFFFF"/>
                        </a:solidFill>
                        <a:ln w="9525">
                          <a:solidFill>
                            <a:srgbClr val="000000"/>
                          </a:solidFill>
                          <a:miter lim="800000"/>
                        </a:ln>
                        <a:effectLst/>
                      </wps:spPr>
                      <wps:txbx>
                        <w:txbxContent>
                          <w:p>
                            <w:pPr>
                              <w:rPr>
                                <w:rFonts w:ascii="Times New Roman" w:hAnsi="Times New Roman"/>
                                <w:sz w:val="24"/>
                              </w:rPr>
                            </w:pPr>
                            <w:r>
                              <w:rPr>
                                <w:rFonts w:hint="eastAsia" w:ascii="Times New Roman" w:hAnsi="Times New Roman"/>
                                <w:sz w:val="24"/>
                              </w:rPr>
                              <w:t>486</w:t>
                            </w:r>
                            <w:r>
                              <w:rPr>
                                <w:rFonts w:ascii="Times New Roman" w:hAnsi="Times New Roman"/>
                                <w:sz w:val="24"/>
                              </w:rPr>
                              <w:t xml:space="preserve"> patients who underwent TIPS procedure</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top:0.4pt;height:25.75pt;width:230.45pt;mso-position-horizontal:center;z-index:251645952;mso-width-relative:page;mso-height-relative:page;" fillcolor="#FFFFFF" filled="t" stroked="t" coordsize="21600,21600" o:gfxdata="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UapPQNUAAAAEAQAADwAAAAAAAAABACAAAAAiAAAAZHJzL2Rvd25yZXYueG1sUEsBAhQAFAAAAAgA&#10;h07iQIGVTykoAgAAPwQAAA4AAAAAAAAAAQAgAAAAJAEAAGRycy9lMm9Eb2MueG1sUEsFBgAAAAAG&#10;AAYAWQEAAL4FAAAAAA==&#10;">
                <v:fill on="t" focussize="0,0"/>
                <v:stroke color="#000000" miterlimit="8" joinstyle="miter"/>
                <v:imagedata o:title=""/>
                <o:lock v:ext="edit" aspectratio="f"/>
                <v:textbox>
                  <w:txbxContent>
                    <w:p>
                      <w:pPr>
                        <w:rPr>
                          <w:rFonts w:ascii="Times New Roman" w:hAnsi="Times New Roman"/>
                          <w:sz w:val="24"/>
                        </w:rPr>
                      </w:pPr>
                      <w:r>
                        <w:rPr>
                          <w:rFonts w:hint="eastAsia" w:ascii="Times New Roman" w:hAnsi="Times New Roman"/>
                          <w:sz w:val="24"/>
                        </w:rPr>
                        <w:t>486</w:t>
                      </w:r>
                      <w:r>
                        <w:rPr>
                          <w:rFonts w:ascii="Times New Roman" w:hAnsi="Times New Roman"/>
                          <w:sz w:val="24"/>
                        </w:rPr>
                        <w:t xml:space="preserve"> patients who underwent TIPS procedure</w:t>
                      </w:r>
                    </w:p>
                  </w:txbxContent>
                </v:textbox>
              </v:shape>
            </w:pict>
          </mc:Fallback>
        </mc:AlternateContent>
      </w:r>
    </w:p>
    <w:p>
      <w:pPr>
        <w:snapToGrid w:val="0"/>
        <w:spacing w:line="360" w:lineRule="auto"/>
        <w:rPr>
          <w:rFonts w:ascii="Book Antiqua" w:hAnsi="Book Antiqua"/>
          <w:sz w:val="24"/>
        </w:rPr>
      </w:pPr>
      <w:r>
        <w:rPr>
          <w:rFonts w:ascii="Book Antiqua" w:hAnsi="Book Antiqua"/>
          <w:sz w:val="24"/>
          <w:lang w:eastAsia="en-US"/>
        </w:rPr>
        <mc:AlternateContent>
          <mc:Choice Requires="wps">
            <w:drawing>
              <wp:anchor distT="0" distB="0" distL="114300" distR="114300" simplePos="0" relativeHeight="251659264" behindDoc="0" locked="0" layoutInCell="1" allowOverlap="1">
                <wp:simplePos x="0" y="0"/>
                <wp:positionH relativeFrom="column">
                  <wp:posOffset>2618105</wp:posOffset>
                </wp:positionH>
                <wp:positionV relativeFrom="paragraph">
                  <wp:posOffset>40005</wp:posOffset>
                </wp:positionV>
                <wp:extent cx="1819910" cy="603885"/>
                <wp:effectExtent l="1270" t="4445" r="7620" b="13970"/>
                <wp:wrapNone/>
                <wp:docPr id="1" name="直接箭头连接符 1"/>
                <wp:cNvGraphicFramePr/>
                <a:graphic xmlns:a="http://schemas.openxmlformats.org/drawingml/2006/main">
                  <a:graphicData uri="http://schemas.microsoft.com/office/word/2010/wordprocessingShape">
                    <wps:wsp>
                      <wps:cNvCnPr/>
                      <wps:spPr>
                        <a:xfrm>
                          <a:off x="0" y="0"/>
                          <a:ext cx="1819910" cy="60388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6.15pt;margin-top:3.15pt;height:47.55pt;width:143.3pt;z-index:251659264;mso-width-relative:page;mso-height-relative:page;" filled="f" stroked="t" coordsize="21600,21600" o:gfxdata="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bnbFtkAAAAJAQAADwAAAAAAAAABACAAAAAiAAAAZHJzL2Rvd25yZXYueG1sUEsBAhQAFAAAAAgA&#10;h07iQJZBO2PrAQAApwMAAA4AAAAAAAAAAQAgAAAAKAEAAGRycy9lMm9Eb2MueG1sUEsFBgAAAAAG&#10;AAYAWQEAAIUFAAAAAA==&#10;">
                <v:fill on="f" focussize="0,0"/>
                <v:stroke color="#000000" joinstyle="round" endarrow="block"/>
                <v:imagedata o:title=""/>
                <o:lock v:ext="edit" aspectratio="f"/>
              </v:shape>
            </w:pict>
          </mc:Fallback>
        </mc:AlternateContent>
      </w:r>
      <w:r>
        <w:rPr>
          <w:rFonts w:ascii="Book Antiqua" w:hAnsi="Book Antiqua"/>
          <w:sz w:val="24"/>
          <w:lang w:eastAsia="en-US"/>
        </w:rPr>
        <mc:AlternateContent>
          <mc:Choice Requires="wps">
            <w:drawing>
              <wp:anchor distT="0" distB="0" distL="114300" distR="114300" simplePos="0" relativeHeight="251658240" behindDoc="0" locked="0" layoutInCell="1" allowOverlap="1">
                <wp:simplePos x="0" y="0"/>
                <wp:positionH relativeFrom="column">
                  <wp:posOffset>798195</wp:posOffset>
                </wp:positionH>
                <wp:positionV relativeFrom="paragraph">
                  <wp:posOffset>40005</wp:posOffset>
                </wp:positionV>
                <wp:extent cx="1819910" cy="603885"/>
                <wp:effectExtent l="0" t="4445" r="8890" b="13970"/>
                <wp:wrapNone/>
                <wp:docPr id="5" name="直接箭头连接符 5"/>
                <wp:cNvGraphicFramePr/>
                <a:graphic xmlns:a="http://schemas.openxmlformats.org/drawingml/2006/main">
                  <a:graphicData uri="http://schemas.microsoft.com/office/word/2010/wordprocessingShape">
                    <wps:wsp>
                      <wps:cNvCnPr/>
                      <wps:spPr>
                        <a:xfrm flipH="1">
                          <a:off x="0" y="0"/>
                          <a:ext cx="1819910" cy="60388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62.85pt;margin-top:3.15pt;height:47.55pt;width:143.3pt;z-index:251658240;mso-width-relative:page;mso-height-relative:page;" filled="f" stroked="t" coordsize="21600,21600" o:gfxdata="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eChWNgAAAAJAQAADwAAAAAAAAABACAAAAAiAAAAZHJzL2Rvd25yZXYueG1sUEsB&#10;AhQAFAAAAAgAh07iQOmuW9r1AQAAsQMAAA4AAAAAAAAAAQAgAAAAJwEAAGRycy9lMm9Eb2MueG1s&#10;UEsFBgAAAAAGAAYAWQEAAI4FAAAAAA==&#10;">
                <v:fill on="f" focussize="0,0"/>
                <v:stroke color="#000000" joinstyle="round" endarrow="block"/>
                <v:imagedata o:title=""/>
                <o:lock v:ext="edit" aspectratio="f"/>
              </v:shape>
            </w:pict>
          </mc:Fallback>
        </mc:AlternateContent>
      </w:r>
    </w:p>
    <w:p>
      <w:pPr>
        <w:snapToGrid w:val="0"/>
        <w:spacing w:line="360" w:lineRule="auto"/>
        <w:rPr>
          <w:rFonts w:ascii="Book Antiqua" w:hAnsi="Book Antiqua"/>
          <w:sz w:val="24"/>
        </w:rPr>
      </w:pPr>
    </w:p>
    <w:p>
      <w:pPr>
        <w:snapToGrid w:val="0"/>
        <w:spacing w:line="360" w:lineRule="auto"/>
        <w:rPr>
          <w:rFonts w:ascii="Book Antiqua" w:hAnsi="Book Antiqua"/>
          <w:sz w:val="24"/>
        </w:rPr>
      </w:pPr>
      <w:r>
        <w:rPr>
          <w:rFonts w:ascii="Book Antiqua" w:hAnsi="Book Antiqua"/>
          <w:sz w:val="24"/>
          <w:lang w:eastAsia="en-US"/>
        </w:rPr>
        <mc:AlternateContent>
          <mc:Choice Requires="wps">
            <w:drawing>
              <wp:anchor distT="0" distB="0" distL="114300" distR="114300" simplePos="0" relativeHeight="251646976" behindDoc="0" locked="0" layoutInCell="1" allowOverlap="1">
                <wp:simplePos x="0" y="0"/>
                <wp:positionH relativeFrom="column">
                  <wp:posOffset>215900</wp:posOffset>
                </wp:positionH>
                <wp:positionV relativeFrom="paragraph">
                  <wp:posOffset>51435</wp:posOffset>
                </wp:positionV>
                <wp:extent cx="1426210" cy="542925"/>
                <wp:effectExtent l="0" t="0" r="8890" b="15875"/>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1426421" cy="542925"/>
                        </a:xfrm>
                        <a:prstGeom prst="rect">
                          <a:avLst/>
                        </a:prstGeom>
                        <a:solidFill>
                          <a:srgbClr val="FFFFFF"/>
                        </a:solidFill>
                        <a:ln w="9525">
                          <a:solidFill>
                            <a:srgbClr val="000000"/>
                          </a:solidFill>
                          <a:miter lim="800000"/>
                        </a:ln>
                        <a:effectLst/>
                      </wps:spPr>
                      <wps:txbx>
                        <w:txbxContent>
                          <w:p>
                            <w:pPr>
                              <w:jc w:val="left"/>
                              <w:rPr>
                                <w:rFonts w:ascii="Times New Roman" w:hAnsi="Times New Roman"/>
                                <w:sz w:val="24"/>
                              </w:rPr>
                            </w:pPr>
                            <w:r>
                              <w:rPr>
                                <w:rFonts w:ascii="Times New Roman" w:hAnsi="Times New Roman"/>
                                <w:sz w:val="24"/>
                              </w:rPr>
                              <w:t>G</w:t>
                            </w:r>
                            <w:r>
                              <w:rPr>
                                <w:rFonts w:hint="eastAsia" w:ascii="Times New Roman" w:hAnsi="Times New Roman"/>
                                <w:sz w:val="24"/>
                              </w:rPr>
                              <w:t>roup A</w:t>
                            </w:r>
                            <w:r>
                              <w:rPr>
                                <w:rFonts w:ascii="Times New Roman" w:hAnsi="Times New Roman"/>
                                <w:sz w:val="24"/>
                              </w:rPr>
                              <w:t xml:space="preserve"> </w:t>
                            </w:r>
                            <w:r>
                              <w:rPr>
                                <w:rFonts w:hint="eastAsia" w:ascii="Times New Roman" w:hAnsi="Times New Roman"/>
                                <w:sz w:val="24"/>
                              </w:rPr>
                              <w:t>(</w:t>
                            </w:r>
                            <w:r>
                              <w:rPr>
                                <w:rFonts w:hint="eastAsia" w:ascii="Times New Roman" w:hAnsi="Times New Roman"/>
                                <w:i/>
                                <w:iCs/>
                                <w:sz w:val="24"/>
                              </w:rPr>
                              <w:t>n</w:t>
                            </w:r>
                            <w:r>
                              <w:rPr>
                                <w:rFonts w:ascii="Times New Roman" w:hAnsi="Times New Roman"/>
                                <w:sz w:val="24"/>
                              </w:rPr>
                              <w:t xml:space="preserve"> </w:t>
                            </w:r>
                            <w:r>
                              <w:rPr>
                                <w:rFonts w:hint="eastAsia" w:ascii="Times New Roman" w:hAnsi="Times New Roman"/>
                                <w:sz w:val="24"/>
                              </w:rPr>
                              <w:t>=</w:t>
                            </w:r>
                            <w:r>
                              <w:rPr>
                                <w:rFonts w:ascii="Times New Roman" w:hAnsi="Times New Roman"/>
                                <w:sz w:val="24"/>
                              </w:rPr>
                              <w:t xml:space="preserve"> </w:t>
                            </w:r>
                            <w:r>
                              <w:rPr>
                                <w:rFonts w:hint="eastAsia" w:ascii="Times New Roman" w:hAnsi="Times New Roman"/>
                                <w:sz w:val="24"/>
                              </w:rPr>
                              <w:t>289)</w:t>
                            </w:r>
                            <w:r>
                              <w:rPr>
                                <w:rFonts w:ascii="Times New Roman" w:hAnsi="Times New Roman"/>
                                <w:sz w:val="24"/>
                              </w:rPr>
                              <w:t xml:space="preserve"> </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17pt;margin-top:4.05pt;height:42.75pt;width:112.3pt;z-index:251646976;mso-width-relative:page;mso-height-relative:page;" fillcolor="#FFFFFF" filled="t" stroked="t" coordsize="21600,21600" o:gfxdata="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j4W5x&#10;1wAAAAcBAAAPAAAAAAAAAAEAIAAAACIAAABkcnMvZG93bnJldi54bWxQSwECFAAUAAAACACHTuJA&#10;FnONcSICAAA7BAAADgAAAAAAAAABACAAAAAmAQAAZHJzL2Uyb0RvYy54bWxQSwUGAAAAAAYABgBZ&#10;AQAAugUAAAAA&#10;">
                <v:fill on="t" focussize="0,0"/>
                <v:stroke color="#000000" miterlimit="8" joinstyle="miter"/>
                <v:imagedata o:title=""/>
                <o:lock v:ext="edit" aspectratio="f"/>
                <v:textbox>
                  <w:txbxContent>
                    <w:p>
                      <w:pPr>
                        <w:jc w:val="left"/>
                        <w:rPr>
                          <w:rFonts w:ascii="Times New Roman" w:hAnsi="Times New Roman"/>
                          <w:sz w:val="24"/>
                        </w:rPr>
                      </w:pPr>
                      <w:r>
                        <w:rPr>
                          <w:rFonts w:ascii="Times New Roman" w:hAnsi="Times New Roman"/>
                          <w:sz w:val="24"/>
                        </w:rPr>
                        <w:t>G</w:t>
                      </w:r>
                      <w:r>
                        <w:rPr>
                          <w:rFonts w:hint="eastAsia" w:ascii="Times New Roman" w:hAnsi="Times New Roman"/>
                          <w:sz w:val="24"/>
                        </w:rPr>
                        <w:t>roup A</w:t>
                      </w:r>
                      <w:r>
                        <w:rPr>
                          <w:rFonts w:ascii="Times New Roman" w:hAnsi="Times New Roman"/>
                          <w:sz w:val="24"/>
                        </w:rPr>
                        <w:t xml:space="preserve"> </w:t>
                      </w:r>
                      <w:r>
                        <w:rPr>
                          <w:rFonts w:hint="eastAsia" w:ascii="Times New Roman" w:hAnsi="Times New Roman"/>
                          <w:sz w:val="24"/>
                        </w:rPr>
                        <w:t>(</w:t>
                      </w:r>
                      <w:r>
                        <w:rPr>
                          <w:rFonts w:hint="eastAsia" w:ascii="Times New Roman" w:hAnsi="Times New Roman"/>
                          <w:i/>
                          <w:iCs/>
                          <w:sz w:val="24"/>
                        </w:rPr>
                        <w:t>n</w:t>
                      </w:r>
                      <w:r>
                        <w:rPr>
                          <w:rFonts w:ascii="Times New Roman" w:hAnsi="Times New Roman"/>
                          <w:sz w:val="24"/>
                        </w:rPr>
                        <w:t xml:space="preserve"> </w:t>
                      </w:r>
                      <w:r>
                        <w:rPr>
                          <w:rFonts w:hint="eastAsia" w:ascii="Times New Roman" w:hAnsi="Times New Roman"/>
                          <w:sz w:val="24"/>
                        </w:rPr>
                        <w:t>=</w:t>
                      </w:r>
                      <w:r>
                        <w:rPr>
                          <w:rFonts w:ascii="Times New Roman" w:hAnsi="Times New Roman"/>
                          <w:sz w:val="24"/>
                        </w:rPr>
                        <w:t xml:space="preserve"> </w:t>
                      </w:r>
                      <w:r>
                        <w:rPr>
                          <w:rFonts w:hint="eastAsia" w:ascii="Times New Roman" w:hAnsi="Times New Roman"/>
                          <w:sz w:val="24"/>
                        </w:rPr>
                        <w:t>289)</w:t>
                      </w:r>
                      <w:r>
                        <w:rPr>
                          <w:rFonts w:ascii="Times New Roman" w:hAnsi="Times New Roman"/>
                          <w:sz w:val="24"/>
                        </w:rPr>
                        <w:t xml:space="preserve"> </w:t>
                      </w:r>
                    </w:p>
                  </w:txbxContent>
                </v:textbox>
              </v:shape>
            </w:pict>
          </mc:Fallback>
        </mc:AlternateContent>
      </w:r>
      <w:r>
        <w:rPr>
          <w:rFonts w:ascii="Book Antiqua" w:hAnsi="Book Antiqua"/>
          <w:sz w:val="24"/>
          <w:lang w:eastAsia="en-US"/>
        </w:rPr>
        <mc:AlternateContent>
          <mc:Choice Requires="wps">
            <w:drawing>
              <wp:anchor distT="0" distB="0" distL="114300" distR="114300" simplePos="0" relativeHeight="251649024" behindDoc="0" locked="0" layoutInCell="1" allowOverlap="1">
                <wp:simplePos x="0" y="0"/>
                <wp:positionH relativeFrom="column">
                  <wp:posOffset>3763010</wp:posOffset>
                </wp:positionH>
                <wp:positionV relativeFrom="paragraph">
                  <wp:posOffset>48895</wp:posOffset>
                </wp:positionV>
                <wp:extent cx="1367155" cy="542925"/>
                <wp:effectExtent l="0" t="0" r="23495" b="2857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367155" cy="542925"/>
                        </a:xfrm>
                        <a:prstGeom prst="rect">
                          <a:avLst/>
                        </a:prstGeom>
                        <a:solidFill>
                          <a:srgbClr val="FFFFFF"/>
                        </a:solidFill>
                        <a:ln w="9525">
                          <a:solidFill>
                            <a:srgbClr val="000000"/>
                          </a:solidFill>
                          <a:miter lim="800000"/>
                        </a:ln>
                        <a:effectLst/>
                      </wps:spPr>
                      <wps:txbx>
                        <w:txbxContent>
                          <w:p>
                            <w:pPr>
                              <w:rPr>
                                <w:rFonts w:ascii="Times New Roman" w:hAnsi="Times New Roman"/>
                                <w:sz w:val="24"/>
                              </w:rPr>
                            </w:pPr>
                            <w:r>
                              <w:rPr>
                                <w:rFonts w:ascii="Times New Roman" w:hAnsi="Times New Roman"/>
                                <w:sz w:val="24"/>
                              </w:rPr>
                              <w:t>G</w:t>
                            </w:r>
                            <w:r>
                              <w:rPr>
                                <w:rFonts w:hint="eastAsia" w:ascii="Times New Roman" w:hAnsi="Times New Roman"/>
                                <w:sz w:val="24"/>
                              </w:rPr>
                              <w:t>roup B</w:t>
                            </w:r>
                            <w:r>
                              <w:rPr>
                                <w:rFonts w:ascii="Times New Roman" w:hAnsi="Times New Roman"/>
                                <w:sz w:val="24"/>
                              </w:rPr>
                              <w:t xml:space="preserve"> </w:t>
                            </w:r>
                            <w:r>
                              <w:rPr>
                                <w:rFonts w:hint="eastAsia" w:ascii="Times New Roman" w:hAnsi="Times New Roman"/>
                                <w:sz w:val="24"/>
                              </w:rPr>
                              <w:t>(</w:t>
                            </w:r>
                            <w:r>
                              <w:rPr>
                                <w:rFonts w:hint="eastAsia" w:ascii="Times New Roman" w:hAnsi="Times New Roman"/>
                                <w:i/>
                                <w:iCs/>
                                <w:sz w:val="24"/>
                              </w:rPr>
                              <w:t>n</w:t>
                            </w:r>
                            <w:r>
                              <w:rPr>
                                <w:rFonts w:ascii="Times New Roman" w:hAnsi="Times New Roman"/>
                                <w:i/>
                                <w:iCs/>
                                <w:sz w:val="24"/>
                              </w:rPr>
                              <w:t xml:space="preserve"> </w:t>
                            </w:r>
                            <w:r>
                              <w:rPr>
                                <w:rFonts w:hint="eastAsia" w:ascii="Times New Roman" w:hAnsi="Times New Roman"/>
                                <w:sz w:val="24"/>
                              </w:rPr>
                              <w:t>=</w:t>
                            </w:r>
                            <w:r>
                              <w:rPr>
                                <w:rFonts w:ascii="Times New Roman" w:hAnsi="Times New Roman"/>
                                <w:sz w:val="24"/>
                              </w:rPr>
                              <w:t xml:space="preserve"> </w:t>
                            </w:r>
                            <w:r>
                              <w:rPr>
                                <w:rFonts w:hint="eastAsia" w:ascii="Times New Roman" w:hAnsi="Times New Roman"/>
                                <w:sz w:val="24"/>
                              </w:rPr>
                              <w:t>197)</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296.3pt;margin-top:3.85pt;height:42.75pt;width:107.65pt;z-index:251649024;mso-width-relative:page;mso-height-relative:page;" fillcolor="#FFFFFF" filled="t" stroked="t" coordsize="21600,21600" o:gfxdata="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5w&#10;BQTYAAAACAEAAA8AAAAAAAAAAQAgAAAAIgAAAGRycy9kb3ducmV2LnhtbFBLAQIUABQAAAAIAIdO&#10;4kBtuewhIwIAADsEAAAOAAAAAAAAAAEAIAAAACcBAABkcnMvZTJvRG9jLnhtbFBLBQYAAAAABgAG&#10;AFkBAAC8BQAAAAA=&#10;">
                <v:fill on="t" focussize="0,0"/>
                <v:stroke color="#000000" miterlimit="8" joinstyle="miter"/>
                <v:imagedata o:title=""/>
                <o:lock v:ext="edit" aspectratio="f"/>
                <v:textbox>
                  <w:txbxContent>
                    <w:p>
                      <w:pPr>
                        <w:rPr>
                          <w:rFonts w:ascii="Times New Roman" w:hAnsi="Times New Roman"/>
                          <w:sz w:val="24"/>
                        </w:rPr>
                      </w:pPr>
                      <w:r>
                        <w:rPr>
                          <w:rFonts w:ascii="Times New Roman" w:hAnsi="Times New Roman"/>
                          <w:sz w:val="24"/>
                        </w:rPr>
                        <w:t>G</w:t>
                      </w:r>
                      <w:r>
                        <w:rPr>
                          <w:rFonts w:hint="eastAsia" w:ascii="Times New Roman" w:hAnsi="Times New Roman"/>
                          <w:sz w:val="24"/>
                        </w:rPr>
                        <w:t>roup B</w:t>
                      </w:r>
                      <w:r>
                        <w:rPr>
                          <w:rFonts w:ascii="Times New Roman" w:hAnsi="Times New Roman"/>
                          <w:sz w:val="24"/>
                        </w:rPr>
                        <w:t xml:space="preserve"> </w:t>
                      </w:r>
                      <w:r>
                        <w:rPr>
                          <w:rFonts w:hint="eastAsia" w:ascii="Times New Roman" w:hAnsi="Times New Roman"/>
                          <w:sz w:val="24"/>
                        </w:rPr>
                        <w:t>(</w:t>
                      </w:r>
                      <w:r>
                        <w:rPr>
                          <w:rFonts w:hint="eastAsia" w:ascii="Times New Roman" w:hAnsi="Times New Roman"/>
                          <w:i/>
                          <w:iCs/>
                          <w:sz w:val="24"/>
                        </w:rPr>
                        <w:t>n</w:t>
                      </w:r>
                      <w:r>
                        <w:rPr>
                          <w:rFonts w:ascii="Times New Roman" w:hAnsi="Times New Roman"/>
                          <w:i/>
                          <w:iCs/>
                          <w:sz w:val="24"/>
                        </w:rPr>
                        <w:t xml:space="preserve"> </w:t>
                      </w:r>
                      <w:r>
                        <w:rPr>
                          <w:rFonts w:hint="eastAsia" w:ascii="Times New Roman" w:hAnsi="Times New Roman"/>
                          <w:sz w:val="24"/>
                        </w:rPr>
                        <w:t>=</w:t>
                      </w:r>
                      <w:r>
                        <w:rPr>
                          <w:rFonts w:ascii="Times New Roman" w:hAnsi="Times New Roman"/>
                          <w:sz w:val="24"/>
                        </w:rPr>
                        <w:t xml:space="preserve"> </w:t>
                      </w:r>
                      <w:r>
                        <w:rPr>
                          <w:rFonts w:hint="eastAsia" w:ascii="Times New Roman" w:hAnsi="Times New Roman"/>
                          <w:sz w:val="24"/>
                        </w:rPr>
                        <w:t>197)</w:t>
                      </w:r>
                    </w:p>
                  </w:txbxContent>
                </v:textbox>
              </v:shape>
            </w:pict>
          </mc:Fallback>
        </mc:AlternateContent>
      </w:r>
      <w:r>
        <w:rPr>
          <w:rFonts w:ascii="Book Antiqua" w:hAnsi="Book Antiqua"/>
          <w:sz w:val="24"/>
          <w:lang w:eastAsia="en-US"/>
        </w:rPr>
        <mc:AlternateContent>
          <mc:Choice Requires="wps">
            <w:drawing>
              <wp:anchor distT="0" distB="0" distL="114300" distR="114300" simplePos="0" relativeHeight="251661312" behindDoc="0" locked="0" layoutInCell="1" allowOverlap="1">
                <wp:simplePos x="0" y="0"/>
                <wp:positionH relativeFrom="column">
                  <wp:posOffset>1522730</wp:posOffset>
                </wp:positionH>
                <wp:positionV relativeFrom="paragraph">
                  <wp:posOffset>201930</wp:posOffset>
                </wp:positionV>
                <wp:extent cx="422275" cy="0"/>
                <wp:effectExtent l="0" t="38100" r="9525" b="38100"/>
                <wp:wrapNone/>
                <wp:docPr id="6" name="直接箭头连接符 6"/>
                <wp:cNvGraphicFramePr/>
                <a:graphic xmlns:a="http://schemas.openxmlformats.org/drawingml/2006/main">
                  <a:graphicData uri="http://schemas.microsoft.com/office/word/2010/wordprocessingShape">
                    <wps:wsp>
                      <wps:cNvCnPr/>
                      <wps:spPr>
                        <a:xfrm>
                          <a:off x="0" y="0"/>
                          <a:ext cx="4222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19.9pt;margin-top:15.9pt;height:0pt;width:33.25pt;z-index:251661312;mso-width-relative:page;mso-height-relative:page;" filled="f" stroked="t" coordsize="21600,21600" o:gfxdata="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1AxsHY&#10;AAAACQEAAA8AAAAAAAAAAQAgAAAAIgAAAGRycy9kb3ducmV2LnhtbFBLAQIUABQAAAAIAIdO4kB1&#10;6u3g5wEAAKEDAAAOAAAAAAAAAAEAIAAAACcBAABkcnMvZTJvRG9jLnhtbFBLBQYAAAAABgAGAFkB&#10;AACABQAAAAA=&#10;">
                <v:fill on="f" focussize="0,0"/>
                <v:stroke color="#000000" joinstyle="round" endarrow="block"/>
                <v:imagedata o:title=""/>
                <o:lock v:ext="edit" aspectratio="f"/>
              </v:shape>
            </w:pict>
          </mc:Fallback>
        </mc:AlternateContent>
      </w:r>
      <w:r>
        <w:rPr>
          <w:rFonts w:ascii="Book Antiqua" w:hAnsi="Book Antiqua"/>
          <w:sz w:val="24"/>
          <w:lang w:eastAsia="en-US"/>
        </w:rPr>
        <mc:AlternateContent>
          <mc:Choice Requires="wps">
            <w:drawing>
              <wp:anchor distT="0" distB="0" distL="114300" distR="114300" simplePos="0" relativeHeight="251664384" behindDoc="0" locked="0" layoutInCell="1" allowOverlap="1">
                <wp:simplePos x="0" y="0"/>
                <wp:positionH relativeFrom="column">
                  <wp:posOffset>3401695</wp:posOffset>
                </wp:positionH>
                <wp:positionV relativeFrom="paragraph">
                  <wp:posOffset>201930</wp:posOffset>
                </wp:positionV>
                <wp:extent cx="363855" cy="0"/>
                <wp:effectExtent l="0" t="38100" r="4445" b="38100"/>
                <wp:wrapNone/>
                <wp:docPr id="7" name="直接箭头连接符 7"/>
                <wp:cNvGraphicFramePr/>
                <a:graphic xmlns:a="http://schemas.openxmlformats.org/drawingml/2006/main">
                  <a:graphicData uri="http://schemas.microsoft.com/office/word/2010/wordprocessingShape">
                    <wps:wsp>
                      <wps:cNvCnPr/>
                      <wps:spPr>
                        <a:xfrm flipH="1">
                          <a:off x="0" y="0"/>
                          <a:ext cx="36385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67.85pt;margin-top:15.9pt;height:0pt;width:28.65pt;z-index:251664384;mso-width-relative:page;mso-height-relative:page;" filled="f" stroked="t" coordsize="21600,21600" o:gfxdata="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TZsLnYAAAACQEAAA8AAAAAAAAAAQAgAAAAIgAAAGRycy9kb3ducmV2LnhtbFBLAQIUABQA&#10;AAAIAIdO4kAE3Cd68AEAAKsDAAAOAAAAAAAAAAEAIAAAACcBAABkcnMvZTJvRG9jLnhtbFBLBQYA&#10;AAAABgAGAFkBAACJBQAAAAA=&#10;">
                <v:fill on="f" focussize="0,0"/>
                <v:stroke color="#000000" joinstyle="round" endarrow="block"/>
                <v:imagedata o:title=""/>
                <o:lock v:ext="edit" aspectratio="f"/>
              </v:shape>
            </w:pict>
          </mc:Fallback>
        </mc:AlternateContent>
      </w:r>
      <w:r>
        <w:rPr>
          <w:rFonts w:ascii="Book Antiqua" w:hAnsi="Book Antiqua"/>
          <w:sz w:val="24"/>
          <w:lang w:eastAsia="en-US"/>
        </w:rPr>
        <mc:AlternateContent>
          <mc:Choice Requires="wps">
            <w:drawing>
              <wp:anchor distT="0" distB="0" distL="114300" distR="114300" simplePos="0" relativeHeight="251652096" behindDoc="0" locked="0" layoutInCell="1" allowOverlap="1">
                <wp:simplePos x="0" y="0"/>
                <wp:positionH relativeFrom="column">
                  <wp:posOffset>1945005</wp:posOffset>
                </wp:positionH>
                <wp:positionV relativeFrom="paragraph">
                  <wp:posOffset>49530</wp:posOffset>
                </wp:positionV>
                <wp:extent cx="1456690" cy="884555"/>
                <wp:effectExtent l="4445" t="5080" r="12065" b="12065"/>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2993258" cy="543464"/>
                        </a:xfrm>
                        <a:prstGeom prst="rect">
                          <a:avLst/>
                        </a:prstGeom>
                        <a:solidFill>
                          <a:srgbClr val="FFFFFF"/>
                        </a:solidFill>
                        <a:ln w="9525">
                          <a:solidFill>
                            <a:srgbClr val="000000"/>
                          </a:solidFill>
                          <a:miter lim="800000"/>
                        </a:ln>
                        <a:effectLst/>
                      </wps:spPr>
                      <wps:txbx>
                        <w:txbxContent>
                          <w:p>
                            <w:pPr>
                              <w:rPr>
                                <w:rFonts w:ascii="Times New Roman" w:hAnsi="Times New Roman"/>
                                <w:szCs w:val="21"/>
                              </w:rPr>
                            </w:pPr>
                            <w:r>
                              <w:rPr>
                                <w:rFonts w:hint="eastAsia" w:ascii="Times New Roman" w:hAnsi="Times New Roman"/>
                                <w:szCs w:val="21"/>
                              </w:rPr>
                              <w:t>R</w:t>
                            </w:r>
                            <w:r>
                              <w:rPr>
                                <w:rFonts w:ascii="Times New Roman" w:hAnsi="Times New Roman"/>
                                <w:szCs w:val="21"/>
                              </w:rPr>
                              <w:t>ecurrent variceal bleeding (</w:t>
                            </w:r>
                            <w:r>
                              <w:rPr>
                                <w:rFonts w:ascii="Times New Roman" w:hAnsi="Times New Roman"/>
                                <w:i/>
                                <w:iCs/>
                                <w:szCs w:val="21"/>
                              </w:rPr>
                              <w:t>n</w:t>
                            </w:r>
                            <w:r>
                              <w:rPr>
                                <w:rFonts w:ascii="Times New Roman" w:hAnsi="Times New Roman"/>
                                <w:szCs w:val="21"/>
                              </w:rPr>
                              <w:t xml:space="preserve"> = 3</w:t>
                            </w:r>
                            <w:r>
                              <w:rPr>
                                <w:rFonts w:hint="eastAsia" w:ascii="Times New Roman" w:hAnsi="Times New Roman"/>
                                <w:szCs w:val="21"/>
                              </w:rPr>
                              <w:t>65</w:t>
                            </w:r>
                            <w:r>
                              <w:rPr>
                                <w:rFonts w:ascii="Times New Roman" w:hAnsi="Times New Roman"/>
                                <w:szCs w:val="21"/>
                              </w:rPr>
                              <w:t>)</w:t>
                            </w:r>
                          </w:p>
                          <w:p>
                            <w:pPr>
                              <w:rPr>
                                <w:rFonts w:ascii="Times New Roman" w:hAnsi="Times New Roman"/>
                                <w:szCs w:val="21"/>
                              </w:rPr>
                            </w:pPr>
                            <w:r>
                              <w:rPr>
                                <w:rFonts w:ascii="Times New Roman" w:hAnsi="Times New Roman"/>
                                <w:szCs w:val="21"/>
                              </w:rPr>
                              <w:t>refractory ascites (</w:t>
                            </w:r>
                            <w:r>
                              <w:rPr>
                                <w:rFonts w:ascii="Times New Roman" w:hAnsi="Times New Roman"/>
                                <w:i/>
                                <w:iCs/>
                                <w:szCs w:val="21"/>
                              </w:rPr>
                              <w:t>n</w:t>
                            </w:r>
                            <w:r>
                              <w:rPr>
                                <w:rFonts w:ascii="Times New Roman" w:hAnsi="Times New Roman"/>
                                <w:szCs w:val="21"/>
                              </w:rPr>
                              <w:t xml:space="preserve"> = 1</w:t>
                            </w:r>
                            <w:r>
                              <w:rPr>
                                <w:rFonts w:hint="eastAsia" w:ascii="Times New Roman" w:hAnsi="Times New Roman"/>
                                <w:szCs w:val="21"/>
                              </w:rPr>
                              <w:t>21</w:t>
                            </w:r>
                            <w:r>
                              <w:rPr>
                                <w:rFonts w:ascii="Times New Roman" w:hAnsi="Times New Roman"/>
                                <w:szCs w:val="21"/>
                              </w:rPr>
                              <w:t>) or both (</w:t>
                            </w:r>
                            <w:r>
                              <w:rPr>
                                <w:rFonts w:ascii="Times New Roman" w:hAnsi="Times New Roman"/>
                                <w:i/>
                                <w:iCs/>
                                <w:szCs w:val="21"/>
                              </w:rPr>
                              <w:t>n</w:t>
                            </w:r>
                            <w:r>
                              <w:rPr>
                                <w:rFonts w:ascii="Times New Roman" w:hAnsi="Times New Roman"/>
                                <w:szCs w:val="21"/>
                              </w:rPr>
                              <w:t xml:space="preserve"> = </w:t>
                            </w:r>
                            <w:r>
                              <w:rPr>
                                <w:rFonts w:hint="eastAsia" w:ascii="Times New Roman" w:hAnsi="Times New Roman"/>
                                <w:szCs w:val="21"/>
                              </w:rPr>
                              <w:t>86</w:t>
                            </w:r>
                            <w:r>
                              <w:rPr>
                                <w:rFonts w:ascii="Times New Roman" w:hAnsi="Times New Roman"/>
                                <w:szCs w:val="21"/>
                              </w:rPr>
                              <w:t>)</w:t>
                            </w:r>
                          </w:p>
                          <w:p>
                            <w:pPr>
                              <w:rPr>
                                <w:rFonts w:ascii="Times New Roman" w:hAnsi="Times New Roman"/>
                                <w:sz w:val="24"/>
                              </w:rPr>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153.15pt;margin-top:3.9pt;height:69.65pt;width:114.7pt;z-index:251652096;mso-width-relative:page;mso-height-relative:page;" fillcolor="#FFFFFF" filled="t" stroked="t" coordsize="21600,21600" o:gfxdata="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r&#10;BQ352AAAAAkBAAAPAAAAAAAAAAEAIAAAACIAAABkcnMvZG93bnJldi54bWxQSwECFAAUAAAACACH&#10;TuJACpesSyQCAAA7BAAADgAAAAAAAAABACAAAAAnAQAAZHJzL2Uyb0RvYy54bWxQSwUGAAAAAAYA&#10;BgBZAQAAvQUAAAAA&#10;">
                <v:fill on="t" focussize="0,0"/>
                <v:stroke color="#000000" miterlimit="8" joinstyle="miter"/>
                <v:imagedata o:title=""/>
                <o:lock v:ext="edit" aspectratio="f"/>
                <v:textbox>
                  <w:txbxContent>
                    <w:p>
                      <w:pPr>
                        <w:rPr>
                          <w:rFonts w:ascii="Times New Roman" w:hAnsi="Times New Roman"/>
                          <w:szCs w:val="21"/>
                        </w:rPr>
                      </w:pPr>
                      <w:r>
                        <w:rPr>
                          <w:rFonts w:hint="eastAsia" w:ascii="Times New Roman" w:hAnsi="Times New Roman"/>
                          <w:szCs w:val="21"/>
                        </w:rPr>
                        <w:t>R</w:t>
                      </w:r>
                      <w:r>
                        <w:rPr>
                          <w:rFonts w:ascii="Times New Roman" w:hAnsi="Times New Roman"/>
                          <w:szCs w:val="21"/>
                        </w:rPr>
                        <w:t>ecurrent variceal bleeding (</w:t>
                      </w:r>
                      <w:r>
                        <w:rPr>
                          <w:rFonts w:ascii="Times New Roman" w:hAnsi="Times New Roman"/>
                          <w:i/>
                          <w:iCs/>
                          <w:szCs w:val="21"/>
                        </w:rPr>
                        <w:t>n</w:t>
                      </w:r>
                      <w:r>
                        <w:rPr>
                          <w:rFonts w:ascii="Times New Roman" w:hAnsi="Times New Roman"/>
                          <w:szCs w:val="21"/>
                        </w:rPr>
                        <w:t xml:space="preserve"> = 3</w:t>
                      </w:r>
                      <w:r>
                        <w:rPr>
                          <w:rFonts w:hint="eastAsia" w:ascii="Times New Roman" w:hAnsi="Times New Roman"/>
                          <w:szCs w:val="21"/>
                        </w:rPr>
                        <w:t>65</w:t>
                      </w:r>
                      <w:r>
                        <w:rPr>
                          <w:rFonts w:ascii="Times New Roman" w:hAnsi="Times New Roman"/>
                          <w:szCs w:val="21"/>
                        </w:rPr>
                        <w:t>)</w:t>
                      </w:r>
                    </w:p>
                    <w:p>
                      <w:pPr>
                        <w:rPr>
                          <w:rFonts w:ascii="Times New Roman" w:hAnsi="Times New Roman"/>
                          <w:szCs w:val="21"/>
                        </w:rPr>
                      </w:pPr>
                      <w:r>
                        <w:rPr>
                          <w:rFonts w:ascii="Times New Roman" w:hAnsi="Times New Roman"/>
                          <w:szCs w:val="21"/>
                        </w:rPr>
                        <w:t>refractory ascites (</w:t>
                      </w:r>
                      <w:r>
                        <w:rPr>
                          <w:rFonts w:ascii="Times New Roman" w:hAnsi="Times New Roman"/>
                          <w:i/>
                          <w:iCs/>
                          <w:szCs w:val="21"/>
                        </w:rPr>
                        <w:t>n</w:t>
                      </w:r>
                      <w:r>
                        <w:rPr>
                          <w:rFonts w:ascii="Times New Roman" w:hAnsi="Times New Roman"/>
                          <w:szCs w:val="21"/>
                        </w:rPr>
                        <w:t xml:space="preserve"> = 1</w:t>
                      </w:r>
                      <w:r>
                        <w:rPr>
                          <w:rFonts w:hint="eastAsia" w:ascii="Times New Roman" w:hAnsi="Times New Roman"/>
                          <w:szCs w:val="21"/>
                        </w:rPr>
                        <w:t>21</w:t>
                      </w:r>
                      <w:r>
                        <w:rPr>
                          <w:rFonts w:ascii="Times New Roman" w:hAnsi="Times New Roman"/>
                          <w:szCs w:val="21"/>
                        </w:rPr>
                        <w:t>) or both (</w:t>
                      </w:r>
                      <w:r>
                        <w:rPr>
                          <w:rFonts w:ascii="Times New Roman" w:hAnsi="Times New Roman"/>
                          <w:i/>
                          <w:iCs/>
                          <w:szCs w:val="21"/>
                        </w:rPr>
                        <w:t>n</w:t>
                      </w:r>
                      <w:r>
                        <w:rPr>
                          <w:rFonts w:ascii="Times New Roman" w:hAnsi="Times New Roman"/>
                          <w:szCs w:val="21"/>
                        </w:rPr>
                        <w:t xml:space="preserve"> = </w:t>
                      </w:r>
                      <w:r>
                        <w:rPr>
                          <w:rFonts w:hint="eastAsia" w:ascii="Times New Roman" w:hAnsi="Times New Roman"/>
                          <w:szCs w:val="21"/>
                        </w:rPr>
                        <w:t>86</w:t>
                      </w:r>
                      <w:r>
                        <w:rPr>
                          <w:rFonts w:ascii="Times New Roman" w:hAnsi="Times New Roman"/>
                          <w:szCs w:val="21"/>
                        </w:rPr>
                        <w:t>)</w:t>
                      </w:r>
                    </w:p>
                    <w:p>
                      <w:pPr>
                        <w:rPr>
                          <w:rFonts w:ascii="Times New Roman" w:hAnsi="Times New Roman"/>
                          <w:sz w:val="24"/>
                        </w:rPr>
                      </w:pPr>
                    </w:p>
                  </w:txbxContent>
                </v:textbox>
              </v:shape>
            </w:pict>
          </mc:Fallback>
        </mc:AlternateContent>
      </w:r>
    </w:p>
    <w:p>
      <w:pPr>
        <w:snapToGrid w:val="0"/>
        <w:spacing w:line="360" w:lineRule="auto"/>
        <w:rPr>
          <w:rFonts w:ascii="Book Antiqua" w:hAnsi="Book Antiqua"/>
          <w:sz w:val="24"/>
        </w:rPr>
      </w:pPr>
      <w:r>
        <w:rPr>
          <w:rFonts w:ascii="Book Antiqua" w:hAnsi="Book Antiqua"/>
          <w:sz w:val="24"/>
          <w:lang w:eastAsia="en-US"/>
        </w:rPr>
        <mc:AlternateContent>
          <mc:Choice Requires="wps">
            <w:drawing>
              <wp:anchor distT="0" distB="0" distL="114300" distR="114300" simplePos="0" relativeHeight="251667456" behindDoc="0" locked="0" layoutInCell="1" allowOverlap="1">
                <wp:simplePos x="0" y="0"/>
                <wp:positionH relativeFrom="column">
                  <wp:posOffset>4438015</wp:posOffset>
                </wp:positionH>
                <wp:positionV relativeFrom="paragraph">
                  <wp:posOffset>79375</wp:posOffset>
                </wp:positionV>
                <wp:extent cx="0" cy="1005205"/>
                <wp:effectExtent l="38100" t="0" r="38100" b="10795"/>
                <wp:wrapNone/>
                <wp:docPr id="3" name="直接箭头连接符 3"/>
                <wp:cNvGraphicFramePr/>
                <a:graphic xmlns:a="http://schemas.openxmlformats.org/drawingml/2006/main">
                  <a:graphicData uri="http://schemas.microsoft.com/office/word/2010/wordprocessingShape">
                    <wps:wsp>
                      <wps:cNvCnPr/>
                      <wps:spPr>
                        <a:xfrm>
                          <a:off x="0" y="0"/>
                          <a:ext cx="0" cy="10052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49.45pt;margin-top:6.25pt;height:79.15pt;width:0pt;z-index:251667456;mso-width-relative:page;mso-height-relative:page;" filled="f" stroked="t" coordsize="21600,21600" o:gfxdata="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dEnr2AAA&#10;AAoBAAAPAAAAAAAAAAEAIAAAACIAAABkcnMvZG93bnJldi54bWxQSwECFAAUAAAACACHTuJAyTnw&#10;3+UBAACiAwAADgAAAAAAAAABACAAAAAnAQAAZHJzL2Uyb0RvYy54bWxQSwUGAAAAAAYABgBZAQAA&#10;fgUAAAAA&#10;">
                <v:fill on="f" focussize="0,0"/>
                <v:stroke color="#000000" joinstyle="round" endarrow="block"/>
                <v:imagedata o:title=""/>
                <o:lock v:ext="edit" aspectratio="f"/>
              </v:shape>
            </w:pict>
          </mc:Fallback>
        </mc:AlternateContent>
      </w:r>
      <w:r>
        <w:rPr>
          <w:rFonts w:ascii="Book Antiqua" w:hAnsi="Book Antiqua"/>
          <w:sz w:val="24"/>
          <w:lang w:eastAsia="en-US"/>
        </w:rPr>
        <mc:AlternateContent>
          <mc:Choice Requires="wps">
            <w:drawing>
              <wp:anchor distT="0" distB="0" distL="114300" distR="114300" simplePos="0" relativeHeight="251666432" behindDoc="0" locked="0" layoutInCell="1" allowOverlap="1">
                <wp:simplePos x="0" y="0"/>
                <wp:positionH relativeFrom="column">
                  <wp:posOffset>798195</wp:posOffset>
                </wp:positionH>
                <wp:positionV relativeFrom="paragraph">
                  <wp:posOffset>79375</wp:posOffset>
                </wp:positionV>
                <wp:extent cx="0" cy="1005205"/>
                <wp:effectExtent l="38100" t="0" r="38100" b="10795"/>
                <wp:wrapNone/>
                <wp:docPr id="4" name="直接箭头连接符 4"/>
                <wp:cNvGraphicFramePr/>
                <a:graphic xmlns:a="http://schemas.openxmlformats.org/drawingml/2006/main">
                  <a:graphicData uri="http://schemas.microsoft.com/office/word/2010/wordprocessingShape">
                    <wps:wsp>
                      <wps:cNvCnPr/>
                      <wps:spPr>
                        <a:xfrm>
                          <a:off x="0" y="0"/>
                          <a:ext cx="0" cy="10052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62.85pt;margin-top:6.25pt;height:79.15pt;width:0pt;z-index:251666432;mso-width-relative:page;mso-height-relative:page;" filled="f" stroked="t" coordsize="21600,21600" o:gfxdata="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Oe6vXAAAA&#10;CgEAAA8AAAAAAAAAAQAgAAAAIgAAAGRycy9kb3ducmV2LnhtbFBLAQIUABQAAAAIAIdO4kBdbobr&#10;5QEAAKIDAAAOAAAAAAAAAAEAIAAAACYBAABkcnMvZTJvRG9jLnhtbFBLBQYAAAAABgAGAFkBAAB9&#10;BQAAAAA=&#10;">
                <v:fill on="f" focussize="0,0"/>
                <v:stroke color="#000000" joinstyle="round" endarrow="block"/>
                <v:imagedata o:title=""/>
                <o:lock v:ext="edit" aspectratio="f"/>
              </v:shape>
            </w:pict>
          </mc:Fallback>
        </mc:AlternateContent>
      </w:r>
    </w:p>
    <w:p>
      <w:pPr>
        <w:snapToGrid w:val="0"/>
        <w:spacing w:line="360" w:lineRule="auto"/>
        <w:rPr>
          <w:rFonts w:ascii="Book Antiqua" w:hAnsi="Book Antiqua"/>
          <w:sz w:val="24"/>
        </w:rPr>
      </w:pPr>
    </w:p>
    <w:p>
      <w:pPr>
        <w:snapToGrid w:val="0"/>
        <w:spacing w:line="360" w:lineRule="auto"/>
        <w:rPr>
          <w:rFonts w:ascii="Book Antiqua" w:hAnsi="Book Antiqua"/>
          <w:sz w:val="24"/>
        </w:rPr>
      </w:pPr>
    </w:p>
    <w:p>
      <w:pPr>
        <w:snapToGrid w:val="0"/>
        <w:spacing w:line="360" w:lineRule="auto"/>
        <w:rPr>
          <w:rFonts w:ascii="Book Antiqua" w:hAnsi="Book Antiqua"/>
          <w:sz w:val="24"/>
        </w:rPr>
      </w:pPr>
      <w:r>
        <w:rPr>
          <w:rFonts w:ascii="Book Antiqua" w:hAnsi="Book Antiqua"/>
          <w:sz w:val="24"/>
          <w:lang w:eastAsia="en-US"/>
        </w:rPr>
        <mc:AlternateContent>
          <mc:Choice Requires="wps">
            <w:drawing>
              <wp:anchor distT="0" distB="0" distL="114300" distR="114300" simplePos="0" relativeHeight="251655168" behindDoc="0" locked="0" layoutInCell="1" allowOverlap="1">
                <wp:simplePos x="0" y="0"/>
                <wp:positionH relativeFrom="column">
                  <wp:posOffset>3450590</wp:posOffset>
                </wp:positionH>
                <wp:positionV relativeFrom="paragraph">
                  <wp:posOffset>193040</wp:posOffset>
                </wp:positionV>
                <wp:extent cx="1965960" cy="516255"/>
                <wp:effectExtent l="4445" t="4445" r="10795" b="12700"/>
                <wp:wrapNone/>
                <wp:docPr id="1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965960" cy="516255"/>
                        </a:xfrm>
                        <a:prstGeom prst="rect">
                          <a:avLst/>
                        </a:prstGeom>
                        <a:solidFill>
                          <a:srgbClr val="FFFFFF"/>
                        </a:solidFill>
                        <a:ln w="9525">
                          <a:solidFill>
                            <a:srgbClr val="000000"/>
                          </a:solidFill>
                          <a:miter lim="800000"/>
                        </a:ln>
                        <a:effectLst/>
                      </wps:spPr>
                      <wps:txbx>
                        <w:txbxContent>
                          <w:p>
                            <w:r>
                              <w:rPr>
                                <w:rFonts w:hint="eastAsia" w:ascii="Times New Roman" w:hAnsi="Times New Roman"/>
                                <w:sz w:val="24"/>
                              </w:rPr>
                              <w:t>87</w:t>
                            </w:r>
                            <w:r>
                              <w:rPr>
                                <w:rFonts w:ascii="Times New Roman" w:hAnsi="Times New Roman"/>
                                <w:sz w:val="24"/>
                              </w:rPr>
                              <w:t xml:space="preserve"> cases</w:t>
                            </w:r>
                            <w:r>
                              <w:rPr>
                                <w:rFonts w:hint="eastAsia" w:ascii="Times New Roman" w:hAnsi="Times New Roman"/>
                                <w:sz w:val="24"/>
                              </w:rPr>
                              <w:t xml:space="preserve"> had </w:t>
                            </w:r>
                            <w:r>
                              <w:rPr>
                                <w:rFonts w:ascii="Times New Roman" w:hAnsi="Times New Roman"/>
                                <w:sz w:val="24"/>
                              </w:rPr>
                              <w:t>portal vein thrombosis</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271.7pt;margin-top:15.2pt;height:40.65pt;width:154.8pt;z-index:251655168;mso-width-relative:page;mso-height-relative:page;" fillcolor="#FFFFFF" filled="t" stroked="t" coordsize="21600,21600" o:gfxdata="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XxrQFNkAAAAKAQAADwAAAAAAAAABACAAAAAiAAAAZHJzL2Rvd25yZXYueG1sUEsBAhQAFAAAAAgA&#10;h07iQIFfHsEkAgAAPQQAAA4AAAAAAAAAAQAgAAAAKAEAAGRycy9lMm9Eb2MueG1sUEsFBgAAAAAG&#10;AAYAWQEAAL4FAAAAAA==&#10;">
                <v:fill on="t" focussize="0,0"/>
                <v:stroke color="#000000" miterlimit="8" joinstyle="miter"/>
                <v:imagedata o:title=""/>
                <o:lock v:ext="edit" aspectratio="f"/>
                <v:textbox>
                  <w:txbxContent>
                    <w:p>
                      <w:r>
                        <w:rPr>
                          <w:rFonts w:hint="eastAsia" w:ascii="Times New Roman" w:hAnsi="Times New Roman"/>
                          <w:sz w:val="24"/>
                        </w:rPr>
                        <w:t>87</w:t>
                      </w:r>
                      <w:r>
                        <w:rPr>
                          <w:rFonts w:ascii="Times New Roman" w:hAnsi="Times New Roman"/>
                          <w:sz w:val="24"/>
                        </w:rPr>
                        <w:t xml:space="preserve"> cases</w:t>
                      </w:r>
                      <w:r>
                        <w:rPr>
                          <w:rFonts w:hint="eastAsia" w:ascii="Times New Roman" w:hAnsi="Times New Roman"/>
                          <w:sz w:val="24"/>
                        </w:rPr>
                        <w:t xml:space="preserve"> had </w:t>
                      </w:r>
                      <w:r>
                        <w:rPr>
                          <w:rFonts w:ascii="Times New Roman" w:hAnsi="Times New Roman"/>
                          <w:sz w:val="24"/>
                        </w:rPr>
                        <w:t>portal vein thrombosis</w:t>
                      </w:r>
                    </w:p>
                  </w:txbxContent>
                </v:textbox>
              </v:shape>
            </w:pict>
          </mc:Fallback>
        </mc:AlternateContent>
      </w:r>
      <w:r>
        <w:rPr>
          <w:rFonts w:ascii="Book Antiqua" w:hAnsi="Book Antiqua"/>
          <w:sz w:val="24"/>
          <w:lang w:eastAsia="en-US"/>
        </w:rPr>
        <mc:AlternateContent>
          <mc:Choice Requires="wps">
            <w:drawing>
              <wp:anchor distT="0" distB="0" distL="114300" distR="114300" simplePos="0" relativeHeight="251654144" behindDoc="0" locked="0" layoutInCell="1" allowOverlap="1">
                <wp:simplePos x="0" y="0"/>
                <wp:positionH relativeFrom="column">
                  <wp:posOffset>-146050</wp:posOffset>
                </wp:positionH>
                <wp:positionV relativeFrom="paragraph">
                  <wp:posOffset>193040</wp:posOffset>
                </wp:positionV>
                <wp:extent cx="2157095" cy="487680"/>
                <wp:effectExtent l="5080" t="4445" r="9525" b="15875"/>
                <wp:wrapNone/>
                <wp:docPr id="1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2157095" cy="487680"/>
                        </a:xfrm>
                        <a:prstGeom prst="rect">
                          <a:avLst/>
                        </a:prstGeom>
                        <a:solidFill>
                          <a:srgbClr val="FFFFFF"/>
                        </a:solidFill>
                        <a:ln w="9525">
                          <a:solidFill>
                            <a:srgbClr val="000000"/>
                          </a:solidFill>
                          <a:miter lim="800000"/>
                        </a:ln>
                        <a:effectLst/>
                      </wps:spPr>
                      <wps:txbx>
                        <w:txbxContent>
                          <w:p>
                            <w:pPr>
                              <w:rPr>
                                <w:rFonts w:ascii="Times New Roman" w:hAnsi="Times New Roman"/>
                                <w:sz w:val="24"/>
                              </w:rPr>
                            </w:pPr>
                            <w:r>
                              <w:rPr>
                                <w:rFonts w:hint="eastAsia" w:ascii="Times New Roman" w:hAnsi="Times New Roman"/>
                                <w:sz w:val="24"/>
                              </w:rPr>
                              <w:t>65</w:t>
                            </w:r>
                            <w:r>
                              <w:rPr>
                                <w:rFonts w:ascii="Times New Roman" w:hAnsi="Times New Roman"/>
                                <w:sz w:val="24"/>
                              </w:rPr>
                              <w:t xml:space="preserve"> cases had portal vein thrombosis</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11.5pt;margin-top:15.2pt;height:38.4pt;width:169.85pt;z-index:251654144;mso-width-relative:page;mso-height-relative:page;" fillcolor="#FFFFFF" filled="t" stroked="t" coordsize="21600,21600" o:gfxdata="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cBfmA2QAAAAoBAAAPAAAAAAAAAAEAIAAAACIAAABkcnMvZG93bnJldi54bWxQSwECFAAUAAAA&#10;CACHTuJAG0JrLCYCAAA9BAAADgAAAAAAAAABACAAAAAoAQAAZHJzL2Uyb0RvYy54bWxQSwUGAAAA&#10;AAYABgBZAQAAwAUAAAAA&#10;">
                <v:fill on="t" focussize="0,0"/>
                <v:stroke color="#000000" miterlimit="8" joinstyle="miter"/>
                <v:imagedata o:title=""/>
                <o:lock v:ext="edit" aspectratio="f"/>
                <v:textbox>
                  <w:txbxContent>
                    <w:p>
                      <w:pPr>
                        <w:rPr>
                          <w:rFonts w:ascii="Times New Roman" w:hAnsi="Times New Roman"/>
                          <w:sz w:val="24"/>
                        </w:rPr>
                      </w:pPr>
                      <w:r>
                        <w:rPr>
                          <w:rFonts w:hint="eastAsia" w:ascii="Times New Roman" w:hAnsi="Times New Roman"/>
                          <w:sz w:val="24"/>
                        </w:rPr>
                        <w:t>65</w:t>
                      </w:r>
                      <w:r>
                        <w:rPr>
                          <w:rFonts w:ascii="Times New Roman" w:hAnsi="Times New Roman"/>
                          <w:sz w:val="24"/>
                        </w:rPr>
                        <w:t xml:space="preserve"> cases had portal vein thrombosis</w:t>
                      </w:r>
                    </w:p>
                  </w:txbxContent>
                </v:textbox>
              </v:shape>
            </w:pict>
          </mc:Fallback>
        </mc:AlternateContent>
      </w:r>
    </w:p>
    <w:p>
      <w:pPr>
        <w:snapToGrid w:val="0"/>
        <w:spacing w:line="360" w:lineRule="auto"/>
        <w:rPr>
          <w:rFonts w:ascii="Book Antiqua" w:hAnsi="Book Antiqua"/>
          <w:sz w:val="24"/>
        </w:rPr>
      </w:pPr>
      <w:r>
        <w:rPr>
          <w:rFonts w:ascii="Book Antiqua" w:hAnsi="Book Antiqua"/>
          <w:sz w:val="24"/>
          <w:lang w:eastAsia="en-US"/>
        </w:rPr>
        <mc:AlternateContent>
          <mc:Choice Requires="wps">
            <w:drawing>
              <wp:anchor distT="0" distB="0" distL="114300" distR="114300" simplePos="0" relativeHeight="251668480" behindDoc="0" locked="0" layoutInCell="1" allowOverlap="1">
                <wp:simplePos x="0" y="0"/>
                <wp:positionH relativeFrom="column">
                  <wp:posOffset>793115</wp:posOffset>
                </wp:positionH>
                <wp:positionV relativeFrom="paragraph">
                  <wp:posOffset>382905</wp:posOffset>
                </wp:positionV>
                <wp:extent cx="5080" cy="634365"/>
                <wp:effectExtent l="33655" t="0" r="37465" b="635"/>
                <wp:wrapNone/>
                <wp:docPr id="15" name="直接箭头连接符 15"/>
                <wp:cNvGraphicFramePr/>
                <a:graphic xmlns:a="http://schemas.openxmlformats.org/drawingml/2006/main">
                  <a:graphicData uri="http://schemas.microsoft.com/office/word/2010/wordprocessingShape">
                    <wps:wsp>
                      <wps:cNvCnPr/>
                      <wps:spPr>
                        <a:xfrm>
                          <a:off x="0" y="0"/>
                          <a:ext cx="5080" cy="63436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62.45pt;margin-top:30.15pt;height:49.95pt;width:0.4pt;z-index:251668480;mso-width-relative:page;mso-height-relative:page;" filled="f" stroked="t" coordsize="21600,21600" o:gfxdata="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sWYRPZAAAACgEAAA8AAAAAAAAAAQAgAAAAIgAAAGRycy9kb3ducmV2LnhtbFBLAQIUABQAAAAI&#10;AIdO4kD9TV2n7AEAAKYDAAAOAAAAAAAAAAEAIAAAACgBAABkcnMvZTJvRG9jLnhtbFBLBQYAAAAA&#10;BgAGAFkBAACGBQAAAAA=&#10;">
                <v:fill on="f" focussize="0,0"/>
                <v:stroke color="#000000" joinstyle="round" endarrow="block"/>
                <v:imagedata o:title=""/>
                <o:lock v:ext="edit" aspectratio="f"/>
              </v:shape>
            </w:pict>
          </mc:Fallback>
        </mc:AlternateContent>
      </w:r>
    </w:p>
    <w:p>
      <w:pPr>
        <w:snapToGrid w:val="0"/>
        <w:spacing w:line="360" w:lineRule="auto"/>
        <w:rPr>
          <w:rFonts w:ascii="Book Antiqua" w:hAnsi="Book Antiqua"/>
          <w:sz w:val="24"/>
        </w:rPr>
      </w:pPr>
      <w:r>
        <w:rPr>
          <w:rFonts w:ascii="Book Antiqua" w:hAnsi="Book Antiqua"/>
          <w:sz w:val="24"/>
          <w:lang w:eastAsia="en-US"/>
        </w:rPr>
        <mc:AlternateContent>
          <mc:Choice Requires="wps">
            <w:drawing>
              <wp:anchor distT="0" distB="0" distL="114300" distR="114300" simplePos="0" relativeHeight="251669504" behindDoc="0" locked="0" layoutInCell="1" allowOverlap="1">
                <wp:simplePos x="0" y="0"/>
                <wp:positionH relativeFrom="column">
                  <wp:posOffset>4433570</wp:posOffset>
                </wp:positionH>
                <wp:positionV relativeFrom="paragraph">
                  <wp:posOffset>114935</wp:posOffset>
                </wp:positionV>
                <wp:extent cx="4445" cy="605155"/>
                <wp:effectExtent l="34290" t="0" r="37465" b="4445"/>
                <wp:wrapNone/>
                <wp:docPr id="10" name="直接箭头连接符 10"/>
                <wp:cNvGraphicFramePr/>
                <a:graphic xmlns:a="http://schemas.openxmlformats.org/drawingml/2006/main">
                  <a:graphicData uri="http://schemas.microsoft.com/office/word/2010/wordprocessingShape">
                    <wps:wsp>
                      <wps:cNvCnPr/>
                      <wps:spPr>
                        <a:xfrm>
                          <a:off x="0" y="0"/>
                          <a:ext cx="4445" cy="60515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49.1pt;margin-top:9.05pt;height:47.65pt;width:0.35pt;z-index:251669504;mso-width-relative:page;mso-height-relative:page;" filled="f" stroked="t" coordsize="21600,21600" o:gfxdata="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ZS&#10;a2jZAAAACgEAAA8AAAAAAAAAAQAgAAAAIgAAAGRycy9kb3ducmV2LnhtbFBLAQIUABQAAAAIAIdO&#10;4kD7jBzy6QEAAKYDAAAOAAAAAAAAAAEAIAAAACgBAABkcnMvZTJvRG9jLnhtbFBLBQYAAAAABgAG&#10;AFkBAACDBQAAAAA=&#10;">
                <v:fill on="f" focussize="0,0"/>
                <v:stroke color="#000000" joinstyle="round" endarrow="block"/>
                <v:imagedata o:title=""/>
                <o:lock v:ext="edit" aspectratio="f"/>
              </v:shape>
            </w:pict>
          </mc:Fallback>
        </mc:AlternateContent>
      </w:r>
    </w:p>
    <w:p>
      <w:pPr>
        <w:snapToGrid w:val="0"/>
        <w:spacing w:line="360" w:lineRule="auto"/>
        <w:rPr>
          <w:rFonts w:ascii="Book Antiqua" w:hAnsi="Book Antiqua"/>
          <w:sz w:val="24"/>
        </w:rPr>
      </w:pPr>
    </w:p>
    <w:p>
      <w:pPr>
        <w:snapToGrid w:val="0"/>
        <w:spacing w:line="360" w:lineRule="auto"/>
        <w:rPr>
          <w:rFonts w:ascii="Book Antiqua" w:hAnsi="Book Antiqua"/>
          <w:sz w:val="24"/>
        </w:rPr>
      </w:pPr>
      <w:r>
        <w:rPr>
          <w:rFonts w:ascii="Book Antiqua" w:hAnsi="Book Antiqua"/>
          <w:sz w:val="24"/>
          <w:lang w:eastAsia="en-US"/>
        </w:rPr>
        <mc:AlternateContent>
          <mc:Choice Requires="wps">
            <w:drawing>
              <wp:anchor distT="0" distB="0" distL="114300" distR="114300" simplePos="0" relativeHeight="251657216" behindDoc="0" locked="0" layoutInCell="1" allowOverlap="1">
                <wp:simplePos x="0" y="0"/>
                <wp:positionH relativeFrom="column">
                  <wp:posOffset>3705860</wp:posOffset>
                </wp:positionH>
                <wp:positionV relativeFrom="paragraph">
                  <wp:posOffset>127000</wp:posOffset>
                </wp:positionV>
                <wp:extent cx="1304290" cy="734060"/>
                <wp:effectExtent l="0" t="0" r="10160" b="27940"/>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1304290" cy="734060"/>
                        </a:xfrm>
                        <a:prstGeom prst="rect">
                          <a:avLst/>
                        </a:prstGeom>
                        <a:solidFill>
                          <a:srgbClr val="FFFFFF"/>
                        </a:solidFill>
                        <a:ln w="9525">
                          <a:solidFill>
                            <a:srgbClr val="000000"/>
                          </a:solidFill>
                          <a:miter lim="800000"/>
                        </a:ln>
                        <a:effectLst/>
                      </wps:spPr>
                      <wps:txbx>
                        <w:txbxContent>
                          <w:p>
                            <w:pPr>
                              <w:rPr>
                                <w:rFonts w:ascii="Times New Roman" w:hAnsi="Times New Roman"/>
                                <w:sz w:val="24"/>
                              </w:rPr>
                            </w:pPr>
                            <w:r>
                              <w:rPr>
                                <w:rFonts w:hint="eastAsia" w:ascii="Times New Roman" w:hAnsi="Times New Roman"/>
                                <w:sz w:val="24"/>
                              </w:rPr>
                              <w:t>144</w:t>
                            </w:r>
                            <w:r>
                              <w:rPr>
                                <w:rFonts w:ascii="Times New Roman" w:hAnsi="Times New Roman"/>
                                <w:sz w:val="24"/>
                              </w:rPr>
                              <w:t xml:space="preserve"> (</w:t>
                            </w:r>
                            <w:r>
                              <w:rPr>
                                <w:rFonts w:hint="eastAsia" w:ascii="Times New Roman" w:hAnsi="Times New Roman"/>
                                <w:sz w:val="24"/>
                              </w:rPr>
                              <w:t>73</w:t>
                            </w:r>
                            <w:r>
                              <w:rPr>
                                <w:rFonts w:ascii="Times New Roman" w:hAnsi="Times New Roman"/>
                                <w:sz w:val="24"/>
                              </w:rPr>
                              <w:t>.</w:t>
                            </w:r>
                            <w:r>
                              <w:rPr>
                                <w:rFonts w:hint="eastAsia" w:ascii="Times New Roman" w:hAnsi="Times New Roman"/>
                                <w:sz w:val="24"/>
                              </w:rPr>
                              <w:t>1</w:t>
                            </w:r>
                            <w:r>
                              <w:rPr>
                                <w:rFonts w:ascii="Times New Roman" w:hAnsi="Times New Roman"/>
                                <w:sz w:val="24"/>
                              </w:rPr>
                              <w:t xml:space="preserve">%) </w:t>
                            </w:r>
                            <w:r>
                              <w:rPr>
                                <w:rFonts w:hint="eastAsia" w:ascii="Times New Roman" w:hAnsi="Times New Roman"/>
                                <w:sz w:val="24"/>
                              </w:rPr>
                              <w:t>cases</w:t>
                            </w:r>
                            <w:r>
                              <w:rPr>
                                <w:rFonts w:ascii="Times New Roman" w:hAnsi="Times New Roman"/>
                                <w:sz w:val="24"/>
                              </w:rPr>
                              <w:t xml:space="preserve"> </w:t>
                            </w:r>
                            <w:r>
                              <w:rPr>
                                <w:rFonts w:hint="eastAsia" w:ascii="Times New Roman" w:hAnsi="Times New Roman"/>
                                <w:sz w:val="24"/>
                              </w:rPr>
                              <w:t xml:space="preserve">had successful TIPS </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291.8pt;margin-top:10pt;height:57.8pt;width:102.7pt;z-index:251657216;mso-width-relative:page;mso-height-relative:page;" fillcolor="#FFFFFF" filled="t" stroked="t" coordsize="21600,21600" o:gfxdata="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v&#10;3e2U2AAAAAoBAAAPAAAAAAAAAAEAIAAAACIAAABkcnMvZG93bnJldi54bWxQSwECFAAUAAAACACH&#10;TuJA9u/oVCQCAAA9BAAADgAAAAAAAAABACAAAAAnAQAAZHJzL2Uyb0RvYy54bWxQSwUGAAAAAAYA&#10;BgBZAQAAvQUAAAAA&#10;">
                <v:fill on="t" focussize="0,0"/>
                <v:stroke color="#000000" miterlimit="8" joinstyle="miter"/>
                <v:imagedata o:title=""/>
                <o:lock v:ext="edit" aspectratio="f"/>
                <v:textbox>
                  <w:txbxContent>
                    <w:p>
                      <w:pPr>
                        <w:rPr>
                          <w:rFonts w:ascii="Times New Roman" w:hAnsi="Times New Roman"/>
                          <w:sz w:val="24"/>
                        </w:rPr>
                      </w:pPr>
                      <w:r>
                        <w:rPr>
                          <w:rFonts w:hint="eastAsia" w:ascii="Times New Roman" w:hAnsi="Times New Roman"/>
                          <w:sz w:val="24"/>
                        </w:rPr>
                        <w:t>144</w:t>
                      </w:r>
                      <w:r>
                        <w:rPr>
                          <w:rFonts w:ascii="Times New Roman" w:hAnsi="Times New Roman"/>
                          <w:sz w:val="24"/>
                        </w:rPr>
                        <w:t xml:space="preserve"> (</w:t>
                      </w:r>
                      <w:r>
                        <w:rPr>
                          <w:rFonts w:hint="eastAsia" w:ascii="Times New Roman" w:hAnsi="Times New Roman"/>
                          <w:sz w:val="24"/>
                        </w:rPr>
                        <w:t>73</w:t>
                      </w:r>
                      <w:r>
                        <w:rPr>
                          <w:rFonts w:ascii="Times New Roman" w:hAnsi="Times New Roman"/>
                          <w:sz w:val="24"/>
                        </w:rPr>
                        <w:t>.</w:t>
                      </w:r>
                      <w:r>
                        <w:rPr>
                          <w:rFonts w:hint="eastAsia" w:ascii="Times New Roman" w:hAnsi="Times New Roman"/>
                          <w:sz w:val="24"/>
                        </w:rPr>
                        <w:t>1</w:t>
                      </w:r>
                      <w:r>
                        <w:rPr>
                          <w:rFonts w:ascii="Times New Roman" w:hAnsi="Times New Roman"/>
                          <w:sz w:val="24"/>
                        </w:rPr>
                        <w:t xml:space="preserve">%) </w:t>
                      </w:r>
                      <w:r>
                        <w:rPr>
                          <w:rFonts w:hint="eastAsia" w:ascii="Times New Roman" w:hAnsi="Times New Roman"/>
                          <w:sz w:val="24"/>
                        </w:rPr>
                        <w:t>cases</w:t>
                      </w:r>
                      <w:r>
                        <w:rPr>
                          <w:rFonts w:ascii="Times New Roman" w:hAnsi="Times New Roman"/>
                          <w:sz w:val="24"/>
                        </w:rPr>
                        <w:t xml:space="preserve"> </w:t>
                      </w:r>
                      <w:r>
                        <w:rPr>
                          <w:rFonts w:hint="eastAsia" w:ascii="Times New Roman" w:hAnsi="Times New Roman"/>
                          <w:sz w:val="24"/>
                        </w:rPr>
                        <w:t xml:space="preserve">had successful TIPS </w:t>
                      </w:r>
                    </w:p>
                  </w:txbxContent>
                </v:textbox>
              </v:shape>
            </w:pict>
          </mc:Fallback>
        </mc:AlternateContent>
      </w:r>
      <w:r>
        <w:rPr>
          <w:rFonts w:ascii="Book Antiqua" w:hAnsi="Book Antiqua"/>
          <w:sz w:val="24"/>
          <w:lang w:eastAsia="en-US"/>
        </w:rPr>
        <mc:AlternateContent>
          <mc:Choice Requires="wps">
            <w:drawing>
              <wp:anchor distT="0" distB="0" distL="114300" distR="114300" simplePos="0" relativeHeight="251656192" behindDoc="0" locked="0" layoutInCell="1" allowOverlap="1">
                <wp:simplePos x="0" y="0"/>
                <wp:positionH relativeFrom="column">
                  <wp:posOffset>152400</wp:posOffset>
                </wp:positionH>
                <wp:positionV relativeFrom="paragraph">
                  <wp:posOffset>127000</wp:posOffset>
                </wp:positionV>
                <wp:extent cx="2992755" cy="657860"/>
                <wp:effectExtent l="0" t="0" r="17145" b="27940"/>
                <wp:wrapNone/>
                <wp:docPr id="14" name="文本框 14"/>
                <wp:cNvGraphicFramePr/>
                <a:graphic xmlns:a="http://schemas.openxmlformats.org/drawingml/2006/main">
                  <a:graphicData uri="http://schemas.microsoft.com/office/word/2010/wordprocessingShape">
                    <wps:wsp>
                      <wps:cNvSpPr txBox="1">
                        <a:spLocks noChangeArrowheads="1"/>
                      </wps:cNvSpPr>
                      <wps:spPr bwMode="auto">
                        <a:xfrm>
                          <a:off x="0" y="0"/>
                          <a:ext cx="2992755" cy="657860"/>
                        </a:xfrm>
                        <a:prstGeom prst="rect">
                          <a:avLst/>
                        </a:prstGeom>
                        <a:solidFill>
                          <a:srgbClr val="FFFFFF"/>
                        </a:solidFill>
                        <a:ln w="9525">
                          <a:solidFill>
                            <a:srgbClr val="000000"/>
                          </a:solidFill>
                          <a:miter lim="800000"/>
                        </a:ln>
                        <a:effectLst/>
                      </wps:spPr>
                      <wps:txbx>
                        <w:txbxContent>
                          <w:p>
                            <w:pPr>
                              <w:rPr>
                                <w:rFonts w:ascii="Times New Roman" w:hAnsi="Times New Roman"/>
                                <w:sz w:val="24"/>
                              </w:rPr>
                            </w:pPr>
                            <w:r>
                              <w:rPr>
                                <w:rFonts w:hint="eastAsia" w:ascii="Times New Roman" w:hAnsi="Times New Roman"/>
                                <w:sz w:val="24"/>
                              </w:rPr>
                              <w:t>255</w:t>
                            </w:r>
                            <w:r>
                              <w:rPr>
                                <w:rFonts w:ascii="Times New Roman" w:hAnsi="Times New Roman"/>
                                <w:sz w:val="24"/>
                              </w:rPr>
                              <w:t xml:space="preserve"> (</w:t>
                            </w:r>
                            <w:r>
                              <w:rPr>
                                <w:rFonts w:hint="eastAsia" w:ascii="Times New Roman" w:hAnsi="Times New Roman"/>
                                <w:sz w:val="24"/>
                              </w:rPr>
                              <w:t>88</w:t>
                            </w:r>
                            <w:r>
                              <w:rPr>
                                <w:rFonts w:ascii="Times New Roman" w:hAnsi="Times New Roman"/>
                                <w:sz w:val="24"/>
                              </w:rPr>
                              <w:t>.</w:t>
                            </w:r>
                            <w:r>
                              <w:rPr>
                                <w:rFonts w:hint="eastAsia" w:ascii="Times New Roman" w:hAnsi="Times New Roman"/>
                                <w:sz w:val="24"/>
                              </w:rPr>
                              <w:t>2</w:t>
                            </w:r>
                            <w:r>
                              <w:rPr>
                                <w:rFonts w:ascii="Times New Roman" w:hAnsi="Times New Roman"/>
                                <w:sz w:val="24"/>
                              </w:rPr>
                              <w:t xml:space="preserve">%) </w:t>
                            </w:r>
                            <w:r>
                              <w:rPr>
                                <w:rFonts w:hint="eastAsia" w:ascii="Times New Roman" w:hAnsi="Times New Roman"/>
                                <w:sz w:val="24"/>
                              </w:rPr>
                              <w:t xml:space="preserve">cases had </w:t>
                            </w:r>
                            <w:r>
                              <w:rPr>
                                <w:rFonts w:ascii="Times New Roman" w:hAnsi="Times New Roman"/>
                                <w:sz w:val="24"/>
                              </w:rPr>
                              <w:t>successful</w:t>
                            </w:r>
                            <w:r>
                              <w:rPr>
                                <w:rFonts w:hint="eastAsia" w:ascii="Times New Roman" w:hAnsi="Times New Roman"/>
                                <w:sz w:val="24"/>
                              </w:rPr>
                              <w:t xml:space="preserve"> </w:t>
                            </w:r>
                            <w:r>
                              <w:rPr>
                                <w:rFonts w:ascii="Times New Roman" w:hAnsi="Times New Roman"/>
                                <w:sz w:val="24"/>
                              </w:rPr>
                              <w:t>TIPS</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12pt;margin-top:10pt;height:51.8pt;width:235.65pt;z-index:251656192;mso-width-relative:page;mso-height-relative:page;" fillcolor="#FFFFFF" filled="t" stroked="t" coordsize="21600,21600" o:gfxdata="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3SYlTYAAAACQEAAA8AAAAAAAAAAQAgAAAAIgAAAGRycy9kb3ducmV2LnhtbFBLAQIUABQAAAAI&#10;AIdO4kAEfRSGJgIAAD0EAAAOAAAAAAAAAAEAIAAAACcBAABkcnMvZTJvRG9jLnhtbFBLBQYAAAAA&#10;BgAGAFkBAAC/BQAAAAA=&#10;">
                <v:fill on="t" focussize="0,0"/>
                <v:stroke color="#000000" miterlimit="8" joinstyle="miter"/>
                <v:imagedata o:title=""/>
                <o:lock v:ext="edit" aspectratio="f"/>
                <v:textbox>
                  <w:txbxContent>
                    <w:p>
                      <w:pPr>
                        <w:rPr>
                          <w:rFonts w:ascii="Times New Roman" w:hAnsi="Times New Roman"/>
                          <w:sz w:val="24"/>
                        </w:rPr>
                      </w:pPr>
                      <w:r>
                        <w:rPr>
                          <w:rFonts w:hint="eastAsia" w:ascii="Times New Roman" w:hAnsi="Times New Roman"/>
                          <w:sz w:val="24"/>
                        </w:rPr>
                        <w:t>255</w:t>
                      </w:r>
                      <w:r>
                        <w:rPr>
                          <w:rFonts w:ascii="Times New Roman" w:hAnsi="Times New Roman"/>
                          <w:sz w:val="24"/>
                        </w:rPr>
                        <w:t xml:space="preserve"> (</w:t>
                      </w:r>
                      <w:r>
                        <w:rPr>
                          <w:rFonts w:hint="eastAsia" w:ascii="Times New Roman" w:hAnsi="Times New Roman"/>
                          <w:sz w:val="24"/>
                        </w:rPr>
                        <w:t>88</w:t>
                      </w:r>
                      <w:r>
                        <w:rPr>
                          <w:rFonts w:ascii="Times New Roman" w:hAnsi="Times New Roman"/>
                          <w:sz w:val="24"/>
                        </w:rPr>
                        <w:t>.</w:t>
                      </w:r>
                      <w:r>
                        <w:rPr>
                          <w:rFonts w:hint="eastAsia" w:ascii="Times New Roman" w:hAnsi="Times New Roman"/>
                          <w:sz w:val="24"/>
                        </w:rPr>
                        <w:t>2</w:t>
                      </w:r>
                      <w:r>
                        <w:rPr>
                          <w:rFonts w:ascii="Times New Roman" w:hAnsi="Times New Roman"/>
                          <w:sz w:val="24"/>
                        </w:rPr>
                        <w:t xml:space="preserve">%) </w:t>
                      </w:r>
                      <w:r>
                        <w:rPr>
                          <w:rFonts w:hint="eastAsia" w:ascii="Times New Roman" w:hAnsi="Times New Roman"/>
                          <w:sz w:val="24"/>
                        </w:rPr>
                        <w:t xml:space="preserve">cases had </w:t>
                      </w:r>
                      <w:r>
                        <w:rPr>
                          <w:rFonts w:ascii="Times New Roman" w:hAnsi="Times New Roman"/>
                          <w:sz w:val="24"/>
                        </w:rPr>
                        <w:t>successful</w:t>
                      </w:r>
                      <w:r>
                        <w:rPr>
                          <w:rFonts w:hint="eastAsia" w:ascii="Times New Roman" w:hAnsi="Times New Roman"/>
                          <w:sz w:val="24"/>
                        </w:rPr>
                        <w:t xml:space="preserve"> </w:t>
                      </w:r>
                      <w:r>
                        <w:rPr>
                          <w:rFonts w:ascii="Times New Roman" w:hAnsi="Times New Roman"/>
                          <w:sz w:val="24"/>
                        </w:rPr>
                        <w:t>TIPS</w:t>
                      </w:r>
                    </w:p>
                  </w:txbxContent>
                </v:textbox>
              </v:shape>
            </w:pict>
          </mc:Fallback>
        </mc:AlternateContent>
      </w:r>
    </w:p>
    <w:p>
      <w:pPr>
        <w:snapToGrid w:val="0"/>
        <w:spacing w:line="360" w:lineRule="auto"/>
        <w:rPr>
          <w:rFonts w:ascii="Book Antiqua" w:hAnsi="Book Antiqua"/>
          <w:sz w:val="24"/>
        </w:rPr>
      </w:pPr>
    </w:p>
    <w:p>
      <w:pPr>
        <w:snapToGrid w:val="0"/>
        <w:spacing w:line="360" w:lineRule="auto"/>
        <w:rPr>
          <w:rFonts w:ascii="Book Antiqua" w:hAnsi="Book Antiqua"/>
          <w:sz w:val="24"/>
        </w:rPr>
      </w:pPr>
    </w:p>
    <w:p>
      <w:pPr>
        <w:snapToGrid w:val="0"/>
        <w:spacing w:line="360" w:lineRule="auto"/>
        <w:rPr>
          <w:rFonts w:ascii="Book Antiqua" w:hAnsi="Book Antiqua"/>
          <w:sz w:val="24"/>
        </w:rPr>
      </w:pPr>
    </w:p>
    <w:p>
      <w:pPr>
        <w:snapToGrid w:val="0"/>
        <w:spacing w:line="360" w:lineRule="auto"/>
        <w:rPr>
          <w:rFonts w:ascii="Book Antiqua" w:hAnsi="Book Antiqua" w:eastAsia="黑体"/>
          <w:b/>
          <w:sz w:val="24"/>
        </w:rPr>
      </w:pPr>
      <w:r>
        <w:rPr>
          <w:rFonts w:ascii="Book Antiqua" w:hAnsi="Book Antiqua" w:eastAsia="黑体" w:cs="Book Antiqua"/>
          <w:b/>
          <w:bCs/>
          <w:sz w:val="24"/>
        </w:rPr>
        <w:t>Figure 1 Distribution of patients.</w:t>
      </w:r>
      <w:r>
        <w:rPr>
          <w:rFonts w:ascii="Book Antiqua" w:hAnsi="Book Antiqua" w:eastAsia="黑体" w:cs="Book Antiqua"/>
          <w:sz w:val="24"/>
        </w:rPr>
        <w:t xml:space="preserve"> There were 289 patients with no prior splenectomy in group A and 197 patients with cirrhosis who underwent splenectomy in group B. In group A, 65 cases had portal vein thrombosis. In group B, portal vein thrombosis was seen in 87 cases.</w:t>
      </w:r>
      <w:r>
        <w:rPr>
          <w:rFonts w:ascii="Book Antiqua" w:hAnsi="Book Antiqua" w:eastAsia="黑体" w:cs="Book Antiqua"/>
          <w:bCs/>
          <w:sz w:val="24"/>
        </w:rPr>
        <w:t xml:space="preserve"> </w:t>
      </w:r>
      <w:r>
        <w:rPr>
          <w:rFonts w:ascii="Book Antiqua" w:hAnsi="Book Antiqua" w:eastAsia="黑体"/>
          <w:bCs/>
          <w:sz w:val="24"/>
        </w:rPr>
        <w:t>TIPS:</w:t>
      </w:r>
      <w:r>
        <w:rPr>
          <w:rFonts w:ascii="Book Antiqua" w:hAnsi="Book Antiqua" w:eastAsia="黑体"/>
          <w:b/>
          <w:sz w:val="24"/>
        </w:rPr>
        <w:t xml:space="preserve"> </w:t>
      </w:r>
      <w:r>
        <w:rPr>
          <w:rFonts w:ascii="Book Antiqua" w:hAnsi="Book Antiqua" w:eastAsia="黑体"/>
          <w:sz w:val="24"/>
        </w:rPr>
        <w:t>Transjugular intrahepatic portosystemic shunt.</w:t>
      </w:r>
    </w:p>
    <w:p>
      <w:pPr>
        <w:widowControl/>
        <w:snapToGrid w:val="0"/>
        <w:spacing w:line="360" w:lineRule="auto"/>
        <w:rPr>
          <w:rFonts w:ascii="Book Antiqua" w:hAnsi="Book Antiqua" w:cs="Book Antiqua"/>
          <w:b/>
          <w:bCs/>
          <w:sz w:val="24"/>
        </w:rPr>
      </w:pPr>
      <w:r>
        <w:rPr>
          <w:rFonts w:ascii="Book Antiqua" w:hAnsi="Book Antiqua" w:cs="Book Antiqua"/>
          <w:b/>
          <w:bCs/>
          <w:sz w:val="24"/>
        </w:rPr>
        <w:br w:type="page"/>
      </w:r>
    </w:p>
    <w:p>
      <w:pPr>
        <w:snapToGrid w:val="0"/>
        <w:spacing w:line="360" w:lineRule="auto"/>
        <w:rPr>
          <w:rFonts w:ascii="Book Antiqua" w:hAnsi="Book Antiqua"/>
          <w:sz w:val="24"/>
        </w:rPr>
      </w:pPr>
      <w:r>
        <w:rPr>
          <w:rFonts w:ascii="Book Antiqua" w:hAnsi="Book Antiqua"/>
          <w:sz w:val="24"/>
          <w:lang w:eastAsia="en-US"/>
        </w:rPr>
        <w:drawing>
          <wp:inline distT="0" distB="0" distL="114300" distR="114300">
            <wp:extent cx="2489200" cy="1790065"/>
            <wp:effectExtent l="0" t="0" r="0" b="635"/>
            <wp:docPr id="19" name="图片 1" descr="Figur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descr="Figure2-1"/>
                    <pic:cNvPicPr>
                      <a:picLocks noChangeAspect="1"/>
                    </pic:cNvPicPr>
                  </pic:nvPicPr>
                  <pic:blipFill>
                    <a:blip r:embed="rId6"/>
                    <a:stretch>
                      <a:fillRect/>
                    </a:stretch>
                  </pic:blipFill>
                  <pic:spPr>
                    <a:xfrm>
                      <a:off x="0" y="0"/>
                      <a:ext cx="2489200" cy="1790065"/>
                    </a:xfrm>
                    <a:prstGeom prst="rect">
                      <a:avLst/>
                    </a:prstGeom>
                    <a:noFill/>
                    <a:ln>
                      <a:noFill/>
                    </a:ln>
                  </pic:spPr>
                </pic:pic>
              </a:graphicData>
            </a:graphic>
          </wp:inline>
        </w:drawing>
      </w:r>
      <w:r>
        <w:rPr>
          <w:rFonts w:ascii="Book Antiqua" w:hAnsi="Book Antiqua"/>
          <w:sz w:val="24"/>
          <w:lang w:eastAsia="en-US"/>
        </w:rPr>
        <w:drawing>
          <wp:inline distT="0" distB="0" distL="114300" distR="114300">
            <wp:extent cx="2477770" cy="1790065"/>
            <wp:effectExtent l="0" t="0" r="11430" b="635"/>
            <wp:docPr id="20" name="图片 2" descr="Figur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 descr="Figure2-2"/>
                    <pic:cNvPicPr>
                      <a:picLocks noChangeAspect="1"/>
                    </pic:cNvPicPr>
                  </pic:nvPicPr>
                  <pic:blipFill>
                    <a:blip r:embed="rId7"/>
                    <a:stretch>
                      <a:fillRect/>
                    </a:stretch>
                  </pic:blipFill>
                  <pic:spPr>
                    <a:xfrm>
                      <a:off x="0" y="0"/>
                      <a:ext cx="2477770" cy="1790065"/>
                    </a:xfrm>
                    <a:prstGeom prst="rect">
                      <a:avLst/>
                    </a:prstGeom>
                    <a:noFill/>
                    <a:ln>
                      <a:noFill/>
                    </a:ln>
                  </pic:spPr>
                </pic:pic>
              </a:graphicData>
            </a:graphic>
          </wp:inline>
        </w:drawing>
      </w:r>
    </w:p>
    <w:p>
      <w:pPr>
        <w:snapToGrid w:val="0"/>
        <w:spacing w:line="360" w:lineRule="auto"/>
        <w:rPr>
          <w:rFonts w:ascii="Book Antiqua" w:hAnsi="Book Antiqua"/>
          <w:sz w:val="24"/>
        </w:rPr>
      </w:pPr>
      <w:r>
        <w:rPr>
          <w:rFonts w:ascii="Book Antiqua" w:hAnsi="Book Antiqua"/>
          <w:sz w:val="24"/>
          <w:lang w:eastAsia="en-US"/>
        </w:rPr>
        <w:drawing>
          <wp:inline distT="0" distB="0" distL="114300" distR="114300">
            <wp:extent cx="2494280" cy="2028825"/>
            <wp:effectExtent l="0" t="0" r="7620" b="3175"/>
            <wp:docPr id="17" name="图片 3" descr="Figur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descr="Figure2-3"/>
                    <pic:cNvPicPr>
                      <a:picLocks noChangeAspect="1"/>
                    </pic:cNvPicPr>
                  </pic:nvPicPr>
                  <pic:blipFill>
                    <a:blip r:embed="rId8"/>
                    <a:stretch>
                      <a:fillRect/>
                    </a:stretch>
                  </pic:blipFill>
                  <pic:spPr>
                    <a:xfrm>
                      <a:off x="0" y="0"/>
                      <a:ext cx="2494280" cy="2028825"/>
                    </a:xfrm>
                    <a:prstGeom prst="rect">
                      <a:avLst/>
                    </a:prstGeom>
                    <a:noFill/>
                    <a:ln>
                      <a:noFill/>
                    </a:ln>
                  </pic:spPr>
                </pic:pic>
              </a:graphicData>
            </a:graphic>
          </wp:inline>
        </w:drawing>
      </w:r>
      <w:r>
        <w:rPr>
          <w:rFonts w:ascii="Book Antiqua" w:hAnsi="Book Antiqua"/>
          <w:sz w:val="24"/>
          <w:lang w:eastAsia="en-US"/>
        </w:rPr>
        <w:drawing>
          <wp:inline distT="0" distB="0" distL="114300" distR="114300">
            <wp:extent cx="2436495" cy="2011045"/>
            <wp:effectExtent l="0" t="0" r="1905" b="8255"/>
            <wp:docPr id="18" name="图片 4" descr="Figur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 descr="Figure2-4"/>
                    <pic:cNvPicPr>
                      <a:picLocks noChangeAspect="1"/>
                    </pic:cNvPicPr>
                  </pic:nvPicPr>
                  <pic:blipFill>
                    <a:blip r:embed="rId9"/>
                    <a:stretch>
                      <a:fillRect/>
                    </a:stretch>
                  </pic:blipFill>
                  <pic:spPr>
                    <a:xfrm>
                      <a:off x="0" y="0"/>
                      <a:ext cx="2436495" cy="2011045"/>
                    </a:xfrm>
                    <a:prstGeom prst="rect">
                      <a:avLst/>
                    </a:prstGeom>
                    <a:noFill/>
                    <a:ln>
                      <a:noFill/>
                    </a:ln>
                  </pic:spPr>
                </pic:pic>
              </a:graphicData>
            </a:graphic>
          </wp:inline>
        </w:drawing>
      </w:r>
      <w:r>
        <w:rPr>
          <w:rFonts w:ascii="Book Antiqua" w:hAnsi="Book Antiqua"/>
          <w:sz w:val="24"/>
        </w:rPr>
        <w:t xml:space="preserve"> </w:t>
      </w:r>
    </w:p>
    <w:p>
      <w:pPr>
        <w:snapToGrid w:val="0"/>
        <w:spacing w:line="360" w:lineRule="auto"/>
        <w:rPr>
          <w:rFonts w:ascii="Book Antiqua" w:hAnsi="Book Antiqua"/>
          <w:sz w:val="24"/>
        </w:rPr>
      </w:pPr>
      <w:r>
        <w:rPr>
          <w:rFonts w:ascii="Book Antiqua" w:hAnsi="Book Antiqua"/>
          <w:sz w:val="24"/>
          <w:lang w:eastAsia="en-US"/>
        </w:rPr>
        <w:drawing>
          <wp:inline distT="0" distB="0" distL="114300" distR="114300">
            <wp:extent cx="2494280" cy="1562735"/>
            <wp:effectExtent l="0" t="0" r="7620" b="12065"/>
            <wp:docPr id="16" name="图片 5" descr="Figur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descr="Figure2-5"/>
                    <pic:cNvPicPr>
                      <a:picLocks noChangeAspect="1"/>
                    </pic:cNvPicPr>
                  </pic:nvPicPr>
                  <pic:blipFill>
                    <a:blip r:embed="rId10"/>
                    <a:stretch>
                      <a:fillRect/>
                    </a:stretch>
                  </pic:blipFill>
                  <pic:spPr>
                    <a:xfrm>
                      <a:off x="0" y="0"/>
                      <a:ext cx="2494280" cy="1562735"/>
                    </a:xfrm>
                    <a:prstGeom prst="rect">
                      <a:avLst/>
                    </a:prstGeom>
                    <a:noFill/>
                    <a:ln>
                      <a:noFill/>
                    </a:ln>
                  </pic:spPr>
                </pic:pic>
              </a:graphicData>
            </a:graphic>
          </wp:inline>
        </w:drawing>
      </w:r>
    </w:p>
    <w:p>
      <w:pPr>
        <w:snapToGrid w:val="0"/>
        <w:spacing w:line="360" w:lineRule="auto"/>
        <w:rPr>
          <w:rFonts w:ascii="Book Antiqua" w:hAnsi="Book Antiqua" w:eastAsia="黑体" w:cs="Book Antiqua"/>
          <w:sz w:val="24"/>
        </w:rPr>
      </w:pPr>
      <w:r>
        <w:rPr>
          <w:rFonts w:ascii="Book Antiqua" w:hAnsi="Book Antiqua" w:eastAsia="黑体" w:cs="Book Antiqua"/>
          <w:b/>
          <w:bCs/>
          <w:sz w:val="24"/>
        </w:rPr>
        <w:t xml:space="preserve">Figure 2 Decompensative liver cirrhosis and portal vein thrombosis treated with </w:t>
      </w:r>
      <w:r>
        <w:rPr>
          <w:rFonts w:ascii="Book Antiqua" w:hAnsi="Book Antiqua" w:eastAsia="黑体"/>
          <w:b/>
          <w:bCs/>
          <w:sz w:val="24"/>
        </w:rPr>
        <w:t>transjugular intrahepatic portosystemic shunt</w:t>
      </w:r>
      <w:r>
        <w:rPr>
          <w:rFonts w:ascii="Book Antiqua" w:hAnsi="Book Antiqua" w:eastAsia="黑体" w:cs="Book Antiqua"/>
          <w:b/>
          <w:bCs/>
          <w:sz w:val="24"/>
        </w:rPr>
        <w:t>.</w:t>
      </w:r>
      <w:r>
        <w:rPr>
          <w:rFonts w:ascii="Book Antiqua" w:hAnsi="Book Antiqua" w:eastAsia="黑体" w:cs="Book Antiqua"/>
          <w:sz w:val="24"/>
        </w:rPr>
        <w:t xml:space="preserve"> A 67-year-old female with decompensative liver cirrhosis and portal vein thrombosis caused by Schistosoma was treated with </w:t>
      </w:r>
      <w:r>
        <w:rPr>
          <w:rFonts w:ascii="Book Antiqua" w:hAnsi="Book Antiqua" w:eastAsia="黑体"/>
          <w:sz w:val="24"/>
        </w:rPr>
        <w:t>transjugular intrahepatic portosystemic shunt</w:t>
      </w:r>
      <w:r>
        <w:rPr>
          <w:rFonts w:ascii="Book Antiqua" w:hAnsi="Book Antiqua" w:eastAsia="黑体" w:cs="Book Antiqua"/>
          <w:sz w:val="24"/>
        </w:rPr>
        <w:t>. A, B: The right lobe of the liver atrophied, and the left lobe of the liver was compensatory. Calcified hepatic portal vein, portal vein thrombosis and occlusion of the main portal vein and the collateral circulation formed; C-E: T</w:t>
      </w:r>
      <w:r>
        <w:rPr>
          <w:rFonts w:ascii="Book Antiqua" w:hAnsi="Book Antiqua" w:eastAsia="黑体"/>
          <w:sz w:val="24"/>
        </w:rPr>
        <w:t>ransjugular intrahepatic portosystemic shunt</w:t>
      </w:r>
      <w:r>
        <w:rPr>
          <w:rFonts w:ascii="Book Antiqua" w:hAnsi="Book Antiqua" w:eastAsia="黑体" w:cs="Book Antiqua"/>
          <w:sz w:val="24"/>
        </w:rPr>
        <w:t xml:space="preserve"> was performed through the collateral vessels of the hepatic portal vein, which decreased the pressure of portal vein and the collateral vessels were embolized by coils (arrows).</w:t>
      </w:r>
    </w:p>
    <w:p>
      <w:pPr>
        <w:widowControl/>
        <w:snapToGrid w:val="0"/>
        <w:spacing w:line="360" w:lineRule="auto"/>
        <w:rPr>
          <w:rFonts w:ascii="Book Antiqua" w:hAnsi="Book Antiqua" w:cs="Book Antiqua"/>
          <w:b/>
          <w:bCs/>
          <w:sz w:val="24"/>
        </w:rPr>
      </w:pPr>
    </w:p>
    <w:p>
      <w:pPr>
        <w:snapToGrid w:val="0"/>
        <w:spacing w:line="360" w:lineRule="auto"/>
        <w:rPr>
          <w:rFonts w:ascii="Book Antiqua" w:hAnsi="Book Antiqua"/>
          <w:sz w:val="24"/>
        </w:rPr>
      </w:pPr>
      <w:r>
        <w:rPr>
          <w:rFonts w:ascii="Book Antiqua" w:hAnsi="Book Antiqua"/>
          <w:sz w:val="24"/>
          <w:lang w:eastAsia="en-US"/>
        </w:rPr>
        <w:drawing>
          <wp:inline distT="0" distB="0" distL="114300" distR="114300">
            <wp:extent cx="5257800" cy="3067050"/>
            <wp:effectExtent l="0" t="0" r="0" b="6350"/>
            <wp:docPr id="21" name="图片 6" descr="Fig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descr="Figure-3"/>
                    <pic:cNvPicPr>
                      <a:picLocks noChangeAspect="1"/>
                    </pic:cNvPicPr>
                  </pic:nvPicPr>
                  <pic:blipFill>
                    <a:blip r:embed="rId11"/>
                    <a:stretch>
                      <a:fillRect/>
                    </a:stretch>
                  </pic:blipFill>
                  <pic:spPr>
                    <a:xfrm>
                      <a:off x="0" y="0"/>
                      <a:ext cx="5257800" cy="3067050"/>
                    </a:xfrm>
                    <a:prstGeom prst="rect">
                      <a:avLst/>
                    </a:prstGeom>
                    <a:noFill/>
                    <a:ln>
                      <a:noFill/>
                    </a:ln>
                  </pic:spPr>
                </pic:pic>
              </a:graphicData>
            </a:graphic>
          </wp:inline>
        </w:drawing>
      </w:r>
    </w:p>
    <w:p>
      <w:pPr>
        <w:snapToGrid w:val="0"/>
        <w:spacing w:line="360" w:lineRule="auto"/>
        <w:rPr>
          <w:rFonts w:ascii="Book Antiqua" w:hAnsi="Book Antiqua" w:eastAsia="黑体" w:cs="Book Antiqua"/>
          <w:sz w:val="24"/>
        </w:rPr>
      </w:pPr>
      <w:r>
        <w:rPr>
          <w:rFonts w:ascii="Book Antiqua" w:hAnsi="Book Antiqua" w:eastAsia="黑体" w:cs="Book Antiqua"/>
          <w:b/>
          <w:bCs/>
          <w:sz w:val="24"/>
        </w:rPr>
        <w:t>Figure 3 Survival time.</w:t>
      </w:r>
      <w:r>
        <w:rPr>
          <w:rFonts w:ascii="Book Antiqua" w:hAnsi="Book Antiqua" w:eastAsia="黑体" w:cs="Book Antiqua"/>
          <w:sz w:val="24"/>
        </w:rPr>
        <w:t xml:space="preserve"> During a 3-year follow-up, the 1-year (92.9% </w:t>
      </w:r>
      <w:r>
        <w:rPr>
          <w:rFonts w:ascii="Book Antiqua" w:hAnsi="Book Antiqua" w:eastAsia="黑体" w:cs="Book Antiqua"/>
          <w:i/>
          <w:iCs/>
          <w:sz w:val="24"/>
        </w:rPr>
        <w:t>vs</w:t>
      </w:r>
      <w:r>
        <w:rPr>
          <w:rFonts w:ascii="Book Antiqua" w:hAnsi="Book Antiqua" w:eastAsia="黑体" w:cs="Book Antiqua"/>
          <w:sz w:val="24"/>
        </w:rPr>
        <w:t xml:space="preserve"> 85.4%), 2-year (83.9% </w:t>
      </w:r>
      <w:r>
        <w:rPr>
          <w:rFonts w:ascii="Book Antiqua" w:hAnsi="Book Antiqua" w:eastAsia="黑体" w:cs="Book Antiqua"/>
          <w:i/>
          <w:iCs/>
          <w:sz w:val="24"/>
        </w:rPr>
        <w:t>vs</w:t>
      </w:r>
      <w:r>
        <w:rPr>
          <w:rFonts w:ascii="Book Antiqua" w:hAnsi="Book Antiqua" w:eastAsia="黑体" w:cs="Book Antiqua"/>
          <w:sz w:val="24"/>
        </w:rPr>
        <w:t xml:space="preserve"> 68.1%) and 3-year (69.4% </w:t>
      </w:r>
      <w:r>
        <w:rPr>
          <w:rFonts w:ascii="Book Antiqua" w:hAnsi="Book Antiqua" w:eastAsia="黑体" w:cs="Book Antiqua"/>
          <w:i/>
          <w:iCs/>
          <w:sz w:val="24"/>
        </w:rPr>
        <w:t>vs</w:t>
      </w:r>
      <w:r>
        <w:rPr>
          <w:rFonts w:ascii="Book Antiqua" w:hAnsi="Book Antiqua" w:eastAsia="黑体" w:cs="Book Antiqua"/>
          <w:sz w:val="24"/>
        </w:rPr>
        <w:t xml:space="preserve"> 56.3%) survival rates in group A were higher than in group B.</w:t>
      </w:r>
    </w:p>
    <w:p>
      <w:pPr>
        <w:widowControl/>
        <w:snapToGrid w:val="0"/>
        <w:spacing w:line="360" w:lineRule="auto"/>
        <w:jc w:val="left"/>
        <w:rPr>
          <w:rFonts w:ascii="Book Antiqua" w:hAnsi="Book Antiqua" w:eastAsia="黑体" w:cs="Book Antiqua"/>
          <w:sz w:val="24"/>
        </w:rPr>
      </w:pPr>
      <w:r>
        <w:rPr>
          <w:rFonts w:ascii="Book Antiqua" w:hAnsi="Book Antiqua" w:eastAsia="黑体" w:cs="Book Antiqua"/>
          <w:sz w:val="24"/>
        </w:rPr>
        <w:br w:type="page"/>
      </w:r>
    </w:p>
    <w:p>
      <w:pPr>
        <w:widowControl/>
        <w:snapToGrid w:val="0"/>
        <w:spacing w:line="360" w:lineRule="auto"/>
        <w:rPr>
          <w:rFonts w:ascii="Book Antiqua" w:hAnsi="Book Antiqua"/>
          <w:b/>
          <w:sz w:val="24"/>
        </w:rPr>
        <w:sectPr>
          <w:footerReference r:id="rId3" w:type="default"/>
          <w:footerReference r:id="rId4" w:type="even"/>
          <w:pgSz w:w="11906" w:h="16838"/>
          <w:pgMar w:top="1440" w:right="1440" w:bottom="1440" w:left="1440" w:header="851" w:footer="992" w:gutter="0"/>
          <w:cols w:space="425" w:num="1"/>
          <w:docGrid w:type="lines" w:linePitch="312" w:charSpace="0"/>
        </w:sectPr>
      </w:pPr>
    </w:p>
    <w:p>
      <w:pPr>
        <w:widowControl/>
        <w:snapToGrid w:val="0"/>
        <w:spacing w:line="360" w:lineRule="auto"/>
        <w:rPr>
          <w:rFonts w:ascii="Book Antiqua" w:hAnsi="Book Antiqua"/>
          <w:b/>
          <w:sz w:val="24"/>
        </w:rPr>
      </w:pPr>
      <w:r>
        <w:rPr>
          <w:rFonts w:ascii="Book Antiqua" w:hAnsi="Book Antiqua"/>
          <w:b/>
          <w:sz w:val="24"/>
        </w:rPr>
        <w:t>Table 1 Demographic characteristics of the patients</w:t>
      </w:r>
    </w:p>
    <w:tbl>
      <w:tblPr>
        <w:tblStyle w:val="8"/>
        <w:tblW w:w="13984" w:type="dxa"/>
        <w:tblInd w:w="0" w:type="dxa"/>
        <w:tblLayout w:type="fixed"/>
        <w:tblCellMar>
          <w:top w:w="15" w:type="dxa"/>
          <w:left w:w="15" w:type="dxa"/>
          <w:bottom w:w="15" w:type="dxa"/>
          <w:right w:w="15" w:type="dxa"/>
        </w:tblCellMar>
      </w:tblPr>
      <w:tblGrid>
        <w:gridCol w:w="4676"/>
        <w:gridCol w:w="3661"/>
        <w:gridCol w:w="2772"/>
        <w:gridCol w:w="1826"/>
        <w:gridCol w:w="1049"/>
      </w:tblGrid>
      <w:tr>
        <w:tblPrEx>
          <w:tblLayout w:type="fixed"/>
          <w:tblCellMar>
            <w:top w:w="15" w:type="dxa"/>
            <w:left w:w="15" w:type="dxa"/>
            <w:bottom w:w="15" w:type="dxa"/>
            <w:right w:w="15" w:type="dxa"/>
          </w:tblCellMar>
        </w:tblPrEx>
        <w:trPr>
          <w:trHeight w:val="285" w:hRule="atLeast"/>
        </w:trPr>
        <w:tc>
          <w:tcPr>
            <w:tcW w:w="4676" w:type="dxa"/>
            <w:vMerge w:val="restart"/>
            <w:tcBorders>
              <w:top w:val="single" w:color="000000" w:sz="4" w:space="0"/>
            </w:tcBorders>
            <w:shd w:val="clear" w:color="auto" w:fill="auto"/>
            <w:vAlign w:val="center"/>
          </w:tcPr>
          <w:p>
            <w:pPr>
              <w:widowControl/>
              <w:snapToGrid w:val="0"/>
              <w:spacing w:line="360" w:lineRule="auto"/>
              <w:rPr>
                <w:rFonts w:ascii="Book Antiqua" w:hAnsi="Book Antiqua"/>
                <w:b/>
                <w:bCs/>
                <w:sz w:val="24"/>
              </w:rPr>
            </w:pPr>
            <w:r>
              <w:rPr>
                <w:rFonts w:ascii="Book Antiqua" w:hAnsi="Book Antiqua"/>
                <w:b/>
                <w:bCs/>
                <w:sz w:val="24"/>
              </w:rPr>
              <w:t>Characteristics</w:t>
            </w:r>
          </w:p>
        </w:tc>
        <w:tc>
          <w:tcPr>
            <w:tcW w:w="3661" w:type="dxa"/>
            <w:vMerge w:val="restart"/>
            <w:tcBorders>
              <w:top w:val="single" w:color="000000" w:sz="4" w:space="0"/>
            </w:tcBorders>
            <w:shd w:val="clear" w:color="auto" w:fill="auto"/>
            <w:vAlign w:val="center"/>
          </w:tcPr>
          <w:p>
            <w:pPr>
              <w:widowControl/>
              <w:snapToGrid w:val="0"/>
              <w:spacing w:line="360" w:lineRule="auto"/>
              <w:rPr>
                <w:rFonts w:ascii="Book Antiqua" w:hAnsi="Book Antiqua"/>
                <w:b/>
                <w:bCs/>
                <w:sz w:val="24"/>
              </w:rPr>
            </w:pPr>
          </w:p>
        </w:tc>
        <w:tc>
          <w:tcPr>
            <w:tcW w:w="4598" w:type="dxa"/>
            <w:gridSpan w:val="2"/>
            <w:tcBorders>
              <w:top w:val="single" w:color="000000" w:sz="4" w:space="0"/>
            </w:tcBorders>
            <w:shd w:val="clear" w:color="auto" w:fill="auto"/>
            <w:vAlign w:val="center"/>
          </w:tcPr>
          <w:p>
            <w:pPr>
              <w:widowControl/>
              <w:snapToGrid w:val="0"/>
              <w:spacing w:line="360" w:lineRule="auto"/>
              <w:jc w:val="center"/>
              <w:rPr>
                <w:rFonts w:ascii="Book Antiqua" w:hAnsi="Book Antiqua"/>
                <w:b/>
                <w:bCs/>
                <w:sz w:val="24"/>
              </w:rPr>
            </w:pPr>
            <w:r>
              <w:rPr>
                <w:rFonts w:ascii="Book Antiqua" w:hAnsi="Book Antiqua"/>
                <w:b/>
                <w:bCs/>
                <w:sz w:val="24"/>
              </w:rPr>
              <w:t>Groups</w:t>
            </w:r>
          </w:p>
        </w:tc>
        <w:tc>
          <w:tcPr>
            <w:tcW w:w="1049" w:type="dxa"/>
            <w:vMerge w:val="restart"/>
            <w:tcBorders>
              <w:top w:val="single" w:color="000000" w:sz="4" w:space="0"/>
            </w:tcBorders>
            <w:shd w:val="clear" w:color="auto" w:fill="auto"/>
            <w:vAlign w:val="center"/>
          </w:tcPr>
          <w:p>
            <w:pPr>
              <w:widowControl/>
              <w:snapToGrid w:val="0"/>
              <w:spacing w:line="360" w:lineRule="auto"/>
              <w:rPr>
                <w:rFonts w:ascii="Book Antiqua" w:hAnsi="Book Antiqua"/>
                <w:b/>
                <w:bCs/>
                <w:sz w:val="24"/>
              </w:rPr>
            </w:pPr>
            <w:r>
              <w:rPr>
                <w:rFonts w:ascii="Book Antiqua" w:hAnsi="Book Antiqua"/>
                <w:b/>
                <w:bCs/>
                <w:i/>
                <w:iCs/>
                <w:sz w:val="24"/>
              </w:rPr>
              <w:t>P</w:t>
            </w:r>
            <w:r>
              <w:rPr>
                <w:rFonts w:ascii="Book Antiqua" w:hAnsi="Book Antiqua"/>
                <w:b/>
                <w:bCs/>
                <w:sz w:val="24"/>
              </w:rPr>
              <w:t xml:space="preserve"> value</w:t>
            </w:r>
          </w:p>
        </w:tc>
      </w:tr>
      <w:tr>
        <w:tblPrEx>
          <w:tblLayout w:type="fixed"/>
          <w:tblCellMar>
            <w:top w:w="15" w:type="dxa"/>
            <w:left w:w="15" w:type="dxa"/>
            <w:bottom w:w="15" w:type="dxa"/>
            <w:right w:w="15" w:type="dxa"/>
          </w:tblCellMar>
        </w:tblPrEx>
        <w:trPr>
          <w:trHeight w:val="285" w:hRule="atLeast"/>
        </w:trPr>
        <w:tc>
          <w:tcPr>
            <w:tcW w:w="4676" w:type="dxa"/>
            <w:vMerge w:val="continue"/>
            <w:tcBorders>
              <w:bottom w:val="single" w:color="000000" w:sz="4" w:space="0"/>
            </w:tcBorders>
            <w:shd w:val="clear" w:color="auto" w:fill="auto"/>
            <w:vAlign w:val="center"/>
          </w:tcPr>
          <w:p>
            <w:pPr>
              <w:snapToGrid w:val="0"/>
              <w:spacing w:line="360" w:lineRule="auto"/>
              <w:rPr>
                <w:rFonts w:ascii="Book Antiqua" w:hAnsi="Book Antiqua"/>
                <w:b/>
                <w:bCs/>
                <w:sz w:val="24"/>
              </w:rPr>
            </w:pPr>
          </w:p>
        </w:tc>
        <w:tc>
          <w:tcPr>
            <w:tcW w:w="3661" w:type="dxa"/>
            <w:vMerge w:val="continue"/>
            <w:tcBorders>
              <w:bottom w:val="single" w:color="000000" w:sz="4" w:space="0"/>
            </w:tcBorders>
            <w:shd w:val="clear" w:color="auto" w:fill="auto"/>
            <w:vAlign w:val="center"/>
          </w:tcPr>
          <w:p>
            <w:pPr>
              <w:snapToGrid w:val="0"/>
              <w:spacing w:line="360" w:lineRule="auto"/>
              <w:rPr>
                <w:rFonts w:ascii="Book Antiqua" w:hAnsi="Book Antiqua"/>
                <w:b/>
                <w:bCs/>
                <w:sz w:val="24"/>
              </w:rPr>
            </w:pPr>
          </w:p>
        </w:tc>
        <w:tc>
          <w:tcPr>
            <w:tcW w:w="2772" w:type="dxa"/>
            <w:tcBorders>
              <w:bottom w:val="single" w:color="000000" w:sz="4" w:space="0"/>
            </w:tcBorders>
            <w:shd w:val="clear" w:color="auto" w:fill="auto"/>
            <w:vAlign w:val="center"/>
          </w:tcPr>
          <w:p>
            <w:pPr>
              <w:widowControl/>
              <w:snapToGrid w:val="0"/>
              <w:spacing w:line="360" w:lineRule="auto"/>
              <w:rPr>
                <w:rFonts w:ascii="Book Antiqua" w:hAnsi="Book Antiqua"/>
                <w:b/>
                <w:bCs/>
                <w:sz w:val="24"/>
              </w:rPr>
            </w:pPr>
            <w:r>
              <w:rPr>
                <w:rFonts w:ascii="Book Antiqua" w:hAnsi="Book Antiqua"/>
                <w:b/>
                <w:bCs/>
                <w:sz w:val="24"/>
              </w:rPr>
              <w:t>A</w:t>
            </w:r>
          </w:p>
        </w:tc>
        <w:tc>
          <w:tcPr>
            <w:tcW w:w="1826" w:type="dxa"/>
            <w:tcBorders>
              <w:bottom w:val="single" w:color="000000" w:sz="4" w:space="0"/>
            </w:tcBorders>
            <w:shd w:val="clear" w:color="auto" w:fill="auto"/>
            <w:vAlign w:val="center"/>
          </w:tcPr>
          <w:p>
            <w:pPr>
              <w:widowControl/>
              <w:snapToGrid w:val="0"/>
              <w:spacing w:line="360" w:lineRule="auto"/>
              <w:rPr>
                <w:rFonts w:ascii="Book Antiqua" w:hAnsi="Book Antiqua"/>
                <w:b/>
                <w:bCs/>
                <w:sz w:val="24"/>
              </w:rPr>
            </w:pPr>
            <w:r>
              <w:rPr>
                <w:rFonts w:ascii="Book Antiqua" w:hAnsi="Book Antiqua"/>
                <w:b/>
                <w:bCs/>
                <w:sz w:val="24"/>
              </w:rPr>
              <w:t>B</w:t>
            </w:r>
          </w:p>
        </w:tc>
        <w:tc>
          <w:tcPr>
            <w:tcW w:w="1049" w:type="dxa"/>
            <w:vMerge w:val="continue"/>
            <w:tcBorders>
              <w:bottom w:val="single" w:color="000000" w:sz="4" w:space="0"/>
            </w:tcBorders>
            <w:shd w:val="clear" w:color="auto" w:fill="auto"/>
            <w:vAlign w:val="center"/>
          </w:tcPr>
          <w:p>
            <w:pPr>
              <w:snapToGrid w:val="0"/>
              <w:spacing w:line="360" w:lineRule="auto"/>
              <w:rPr>
                <w:rFonts w:ascii="Book Antiqua" w:hAnsi="Book Antiqua"/>
                <w:b/>
                <w:bCs/>
                <w:sz w:val="24"/>
              </w:rPr>
            </w:pPr>
          </w:p>
        </w:tc>
      </w:tr>
      <w:tr>
        <w:tblPrEx>
          <w:tblLayout w:type="fixed"/>
          <w:tblCellMar>
            <w:top w:w="15" w:type="dxa"/>
            <w:left w:w="15" w:type="dxa"/>
            <w:bottom w:w="15" w:type="dxa"/>
            <w:right w:w="15" w:type="dxa"/>
          </w:tblCellMar>
        </w:tblPrEx>
        <w:trPr>
          <w:trHeight w:val="285" w:hRule="atLeast"/>
        </w:trPr>
        <w:tc>
          <w:tcPr>
            <w:tcW w:w="4676" w:type="dxa"/>
            <w:tcBorders>
              <w:top w:val="single" w:color="000000" w:sz="4" w:space="0"/>
            </w:tcBorders>
            <w:shd w:val="clear" w:color="auto" w:fill="auto"/>
            <w:vAlign w:val="center"/>
          </w:tcPr>
          <w:p>
            <w:pPr>
              <w:widowControl/>
              <w:snapToGrid w:val="0"/>
              <w:spacing w:line="360" w:lineRule="auto"/>
              <w:rPr>
                <w:rFonts w:ascii="Book Antiqua" w:hAnsi="Book Antiqua"/>
                <w:i/>
                <w:iCs/>
                <w:sz w:val="24"/>
              </w:rPr>
            </w:pPr>
            <w:r>
              <w:rPr>
                <w:rFonts w:ascii="Book Antiqua" w:hAnsi="Book Antiqua"/>
                <w:i/>
                <w:iCs/>
                <w:sz w:val="24"/>
              </w:rPr>
              <w:t>n</w:t>
            </w:r>
          </w:p>
        </w:tc>
        <w:tc>
          <w:tcPr>
            <w:tcW w:w="3661" w:type="dxa"/>
            <w:tcBorders>
              <w:top w:val="single" w:color="000000" w:sz="4" w:space="0"/>
            </w:tcBorders>
            <w:shd w:val="clear" w:color="auto" w:fill="auto"/>
            <w:vAlign w:val="center"/>
          </w:tcPr>
          <w:p>
            <w:pPr>
              <w:widowControl/>
              <w:snapToGrid w:val="0"/>
              <w:spacing w:line="360" w:lineRule="auto"/>
              <w:rPr>
                <w:rFonts w:ascii="Book Antiqua" w:hAnsi="Book Antiqua"/>
                <w:sz w:val="24"/>
              </w:rPr>
            </w:pPr>
            <w:r>
              <w:rPr>
                <w:rFonts w:ascii="Book Antiqua" w:hAnsi="Book Antiqua"/>
                <w:sz w:val="24"/>
              </w:rPr>
              <w:t>486</w:t>
            </w:r>
          </w:p>
        </w:tc>
        <w:tc>
          <w:tcPr>
            <w:tcW w:w="2772" w:type="dxa"/>
            <w:tcBorders>
              <w:top w:val="single" w:color="000000" w:sz="4" w:space="0"/>
            </w:tcBorders>
            <w:shd w:val="clear" w:color="auto" w:fill="auto"/>
            <w:vAlign w:val="center"/>
          </w:tcPr>
          <w:p>
            <w:pPr>
              <w:widowControl/>
              <w:snapToGrid w:val="0"/>
              <w:spacing w:line="360" w:lineRule="auto"/>
              <w:rPr>
                <w:rFonts w:ascii="Book Antiqua" w:hAnsi="Book Antiqua"/>
                <w:sz w:val="24"/>
              </w:rPr>
            </w:pPr>
            <w:r>
              <w:rPr>
                <w:rFonts w:ascii="Book Antiqua" w:hAnsi="Book Antiqua"/>
                <w:sz w:val="24"/>
              </w:rPr>
              <w:t>289</w:t>
            </w:r>
          </w:p>
        </w:tc>
        <w:tc>
          <w:tcPr>
            <w:tcW w:w="1826" w:type="dxa"/>
            <w:tcBorders>
              <w:top w:val="single" w:color="000000" w:sz="4" w:space="0"/>
            </w:tcBorders>
            <w:shd w:val="clear" w:color="auto" w:fill="auto"/>
            <w:vAlign w:val="center"/>
          </w:tcPr>
          <w:p>
            <w:pPr>
              <w:widowControl/>
              <w:snapToGrid w:val="0"/>
              <w:spacing w:line="360" w:lineRule="auto"/>
              <w:rPr>
                <w:rFonts w:ascii="Book Antiqua" w:hAnsi="Book Antiqua"/>
                <w:sz w:val="24"/>
              </w:rPr>
            </w:pPr>
            <w:r>
              <w:rPr>
                <w:rFonts w:ascii="Book Antiqua" w:hAnsi="Book Antiqua"/>
                <w:sz w:val="24"/>
              </w:rPr>
              <w:t>197</w:t>
            </w:r>
          </w:p>
        </w:tc>
        <w:tc>
          <w:tcPr>
            <w:tcW w:w="1049" w:type="dxa"/>
            <w:tcBorders>
              <w:top w:val="single" w:color="000000" w:sz="4" w:space="0"/>
            </w:tcBorders>
            <w:shd w:val="clear" w:color="auto" w:fill="auto"/>
            <w:vAlign w:val="center"/>
          </w:tcPr>
          <w:p>
            <w:pPr>
              <w:widowControl/>
              <w:snapToGrid w:val="0"/>
              <w:spacing w:line="360" w:lineRule="auto"/>
              <w:rPr>
                <w:rFonts w:ascii="Book Antiqua" w:hAnsi="Book Antiqua"/>
                <w:sz w:val="24"/>
              </w:rPr>
            </w:pPr>
            <w:r>
              <w:rPr>
                <w:rFonts w:ascii="Book Antiqua" w:hAnsi="Book Antiqua"/>
                <w:sz w:val="24"/>
              </w:rPr>
              <w:t>0.614</w:t>
            </w:r>
          </w:p>
        </w:tc>
      </w:tr>
      <w:tr>
        <w:tblPrEx>
          <w:tblLayout w:type="fixed"/>
          <w:tblCellMar>
            <w:top w:w="15" w:type="dxa"/>
            <w:left w:w="15" w:type="dxa"/>
            <w:bottom w:w="15" w:type="dxa"/>
            <w:right w:w="15" w:type="dxa"/>
          </w:tblCellMar>
        </w:tblPrEx>
        <w:trPr>
          <w:trHeight w:val="285" w:hRule="atLeast"/>
        </w:trPr>
        <w:tc>
          <w:tcPr>
            <w:tcW w:w="4676" w:type="dxa"/>
            <w:vMerge w:val="restart"/>
            <w:shd w:val="clear" w:color="auto" w:fill="auto"/>
            <w:vAlign w:val="center"/>
          </w:tcPr>
          <w:p>
            <w:pPr>
              <w:widowControl/>
              <w:snapToGrid w:val="0"/>
              <w:spacing w:line="360" w:lineRule="auto"/>
              <w:rPr>
                <w:rFonts w:ascii="Book Antiqua" w:hAnsi="Book Antiqua"/>
                <w:sz w:val="24"/>
              </w:rPr>
            </w:pPr>
            <w:r>
              <w:rPr>
                <w:rFonts w:ascii="Book Antiqua" w:hAnsi="Book Antiqua"/>
                <w:sz w:val="24"/>
              </w:rPr>
              <w:t>Gender</w:t>
            </w:r>
          </w:p>
        </w:tc>
        <w:tc>
          <w:tcPr>
            <w:tcW w:w="3661"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Male</w:t>
            </w:r>
          </w:p>
        </w:tc>
        <w:tc>
          <w:tcPr>
            <w:tcW w:w="2772"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148</w:t>
            </w:r>
          </w:p>
        </w:tc>
        <w:tc>
          <w:tcPr>
            <w:tcW w:w="1826"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108</w:t>
            </w:r>
          </w:p>
        </w:tc>
        <w:tc>
          <w:tcPr>
            <w:tcW w:w="1049" w:type="dxa"/>
            <w:vMerge w:val="restart"/>
            <w:shd w:val="clear" w:color="auto" w:fill="auto"/>
            <w:vAlign w:val="center"/>
          </w:tcPr>
          <w:p>
            <w:pPr>
              <w:widowControl/>
              <w:snapToGrid w:val="0"/>
              <w:spacing w:line="360" w:lineRule="auto"/>
              <w:rPr>
                <w:rFonts w:ascii="Book Antiqua" w:hAnsi="Book Antiqua"/>
                <w:sz w:val="24"/>
              </w:rPr>
            </w:pPr>
            <w:r>
              <w:rPr>
                <w:rFonts w:ascii="Book Antiqua" w:hAnsi="Book Antiqua"/>
                <w:sz w:val="24"/>
              </w:rPr>
              <w:t>0.715</w:t>
            </w:r>
          </w:p>
        </w:tc>
      </w:tr>
      <w:tr>
        <w:tblPrEx>
          <w:tblLayout w:type="fixed"/>
          <w:tblCellMar>
            <w:top w:w="15" w:type="dxa"/>
            <w:left w:w="15" w:type="dxa"/>
            <w:bottom w:w="15" w:type="dxa"/>
            <w:right w:w="15" w:type="dxa"/>
          </w:tblCellMar>
        </w:tblPrEx>
        <w:trPr>
          <w:trHeight w:val="285" w:hRule="atLeast"/>
        </w:trPr>
        <w:tc>
          <w:tcPr>
            <w:tcW w:w="4676" w:type="dxa"/>
            <w:vMerge w:val="continue"/>
            <w:shd w:val="clear" w:color="auto" w:fill="auto"/>
            <w:vAlign w:val="center"/>
          </w:tcPr>
          <w:p>
            <w:pPr>
              <w:snapToGrid w:val="0"/>
              <w:spacing w:line="360" w:lineRule="auto"/>
              <w:rPr>
                <w:rFonts w:ascii="Book Antiqua" w:hAnsi="Book Antiqua"/>
                <w:sz w:val="24"/>
              </w:rPr>
            </w:pPr>
          </w:p>
        </w:tc>
        <w:tc>
          <w:tcPr>
            <w:tcW w:w="3661"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Female</w:t>
            </w:r>
          </w:p>
        </w:tc>
        <w:tc>
          <w:tcPr>
            <w:tcW w:w="2772"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141</w:t>
            </w:r>
          </w:p>
        </w:tc>
        <w:tc>
          <w:tcPr>
            <w:tcW w:w="1826"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89</w:t>
            </w:r>
          </w:p>
        </w:tc>
        <w:tc>
          <w:tcPr>
            <w:tcW w:w="1049" w:type="dxa"/>
            <w:vMerge w:val="continue"/>
            <w:shd w:val="clear" w:color="auto" w:fill="auto"/>
            <w:vAlign w:val="center"/>
          </w:tcPr>
          <w:p>
            <w:pPr>
              <w:snapToGrid w:val="0"/>
              <w:spacing w:line="360" w:lineRule="auto"/>
              <w:rPr>
                <w:rFonts w:ascii="Book Antiqua" w:hAnsi="Book Antiqua"/>
                <w:sz w:val="24"/>
              </w:rPr>
            </w:pPr>
          </w:p>
        </w:tc>
      </w:tr>
      <w:tr>
        <w:tblPrEx>
          <w:tblLayout w:type="fixed"/>
          <w:tblCellMar>
            <w:top w:w="15" w:type="dxa"/>
            <w:left w:w="15" w:type="dxa"/>
            <w:bottom w:w="15" w:type="dxa"/>
            <w:right w:w="15" w:type="dxa"/>
          </w:tblCellMar>
        </w:tblPrEx>
        <w:trPr>
          <w:trHeight w:val="470" w:hRule="atLeast"/>
        </w:trPr>
        <w:tc>
          <w:tcPr>
            <w:tcW w:w="4676" w:type="dxa"/>
            <w:shd w:val="clear" w:color="auto" w:fill="auto"/>
            <w:vAlign w:val="center"/>
          </w:tcPr>
          <w:p>
            <w:pPr>
              <w:snapToGrid w:val="0"/>
              <w:spacing w:line="360" w:lineRule="auto"/>
              <w:rPr>
                <w:rFonts w:ascii="Book Antiqua" w:hAnsi="Book Antiqua"/>
                <w:sz w:val="24"/>
              </w:rPr>
            </w:pPr>
            <w:r>
              <w:rPr>
                <w:rFonts w:ascii="Book Antiqua" w:hAnsi="Book Antiqua"/>
                <w:sz w:val="24"/>
              </w:rPr>
              <w:t>Age in yr</w:t>
            </w:r>
          </w:p>
        </w:tc>
        <w:tc>
          <w:tcPr>
            <w:tcW w:w="3661" w:type="dxa"/>
            <w:shd w:val="clear" w:color="auto" w:fill="auto"/>
            <w:vAlign w:val="center"/>
          </w:tcPr>
          <w:p>
            <w:pPr>
              <w:widowControl/>
              <w:snapToGrid w:val="0"/>
              <w:spacing w:line="360" w:lineRule="auto"/>
              <w:rPr>
                <w:rFonts w:ascii="Book Antiqua" w:hAnsi="Book Antiqua"/>
                <w:sz w:val="24"/>
              </w:rPr>
            </w:pPr>
          </w:p>
        </w:tc>
        <w:tc>
          <w:tcPr>
            <w:tcW w:w="2772"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36.25 ± 15.43</w:t>
            </w:r>
          </w:p>
        </w:tc>
        <w:tc>
          <w:tcPr>
            <w:tcW w:w="1826"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35.20 ± 14.14</w:t>
            </w:r>
          </w:p>
        </w:tc>
        <w:tc>
          <w:tcPr>
            <w:tcW w:w="1049" w:type="dxa"/>
            <w:shd w:val="clear" w:color="auto" w:fill="auto"/>
            <w:vAlign w:val="center"/>
          </w:tcPr>
          <w:p>
            <w:pPr>
              <w:snapToGrid w:val="0"/>
              <w:spacing w:line="360" w:lineRule="auto"/>
              <w:rPr>
                <w:rFonts w:ascii="Book Antiqua" w:hAnsi="Book Antiqua"/>
                <w:sz w:val="24"/>
              </w:rPr>
            </w:pPr>
            <w:r>
              <w:rPr>
                <w:rFonts w:ascii="Book Antiqua" w:hAnsi="Book Antiqua"/>
                <w:sz w:val="24"/>
              </w:rPr>
              <w:t>0.710</w:t>
            </w:r>
          </w:p>
        </w:tc>
      </w:tr>
      <w:tr>
        <w:tblPrEx>
          <w:tblLayout w:type="fixed"/>
          <w:tblCellMar>
            <w:top w:w="15" w:type="dxa"/>
            <w:left w:w="15" w:type="dxa"/>
            <w:bottom w:w="15" w:type="dxa"/>
            <w:right w:w="15" w:type="dxa"/>
          </w:tblCellMar>
        </w:tblPrEx>
        <w:trPr>
          <w:trHeight w:val="285" w:hRule="atLeast"/>
        </w:trPr>
        <w:tc>
          <w:tcPr>
            <w:tcW w:w="4676" w:type="dxa"/>
            <w:vMerge w:val="restart"/>
            <w:shd w:val="clear" w:color="auto" w:fill="auto"/>
            <w:vAlign w:val="center"/>
          </w:tcPr>
          <w:p>
            <w:pPr>
              <w:widowControl/>
              <w:snapToGrid w:val="0"/>
              <w:spacing w:line="360" w:lineRule="auto"/>
              <w:rPr>
                <w:rFonts w:ascii="Book Antiqua" w:hAnsi="Book Antiqua"/>
                <w:sz w:val="24"/>
              </w:rPr>
            </w:pPr>
            <w:r>
              <w:rPr>
                <w:rFonts w:ascii="Book Antiqua" w:hAnsi="Book Antiqua"/>
                <w:sz w:val="24"/>
              </w:rPr>
              <w:t>Etiology</w:t>
            </w:r>
          </w:p>
        </w:tc>
        <w:tc>
          <w:tcPr>
            <w:tcW w:w="3661"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Hepatitis B</w:t>
            </w:r>
          </w:p>
        </w:tc>
        <w:tc>
          <w:tcPr>
            <w:tcW w:w="2772"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184</w:t>
            </w:r>
          </w:p>
        </w:tc>
        <w:tc>
          <w:tcPr>
            <w:tcW w:w="1826"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131</w:t>
            </w:r>
          </w:p>
        </w:tc>
        <w:tc>
          <w:tcPr>
            <w:tcW w:w="1049" w:type="dxa"/>
            <w:vMerge w:val="restart"/>
            <w:shd w:val="clear" w:color="auto" w:fill="auto"/>
            <w:vAlign w:val="center"/>
          </w:tcPr>
          <w:p>
            <w:pPr>
              <w:widowControl/>
              <w:snapToGrid w:val="0"/>
              <w:spacing w:line="360" w:lineRule="auto"/>
              <w:rPr>
                <w:rFonts w:ascii="Book Antiqua" w:hAnsi="Book Antiqua"/>
                <w:sz w:val="24"/>
              </w:rPr>
            </w:pPr>
            <w:r>
              <w:rPr>
                <w:rFonts w:ascii="Book Antiqua" w:hAnsi="Book Antiqua"/>
                <w:sz w:val="24"/>
              </w:rPr>
              <w:t>0.743</w:t>
            </w:r>
          </w:p>
        </w:tc>
      </w:tr>
      <w:tr>
        <w:tblPrEx>
          <w:tblLayout w:type="fixed"/>
          <w:tblCellMar>
            <w:top w:w="15" w:type="dxa"/>
            <w:left w:w="15" w:type="dxa"/>
            <w:bottom w:w="15" w:type="dxa"/>
            <w:right w:w="15" w:type="dxa"/>
          </w:tblCellMar>
        </w:tblPrEx>
        <w:trPr>
          <w:trHeight w:val="285" w:hRule="atLeast"/>
        </w:trPr>
        <w:tc>
          <w:tcPr>
            <w:tcW w:w="4676" w:type="dxa"/>
            <w:vMerge w:val="continue"/>
            <w:shd w:val="clear" w:color="auto" w:fill="auto"/>
            <w:vAlign w:val="center"/>
          </w:tcPr>
          <w:p>
            <w:pPr>
              <w:snapToGrid w:val="0"/>
              <w:spacing w:line="360" w:lineRule="auto"/>
              <w:rPr>
                <w:rFonts w:ascii="Book Antiqua" w:hAnsi="Book Antiqua"/>
                <w:sz w:val="24"/>
              </w:rPr>
            </w:pPr>
          </w:p>
        </w:tc>
        <w:tc>
          <w:tcPr>
            <w:tcW w:w="3661"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Hepatitis C</w:t>
            </w:r>
          </w:p>
        </w:tc>
        <w:tc>
          <w:tcPr>
            <w:tcW w:w="2772"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51</w:t>
            </w:r>
          </w:p>
        </w:tc>
        <w:tc>
          <w:tcPr>
            <w:tcW w:w="1826"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32</w:t>
            </w:r>
          </w:p>
        </w:tc>
        <w:tc>
          <w:tcPr>
            <w:tcW w:w="1049" w:type="dxa"/>
            <w:vMerge w:val="continue"/>
            <w:shd w:val="clear" w:color="auto" w:fill="auto"/>
            <w:vAlign w:val="center"/>
          </w:tcPr>
          <w:p>
            <w:pPr>
              <w:snapToGrid w:val="0"/>
              <w:spacing w:line="360" w:lineRule="auto"/>
              <w:rPr>
                <w:rFonts w:ascii="Book Antiqua" w:hAnsi="Book Antiqua"/>
                <w:sz w:val="24"/>
              </w:rPr>
            </w:pPr>
          </w:p>
        </w:tc>
      </w:tr>
      <w:tr>
        <w:tblPrEx>
          <w:tblLayout w:type="fixed"/>
          <w:tblCellMar>
            <w:top w:w="15" w:type="dxa"/>
            <w:left w:w="15" w:type="dxa"/>
            <w:bottom w:w="15" w:type="dxa"/>
            <w:right w:w="15" w:type="dxa"/>
          </w:tblCellMar>
        </w:tblPrEx>
        <w:trPr>
          <w:trHeight w:val="300" w:hRule="atLeast"/>
        </w:trPr>
        <w:tc>
          <w:tcPr>
            <w:tcW w:w="4676" w:type="dxa"/>
            <w:vMerge w:val="continue"/>
            <w:shd w:val="clear" w:color="auto" w:fill="auto"/>
            <w:vAlign w:val="center"/>
          </w:tcPr>
          <w:p>
            <w:pPr>
              <w:snapToGrid w:val="0"/>
              <w:spacing w:line="360" w:lineRule="auto"/>
              <w:rPr>
                <w:rFonts w:ascii="Book Antiqua" w:hAnsi="Book Antiqua"/>
                <w:sz w:val="24"/>
              </w:rPr>
            </w:pPr>
          </w:p>
        </w:tc>
        <w:tc>
          <w:tcPr>
            <w:tcW w:w="3661"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Ethanol consumption</w:t>
            </w:r>
          </w:p>
        </w:tc>
        <w:tc>
          <w:tcPr>
            <w:tcW w:w="2772"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34</w:t>
            </w:r>
          </w:p>
        </w:tc>
        <w:tc>
          <w:tcPr>
            <w:tcW w:w="1826"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26</w:t>
            </w:r>
          </w:p>
        </w:tc>
        <w:tc>
          <w:tcPr>
            <w:tcW w:w="1049" w:type="dxa"/>
            <w:vMerge w:val="continue"/>
            <w:shd w:val="clear" w:color="auto" w:fill="auto"/>
            <w:vAlign w:val="center"/>
          </w:tcPr>
          <w:p>
            <w:pPr>
              <w:snapToGrid w:val="0"/>
              <w:spacing w:line="360" w:lineRule="auto"/>
              <w:rPr>
                <w:rFonts w:ascii="Book Antiqua" w:hAnsi="Book Antiqua"/>
                <w:sz w:val="24"/>
              </w:rPr>
            </w:pPr>
          </w:p>
        </w:tc>
      </w:tr>
      <w:tr>
        <w:tblPrEx>
          <w:tblLayout w:type="fixed"/>
          <w:tblCellMar>
            <w:top w:w="15" w:type="dxa"/>
            <w:left w:w="15" w:type="dxa"/>
            <w:bottom w:w="15" w:type="dxa"/>
            <w:right w:w="15" w:type="dxa"/>
          </w:tblCellMar>
        </w:tblPrEx>
        <w:trPr>
          <w:trHeight w:val="673" w:hRule="atLeast"/>
        </w:trPr>
        <w:tc>
          <w:tcPr>
            <w:tcW w:w="4676" w:type="dxa"/>
            <w:vMerge w:val="continue"/>
            <w:shd w:val="clear" w:color="auto" w:fill="auto"/>
            <w:vAlign w:val="center"/>
          </w:tcPr>
          <w:p>
            <w:pPr>
              <w:snapToGrid w:val="0"/>
              <w:spacing w:line="360" w:lineRule="auto"/>
              <w:rPr>
                <w:rFonts w:ascii="Book Antiqua" w:hAnsi="Book Antiqua"/>
                <w:sz w:val="24"/>
              </w:rPr>
            </w:pPr>
          </w:p>
        </w:tc>
        <w:tc>
          <w:tcPr>
            <w:tcW w:w="3661"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Cryptogenic hepatitis</w:t>
            </w:r>
          </w:p>
        </w:tc>
        <w:tc>
          <w:tcPr>
            <w:tcW w:w="2772"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10</w:t>
            </w:r>
          </w:p>
        </w:tc>
        <w:tc>
          <w:tcPr>
            <w:tcW w:w="1826"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8</w:t>
            </w:r>
          </w:p>
        </w:tc>
        <w:tc>
          <w:tcPr>
            <w:tcW w:w="1049" w:type="dxa"/>
            <w:vMerge w:val="continue"/>
            <w:shd w:val="clear" w:color="auto" w:fill="auto"/>
            <w:vAlign w:val="center"/>
          </w:tcPr>
          <w:p>
            <w:pPr>
              <w:snapToGrid w:val="0"/>
              <w:spacing w:line="360" w:lineRule="auto"/>
              <w:rPr>
                <w:rFonts w:ascii="Book Antiqua" w:hAnsi="Book Antiqua"/>
                <w:sz w:val="24"/>
              </w:rPr>
            </w:pPr>
          </w:p>
        </w:tc>
      </w:tr>
      <w:tr>
        <w:tblPrEx>
          <w:tblLayout w:type="fixed"/>
          <w:tblCellMar>
            <w:top w:w="15" w:type="dxa"/>
            <w:left w:w="15" w:type="dxa"/>
            <w:bottom w:w="15" w:type="dxa"/>
            <w:right w:w="15" w:type="dxa"/>
          </w:tblCellMar>
        </w:tblPrEx>
        <w:trPr>
          <w:trHeight w:val="285" w:hRule="atLeast"/>
        </w:trPr>
        <w:tc>
          <w:tcPr>
            <w:tcW w:w="4676" w:type="dxa"/>
            <w:vMerge w:val="restart"/>
            <w:shd w:val="clear" w:color="auto" w:fill="auto"/>
            <w:vAlign w:val="center"/>
          </w:tcPr>
          <w:p>
            <w:pPr>
              <w:widowControl/>
              <w:snapToGrid w:val="0"/>
              <w:spacing w:line="360" w:lineRule="auto"/>
              <w:rPr>
                <w:rFonts w:ascii="Book Antiqua" w:hAnsi="Book Antiqua"/>
                <w:sz w:val="24"/>
              </w:rPr>
            </w:pPr>
            <w:r>
              <w:rPr>
                <w:rFonts w:ascii="Book Antiqua" w:hAnsi="Book Antiqua"/>
                <w:sz w:val="24"/>
              </w:rPr>
              <w:t>Child-Pugh score</w:t>
            </w:r>
          </w:p>
        </w:tc>
        <w:tc>
          <w:tcPr>
            <w:tcW w:w="3661"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A</w:t>
            </w:r>
          </w:p>
        </w:tc>
        <w:tc>
          <w:tcPr>
            <w:tcW w:w="2772"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37</w:t>
            </w:r>
          </w:p>
        </w:tc>
        <w:tc>
          <w:tcPr>
            <w:tcW w:w="1826"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21</w:t>
            </w:r>
          </w:p>
        </w:tc>
        <w:tc>
          <w:tcPr>
            <w:tcW w:w="1049" w:type="dxa"/>
            <w:vMerge w:val="restart"/>
            <w:shd w:val="clear" w:color="auto" w:fill="auto"/>
            <w:vAlign w:val="center"/>
          </w:tcPr>
          <w:p>
            <w:pPr>
              <w:widowControl/>
              <w:snapToGrid w:val="0"/>
              <w:spacing w:line="360" w:lineRule="auto"/>
              <w:rPr>
                <w:rFonts w:ascii="Book Antiqua" w:hAnsi="Book Antiqua"/>
                <w:sz w:val="24"/>
              </w:rPr>
            </w:pPr>
            <w:r>
              <w:rPr>
                <w:rFonts w:ascii="Book Antiqua" w:hAnsi="Book Antiqua"/>
                <w:sz w:val="24"/>
              </w:rPr>
              <w:t>0.584</w:t>
            </w:r>
          </w:p>
        </w:tc>
      </w:tr>
      <w:tr>
        <w:tblPrEx>
          <w:tblLayout w:type="fixed"/>
          <w:tblCellMar>
            <w:top w:w="15" w:type="dxa"/>
            <w:left w:w="15" w:type="dxa"/>
            <w:bottom w:w="15" w:type="dxa"/>
            <w:right w:w="15" w:type="dxa"/>
          </w:tblCellMar>
        </w:tblPrEx>
        <w:trPr>
          <w:trHeight w:val="285" w:hRule="atLeast"/>
        </w:trPr>
        <w:tc>
          <w:tcPr>
            <w:tcW w:w="4676" w:type="dxa"/>
            <w:vMerge w:val="continue"/>
            <w:shd w:val="clear" w:color="auto" w:fill="auto"/>
            <w:vAlign w:val="center"/>
          </w:tcPr>
          <w:p>
            <w:pPr>
              <w:snapToGrid w:val="0"/>
              <w:spacing w:line="360" w:lineRule="auto"/>
              <w:rPr>
                <w:rFonts w:ascii="Book Antiqua" w:hAnsi="Book Antiqua"/>
                <w:sz w:val="24"/>
              </w:rPr>
            </w:pPr>
          </w:p>
        </w:tc>
        <w:tc>
          <w:tcPr>
            <w:tcW w:w="3661"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B</w:t>
            </w:r>
          </w:p>
        </w:tc>
        <w:tc>
          <w:tcPr>
            <w:tcW w:w="2772"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213</w:t>
            </w:r>
          </w:p>
        </w:tc>
        <w:tc>
          <w:tcPr>
            <w:tcW w:w="1826"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153</w:t>
            </w:r>
          </w:p>
        </w:tc>
        <w:tc>
          <w:tcPr>
            <w:tcW w:w="1049" w:type="dxa"/>
            <w:vMerge w:val="continue"/>
            <w:shd w:val="clear" w:color="auto" w:fill="auto"/>
            <w:vAlign w:val="center"/>
          </w:tcPr>
          <w:p>
            <w:pPr>
              <w:snapToGrid w:val="0"/>
              <w:spacing w:line="360" w:lineRule="auto"/>
              <w:rPr>
                <w:rFonts w:ascii="Book Antiqua" w:hAnsi="Book Antiqua"/>
                <w:sz w:val="24"/>
              </w:rPr>
            </w:pPr>
          </w:p>
        </w:tc>
      </w:tr>
      <w:tr>
        <w:tblPrEx>
          <w:tblLayout w:type="fixed"/>
          <w:tblCellMar>
            <w:top w:w="15" w:type="dxa"/>
            <w:left w:w="15" w:type="dxa"/>
            <w:bottom w:w="15" w:type="dxa"/>
            <w:right w:w="15" w:type="dxa"/>
          </w:tblCellMar>
        </w:tblPrEx>
        <w:trPr>
          <w:trHeight w:val="285" w:hRule="atLeast"/>
        </w:trPr>
        <w:tc>
          <w:tcPr>
            <w:tcW w:w="4676" w:type="dxa"/>
            <w:vMerge w:val="continue"/>
            <w:shd w:val="clear" w:color="auto" w:fill="auto"/>
            <w:vAlign w:val="center"/>
          </w:tcPr>
          <w:p>
            <w:pPr>
              <w:snapToGrid w:val="0"/>
              <w:spacing w:line="360" w:lineRule="auto"/>
              <w:rPr>
                <w:rFonts w:ascii="Book Antiqua" w:hAnsi="Book Antiqua"/>
                <w:sz w:val="24"/>
              </w:rPr>
            </w:pPr>
          </w:p>
        </w:tc>
        <w:tc>
          <w:tcPr>
            <w:tcW w:w="3661"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C</w:t>
            </w:r>
          </w:p>
        </w:tc>
        <w:tc>
          <w:tcPr>
            <w:tcW w:w="2772"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35</w:t>
            </w:r>
          </w:p>
        </w:tc>
        <w:tc>
          <w:tcPr>
            <w:tcW w:w="1826"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27</w:t>
            </w:r>
          </w:p>
        </w:tc>
        <w:tc>
          <w:tcPr>
            <w:tcW w:w="1049" w:type="dxa"/>
            <w:vMerge w:val="continue"/>
            <w:shd w:val="clear" w:color="auto" w:fill="auto"/>
            <w:vAlign w:val="center"/>
          </w:tcPr>
          <w:p>
            <w:pPr>
              <w:snapToGrid w:val="0"/>
              <w:spacing w:line="360" w:lineRule="auto"/>
              <w:rPr>
                <w:rFonts w:ascii="Book Antiqua" w:hAnsi="Book Antiqua"/>
                <w:sz w:val="24"/>
              </w:rPr>
            </w:pPr>
          </w:p>
        </w:tc>
      </w:tr>
      <w:tr>
        <w:tblPrEx>
          <w:tblLayout w:type="fixed"/>
          <w:tblCellMar>
            <w:top w:w="15" w:type="dxa"/>
            <w:left w:w="15" w:type="dxa"/>
            <w:bottom w:w="15" w:type="dxa"/>
            <w:right w:w="15" w:type="dxa"/>
          </w:tblCellMar>
        </w:tblPrEx>
        <w:trPr>
          <w:trHeight w:val="285" w:hRule="atLeast"/>
        </w:trPr>
        <w:tc>
          <w:tcPr>
            <w:tcW w:w="4676" w:type="dxa"/>
            <w:shd w:val="clear" w:color="auto" w:fill="auto"/>
            <w:vAlign w:val="center"/>
          </w:tcPr>
          <w:p>
            <w:pPr>
              <w:snapToGrid w:val="0"/>
              <w:spacing w:line="360" w:lineRule="auto"/>
              <w:rPr>
                <w:rFonts w:ascii="Book Antiqua" w:hAnsi="Book Antiqua"/>
                <w:sz w:val="24"/>
              </w:rPr>
            </w:pPr>
            <w:r>
              <w:rPr>
                <w:rFonts w:ascii="Book Antiqua" w:hAnsi="Book Antiqua"/>
                <w:sz w:val="24"/>
              </w:rPr>
              <w:t>Model for end-stage liver disease score</w:t>
            </w:r>
          </w:p>
        </w:tc>
        <w:tc>
          <w:tcPr>
            <w:tcW w:w="3661" w:type="dxa"/>
            <w:shd w:val="clear" w:color="auto" w:fill="auto"/>
            <w:vAlign w:val="center"/>
          </w:tcPr>
          <w:p>
            <w:pPr>
              <w:widowControl/>
              <w:snapToGrid w:val="0"/>
              <w:spacing w:line="360" w:lineRule="auto"/>
              <w:rPr>
                <w:rFonts w:ascii="Book Antiqua" w:hAnsi="Book Antiqua"/>
                <w:sz w:val="24"/>
              </w:rPr>
            </w:pPr>
          </w:p>
        </w:tc>
        <w:tc>
          <w:tcPr>
            <w:tcW w:w="2772"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9.49 ± 2.05</w:t>
            </w:r>
          </w:p>
        </w:tc>
        <w:tc>
          <w:tcPr>
            <w:tcW w:w="1826"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9.35 ± 1.99</w:t>
            </w:r>
          </w:p>
        </w:tc>
        <w:tc>
          <w:tcPr>
            <w:tcW w:w="1049" w:type="dxa"/>
            <w:shd w:val="clear" w:color="auto" w:fill="auto"/>
            <w:vAlign w:val="center"/>
          </w:tcPr>
          <w:p>
            <w:pPr>
              <w:snapToGrid w:val="0"/>
              <w:spacing w:line="360" w:lineRule="auto"/>
              <w:rPr>
                <w:rFonts w:ascii="Book Antiqua" w:hAnsi="Book Antiqua"/>
                <w:sz w:val="24"/>
              </w:rPr>
            </w:pPr>
            <w:r>
              <w:rPr>
                <w:rFonts w:ascii="Book Antiqua" w:hAnsi="Book Antiqua"/>
                <w:sz w:val="24"/>
              </w:rPr>
              <w:t>0.508</w:t>
            </w:r>
          </w:p>
        </w:tc>
      </w:tr>
      <w:tr>
        <w:tblPrEx>
          <w:tblLayout w:type="fixed"/>
          <w:tblCellMar>
            <w:top w:w="15" w:type="dxa"/>
            <w:left w:w="15" w:type="dxa"/>
            <w:bottom w:w="15" w:type="dxa"/>
            <w:right w:w="15" w:type="dxa"/>
          </w:tblCellMar>
        </w:tblPrEx>
        <w:trPr>
          <w:trHeight w:val="285" w:hRule="atLeast"/>
        </w:trPr>
        <w:tc>
          <w:tcPr>
            <w:tcW w:w="4676" w:type="dxa"/>
            <w:shd w:val="clear" w:color="auto" w:fill="auto"/>
            <w:vAlign w:val="center"/>
          </w:tcPr>
          <w:p>
            <w:pPr>
              <w:snapToGrid w:val="0"/>
              <w:spacing w:line="360" w:lineRule="auto"/>
              <w:rPr>
                <w:rFonts w:ascii="Book Antiqua" w:hAnsi="Book Antiqua"/>
                <w:sz w:val="24"/>
              </w:rPr>
            </w:pPr>
            <w:r>
              <w:rPr>
                <w:rFonts w:ascii="Book Antiqua" w:hAnsi="Book Antiqua"/>
                <w:sz w:val="24"/>
              </w:rPr>
              <w:t>Variceal bleeding</w:t>
            </w:r>
          </w:p>
        </w:tc>
        <w:tc>
          <w:tcPr>
            <w:tcW w:w="3661"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365</w:t>
            </w:r>
          </w:p>
        </w:tc>
        <w:tc>
          <w:tcPr>
            <w:tcW w:w="2772"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215</w:t>
            </w:r>
          </w:p>
        </w:tc>
        <w:tc>
          <w:tcPr>
            <w:tcW w:w="1826"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150</w:t>
            </w:r>
          </w:p>
        </w:tc>
        <w:tc>
          <w:tcPr>
            <w:tcW w:w="1049" w:type="dxa"/>
            <w:shd w:val="clear" w:color="auto" w:fill="auto"/>
            <w:vAlign w:val="center"/>
          </w:tcPr>
          <w:p>
            <w:pPr>
              <w:snapToGrid w:val="0"/>
              <w:spacing w:line="360" w:lineRule="auto"/>
              <w:rPr>
                <w:rFonts w:ascii="Book Antiqua" w:hAnsi="Book Antiqua"/>
                <w:sz w:val="24"/>
              </w:rPr>
            </w:pPr>
            <w:r>
              <w:rPr>
                <w:rFonts w:ascii="Book Antiqua" w:hAnsi="Book Antiqua"/>
                <w:sz w:val="24"/>
              </w:rPr>
              <w:t>0.329</w:t>
            </w:r>
          </w:p>
        </w:tc>
      </w:tr>
      <w:tr>
        <w:tblPrEx>
          <w:tblLayout w:type="fixed"/>
          <w:tblCellMar>
            <w:top w:w="15" w:type="dxa"/>
            <w:left w:w="15" w:type="dxa"/>
            <w:bottom w:w="15" w:type="dxa"/>
            <w:right w:w="15" w:type="dxa"/>
          </w:tblCellMar>
        </w:tblPrEx>
        <w:trPr>
          <w:trHeight w:val="285" w:hRule="atLeast"/>
        </w:trPr>
        <w:tc>
          <w:tcPr>
            <w:tcW w:w="4676" w:type="dxa"/>
            <w:shd w:val="clear" w:color="auto" w:fill="auto"/>
            <w:vAlign w:val="center"/>
          </w:tcPr>
          <w:p>
            <w:pPr>
              <w:snapToGrid w:val="0"/>
              <w:spacing w:line="360" w:lineRule="auto"/>
              <w:rPr>
                <w:rFonts w:ascii="Book Antiqua" w:hAnsi="Book Antiqua"/>
                <w:sz w:val="24"/>
              </w:rPr>
            </w:pPr>
            <w:r>
              <w:rPr>
                <w:rFonts w:ascii="Book Antiqua" w:hAnsi="Book Antiqua"/>
                <w:sz w:val="24"/>
              </w:rPr>
              <w:t>Refractory ascites</w:t>
            </w:r>
          </w:p>
        </w:tc>
        <w:tc>
          <w:tcPr>
            <w:tcW w:w="3661"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121</w:t>
            </w:r>
          </w:p>
        </w:tc>
        <w:tc>
          <w:tcPr>
            <w:tcW w:w="2772"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76</w:t>
            </w:r>
          </w:p>
        </w:tc>
        <w:tc>
          <w:tcPr>
            <w:tcW w:w="1826"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45</w:t>
            </w:r>
          </w:p>
        </w:tc>
        <w:tc>
          <w:tcPr>
            <w:tcW w:w="1049" w:type="dxa"/>
            <w:shd w:val="clear" w:color="auto" w:fill="auto"/>
            <w:vAlign w:val="center"/>
          </w:tcPr>
          <w:p>
            <w:pPr>
              <w:snapToGrid w:val="0"/>
              <w:spacing w:line="360" w:lineRule="auto"/>
              <w:rPr>
                <w:rFonts w:ascii="Book Antiqua" w:hAnsi="Book Antiqua"/>
                <w:sz w:val="24"/>
              </w:rPr>
            </w:pPr>
            <w:r>
              <w:rPr>
                <w:rFonts w:ascii="Book Antiqua" w:hAnsi="Book Antiqua"/>
                <w:sz w:val="24"/>
              </w:rPr>
              <w:t>0.672</w:t>
            </w:r>
          </w:p>
        </w:tc>
      </w:tr>
      <w:tr>
        <w:tblPrEx>
          <w:tblLayout w:type="fixed"/>
          <w:tblCellMar>
            <w:top w:w="15" w:type="dxa"/>
            <w:left w:w="15" w:type="dxa"/>
            <w:bottom w:w="15" w:type="dxa"/>
            <w:right w:w="15" w:type="dxa"/>
          </w:tblCellMar>
        </w:tblPrEx>
        <w:trPr>
          <w:trHeight w:val="285" w:hRule="atLeast"/>
        </w:trPr>
        <w:tc>
          <w:tcPr>
            <w:tcW w:w="4676" w:type="dxa"/>
            <w:shd w:val="clear" w:color="auto" w:fill="auto"/>
            <w:vAlign w:val="center"/>
          </w:tcPr>
          <w:p>
            <w:pPr>
              <w:snapToGrid w:val="0"/>
              <w:spacing w:line="360" w:lineRule="auto"/>
              <w:rPr>
                <w:rFonts w:ascii="Book Antiqua" w:hAnsi="Book Antiqua"/>
                <w:sz w:val="24"/>
              </w:rPr>
            </w:pPr>
            <w:r>
              <w:rPr>
                <w:rFonts w:ascii="Book Antiqua" w:hAnsi="Book Antiqua"/>
                <w:sz w:val="24"/>
              </w:rPr>
              <w:t>Both variceal bleeding and refractory ascites</w:t>
            </w:r>
          </w:p>
        </w:tc>
        <w:tc>
          <w:tcPr>
            <w:tcW w:w="3661"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86</w:t>
            </w:r>
          </w:p>
        </w:tc>
        <w:tc>
          <w:tcPr>
            <w:tcW w:w="2772"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52</w:t>
            </w:r>
          </w:p>
        </w:tc>
        <w:tc>
          <w:tcPr>
            <w:tcW w:w="1826"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34</w:t>
            </w:r>
          </w:p>
        </w:tc>
        <w:tc>
          <w:tcPr>
            <w:tcW w:w="1049" w:type="dxa"/>
            <w:shd w:val="clear" w:color="auto" w:fill="auto"/>
            <w:vAlign w:val="center"/>
          </w:tcPr>
          <w:p>
            <w:pPr>
              <w:snapToGrid w:val="0"/>
              <w:spacing w:line="360" w:lineRule="auto"/>
              <w:rPr>
                <w:rFonts w:ascii="Book Antiqua" w:hAnsi="Book Antiqua"/>
                <w:sz w:val="24"/>
              </w:rPr>
            </w:pPr>
            <w:r>
              <w:rPr>
                <w:rFonts w:ascii="Book Antiqua" w:hAnsi="Book Antiqua"/>
                <w:sz w:val="24"/>
              </w:rPr>
              <w:t>0.481</w:t>
            </w:r>
          </w:p>
        </w:tc>
      </w:tr>
      <w:tr>
        <w:tblPrEx>
          <w:tblLayout w:type="fixed"/>
          <w:tblCellMar>
            <w:top w:w="15" w:type="dxa"/>
            <w:left w:w="15" w:type="dxa"/>
            <w:bottom w:w="15" w:type="dxa"/>
            <w:right w:w="15" w:type="dxa"/>
          </w:tblCellMar>
        </w:tblPrEx>
        <w:trPr>
          <w:trHeight w:val="285" w:hRule="atLeast"/>
        </w:trPr>
        <w:tc>
          <w:tcPr>
            <w:tcW w:w="4676" w:type="dxa"/>
            <w:shd w:val="clear" w:color="auto" w:fill="auto"/>
            <w:vAlign w:val="center"/>
          </w:tcPr>
          <w:p>
            <w:pPr>
              <w:snapToGrid w:val="0"/>
              <w:spacing w:line="360" w:lineRule="auto"/>
              <w:rPr>
                <w:rFonts w:ascii="Book Antiqua" w:hAnsi="Book Antiqua"/>
                <w:sz w:val="24"/>
              </w:rPr>
            </w:pPr>
            <w:r>
              <w:rPr>
                <w:rFonts w:ascii="Book Antiqua" w:hAnsi="Book Antiqua"/>
                <w:sz w:val="24"/>
              </w:rPr>
              <w:t>Laboratory tests</w:t>
            </w:r>
          </w:p>
        </w:tc>
        <w:tc>
          <w:tcPr>
            <w:tcW w:w="3661" w:type="dxa"/>
            <w:shd w:val="clear" w:color="auto" w:fill="auto"/>
            <w:vAlign w:val="center"/>
          </w:tcPr>
          <w:p>
            <w:pPr>
              <w:widowControl/>
              <w:snapToGrid w:val="0"/>
              <w:spacing w:line="360" w:lineRule="auto"/>
              <w:rPr>
                <w:rFonts w:ascii="Book Antiqua" w:hAnsi="Book Antiqua"/>
                <w:sz w:val="24"/>
              </w:rPr>
            </w:pPr>
          </w:p>
        </w:tc>
        <w:tc>
          <w:tcPr>
            <w:tcW w:w="2772" w:type="dxa"/>
            <w:shd w:val="clear" w:color="auto" w:fill="auto"/>
            <w:vAlign w:val="center"/>
          </w:tcPr>
          <w:p>
            <w:pPr>
              <w:widowControl/>
              <w:snapToGrid w:val="0"/>
              <w:spacing w:line="360" w:lineRule="auto"/>
              <w:rPr>
                <w:rFonts w:ascii="Book Antiqua" w:hAnsi="Book Antiqua"/>
                <w:sz w:val="24"/>
              </w:rPr>
            </w:pPr>
          </w:p>
        </w:tc>
        <w:tc>
          <w:tcPr>
            <w:tcW w:w="1826" w:type="dxa"/>
            <w:shd w:val="clear" w:color="auto" w:fill="auto"/>
            <w:vAlign w:val="center"/>
          </w:tcPr>
          <w:p>
            <w:pPr>
              <w:widowControl/>
              <w:snapToGrid w:val="0"/>
              <w:spacing w:line="360" w:lineRule="auto"/>
              <w:rPr>
                <w:rFonts w:ascii="Book Antiqua" w:hAnsi="Book Antiqua"/>
                <w:sz w:val="24"/>
              </w:rPr>
            </w:pPr>
          </w:p>
        </w:tc>
        <w:tc>
          <w:tcPr>
            <w:tcW w:w="1049" w:type="dxa"/>
            <w:shd w:val="clear" w:color="auto" w:fill="auto"/>
            <w:vAlign w:val="center"/>
          </w:tcPr>
          <w:p>
            <w:pPr>
              <w:snapToGrid w:val="0"/>
              <w:spacing w:line="360" w:lineRule="auto"/>
              <w:rPr>
                <w:rFonts w:ascii="Book Antiqua" w:hAnsi="Book Antiqua"/>
                <w:sz w:val="24"/>
              </w:rPr>
            </w:pPr>
          </w:p>
        </w:tc>
      </w:tr>
      <w:tr>
        <w:tblPrEx>
          <w:tblLayout w:type="fixed"/>
          <w:tblCellMar>
            <w:top w:w="15" w:type="dxa"/>
            <w:left w:w="15" w:type="dxa"/>
            <w:bottom w:w="15" w:type="dxa"/>
            <w:right w:w="15" w:type="dxa"/>
          </w:tblCellMar>
        </w:tblPrEx>
        <w:trPr>
          <w:trHeight w:val="285" w:hRule="atLeast"/>
        </w:trPr>
        <w:tc>
          <w:tcPr>
            <w:tcW w:w="4676" w:type="dxa"/>
            <w:shd w:val="clear" w:color="auto" w:fill="auto"/>
            <w:vAlign w:val="center"/>
          </w:tcPr>
          <w:p>
            <w:pPr>
              <w:snapToGrid w:val="0"/>
              <w:spacing w:line="360" w:lineRule="auto"/>
              <w:rPr>
                <w:rFonts w:ascii="Book Antiqua" w:hAnsi="Book Antiqua"/>
                <w:sz w:val="24"/>
              </w:rPr>
            </w:pPr>
            <w:r>
              <w:rPr>
                <w:rFonts w:ascii="Book Antiqua" w:hAnsi="Book Antiqua"/>
                <w:sz w:val="24"/>
              </w:rPr>
              <w:t>Alanine transaminase as U/L</w:t>
            </w:r>
          </w:p>
        </w:tc>
        <w:tc>
          <w:tcPr>
            <w:tcW w:w="3661" w:type="dxa"/>
            <w:shd w:val="clear" w:color="auto" w:fill="auto"/>
            <w:vAlign w:val="center"/>
          </w:tcPr>
          <w:p>
            <w:pPr>
              <w:widowControl/>
              <w:snapToGrid w:val="0"/>
              <w:spacing w:line="360" w:lineRule="auto"/>
              <w:rPr>
                <w:rFonts w:ascii="Book Antiqua" w:hAnsi="Book Antiqua"/>
                <w:sz w:val="24"/>
              </w:rPr>
            </w:pPr>
          </w:p>
        </w:tc>
        <w:tc>
          <w:tcPr>
            <w:tcW w:w="2772"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59.34 ± 11.41</w:t>
            </w:r>
          </w:p>
        </w:tc>
        <w:tc>
          <w:tcPr>
            <w:tcW w:w="1826"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63.05 ± 10.17</w:t>
            </w:r>
          </w:p>
        </w:tc>
        <w:tc>
          <w:tcPr>
            <w:tcW w:w="1049" w:type="dxa"/>
            <w:shd w:val="clear" w:color="auto" w:fill="auto"/>
            <w:vAlign w:val="center"/>
          </w:tcPr>
          <w:p>
            <w:pPr>
              <w:snapToGrid w:val="0"/>
              <w:spacing w:line="360" w:lineRule="auto"/>
              <w:rPr>
                <w:rFonts w:ascii="Book Antiqua" w:hAnsi="Book Antiqua"/>
                <w:sz w:val="24"/>
              </w:rPr>
            </w:pPr>
            <w:r>
              <w:rPr>
                <w:rFonts w:ascii="Book Antiqua" w:hAnsi="Book Antiqua"/>
                <w:sz w:val="24"/>
              </w:rPr>
              <w:t>0.742</w:t>
            </w:r>
          </w:p>
        </w:tc>
      </w:tr>
      <w:tr>
        <w:tblPrEx>
          <w:tblLayout w:type="fixed"/>
          <w:tblCellMar>
            <w:top w:w="15" w:type="dxa"/>
            <w:left w:w="15" w:type="dxa"/>
            <w:bottom w:w="15" w:type="dxa"/>
            <w:right w:w="15" w:type="dxa"/>
          </w:tblCellMar>
        </w:tblPrEx>
        <w:trPr>
          <w:trHeight w:val="285" w:hRule="atLeast"/>
        </w:trPr>
        <w:tc>
          <w:tcPr>
            <w:tcW w:w="4676" w:type="dxa"/>
            <w:shd w:val="clear" w:color="auto" w:fill="auto"/>
            <w:vAlign w:val="center"/>
          </w:tcPr>
          <w:p>
            <w:pPr>
              <w:snapToGrid w:val="0"/>
              <w:spacing w:line="360" w:lineRule="auto"/>
              <w:rPr>
                <w:rFonts w:ascii="Book Antiqua" w:hAnsi="Book Antiqua"/>
                <w:sz w:val="24"/>
              </w:rPr>
            </w:pPr>
            <w:r>
              <w:rPr>
                <w:rFonts w:ascii="Book Antiqua" w:hAnsi="Book Antiqua"/>
                <w:sz w:val="24"/>
              </w:rPr>
              <w:t>Aspartate transaminase as U/L</w:t>
            </w:r>
          </w:p>
        </w:tc>
        <w:tc>
          <w:tcPr>
            <w:tcW w:w="3661" w:type="dxa"/>
            <w:shd w:val="clear" w:color="auto" w:fill="auto"/>
            <w:vAlign w:val="center"/>
          </w:tcPr>
          <w:p>
            <w:pPr>
              <w:widowControl/>
              <w:snapToGrid w:val="0"/>
              <w:spacing w:line="360" w:lineRule="auto"/>
              <w:rPr>
                <w:rFonts w:ascii="Book Antiqua" w:hAnsi="Book Antiqua"/>
                <w:sz w:val="24"/>
              </w:rPr>
            </w:pPr>
          </w:p>
        </w:tc>
        <w:tc>
          <w:tcPr>
            <w:tcW w:w="2772"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72.36 ± 12.09</w:t>
            </w:r>
          </w:p>
        </w:tc>
        <w:tc>
          <w:tcPr>
            <w:tcW w:w="1826"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68.45 ± 13.23</w:t>
            </w:r>
          </w:p>
        </w:tc>
        <w:tc>
          <w:tcPr>
            <w:tcW w:w="1049" w:type="dxa"/>
            <w:shd w:val="clear" w:color="auto" w:fill="auto"/>
            <w:vAlign w:val="center"/>
          </w:tcPr>
          <w:p>
            <w:pPr>
              <w:snapToGrid w:val="0"/>
              <w:spacing w:line="360" w:lineRule="auto"/>
              <w:rPr>
                <w:rFonts w:ascii="Book Antiqua" w:hAnsi="Book Antiqua"/>
                <w:sz w:val="24"/>
              </w:rPr>
            </w:pPr>
            <w:r>
              <w:rPr>
                <w:rFonts w:ascii="Book Antiqua" w:hAnsi="Book Antiqua"/>
                <w:sz w:val="24"/>
              </w:rPr>
              <w:t>0.689</w:t>
            </w:r>
          </w:p>
        </w:tc>
      </w:tr>
      <w:tr>
        <w:tblPrEx>
          <w:tblLayout w:type="fixed"/>
          <w:tblCellMar>
            <w:top w:w="15" w:type="dxa"/>
            <w:left w:w="15" w:type="dxa"/>
            <w:bottom w:w="15" w:type="dxa"/>
            <w:right w:w="15" w:type="dxa"/>
          </w:tblCellMar>
        </w:tblPrEx>
        <w:trPr>
          <w:trHeight w:val="285" w:hRule="atLeast"/>
        </w:trPr>
        <w:tc>
          <w:tcPr>
            <w:tcW w:w="4676" w:type="dxa"/>
            <w:shd w:val="clear" w:color="auto" w:fill="auto"/>
            <w:vAlign w:val="center"/>
          </w:tcPr>
          <w:p>
            <w:pPr>
              <w:snapToGrid w:val="0"/>
              <w:spacing w:line="360" w:lineRule="auto"/>
              <w:rPr>
                <w:rFonts w:ascii="Book Antiqua" w:hAnsi="Book Antiqua"/>
                <w:sz w:val="24"/>
              </w:rPr>
            </w:pPr>
            <w:r>
              <w:rPr>
                <w:rFonts w:ascii="Book Antiqua" w:hAnsi="Book Antiqua"/>
                <w:sz w:val="24"/>
              </w:rPr>
              <w:t>Alkaline phosphatase as U/L</w:t>
            </w:r>
          </w:p>
        </w:tc>
        <w:tc>
          <w:tcPr>
            <w:tcW w:w="3661" w:type="dxa"/>
            <w:shd w:val="clear" w:color="auto" w:fill="auto"/>
            <w:vAlign w:val="center"/>
          </w:tcPr>
          <w:p>
            <w:pPr>
              <w:widowControl/>
              <w:snapToGrid w:val="0"/>
              <w:spacing w:line="360" w:lineRule="auto"/>
              <w:rPr>
                <w:rFonts w:ascii="Book Antiqua" w:hAnsi="Book Antiqua"/>
                <w:sz w:val="24"/>
              </w:rPr>
            </w:pPr>
          </w:p>
        </w:tc>
        <w:tc>
          <w:tcPr>
            <w:tcW w:w="2772"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193.43 ± 24.62</w:t>
            </w:r>
          </w:p>
        </w:tc>
        <w:tc>
          <w:tcPr>
            <w:tcW w:w="1826"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208.49 ± 32.54</w:t>
            </w:r>
          </w:p>
        </w:tc>
        <w:tc>
          <w:tcPr>
            <w:tcW w:w="1049" w:type="dxa"/>
            <w:shd w:val="clear" w:color="auto" w:fill="auto"/>
            <w:vAlign w:val="center"/>
          </w:tcPr>
          <w:p>
            <w:pPr>
              <w:snapToGrid w:val="0"/>
              <w:spacing w:line="360" w:lineRule="auto"/>
              <w:rPr>
                <w:rFonts w:ascii="Book Antiqua" w:hAnsi="Book Antiqua"/>
                <w:sz w:val="24"/>
              </w:rPr>
            </w:pPr>
            <w:r>
              <w:rPr>
                <w:rFonts w:ascii="Book Antiqua" w:hAnsi="Book Antiqua"/>
                <w:sz w:val="24"/>
              </w:rPr>
              <w:t>0.893</w:t>
            </w:r>
          </w:p>
        </w:tc>
      </w:tr>
      <w:tr>
        <w:tblPrEx>
          <w:tblLayout w:type="fixed"/>
          <w:tblCellMar>
            <w:top w:w="15" w:type="dxa"/>
            <w:left w:w="15" w:type="dxa"/>
            <w:bottom w:w="15" w:type="dxa"/>
            <w:right w:w="15" w:type="dxa"/>
          </w:tblCellMar>
        </w:tblPrEx>
        <w:trPr>
          <w:trHeight w:val="285" w:hRule="atLeast"/>
        </w:trPr>
        <w:tc>
          <w:tcPr>
            <w:tcW w:w="4676" w:type="dxa"/>
            <w:shd w:val="clear" w:color="auto" w:fill="auto"/>
            <w:vAlign w:val="center"/>
          </w:tcPr>
          <w:p>
            <w:pPr>
              <w:snapToGrid w:val="0"/>
              <w:spacing w:line="360" w:lineRule="auto"/>
              <w:rPr>
                <w:rFonts w:ascii="Book Antiqua" w:hAnsi="Book Antiqua"/>
                <w:sz w:val="24"/>
              </w:rPr>
            </w:pPr>
            <w:r>
              <w:rPr>
                <w:rFonts w:ascii="Book Antiqua" w:hAnsi="Book Antiqua"/>
                <w:sz w:val="24"/>
              </w:rPr>
              <w:t>Total bilirubin as μmol/L</w:t>
            </w:r>
          </w:p>
        </w:tc>
        <w:tc>
          <w:tcPr>
            <w:tcW w:w="3661" w:type="dxa"/>
            <w:shd w:val="clear" w:color="auto" w:fill="auto"/>
            <w:vAlign w:val="center"/>
          </w:tcPr>
          <w:p>
            <w:pPr>
              <w:widowControl/>
              <w:snapToGrid w:val="0"/>
              <w:spacing w:line="360" w:lineRule="auto"/>
              <w:rPr>
                <w:rFonts w:ascii="Book Antiqua" w:hAnsi="Book Antiqua"/>
                <w:sz w:val="24"/>
              </w:rPr>
            </w:pPr>
          </w:p>
        </w:tc>
        <w:tc>
          <w:tcPr>
            <w:tcW w:w="2772"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14.03 ± 5.15</w:t>
            </w:r>
          </w:p>
        </w:tc>
        <w:tc>
          <w:tcPr>
            <w:tcW w:w="1826"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16.21 ± 4.28</w:t>
            </w:r>
          </w:p>
        </w:tc>
        <w:tc>
          <w:tcPr>
            <w:tcW w:w="1049" w:type="dxa"/>
            <w:shd w:val="clear" w:color="auto" w:fill="auto"/>
            <w:vAlign w:val="center"/>
          </w:tcPr>
          <w:p>
            <w:pPr>
              <w:snapToGrid w:val="0"/>
              <w:spacing w:line="360" w:lineRule="auto"/>
              <w:rPr>
                <w:rFonts w:ascii="Book Antiqua" w:hAnsi="Book Antiqua"/>
                <w:sz w:val="24"/>
              </w:rPr>
            </w:pPr>
            <w:r>
              <w:rPr>
                <w:rFonts w:ascii="Book Antiqua" w:hAnsi="Book Antiqua"/>
                <w:sz w:val="24"/>
              </w:rPr>
              <w:t>0.754</w:t>
            </w:r>
          </w:p>
        </w:tc>
      </w:tr>
      <w:tr>
        <w:tblPrEx>
          <w:tblLayout w:type="fixed"/>
          <w:tblCellMar>
            <w:top w:w="15" w:type="dxa"/>
            <w:left w:w="15" w:type="dxa"/>
            <w:bottom w:w="15" w:type="dxa"/>
            <w:right w:w="15" w:type="dxa"/>
          </w:tblCellMar>
        </w:tblPrEx>
        <w:trPr>
          <w:trHeight w:val="285" w:hRule="atLeast"/>
        </w:trPr>
        <w:tc>
          <w:tcPr>
            <w:tcW w:w="4676" w:type="dxa"/>
            <w:shd w:val="clear" w:color="auto" w:fill="auto"/>
            <w:vAlign w:val="center"/>
          </w:tcPr>
          <w:p>
            <w:pPr>
              <w:snapToGrid w:val="0"/>
              <w:spacing w:line="360" w:lineRule="auto"/>
              <w:rPr>
                <w:rFonts w:ascii="Book Antiqua" w:hAnsi="Book Antiqua"/>
                <w:sz w:val="24"/>
              </w:rPr>
            </w:pPr>
            <w:r>
              <w:rPr>
                <w:rFonts w:ascii="Book Antiqua" w:hAnsi="Book Antiqua"/>
                <w:sz w:val="24"/>
              </w:rPr>
              <w:t>Albumin as g/L</w:t>
            </w:r>
          </w:p>
        </w:tc>
        <w:tc>
          <w:tcPr>
            <w:tcW w:w="3661" w:type="dxa"/>
            <w:shd w:val="clear" w:color="auto" w:fill="auto"/>
            <w:vAlign w:val="center"/>
          </w:tcPr>
          <w:p>
            <w:pPr>
              <w:widowControl/>
              <w:snapToGrid w:val="0"/>
              <w:spacing w:line="360" w:lineRule="auto"/>
              <w:rPr>
                <w:rFonts w:ascii="Book Antiqua" w:hAnsi="Book Antiqua"/>
                <w:sz w:val="24"/>
              </w:rPr>
            </w:pPr>
          </w:p>
        </w:tc>
        <w:tc>
          <w:tcPr>
            <w:tcW w:w="2772"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31.29 ± 1.46</w:t>
            </w:r>
          </w:p>
        </w:tc>
        <w:tc>
          <w:tcPr>
            <w:tcW w:w="1826"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29.19 ± 1.48</w:t>
            </w:r>
          </w:p>
        </w:tc>
        <w:tc>
          <w:tcPr>
            <w:tcW w:w="1049" w:type="dxa"/>
            <w:shd w:val="clear" w:color="auto" w:fill="auto"/>
            <w:vAlign w:val="center"/>
          </w:tcPr>
          <w:p>
            <w:pPr>
              <w:snapToGrid w:val="0"/>
              <w:spacing w:line="360" w:lineRule="auto"/>
              <w:rPr>
                <w:rFonts w:ascii="Book Antiqua" w:hAnsi="Book Antiqua"/>
                <w:sz w:val="24"/>
              </w:rPr>
            </w:pPr>
            <w:r>
              <w:rPr>
                <w:rFonts w:ascii="Book Antiqua" w:hAnsi="Book Antiqua"/>
                <w:sz w:val="24"/>
              </w:rPr>
              <w:t>0.431</w:t>
            </w:r>
          </w:p>
        </w:tc>
      </w:tr>
      <w:tr>
        <w:tblPrEx>
          <w:tblLayout w:type="fixed"/>
          <w:tblCellMar>
            <w:top w:w="15" w:type="dxa"/>
            <w:left w:w="15" w:type="dxa"/>
            <w:bottom w:w="15" w:type="dxa"/>
            <w:right w:w="15" w:type="dxa"/>
          </w:tblCellMar>
        </w:tblPrEx>
        <w:trPr>
          <w:trHeight w:val="279" w:hRule="atLeast"/>
        </w:trPr>
        <w:tc>
          <w:tcPr>
            <w:tcW w:w="4676" w:type="dxa"/>
            <w:shd w:val="clear" w:color="auto" w:fill="auto"/>
            <w:vAlign w:val="center"/>
          </w:tcPr>
          <w:p>
            <w:pPr>
              <w:snapToGrid w:val="0"/>
              <w:spacing w:line="360" w:lineRule="auto"/>
              <w:rPr>
                <w:rFonts w:ascii="Book Antiqua" w:hAnsi="Book Antiqua"/>
                <w:sz w:val="24"/>
              </w:rPr>
            </w:pPr>
            <w:r>
              <w:rPr>
                <w:rFonts w:ascii="Book Antiqua" w:hAnsi="Book Antiqua"/>
                <w:sz w:val="24"/>
              </w:rPr>
              <w:t>Prothrombin time in s</w:t>
            </w:r>
          </w:p>
        </w:tc>
        <w:tc>
          <w:tcPr>
            <w:tcW w:w="3661" w:type="dxa"/>
            <w:shd w:val="clear" w:color="auto" w:fill="auto"/>
            <w:vAlign w:val="center"/>
          </w:tcPr>
          <w:p>
            <w:pPr>
              <w:widowControl/>
              <w:snapToGrid w:val="0"/>
              <w:spacing w:line="360" w:lineRule="auto"/>
              <w:rPr>
                <w:rFonts w:ascii="Book Antiqua" w:hAnsi="Book Antiqua"/>
                <w:sz w:val="24"/>
              </w:rPr>
            </w:pPr>
          </w:p>
        </w:tc>
        <w:tc>
          <w:tcPr>
            <w:tcW w:w="2772"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14.72 ± 3.28</w:t>
            </w:r>
          </w:p>
        </w:tc>
        <w:tc>
          <w:tcPr>
            <w:tcW w:w="1826"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15.43 ± 3.17</w:t>
            </w:r>
          </w:p>
        </w:tc>
        <w:tc>
          <w:tcPr>
            <w:tcW w:w="1049" w:type="dxa"/>
            <w:shd w:val="clear" w:color="auto" w:fill="auto"/>
            <w:vAlign w:val="center"/>
          </w:tcPr>
          <w:p>
            <w:pPr>
              <w:snapToGrid w:val="0"/>
              <w:spacing w:line="360" w:lineRule="auto"/>
              <w:rPr>
                <w:rFonts w:ascii="Book Antiqua" w:hAnsi="Book Antiqua"/>
                <w:sz w:val="24"/>
              </w:rPr>
            </w:pPr>
            <w:r>
              <w:rPr>
                <w:rFonts w:ascii="Book Antiqua" w:hAnsi="Book Antiqua"/>
                <w:sz w:val="24"/>
              </w:rPr>
              <w:t>0.638</w:t>
            </w:r>
          </w:p>
        </w:tc>
      </w:tr>
      <w:tr>
        <w:tblPrEx>
          <w:tblLayout w:type="fixed"/>
          <w:tblCellMar>
            <w:top w:w="15" w:type="dxa"/>
            <w:left w:w="15" w:type="dxa"/>
            <w:bottom w:w="15" w:type="dxa"/>
            <w:right w:w="15" w:type="dxa"/>
          </w:tblCellMar>
        </w:tblPrEx>
        <w:trPr>
          <w:trHeight w:val="285" w:hRule="atLeast"/>
        </w:trPr>
        <w:tc>
          <w:tcPr>
            <w:tcW w:w="4676" w:type="dxa"/>
            <w:shd w:val="clear" w:color="auto" w:fill="auto"/>
            <w:vAlign w:val="center"/>
          </w:tcPr>
          <w:p>
            <w:pPr>
              <w:snapToGrid w:val="0"/>
              <w:spacing w:line="360" w:lineRule="auto"/>
              <w:rPr>
                <w:rFonts w:ascii="Book Antiqua" w:hAnsi="Book Antiqua"/>
                <w:sz w:val="24"/>
              </w:rPr>
            </w:pPr>
            <w:r>
              <w:rPr>
                <w:rFonts w:ascii="Book Antiqua" w:hAnsi="Book Antiqua"/>
                <w:sz w:val="24"/>
              </w:rPr>
              <w:t xml:space="preserve">Platelet count as × </w:t>
            </w:r>
            <w:r>
              <w:rPr>
                <w:rFonts w:ascii="Book Antiqua" w:hAnsi="Book Antiqua" w:eastAsia="黑体"/>
                <w:sz w:val="24"/>
              </w:rPr>
              <w:t>10</w:t>
            </w:r>
            <w:r>
              <w:rPr>
                <w:rFonts w:ascii="Book Antiqua" w:hAnsi="Book Antiqua" w:eastAsia="黑体"/>
                <w:sz w:val="24"/>
                <w:vertAlign w:val="superscript"/>
              </w:rPr>
              <w:t>9</w:t>
            </w:r>
            <w:r>
              <w:rPr>
                <w:rFonts w:ascii="Book Antiqua" w:hAnsi="Book Antiqua"/>
                <w:sz w:val="24"/>
              </w:rPr>
              <w:t>/L</w:t>
            </w:r>
          </w:p>
        </w:tc>
        <w:tc>
          <w:tcPr>
            <w:tcW w:w="3661" w:type="dxa"/>
            <w:shd w:val="clear" w:color="auto" w:fill="auto"/>
            <w:vAlign w:val="center"/>
          </w:tcPr>
          <w:p>
            <w:pPr>
              <w:widowControl/>
              <w:snapToGrid w:val="0"/>
              <w:spacing w:line="360" w:lineRule="auto"/>
              <w:rPr>
                <w:rFonts w:ascii="Book Antiqua" w:hAnsi="Book Antiqua"/>
                <w:sz w:val="24"/>
              </w:rPr>
            </w:pPr>
          </w:p>
        </w:tc>
        <w:tc>
          <w:tcPr>
            <w:tcW w:w="2772"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45.27 ± 12.38</w:t>
            </w:r>
          </w:p>
        </w:tc>
        <w:tc>
          <w:tcPr>
            <w:tcW w:w="1826"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38.39 ± 13.47</w:t>
            </w:r>
          </w:p>
        </w:tc>
        <w:tc>
          <w:tcPr>
            <w:tcW w:w="1049" w:type="dxa"/>
            <w:shd w:val="clear" w:color="auto" w:fill="auto"/>
            <w:vAlign w:val="center"/>
          </w:tcPr>
          <w:p>
            <w:pPr>
              <w:snapToGrid w:val="0"/>
              <w:spacing w:line="360" w:lineRule="auto"/>
              <w:rPr>
                <w:rFonts w:ascii="Book Antiqua" w:hAnsi="Book Antiqua"/>
                <w:sz w:val="24"/>
              </w:rPr>
            </w:pPr>
            <w:r>
              <w:rPr>
                <w:rFonts w:ascii="Book Antiqua" w:hAnsi="Book Antiqua"/>
                <w:sz w:val="24"/>
              </w:rPr>
              <w:t>0.374</w:t>
            </w:r>
          </w:p>
        </w:tc>
      </w:tr>
      <w:tr>
        <w:tblPrEx>
          <w:tblLayout w:type="fixed"/>
          <w:tblCellMar>
            <w:top w:w="15" w:type="dxa"/>
            <w:left w:w="15" w:type="dxa"/>
            <w:bottom w:w="15" w:type="dxa"/>
            <w:right w:w="15" w:type="dxa"/>
          </w:tblCellMar>
        </w:tblPrEx>
        <w:trPr>
          <w:trHeight w:val="285" w:hRule="atLeast"/>
        </w:trPr>
        <w:tc>
          <w:tcPr>
            <w:tcW w:w="4676" w:type="dxa"/>
            <w:shd w:val="clear" w:color="auto" w:fill="auto"/>
            <w:vAlign w:val="center"/>
          </w:tcPr>
          <w:p>
            <w:pPr>
              <w:snapToGrid w:val="0"/>
              <w:spacing w:line="360" w:lineRule="auto"/>
              <w:rPr>
                <w:rFonts w:ascii="Book Antiqua" w:hAnsi="Book Antiqua"/>
                <w:sz w:val="24"/>
              </w:rPr>
            </w:pPr>
            <w:r>
              <w:rPr>
                <w:rFonts w:ascii="Book Antiqua" w:hAnsi="Book Antiqua"/>
                <w:sz w:val="24"/>
              </w:rPr>
              <w:t>Clinical presentation</w:t>
            </w:r>
          </w:p>
        </w:tc>
        <w:tc>
          <w:tcPr>
            <w:tcW w:w="3661" w:type="dxa"/>
            <w:shd w:val="clear" w:color="auto" w:fill="auto"/>
            <w:vAlign w:val="center"/>
          </w:tcPr>
          <w:p>
            <w:pPr>
              <w:widowControl/>
              <w:snapToGrid w:val="0"/>
              <w:spacing w:line="360" w:lineRule="auto"/>
              <w:rPr>
                <w:rFonts w:ascii="Book Antiqua" w:hAnsi="Book Antiqua"/>
                <w:sz w:val="24"/>
              </w:rPr>
            </w:pPr>
          </w:p>
        </w:tc>
        <w:tc>
          <w:tcPr>
            <w:tcW w:w="2772" w:type="dxa"/>
            <w:shd w:val="clear" w:color="auto" w:fill="auto"/>
            <w:vAlign w:val="center"/>
          </w:tcPr>
          <w:p>
            <w:pPr>
              <w:widowControl/>
              <w:snapToGrid w:val="0"/>
              <w:spacing w:line="360" w:lineRule="auto"/>
              <w:rPr>
                <w:rFonts w:ascii="Book Antiqua" w:hAnsi="Book Antiqua"/>
                <w:sz w:val="24"/>
              </w:rPr>
            </w:pPr>
          </w:p>
        </w:tc>
        <w:tc>
          <w:tcPr>
            <w:tcW w:w="1826" w:type="dxa"/>
            <w:shd w:val="clear" w:color="auto" w:fill="auto"/>
            <w:vAlign w:val="center"/>
          </w:tcPr>
          <w:p>
            <w:pPr>
              <w:widowControl/>
              <w:snapToGrid w:val="0"/>
              <w:spacing w:line="360" w:lineRule="auto"/>
              <w:rPr>
                <w:rFonts w:ascii="Book Antiqua" w:hAnsi="Book Antiqua"/>
                <w:sz w:val="24"/>
              </w:rPr>
            </w:pPr>
          </w:p>
        </w:tc>
        <w:tc>
          <w:tcPr>
            <w:tcW w:w="1049" w:type="dxa"/>
            <w:shd w:val="clear" w:color="auto" w:fill="auto"/>
            <w:vAlign w:val="center"/>
          </w:tcPr>
          <w:p>
            <w:pPr>
              <w:snapToGrid w:val="0"/>
              <w:spacing w:line="360" w:lineRule="auto"/>
              <w:rPr>
                <w:rFonts w:ascii="Book Antiqua" w:hAnsi="Book Antiqua"/>
                <w:sz w:val="24"/>
              </w:rPr>
            </w:pPr>
          </w:p>
        </w:tc>
      </w:tr>
      <w:tr>
        <w:tblPrEx>
          <w:tblLayout w:type="fixed"/>
          <w:tblCellMar>
            <w:top w:w="15" w:type="dxa"/>
            <w:left w:w="15" w:type="dxa"/>
            <w:bottom w:w="15" w:type="dxa"/>
            <w:right w:w="15" w:type="dxa"/>
          </w:tblCellMar>
        </w:tblPrEx>
        <w:trPr>
          <w:trHeight w:val="285" w:hRule="atLeast"/>
        </w:trPr>
        <w:tc>
          <w:tcPr>
            <w:tcW w:w="4676" w:type="dxa"/>
            <w:shd w:val="clear" w:color="auto" w:fill="auto"/>
            <w:vAlign w:val="center"/>
          </w:tcPr>
          <w:p>
            <w:pPr>
              <w:snapToGrid w:val="0"/>
              <w:spacing w:line="360" w:lineRule="auto"/>
              <w:rPr>
                <w:rFonts w:ascii="Book Antiqua" w:hAnsi="Book Antiqua"/>
                <w:sz w:val="24"/>
              </w:rPr>
            </w:pPr>
            <w:r>
              <w:rPr>
                <w:rFonts w:ascii="Book Antiqua" w:hAnsi="Book Antiqua"/>
                <w:sz w:val="24"/>
              </w:rPr>
              <w:t>Abdominal distention</w:t>
            </w:r>
          </w:p>
        </w:tc>
        <w:tc>
          <w:tcPr>
            <w:tcW w:w="3661" w:type="dxa"/>
            <w:shd w:val="clear" w:color="auto" w:fill="auto"/>
            <w:vAlign w:val="center"/>
          </w:tcPr>
          <w:p>
            <w:pPr>
              <w:widowControl/>
              <w:snapToGrid w:val="0"/>
              <w:spacing w:line="360" w:lineRule="auto"/>
              <w:rPr>
                <w:rFonts w:ascii="Book Antiqua" w:hAnsi="Book Antiqua"/>
                <w:sz w:val="24"/>
              </w:rPr>
            </w:pPr>
          </w:p>
        </w:tc>
        <w:tc>
          <w:tcPr>
            <w:tcW w:w="2772"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146</w:t>
            </w:r>
          </w:p>
        </w:tc>
        <w:tc>
          <w:tcPr>
            <w:tcW w:w="1826"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85</w:t>
            </w:r>
          </w:p>
        </w:tc>
        <w:tc>
          <w:tcPr>
            <w:tcW w:w="1049" w:type="dxa"/>
            <w:shd w:val="clear" w:color="auto" w:fill="auto"/>
            <w:vAlign w:val="center"/>
          </w:tcPr>
          <w:p>
            <w:pPr>
              <w:snapToGrid w:val="0"/>
              <w:spacing w:line="360" w:lineRule="auto"/>
              <w:rPr>
                <w:rFonts w:ascii="Book Antiqua" w:hAnsi="Book Antiqua"/>
                <w:sz w:val="24"/>
              </w:rPr>
            </w:pPr>
            <w:r>
              <w:rPr>
                <w:rFonts w:ascii="Book Antiqua" w:hAnsi="Book Antiqua"/>
                <w:sz w:val="24"/>
              </w:rPr>
              <w:t>0.243</w:t>
            </w:r>
          </w:p>
        </w:tc>
      </w:tr>
      <w:tr>
        <w:tblPrEx>
          <w:tblLayout w:type="fixed"/>
          <w:tblCellMar>
            <w:top w:w="15" w:type="dxa"/>
            <w:left w:w="15" w:type="dxa"/>
            <w:bottom w:w="15" w:type="dxa"/>
            <w:right w:w="15" w:type="dxa"/>
          </w:tblCellMar>
        </w:tblPrEx>
        <w:trPr>
          <w:trHeight w:val="285" w:hRule="atLeast"/>
        </w:trPr>
        <w:tc>
          <w:tcPr>
            <w:tcW w:w="4676" w:type="dxa"/>
            <w:shd w:val="clear" w:color="auto" w:fill="auto"/>
            <w:vAlign w:val="center"/>
          </w:tcPr>
          <w:p>
            <w:pPr>
              <w:snapToGrid w:val="0"/>
              <w:spacing w:line="360" w:lineRule="auto"/>
              <w:rPr>
                <w:rFonts w:ascii="Book Antiqua" w:hAnsi="Book Antiqua"/>
                <w:sz w:val="24"/>
              </w:rPr>
            </w:pPr>
            <w:r>
              <w:rPr>
                <w:rFonts w:ascii="Book Antiqua" w:hAnsi="Book Antiqua"/>
                <w:sz w:val="24"/>
              </w:rPr>
              <w:t>Abdominal pain</w:t>
            </w:r>
          </w:p>
        </w:tc>
        <w:tc>
          <w:tcPr>
            <w:tcW w:w="3661" w:type="dxa"/>
            <w:shd w:val="clear" w:color="auto" w:fill="auto"/>
            <w:vAlign w:val="center"/>
          </w:tcPr>
          <w:p>
            <w:pPr>
              <w:widowControl/>
              <w:snapToGrid w:val="0"/>
              <w:spacing w:line="360" w:lineRule="auto"/>
              <w:rPr>
                <w:rFonts w:ascii="Book Antiqua" w:hAnsi="Book Antiqua"/>
                <w:sz w:val="24"/>
              </w:rPr>
            </w:pPr>
          </w:p>
        </w:tc>
        <w:tc>
          <w:tcPr>
            <w:tcW w:w="2772"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78</w:t>
            </w:r>
          </w:p>
        </w:tc>
        <w:tc>
          <w:tcPr>
            <w:tcW w:w="1826"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49</w:t>
            </w:r>
          </w:p>
        </w:tc>
        <w:tc>
          <w:tcPr>
            <w:tcW w:w="1049" w:type="dxa"/>
            <w:shd w:val="clear" w:color="auto" w:fill="auto"/>
            <w:vAlign w:val="center"/>
          </w:tcPr>
          <w:p>
            <w:pPr>
              <w:snapToGrid w:val="0"/>
              <w:spacing w:line="360" w:lineRule="auto"/>
              <w:rPr>
                <w:rFonts w:ascii="Book Antiqua" w:hAnsi="Book Antiqua"/>
                <w:sz w:val="24"/>
              </w:rPr>
            </w:pPr>
            <w:r>
              <w:rPr>
                <w:rFonts w:ascii="Book Antiqua" w:hAnsi="Book Antiqua"/>
                <w:sz w:val="24"/>
              </w:rPr>
              <w:t>0.217</w:t>
            </w:r>
          </w:p>
        </w:tc>
      </w:tr>
      <w:tr>
        <w:tblPrEx>
          <w:tblLayout w:type="fixed"/>
          <w:tblCellMar>
            <w:top w:w="15" w:type="dxa"/>
            <w:left w:w="15" w:type="dxa"/>
            <w:bottom w:w="15" w:type="dxa"/>
            <w:right w:w="15" w:type="dxa"/>
          </w:tblCellMar>
        </w:tblPrEx>
        <w:trPr>
          <w:trHeight w:val="285" w:hRule="atLeast"/>
        </w:trPr>
        <w:tc>
          <w:tcPr>
            <w:tcW w:w="4676" w:type="dxa"/>
            <w:shd w:val="clear" w:color="auto" w:fill="auto"/>
            <w:vAlign w:val="center"/>
          </w:tcPr>
          <w:p>
            <w:pPr>
              <w:snapToGrid w:val="0"/>
              <w:spacing w:line="360" w:lineRule="auto"/>
              <w:rPr>
                <w:rFonts w:ascii="Book Antiqua" w:hAnsi="Book Antiqua"/>
                <w:sz w:val="24"/>
              </w:rPr>
            </w:pPr>
            <w:r>
              <w:rPr>
                <w:rFonts w:ascii="Book Antiqua" w:hAnsi="Book Antiqua"/>
                <w:sz w:val="24"/>
              </w:rPr>
              <w:t>Weakness</w:t>
            </w:r>
          </w:p>
        </w:tc>
        <w:tc>
          <w:tcPr>
            <w:tcW w:w="3661" w:type="dxa"/>
            <w:shd w:val="clear" w:color="auto" w:fill="auto"/>
            <w:vAlign w:val="center"/>
          </w:tcPr>
          <w:p>
            <w:pPr>
              <w:widowControl/>
              <w:snapToGrid w:val="0"/>
              <w:spacing w:line="360" w:lineRule="auto"/>
              <w:rPr>
                <w:rFonts w:ascii="Book Antiqua" w:hAnsi="Book Antiqua"/>
                <w:sz w:val="24"/>
              </w:rPr>
            </w:pPr>
          </w:p>
        </w:tc>
        <w:tc>
          <w:tcPr>
            <w:tcW w:w="2772"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46</w:t>
            </w:r>
          </w:p>
        </w:tc>
        <w:tc>
          <w:tcPr>
            <w:tcW w:w="1826"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37</w:t>
            </w:r>
          </w:p>
        </w:tc>
        <w:tc>
          <w:tcPr>
            <w:tcW w:w="1049" w:type="dxa"/>
            <w:shd w:val="clear" w:color="auto" w:fill="auto"/>
            <w:vAlign w:val="center"/>
          </w:tcPr>
          <w:p>
            <w:pPr>
              <w:snapToGrid w:val="0"/>
              <w:spacing w:line="360" w:lineRule="auto"/>
              <w:rPr>
                <w:rFonts w:ascii="Book Antiqua" w:hAnsi="Book Antiqua"/>
                <w:sz w:val="24"/>
              </w:rPr>
            </w:pPr>
            <w:r>
              <w:rPr>
                <w:rFonts w:ascii="Book Antiqua" w:hAnsi="Book Antiqua"/>
                <w:sz w:val="24"/>
              </w:rPr>
              <w:t>0.158</w:t>
            </w:r>
          </w:p>
        </w:tc>
      </w:tr>
      <w:tr>
        <w:tblPrEx>
          <w:tblLayout w:type="fixed"/>
          <w:tblCellMar>
            <w:top w:w="15" w:type="dxa"/>
            <w:left w:w="15" w:type="dxa"/>
            <w:bottom w:w="15" w:type="dxa"/>
            <w:right w:w="15" w:type="dxa"/>
          </w:tblCellMar>
        </w:tblPrEx>
        <w:trPr>
          <w:trHeight w:val="285" w:hRule="atLeast"/>
        </w:trPr>
        <w:tc>
          <w:tcPr>
            <w:tcW w:w="4676" w:type="dxa"/>
            <w:shd w:val="clear" w:color="auto" w:fill="auto"/>
            <w:vAlign w:val="center"/>
          </w:tcPr>
          <w:p>
            <w:pPr>
              <w:snapToGrid w:val="0"/>
              <w:spacing w:line="360" w:lineRule="auto"/>
              <w:rPr>
                <w:rFonts w:ascii="Book Antiqua" w:hAnsi="Book Antiqua"/>
                <w:sz w:val="24"/>
              </w:rPr>
            </w:pPr>
            <w:r>
              <w:rPr>
                <w:rFonts w:ascii="Book Antiqua" w:hAnsi="Book Antiqua"/>
                <w:sz w:val="24"/>
              </w:rPr>
              <w:t>Poor appetite</w:t>
            </w:r>
          </w:p>
        </w:tc>
        <w:tc>
          <w:tcPr>
            <w:tcW w:w="3661" w:type="dxa"/>
            <w:shd w:val="clear" w:color="auto" w:fill="auto"/>
            <w:vAlign w:val="center"/>
          </w:tcPr>
          <w:p>
            <w:pPr>
              <w:widowControl/>
              <w:snapToGrid w:val="0"/>
              <w:spacing w:line="360" w:lineRule="auto"/>
              <w:rPr>
                <w:rFonts w:ascii="Book Antiqua" w:hAnsi="Book Antiqua"/>
                <w:sz w:val="24"/>
              </w:rPr>
            </w:pPr>
          </w:p>
        </w:tc>
        <w:tc>
          <w:tcPr>
            <w:tcW w:w="2772"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163</w:t>
            </w:r>
          </w:p>
        </w:tc>
        <w:tc>
          <w:tcPr>
            <w:tcW w:w="1826"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117</w:t>
            </w:r>
          </w:p>
        </w:tc>
        <w:tc>
          <w:tcPr>
            <w:tcW w:w="1049" w:type="dxa"/>
            <w:shd w:val="clear" w:color="auto" w:fill="auto"/>
            <w:vAlign w:val="center"/>
          </w:tcPr>
          <w:p>
            <w:pPr>
              <w:snapToGrid w:val="0"/>
              <w:spacing w:line="360" w:lineRule="auto"/>
              <w:rPr>
                <w:rFonts w:ascii="Book Antiqua" w:hAnsi="Book Antiqua"/>
                <w:sz w:val="24"/>
              </w:rPr>
            </w:pPr>
            <w:r>
              <w:rPr>
                <w:rFonts w:ascii="Book Antiqua" w:hAnsi="Book Antiqua"/>
                <w:sz w:val="24"/>
              </w:rPr>
              <w:t>0.362</w:t>
            </w:r>
          </w:p>
        </w:tc>
      </w:tr>
      <w:tr>
        <w:tblPrEx>
          <w:tblLayout w:type="fixed"/>
          <w:tblCellMar>
            <w:top w:w="15" w:type="dxa"/>
            <w:left w:w="15" w:type="dxa"/>
            <w:bottom w:w="15" w:type="dxa"/>
            <w:right w:w="15" w:type="dxa"/>
          </w:tblCellMar>
        </w:tblPrEx>
        <w:trPr>
          <w:trHeight w:val="285" w:hRule="atLeast"/>
        </w:trPr>
        <w:tc>
          <w:tcPr>
            <w:tcW w:w="4676" w:type="dxa"/>
            <w:shd w:val="clear" w:color="auto" w:fill="auto"/>
            <w:vAlign w:val="center"/>
          </w:tcPr>
          <w:p>
            <w:pPr>
              <w:snapToGrid w:val="0"/>
              <w:spacing w:line="360" w:lineRule="auto"/>
              <w:rPr>
                <w:rFonts w:ascii="Book Antiqua" w:hAnsi="Book Antiqua"/>
                <w:sz w:val="24"/>
              </w:rPr>
            </w:pPr>
            <w:r>
              <w:rPr>
                <w:rFonts w:ascii="Book Antiqua" w:hAnsi="Book Antiqua"/>
                <w:sz w:val="24"/>
              </w:rPr>
              <w:t>Jaundice</w:t>
            </w:r>
          </w:p>
        </w:tc>
        <w:tc>
          <w:tcPr>
            <w:tcW w:w="3661" w:type="dxa"/>
            <w:shd w:val="clear" w:color="auto" w:fill="auto"/>
            <w:vAlign w:val="center"/>
          </w:tcPr>
          <w:p>
            <w:pPr>
              <w:widowControl/>
              <w:snapToGrid w:val="0"/>
              <w:spacing w:line="360" w:lineRule="auto"/>
              <w:rPr>
                <w:rFonts w:ascii="Book Antiqua" w:hAnsi="Book Antiqua"/>
                <w:sz w:val="24"/>
              </w:rPr>
            </w:pPr>
          </w:p>
        </w:tc>
        <w:tc>
          <w:tcPr>
            <w:tcW w:w="2772"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42</w:t>
            </w:r>
          </w:p>
        </w:tc>
        <w:tc>
          <w:tcPr>
            <w:tcW w:w="1826"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29</w:t>
            </w:r>
          </w:p>
        </w:tc>
        <w:tc>
          <w:tcPr>
            <w:tcW w:w="1049" w:type="dxa"/>
            <w:shd w:val="clear" w:color="auto" w:fill="auto"/>
            <w:vAlign w:val="center"/>
          </w:tcPr>
          <w:p>
            <w:pPr>
              <w:snapToGrid w:val="0"/>
              <w:spacing w:line="360" w:lineRule="auto"/>
              <w:rPr>
                <w:rFonts w:ascii="Book Antiqua" w:hAnsi="Book Antiqua"/>
                <w:sz w:val="24"/>
              </w:rPr>
            </w:pPr>
            <w:r>
              <w:rPr>
                <w:rFonts w:ascii="Book Antiqua" w:hAnsi="Book Antiqua"/>
                <w:sz w:val="24"/>
              </w:rPr>
              <w:t>0.293</w:t>
            </w:r>
          </w:p>
        </w:tc>
      </w:tr>
      <w:tr>
        <w:tblPrEx>
          <w:tblLayout w:type="fixed"/>
          <w:tblCellMar>
            <w:top w:w="15" w:type="dxa"/>
            <w:left w:w="15" w:type="dxa"/>
            <w:bottom w:w="15" w:type="dxa"/>
            <w:right w:w="15" w:type="dxa"/>
          </w:tblCellMar>
        </w:tblPrEx>
        <w:trPr>
          <w:trHeight w:val="285" w:hRule="atLeast"/>
        </w:trPr>
        <w:tc>
          <w:tcPr>
            <w:tcW w:w="4676" w:type="dxa"/>
            <w:shd w:val="clear" w:color="auto" w:fill="auto"/>
            <w:vAlign w:val="center"/>
          </w:tcPr>
          <w:p>
            <w:pPr>
              <w:snapToGrid w:val="0"/>
              <w:spacing w:line="360" w:lineRule="auto"/>
              <w:rPr>
                <w:rFonts w:ascii="Book Antiqua" w:hAnsi="Book Antiqua"/>
                <w:sz w:val="24"/>
              </w:rPr>
            </w:pPr>
            <w:r>
              <w:rPr>
                <w:rFonts w:ascii="Book Antiqua" w:hAnsi="Book Antiqua"/>
                <w:sz w:val="24"/>
              </w:rPr>
              <w:t>Lower limbs edema</w:t>
            </w:r>
          </w:p>
        </w:tc>
        <w:tc>
          <w:tcPr>
            <w:tcW w:w="3661" w:type="dxa"/>
            <w:shd w:val="clear" w:color="auto" w:fill="auto"/>
            <w:vAlign w:val="center"/>
          </w:tcPr>
          <w:p>
            <w:pPr>
              <w:widowControl/>
              <w:snapToGrid w:val="0"/>
              <w:spacing w:line="360" w:lineRule="auto"/>
              <w:rPr>
                <w:rFonts w:ascii="Book Antiqua" w:hAnsi="Book Antiqua"/>
                <w:sz w:val="24"/>
              </w:rPr>
            </w:pPr>
          </w:p>
        </w:tc>
        <w:tc>
          <w:tcPr>
            <w:tcW w:w="2772"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32</w:t>
            </w:r>
          </w:p>
        </w:tc>
        <w:tc>
          <w:tcPr>
            <w:tcW w:w="1826"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24</w:t>
            </w:r>
          </w:p>
        </w:tc>
        <w:tc>
          <w:tcPr>
            <w:tcW w:w="1049" w:type="dxa"/>
            <w:shd w:val="clear" w:color="auto" w:fill="auto"/>
            <w:vAlign w:val="center"/>
          </w:tcPr>
          <w:p>
            <w:pPr>
              <w:snapToGrid w:val="0"/>
              <w:spacing w:line="360" w:lineRule="auto"/>
              <w:rPr>
                <w:rFonts w:ascii="Book Antiqua" w:hAnsi="Book Antiqua"/>
                <w:sz w:val="24"/>
              </w:rPr>
            </w:pPr>
            <w:r>
              <w:rPr>
                <w:rFonts w:ascii="Book Antiqua" w:hAnsi="Book Antiqua"/>
                <w:sz w:val="24"/>
              </w:rPr>
              <w:t>0.675</w:t>
            </w:r>
          </w:p>
        </w:tc>
      </w:tr>
      <w:tr>
        <w:tblPrEx>
          <w:tblLayout w:type="fixed"/>
          <w:tblCellMar>
            <w:top w:w="15" w:type="dxa"/>
            <w:left w:w="15" w:type="dxa"/>
            <w:bottom w:w="15" w:type="dxa"/>
            <w:right w:w="15" w:type="dxa"/>
          </w:tblCellMar>
        </w:tblPrEx>
        <w:trPr>
          <w:trHeight w:val="285" w:hRule="atLeast"/>
        </w:trPr>
        <w:tc>
          <w:tcPr>
            <w:tcW w:w="4676" w:type="dxa"/>
            <w:shd w:val="clear" w:color="auto" w:fill="auto"/>
            <w:vAlign w:val="center"/>
          </w:tcPr>
          <w:p>
            <w:pPr>
              <w:snapToGrid w:val="0"/>
              <w:spacing w:line="360" w:lineRule="auto"/>
              <w:rPr>
                <w:rFonts w:ascii="Book Antiqua" w:hAnsi="Book Antiqua"/>
                <w:sz w:val="24"/>
              </w:rPr>
            </w:pPr>
            <w:r>
              <w:rPr>
                <w:rFonts w:ascii="Book Antiqua" w:hAnsi="Book Antiqua"/>
                <w:sz w:val="24"/>
              </w:rPr>
              <w:t>Endoscopic therapy</w:t>
            </w:r>
          </w:p>
        </w:tc>
        <w:tc>
          <w:tcPr>
            <w:tcW w:w="3661" w:type="dxa"/>
            <w:shd w:val="clear" w:color="auto" w:fill="auto"/>
            <w:vAlign w:val="center"/>
          </w:tcPr>
          <w:p>
            <w:pPr>
              <w:widowControl/>
              <w:snapToGrid w:val="0"/>
              <w:spacing w:line="360" w:lineRule="auto"/>
              <w:rPr>
                <w:rFonts w:ascii="Book Antiqua" w:hAnsi="Book Antiqua"/>
                <w:sz w:val="24"/>
              </w:rPr>
            </w:pPr>
          </w:p>
        </w:tc>
        <w:tc>
          <w:tcPr>
            <w:tcW w:w="2772"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538</w:t>
            </w:r>
          </w:p>
        </w:tc>
        <w:tc>
          <w:tcPr>
            <w:tcW w:w="1826" w:type="dxa"/>
            <w:shd w:val="clear" w:color="auto" w:fill="auto"/>
            <w:vAlign w:val="center"/>
          </w:tcPr>
          <w:p>
            <w:pPr>
              <w:widowControl/>
              <w:snapToGrid w:val="0"/>
              <w:spacing w:line="360" w:lineRule="auto"/>
              <w:rPr>
                <w:rFonts w:ascii="Book Antiqua" w:hAnsi="Book Antiqua"/>
                <w:sz w:val="24"/>
              </w:rPr>
            </w:pPr>
            <w:r>
              <w:rPr>
                <w:rFonts w:ascii="Book Antiqua" w:hAnsi="Book Antiqua"/>
                <w:sz w:val="24"/>
              </w:rPr>
              <w:t>372</w:t>
            </w:r>
          </w:p>
        </w:tc>
        <w:tc>
          <w:tcPr>
            <w:tcW w:w="1049" w:type="dxa"/>
            <w:shd w:val="clear" w:color="auto" w:fill="auto"/>
            <w:vAlign w:val="center"/>
          </w:tcPr>
          <w:p>
            <w:pPr>
              <w:snapToGrid w:val="0"/>
              <w:spacing w:line="360" w:lineRule="auto"/>
              <w:rPr>
                <w:rFonts w:ascii="Book Antiqua" w:hAnsi="Book Antiqua"/>
                <w:sz w:val="24"/>
              </w:rPr>
            </w:pPr>
            <w:r>
              <w:rPr>
                <w:rFonts w:ascii="Book Antiqua" w:hAnsi="Book Antiqua"/>
                <w:sz w:val="24"/>
              </w:rPr>
              <w:t>0.427</w:t>
            </w:r>
          </w:p>
        </w:tc>
      </w:tr>
      <w:tr>
        <w:tblPrEx>
          <w:tblLayout w:type="fixed"/>
          <w:tblCellMar>
            <w:top w:w="15" w:type="dxa"/>
            <w:left w:w="15" w:type="dxa"/>
            <w:bottom w:w="15" w:type="dxa"/>
            <w:right w:w="15" w:type="dxa"/>
          </w:tblCellMar>
        </w:tblPrEx>
        <w:trPr>
          <w:trHeight w:val="285" w:hRule="atLeast"/>
        </w:trPr>
        <w:tc>
          <w:tcPr>
            <w:tcW w:w="4676" w:type="dxa"/>
            <w:tcBorders>
              <w:bottom w:val="single" w:color="000000" w:sz="4" w:space="0"/>
            </w:tcBorders>
            <w:shd w:val="clear" w:color="auto" w:fill="auto"/>
            <w:vAlign w:val="center"/>
          </w:tcPr>
          <w:p>
            <w:pPr>
              <w:snapToGrid w:val="0"/>
              <w:spacing w:line="360" w:lineRule="auto"/>
              <w:rPr>
                <w:rFonts w:ascii="Book Antiqua" w:hAnsi="Book Antiqua"/>
                <w:sz w:val="24"/>
              </w:rPr>
            </w:pPr>
            <w:r>
              <w:rPr>
                <w:rFonts w:ascii="Book Antiqua" w:hAnsi="Book Antiqua"/>
                <w:sz w:val="24"/>
              </w:rPr>
              <w:t>Ascites paracentesis</w:t>
            </w:r>
          </w:p>
        </w:tc>
        <w:tc>
          <w:tcPr>
            <w:tcW w:w="3661" w:type="dxa"/>
            <w:tcBorders>
              <w:bottom w:val="single" w:color="000000" w:sz="4" w:space="0"/>
            </w:tcBorders>
            <w:shd w:val="clear" w:color="auto" w:fill="auto"/>
            <w:vAlign w:val="center"/>
          </w:tcPr>
          <w:p>
            <w:pPr>
              <w:widowControl/>
              <w:snapToGrid w:val="0"/>
              <w:spacing w:line="360" w:lineRule="auto"/>
              <w:rPr>
                <w:rFonts w:ascii="Book Antiqua" w:hAnsi="Book Antiqua"/>
                <w:sz w:val="24"/>
              </w:rPr>
            </w:pPr>
          </w:p>
        </w:tc>
        <w:tc>
          <w:tcPr>
            <w:tcW w:w="2772" w:type="dxa"/>
            <w:tcBorders>
              <w:bottom w:val="single" w:color="000000" w:sz="4" w:space="0"/>
            </w:tcBorders>
            <w:shd w:val="clear" w:color="auto" w:fill="auto"/>
            <w:vAlign w:val="center"/>
          </w:tcPr>
          <w:p>
            <w:pPr>
              <w:widowControl/>
              <w:snapToGrid w:val="0"/>
              <w:spacing w:line="360" w:lineRule="auto"/>
              <w:rPr>
                <w:rFonts w:ascii="Book Antiqua" w:hAnsi="Book Antiqua"/>
                <w:sz w:val="24"/>
              </w:rPr>
            </w:pPr>
            <w:r>
              <w:rPr>
                <w:rFonts w:ascii="Book Antiqua" w:hAnsi="Book Antiqua"/>
                <w:sz w:val="24"/>
              </w:rPr>
              <w:t>227</w:t>
            </w:r>
          </w:p>
        </w:tc>
        <w:tc>
          <w:tcPr>
            <w:tcW w:w="1826" w:type="dxa"/>
            <w:tcBorders>
              <w:bottom w:val="single" w:color="000000" w:sz="4" w:space="0"/>
            </w:tcBorders>
            <w:shd w:val="clear" w:color="auto" w:fill="auto"/>
            <w:vAlign w:val="center"/>
          </w:tcPr>
          <w:p>
            <w:pPr>
              <w:widowControl/>
              <w:snapToGrid w:val="0"/>
              <w:spacing w:line="360" w:lineRule="auto"/>
              <w:rPr>
                <w:rFonts w:ascii="Book Antiqua" w:hAnsi="Book Antiqua"/>
                <w:sz w:val="24"/>
              </w:rPr>
            </w:pPr>
            <w:r>
              <w:rPr>
                <w:rFonts w:ascii="Book Antiqua" w:hAnsi="Book Antiqua"/>
                <w:sz w:val="24"/>
              </w:rPr>
              <w:t>147</w:t>
            </w:r>
          </w:p>
        </w:tc>
        <w:tc>
          <w:tcPr>
            <w:tcW w:w="1049" w:type="dxa"/>
            <w:tcBorders>
              <w:bottom w:val="single" w:color="000000" w:sz="4" w:space="0"/>
            </w:tcBorders>
            <w:shd w:val="clear" w:color="auto" w:fill="auto"/>
            <w:vAlign w:val="center"/>
          </w:tcPr>
          <w:p>
            <w:pPr>
              <w:snapToGrid w:val="0"/>
              <w:spacing w:line="360" w:lineRule="auto"/>
              <w:rPr>
                <w:rFonts w:ascii="Book Antiqua" w:hAnsi="Book Antiqua"/>
                <w:sz w:val="24"/>
              </w:rPr>
            </w:pPr>
            <w:r>
              <w:rPr>
                <w:rFonts w:ascii="Book Antiqua" w:hAnsi="Book Antiqua"/>
                <w:sz w:val="24"/>
              </w:rPr>
              <w:t>0.489</w:t>
            </w:r>
          </w:p>
        </w:tc>
      </w:tr>
    </w:tbl>
    <w:p>
      <w:pPr>
        <w:snapToGrid w:val="0"/>
        <w:spacing w:line="360" w:lineRule="auto"/>
        <w:rPr>
          <w:rFonts w:ascii="Book Antiqua" w:hAnsi="Book Antiqua"/>
          <w:b/>
          <w:sz w:val="24"/>
        </w:rPr>
      </w:pPr>
    </w:p>
    <w:p>
      <w:pPr>
        <w:widowControl/>
        <w:snapToGrid w:val="0"/>
        <w:spacing w:line="360" w:lineRule="auto"/>
        <w:rPr>
          <w:rFonts w:ascii="Book Antiqua" w:hAnsi="Book Antiqua"/>
          <w:b/>
          <w:sz w:val="24"/>
        </w:rPr>
      </w:pPr>
      <w:r>
        <w:rPr>
          <w:rFonts w:ascii="Book Antiqua" w:hAnsi="Book Antiqua"/>
          <w:b/>
          <w:sz w:val="24"/>
        </w:rPr>
        <w:br w:type="page"/>
      </w:r>
    </w:p>
    <w:p>
      <w:pPr>
        <w:widowControl/>
        <w:snapToGrid w:val="0"/>
        <w:spacing w:line="360" w:lineRule="auto"/>
        <w:rPr>
          <w:rFonts w:ascii="Book Antiqua" w:hAnsi="Book Antiqua" w:eastAsia="黑体"/>
          <w:b/>
          <w:sz w:val="24"/>
        </w:rPr>
      </w:pPr>
      <w:r>
        <w:rPr>
          <w:rFonts w:ascii="Book Antiqua" w:hAnsi="Book Antiqua" w:eastAsia="黑体"/>
          <w:b/>
          <w:sz w:val="24"/>
        </w:rPr>
        <w:t>Table 2 Clinical characteristics of the patients</w:t>
      </w:r>
    </w:p>
    <w:tbl>
      <w:tblPr>
        <w:tblStyle w:val="8"/>
        <w:tblW w:w="13984"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952"/>
        <w:gridCol w:w="1377"/>
        <w:gridCol w:w="89"/>
        <w:gridCol w:w="1482"/>
        <w:gridCol w:w="1698"/>
        <w:gridCol w:w="1832"/>
        <w:gridCol w:w="8"/>
        <w:gridCol w:w="1966"/>
        <w:gridCol w:w="64"/>
        <w:gridCol w:w="1247"/>
        <w:gridCol w:w="64"/>
        <w:gridCol w:w="1180"/>
        <w:gridCol w:w="2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52" w:type="dxa"/>
            <w:vMerge w:val="restart"/>
            <w:tcBorders>
              <w:top w:val="single" w:color="auto" w:sz="4" w:space="0"/>
              <w:bottom w:val="nil"/>
            </w:tcBorders>
            <w:shd w:val="clear" w:color="auto" w:fill="auto"/>
            <w:vAlign w:val="center"/>
          </w:tcPr>
          <w:p>
            <w:pPr>
              <w:widowControl/>
              <w:snapToGrid w:val="0"/>
              <w:spacing w:line="360" w:lineRule="auto"/>
              <w:rPr>
                <w:rFonts w:ascii="Book Antiqua" w:hAnsi="Book Antiqua" w:eastAsia="黑体"/>
                <w:b/>
                <w:bCs/>
                <w:sz w:val="24"/>
              </w:rPr>
            </w:pPr>
            <w:r>
              <w:rPr>
                <w:rFonts w:ascii="Book Antiqua" w:hAnsi="Book Antiqua" w:eastAsia="黑体"/>
                <w:b/>
                <w:bCs/>
                <w:sz w:val="24"/>
              </w:rPr>
              <w:t>Characteristics</w:t>
            </w:r>
          </w:p>
        </w:tc>
        <w:tc>
          <w:tcPr>
            <w:tcW w:w="1466" w:type="dxa"/>
            <w:gridSpan w:val="2"/>
            <w:vMerge w:val="restart"/>
            <w:tcBorders>
              <w:top w:val="single" w:color="auto" w:sz="4" w:space="0"/>
              <w:bottom w:val="nil"/>
            </w:tcBorders>
            <w:shd w:val="clear" w:color="auto" w:fill="auto"/>
            <w:vAlign w:val="center"/>
          </w:tcPr>
          <w:p>
            <w:pPr>
              <w:widowControl/>
              <w:snapToGrid w:val="0"/>
              <w:spacing w:line="360" w:lineRule="auto"/>
              <w:rPr>
                <w:rFonts w:ascii="Book Antiqua" w:hAnsi="Book Antiqua" w:eastAsia="黑体"/>
                <w:b/>
                <w:bCs/>
                <w:sz w:val="24"/>
              </w:rPr>
            </w:pPr>
            <w:r>
              <w:rPr>
                <w:rFonts w:ascii="Book Antiqua" w:hAnsi="Book Antiqua" w:eastAsia="黑体"/>
                <w:b/>
                <w:bCs/>
                <w:sz w:val="24"/>
              </w:rPr>
              <w:t>Group</w:t>
            </w:r>
          </w:p>
        </w:tc>
        <w:tc>
          <w:tcPr>
            <w:tcW w:w="1482" w:type="dxa"/>
            <w:vMerge w:val="restart"/>
            <w:tcBorders>
              <w:top w:val="single" w:color="auto" w:sz="4" w:space="0"/>
              <w:bottom w:val="nil"/>
            </w:tcBorders>
            <w:shd w:val="clear" w:color="auto" w:fill="auto"/>
            <w:vAlign w:val="center"/>
          </w:tcPr>
          <w:p>
            <w:pPr>
              <w:widowControl/>
              <w:snapToGrid w:val="0"/>
              <w:spacing w:line="360" w:lineRule="auto"/>
              <w:rPr>
                <w:rFonts w:ascii="Book Antiqua" w:hAnsi="Book Antiqua" w:eastAsia="黑体"/>
                <w:b/>
                <w:bCs/>
                <w:i/>
                <w:iCs/>
                <w:sz w:val="24"/>
              </w:rPr>
            </w:pPr>
            <w:r>
              <w:rPr>
                <w:rFonts w:ascii="Book Antiqua" w:hAnsi="Book Antiqua" w:eastAsia="黑体"/>
                <w:b/>
                <w:bCs/>
                <w:i/>
                <w:iCs/>
                <w:sz w:val="24"/>
              </w:rPr>
              <w:t>n</w:t>
            </w:r>
          </w:p>
        </w:tc>
        <w:tc>
          <w:tcPr>
            <w:tcW w:w="3530" w:type="dxa"/>
            <w:gridSpan w:val="2"/>
            <w:tcBorders>
              <w:top w:val="single" w:color="auto" w:sz="4" w:space="0"/>
              <w:bottom w:val="nil"/>
            </w:tcBorders>
            <w:shd w:val="clear" w:color="auto" w:fill="auto"/>
            <w:vAlign w:val="center"/>
          </w:tcPr>
          <w:p>
            <w:pPr>
              <w:widowControl/>
              <w:snapToGrid w:val="0"/>
              <w:spacing w:line="360" w:lineRule="auto"/>
              <w:jc w:val="center"/>
              <w:rPr>
                <w:rFonts w:ascii="Book Antiqua" w:hAnsi="Book Antiqua" w:eastAsia="黑体"/>
                <w:b/>
                <w:bCs/>
                <w:sz w:val="24"/>
              </w:rPr>
            </w:pPr>
            <w:r>
              <w:rPr>
                <w:rFonts w:ascii="Book Antiqua" w:hAnsi="Book Antiqua" w:eastAsia="黑体"/>
                <w:b/>
                <w:bCs/>
                <w:sz w:val="24"/>
              </w:rPr>
              <w:t>Portal vein thrombosis</w:t>
            </w:r>
          </w:p>
        </w:tc>
        <w:tc>
          <w:tcPr>
            <w:tcW w:w="2038" w:type="dxa"/>
            <w:gridSpan w:val="3"/>
            <w:vMerge w:val="restart"/>
            <w:tcBorders>
              <w:top w:val="single" w:color="auto" w:sz="4" w:space="0"/>
              <w:bottom w:val="single" w:color="auto" w:sz="4" w:space="0"/>
            </w:tcBorders>
            <w:shd w:val="clear" w:color="auto" w:fill="auto"/>
            <w:vAlign w:val="center"/>
          </w:tcPr>
          <w:p>
            <w:pPr>
              <w:widowControl/>
              <w:snapToGrid w:val="0"/>
              <w:spacing w:line="360" w:lineRule="auto"/>
              <w:jc w:val="left"/>
              <w:rPr>
                <w:rFonts w:ascii="Book Antiqua" w:hAnsi="Book Antiqua" w:eastAsia="黑体"/>
                <w:b/>
                <w:bCs/>
                <w:sz w:val="24"/>
              </w:rPr>
            </w:pPr>
            <w:r>
              <w:rPr>
                <w:rFonts w:ascii="Book Antiqua" w:hAnsi="Book Antiqua" w:eastAsia="黑体"/>
                <w:b/>
                <w:bCs/>
                <w:sz w:val="24"/>
              </w:rPr>
              <w:t>Portal vein thrombosis rate</w:t>
            </w:r>
          </w:p>
        </w:tc>
        <w:tc>
          <w:tcPr>
            <w:tcW w:w="1247" w:type="dxa"/>
            <w:vMerge w:val="restart"/>
            <w:tcBorders>
              <w:top w:val="single" w:color="auto" w:sz="4" w:space="0"/>
              <w:bottom w:val="single" w:color="auto" w:sz="4" w:space="0"/>
            </w:tcBorders>
            <w:shd w:val="clear" w:color="auto" w:fill="auto"/>
            <w:vAlign w:val="center"/>
          </w:tcPr>
          <w:p>
            <w:pPr>
              <w:widowControl/>
              <w:snapToGrid w:val="0"/>
              <w:spacing w:line="360" w:lineRule="auto"/>
              <w:rPr>
                <w:rFonts w:ascii="Book Antiqua" w:hAnsi="Book Antiqua" w:eastAsia="黑体"/>
                <w:b/>
                <w:bCs/>
                <w:sz w:val="24"/>
              </w:rPr>
            </w:pPr>
            <w:r>
              <w:rPr>
                <w:rFonts w:ascii="Book Antiqua" w:hAnsi="Book Antiqua" w:eastAsia="黑体"/>
                <w:b/>
                <w:bCs/>
                <w:sz w:val="24"/>
              </w:rPr>
              <w:t>χ</w:t>
            </w:r>
            <w:r>
              <w:rPr>
                <w:rFonts w:ascii="Book Antiqua" w:hAnsi="Book Antiqua" w:eastAsia="黑体"/>
                <w:b/>
                <w:bCs/>
                <w:sz w:val="24"/>
                <w:vertAlign w:val="superscript"/>
              </w:rPr>
              <w:t>2</w:t>
            </w:r>
          </w:p>
        </w:tc>
        <w:tc>
          <w:tcPr>
            <w:tcW w:w="1269" w:type="dxa"/>
            <w:gridSpan w:val="3"/>
            <w:vMerge w:val="restart"/>
            <w:tcBorders>
              <w:top w:val="single" w:color="auto" w:sz="4" w:space="0"/>
              <w:bottom w:val="single" w:color="auto" w:sz="4" w:space="0"/>
            </w:tcBorders>
            <w:shd w:val="clear" w:color="auto" w:fill="auto"/>
            <w:vAlign w:val="center"/>
          </w:tcPr>
          <w:p>
            <w:pPr>
              <w:widowControl/>
              <w:snapToGrid w:val="0"/>
              <w:spacing w:line="360" w:lineRule="auto"/>
              <w:rPr>
                <w:rFonts w:ascii="Book Antiqua" w:hAnsi="Book Antiqua" w:eastAsia="黑体"/>
                <w:b/>
                <w:bCs/>
                <w:sz w:val="24"/>
              </w:rPr>
            </w:pPr>
            <w:r>
              <w:rPr>
                <w:rFonts w:ascii="Book Antiqua" w:hAnsi="Book Antiqua" w:eastAsia="黑体"/>
                <w:b/>
                <w:bCs/>
                <w:i/>
                <w:iCs/>
                <w:sz w:val="24"/>
              </w:rPr>
              <w:t>P</w:t>
            </w:r>
            <w:r>
              <w:rPr>
                <w:rFonts w:ascii="Book Antiqua" w:hAnsi="Book Antiqua" w:eastAsia="黑体"/>
                <w:b/>
                <w:bCs/>
                <w:sz w:val="24"/>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52" w:type="dxa"/>
            <w:vMerge w:val="continue"/>
            <w:tcBorders>
              <w:top w:val="nil"/>
              <w:bottom w:val="single" w:color="auto" w:sz="4" w:space="0"/>
            </w:tcBorders>
            <w:shd w:val="clear" w:color="auto" w:fill="auto"/>
            <w:vAlign w:val="center"/>
          </w:tcPr>
          <w:p>
            <w:pPr>
              <w:snapToGrid w:val="0"/>
              <w:spacing w:line="360" w:lineRule="auto"/>
              <w:rPr>
                <w:rFonts w:ascii="Book Antiqua" w:hAnsi="Book Antiqua" w:eastAsia="黑体"/>
                <w:b/>
                <w:bCs/>
                <w:sz w:val="24"/>
              </w:rPr>
            </w:pPr>
          </w:p>
        </w:tc>
        <w:tc>
          <w:tcPr>
            <w:tcW w:w="1466" w:type="dxa"/>
            <w:gridSpan w:val="2"/>
            <w:vMerge w:val="continue"/>
            <w:tcBorders>
              <w:top w:val="nil"/>
              <w:bottom w:val="single" w:color="auto" w:sz="4" w:space="0"/>
            </w:tcBorders>
            <w:shd w:val="clear" w:color="auto" w:fill="auto"/>
            <w:vAlign w:val="center"/>
          </w:tcPr>
          <w:p>
            <w:pPr>
              <w:snapToGrid w:val="0"/>
              <w:spacing w:line="360" w:lineRule="auto"/>
              <w:rPr>
                <w:rFonts w:ascii="Book Antiqua" w:hAnsi="Book Antiqua" w:eastAsia="黑体"/>
                <w:b/>
                <w:bCs/>
                <w:sz w:val="24"/>
              </w:rPr>
            </w:pPr>
          </w:p>
        </w:tc>
        <w:tc>
          <w:tcPr>
            <w:tcW w:w="1482" w:type="dxa"/>
            <w:vMerge w:val="continue"/>
            <w:tcBorders>
              <w:top w:val="nil"/>
              <w:bottom w:val="single" w:color="auto" w:sz="4" w:space="0"/>
            </w:tcBorders>
            <w:shd w:val="clear" w:color="auto" w:fill="auto"/>
            <w:vAlign w:val="center"/>
          </w:tcPr>
          <w:p>
            <w:pPr>
              <w:snapToGrid w:val="0"/>
              <w:spacing w:line="360" w:lineRule="auto"/>
              <w:rPr>
                <w:rFonts w:ascii="Book Antiqua" w:hAnsi="Book Antiqua" w:eastAsia="黑体"/>
                <w:b/>
                <w:bCs/>
                <w:sz w:val="24"/>
              </w:rPr>
            </w:pPr>
          </w:p>
        </w:tc>
        <w:tc>
          <w:tcPr>
            <w:tcW w:w="1698" w:type="dxa"/>
            <w:tcBorders>
              <w:top w:val="nil"/>
              <w:bottom w:val="single" w:color="auto" w:sz="4" w:space="0"/>
            </w:tcBorders>
            <w:shd w:val="clear" w:color="auto" w:fill="auto"/>
            <w:vAlign w:val="center"/>
          </w:tcPr>
          <w:p>
            <w:pPr>
              <w:widowControl/>
              <w:snapToGrid w:val="0"/>
              <w:spacing w:line="360" w:lineRule="auto"/>
              <w:rPr>
                <w:rFonts w:ascii="Book Antiqua" w:hAnsi="Book Antiqua" w:eastAsia="黑体"/>
                <w:b/>
                <w:bCs/>
                <w:sz w:val="24"/>
              </w:rPr>
            </w:pPr>
            <w:r>
              <w:rPr>
                <w:rFonts w:ascii="Book Antiqua" w:hAnsi="Book Antiqua" w:eastAsia="黑体"/>
                <w:b/>
                <w:bCs/>
                <w:sz w:val="24"/>
              </w:rPr>
              <w:t>Yes</w:t>
            </w:r>
          </w:p>
        </w:tc>
        <w:tc>
          <w:tcPr>
            <w:tcW w:w="1832" w:type="dxa"/>
            <w:tcBorders>
              <w:top w:val="nil"/>
              <w:bottom w:val="single" w:color="auto" w:sz="4" w:space="0"/>
            </w:tcBorders>
            <w:shd w:val="clear" w:color="auto" w:fill="auto"/>
            <w:vAlign w:val="center"/>
          </w:tcPr>
          <w:p>
            <w:pPr>
              <w:widowControl/>
              <w:snapToGrid w:val="0"/>
              <w:spacing w:line="360" w:lineRule="auto"/>
              <w:rPr>
                <w:rFonts w:ascii="Book Antiqua" w:hAnsi="Book Antiqua" w:eastAsia="黑体"/>
                <w:b/>
                <w:bCs/>
                <w:sz w:val="24"/>
              </w:rPr>
            </w:pPr>
            <w:r>
              <w:rPr>
                <w:rFonts w:ascii="Book Antiqua" w:hAnsi="Book Antiqua" w:eastAsia="黑体"/>
                <w:b/>
                <w:bCs/>
                <w:sz w:val="24"/>
              </w:rPr>
              <w:t>No</w:t>
            </w:r>
          </w:p>
        </w:tc>
        <w:tc>
          <w:tcPr>
            <w:tcW w:w="2038" w:type="dxa"/>
            <w:gridSpan w:val="3"/>
            <w:vMerge w:val="continue"/>
            <w:tcBorders>
              <w:top w:val="nil"/>
              <w:bottom w:val="single" w:color="auto" w:sz="4" w:space="0"/>
            </w:tcBorders>
            <w:shd w:val="clear" w:color="auto" w:fill="auto"/>
            <w:vAlign w:val="center"/>
          </w:tcPr>
          <w:p>
            <w:pPr>
              <w:snapToGrid w:val="0"/>
              <w:spacing w:line="360" w:lineRule="auto"/>
              <w:rPr>
                <w:rFonts w:ascii="Book Antiqua" w:hAnsi="Book Antiqua" w:eastAsia="黑体"/>
                <w:b/>
                <w:bCs/>
                <w:sz w:val="24"/>
              </w:rPr>
            </w:pPr>
          </w:p>
        </w:tc>
        <w:tc>
          <w:tcPr>
            <w:tcW w:w="1247" w:type="dxa"/>
            <w:vMerge w:val="continue"/>
            <w:tcBorders>
              <w:top w:val="nil"/>
              <w:bottom w:val="single" w:color="auto" w:sz="4" w:space="0"/>
            </w:tcBorders>
            <w:shd w:val="clear" w:color="auto" w:fill="auto"/>
            <w:vAlign w:val="center"/>
          </w:tcPr>
          <w:p>
            <w:pPr>
              <w:snapToGrid w:val="0"/>
              <w:spacing w:line="360" w:lineRule="auto"/>
              <w:rPr>
                <w:rFonts w:ascii="Book Antiqua" w:hAnsi="Book Antiqua" w:eastAsia="黑体"/>
                <w:b/>
                <w:bCs/>
                <w:sz w:val="24"/>
              </w:rPr>
            </w:pPr>
          </w:p>
        </w:tc>
        <w:tc>
          <w:tcPr>
            <w:tcW w:w="1269" w:type="dxa"/>
            <w:gridSpan w:val="3"/>
            <w:vMerge w:val="continue"/>
            <w:tcBorders>
              <w:top w:val="nil"/>
              <w:bottom w:val="single" w:color="auto" w:sz="4" w:space="0"/>
            </w:tcBorders>
            <w:shd w:val="clear" w:color="auto" w:fill="auto"/>
            <w:vAlign w:val="center"/>
          </w:tcPr>
          <w:p>
            <w:pPr>
              <w:snapToGrid w:val="0"/>
              <w:spacing w:line="360" w:lineRule="auto"/>
              <w:rPr>
                <w:rFonts w:ascii="Book Antiqua" w:hAnsi="Book Antiqua" w:eastAsia="黑体"/>
                <w:b/>
                <w:bCs/>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1" w:hRule="atLeast"/>
        </w:trPr>
        <w:tc>
          <w:tcPr>
            <w:tcW w:w="2952" w:type="dxa"/>
            <w:vMerge w:val="restart"/>
            <w:tcBorders>
              <w:top w:val="single" w:color="auto" w:sz="4" w:space="0"/>
            </w:tcBorders>
            <w:shd w:val="clear" w:color="auto" w:fill="auto"/>
            <w:vAlign w:val="center"/>
          </w:tcPr>
          <w:p>
            <w:pPr>
              <w:widowControl/>
              <w:snapToGrid w:val="0"/>
              <w:spacing w:line="360" w:lineRule="auto"/>
              <w:jc w:val="left"/>
              <w:rPr>
                <w:rFonts w:ascii="Book Antiqua" w:hAnsi="Book Antiqua" w:eastAsia="黑体"/>
                <w:sz w:val="24"/>
              </w:rPr>
            </w:pPr>
            <w:r>
              <w:rPr>
                <w:rFonts w:ascii="Book Antiqua" w:hAnsi="Book Antiqua" w:eastAsia="黑体"/>
                <w:sz w:val="24"/>
              </w:rPr>
              <w:t>Portal vein thrombosis</w:t>
            </w:r>
          </w:p>
        </w:tc>
        <w:tc>
          <w:tcPr>
            <w:tcW w:w="1466" w:type="dxa"/>
            <w:gridSpan w:val="2"/>
            <w:tcBorders>
              <w:top w:val="single" w:color="auto" w:sz="4" w:space="0"/>
            </w:tcBorders>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A</w:t>
            </w:r>
          </w:p>
        </w:tc>
        <w:tc>
          <w:tcPr>
            <w:tcW w:w="1482" w:type="dxa"/>
            <w:tcBorders>
              <w:top w:val="single" w:color="auto" w:sz="4" w:space="0"/>
            </w:tcBorders>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289</w:t>
            </w:r>
          </w:p>
        </w:tc>
        <w:tc>
          <w:tcPr>
            <w:tcW w:w="1698" w:type="dxa"/>
            <w:tcBorders>
              <w:top w:val="single" w:color="auto" w:sz="4" w:space="0"/>
            </w:tcBorders>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65</w:t>
            </w:r>
          </w:p>
        </w:tc>
        <w:tc>
          <w:tcPr>
            <w:tcW w:w="1832" w:type="dxa"/>
            <w:tcBorders>
              <w:top w:val="single" w:color="auto" w:sz="4" w:space="0"/>
            </w:tcBorders>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224</w:t>
            </w:r>
          </w:p>
        </w:tc>
        <w:tc>
          <w:tcPr>
            <w:tcW w:w="2038" w:type="dxa"/>
            <w:gridSpan w:val="3"/>
            <w:tcBorders>
              <w:top w:val="single" w:color="auto" w:sz="4" w:space="0"/>
            </w:tcBorders>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11.0</w:t>
            </w:r>
          </w:p>
        </w:tc>
        <w:tc>
          <w:tcPr>
            <w:tcW w:w="1247" w:type="dxa"/>
            <w:vMerge w:val="restart"/>
            <w:tcBorders>
              <w:top w:val="single" w:color="auto" w:sz="4" w:space="0"/>
            </w:tcBorders>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25.60</w:t>
            </w:r>
          </w:p>
        </w:tc>
        <w:tc>
          <w:tcPr>
            <w:tcW w:w="1269" w:type="dxa"/>
            <w:gridSpan w:val="3"/>
            <w:vMerge w:val="restart"/>
            <w:tcBorders>
              <w:top w:val="single" w:color="auto" w:sz="4" w:space="0"/>
            </w:tcBorders>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 xml:space="preserve">0.003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952" w:type="dxa"/>
            <w:vMerge w:val="continue"/>
            <w:shd w:val="clear" w:color="auto" w:fill="auto"/>
            <w:vAlign w:val="center"/>
          </w:tcPr>
          <w:p>
            <w:pPr>
              <w:snapToGrid w:val="0"/>
              <w:spacing w:line="360" w:lineRule="auto"/>
              <w:jc w:val="left"/>
              <w:rPr>
                <w:rFonts w:ascii="Book Antiqua" w:hAnsi="Book Antiqua" w:eastAsia="黑体"/>
                <w:sz w:val="24"/>
              </w:rPr>
            </w:pPr>
          </w:p>
        </w:tc>
        <w:tc>
          <w:tcPr>
            <w:tcW w:w="1466" w:type="dxa"/>
            <w:gridSpan w:val="2"/>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B</w:t>
            </w:r>
          </w:p>
        </w:tc>
        <w:tc>
          <w:tcPr>
            <w:tcW w:w="1482"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197</w:t>
            </w:r>
          </w:p>
        </w:tc>
        <w:tc>
          <w:tcPr>
            <w:tcW w:w="1698"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87</w:t>
            </w:r>
          </w:p>
        </w:tc>
        <w:tc>
          <w:tcPr>
            <w:tcW w:w="1832"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110</w:t>
            </w:r>
          </w:p>
        </w:tc>
        <w:tc>
          <w:tcPr>
            <w:tcW w:w="2038" w:type="dxa"/>
            <w:gridSpan w:val="3"/>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44.2</w:t>
            </w:r>
          </w:p>
        </w:tc>
        <w:tc>
          <w:tcPr>
            <w:tcW w:w="1247" w:type="dxa"/>
            <w:vMerge w:val="continue"/>
            <w:shd w:val="clear" w:color="auto" w:fill="auto"/>
            <w:vAlign w:val="center"/>
          </w:tcPr>
          <w:p>
            <w:pPr>
              <w:snapToGrid w:val="0"/>
              <w:spacing w:line="360" w:lineRule="auto"/>
              <w:rPr>
                <w:rFonts w:ascii="Book Antiqua" w:hAnsi="Book Antiqua" w:eastAsia="黑体"/>
                <w:sz w:val="24"/>
              </w:rPr>
            </w:pPr>
          </w:p>
        </w:tc>
        <w:tc>
          <w:tcPr>
            <w:tcW w:w="1269" w:type="dxa"/>
            <w:gridSpan w:val="3"/>
            <w:vMerge w:val="continue"/>
            <w:shd w:val="clear" w:color="auto" w:fill="auto"/>
            <w:vAlign w:val="center"/>
          </w:tcPr>
          <w:p>
            <w:pPr>
              <w:snapToGrid w:val="0"/>
              <w:spacing w:line="360" w:lineRule="auto"/>
              <w:rPr>
                <w:rFonts w:ascii="Book Antiqua" w:hAnsi="Book Antiqua" w:eastAsia="黑体"/>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52" w:type="dxa"/>
            <w:vMerge w:val="restart"/>
            <w:shd w:val="clear" w:color="auto" w:fill="auto"/>
            <w:vAlign w:val="center"/>
          </w:tcPr>
          <w:p>
            <w:pPr>
              <w:widowControl/>
              <w:snapToGrid w:val="0"/>
              <w:spacing w:line="360" w:lineRule="auto"/>
              <w:jc w:val="left"/>
              <w:rPr>
                <w:rFonts w:ascii="Book Antiqua" w:hAnsi="Book Antiqua" w:eastAsia="黑体"/>
                <w:sz w:val="24"/>
              </w:rPr>
            </w:pPr>
          </w:p>
        </w:tc>
        <w:tc>
          <w:tcPr>
            <w:tcW w:w="1466" w:type="dxa"/>
            <w:gridSpan w:val="2"/>
            <w:vMerge w:val="restart"/>
            <w:shd w:val="clear" w:color="auto" w:fill="auto"/>
            <w:vAlign w:val="center"/>
          </w:tcPr>
          <w:p>
            <w:pPr>
              <w:widowControl/>
              <w:snapToGrid w:val="0"/>
              <w:spacing w:line="360" w:lineRule="auto"/>
              <w:rPr>
                <w:rFonts w:ascii="Book Antiqua" w:hAnsi="Book Antiqua" w:eastAsia="黑体"/>
                <w:sz w:val="24"/>
              </w:rPr>
            </w:pPr>
          </w:p>
        </w:tc>
        <w:tc>
          <w:tcPr>
            <w:tcW w:w="1482" w:type="dxa"/>
            <w:vMerge w:val="restart"/>
            <w:shd w:val="clear" w:color="auto" w:fill="auto"/>
            <w:vAlign w:val="center"/>
          </w:tcPr>
          <w:p>
            <w:pPr>
              <w:widowControl/>
              <w:snapToGrid w:val="0"/>
              <w:spacing w:line="360" w:lineRule="auto"/>
              <w:rPr>
                <w:rFonts w:ascii="Book Antiqua" w:hAnsi="Book Antiqua" w:eastAsia="黑体"/>
                <w:sz w:val="24"/>
              </w:rPr>
            </w:pPr>
          </w:p>
        </w:tc>
        <w:tc>
          <w:tcPr>
            <w:tcW w:w="3530" w:type="dxa"/>
            <w:gridSpan w:val="2"/>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TIPS success</w:t>
            </w:r>
          </w:p>
        </w:tc>
        <w:tc>
          <w:tcPr>
            <w:tcW w:w="2038" w:type="dxa"/>
            <w:gridSpan w:val="3"/>
            <w:vMerge w:val="restart"/>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TIPS success rate (%)</w:t>
            </w:r>
          </w:p>
        </w:tc>
        <w:tc>
          <w:tcPr>
            <w:tcW w:w="1247" w:type="dxa"/>
            <w:vMerge w:val="restart"/>
            <w:shd w:val="clear" w:color="auto" w:fill="auto"/>
            <w:vAlign w:val="center"/>
          </w:tcPr>
          <w:p>
            <w:pPr>
              <w:widowControl/>
              <w:snapToGrid w:val="0"/>
              <w:spacing w:line="360" w:lineRule="auto"/>
              <w:rPr>
                <w:rFonts w:ascii="Book Antiqua" w:hAnsi="Book Antiqua" w:eastAsia="黑体"/>
                <w:sz w:val="24"/>
              </w:rPr>
            </w:pPr>
          </w:p>
        </w:tc>
        <w:tc>
          <w:tcPr>
            <w:tcW w:w="1269" w:type="dxa"/>
            <w:gridSpan w:val="3"/>
            <w:vMerge w:val="restart"/>
            <w:shd w:val="clear" w:color="auto" w:fill="auto"/>
            <w:vAlign w:val="center"/>
          </w:tcPr>
          <w:p>
            <w:pPr>
              <w:widowControl/>
              <w:snapToGrid w:val="0"/>
              <w:spacing w:line="360" w:lineRule="auto"/>
              <w:rPr>
                <w:rFonts w:ascii="Book Antiqua" w:hAnsi="Book Antiqua" w:eastAsia="黑体"/>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52" w:type="dxa"/>
            <w:vMerge w:val="continue"/>
            <w:shd w:val="clear" w:color="auto" w:fill="auto"/>
            <w:vAlign w:val="center"/>
          </w:tcPr>
          <w:p>
            <w:pPr>
              <w:snapToGrid w:val="0"/>
              <w:spacing w:line="360" w:lineRule="auto"/>
              <w:jc w:val="left"/>
              <w:rPr>
                <w:rFonts w:ascii="Book Antiqua" w:hAnsi="Book Antiqua" w:eastAsia="黑体"/>
                <w:sz w:val="24"/>
              </w:rPr>
            </w:pPr>
          </w:p>
        </w:tc>
        <w:tc>
          <w:tcPr>
            <w:tcW w:w="1466" w:type="dxa"/>
            <w:gridSpan w:val="2"/>
            <w:vMerge w:val="continue"/>
            <w:shd w:val="clear" w:color="auto" w:fill="auto"/>
            <w:vAlign w:val="center"/>
          </w:tcPr>
          <w:p>
            <w:pPr>
              <w:snapToGrid w:val="0"/>
              <w:spacing w:line="360" w:lineRule="auto"/>
              <w:rPr>
                <w:rFonts w:ascii="Book Antiqua" w:hAnsi="Book Antiqua" w:eastAsia="黑体"/>
                <w:sz w:val="24"/>
              </w:rPr>
            </w:pPr>
          </w:p>
        </w:tc>
        <w:tc>
          <w:tcPr>
            <w:tcW w:w="1482" w:type="dxa"/>
            <w:vMerge w:val="continue"/>
            <w:shd w:val="clear" w:color="auto" w:fill="auto"/>
            <w:vAlign w:val="center"/>
          </w:tcPr>
          <w:p>
            <w:pPr>
              <w:snapToGrid w:val="0"/>
              <w:spacing w:line="360" w:lineRule="auto"/>
              <w:rPr>
                <w:rFonts w:ascii="Book Antiqua" w:hAnsi="Book Antiqua" w:eastAsia="黑体"/>
                <w:sz w:val="24"/>
              </w:rPr>
            </w:pPr>
          </w:p>
        </w:tc>
        <w:tc>
          <w:tcPr>
            <w:tcW w:w="1698"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Yes</w:t>
            </w:r>
          </w:p>
        </w:tc>
        <w:tc>
          <w:tcPr>
            <w:tcW w:w="1832"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Not</w:t>
            </w:r>
          </w:p>
        </w:tc>
        <w:tc>
          <w:tcPr>
            <w:tcW w:w="2038" w:type="dxa"/>
            <w:gridSpan w:val="3"/>
            <w:vMerge w:val="continue"/>
            <w:shd w:val="clear" w:color="auto" w:fill="auto"/>
            <w:vAlign w:val="center"/>
          </w:tcPr>
          <w:p>
            <w:pPr>
              <w:snapToGrid w:val="0"/>
              <w:spacing w:line="360" w:lineRule="auto"/>
              <w:rPr>
                <w:rFonts w:ascii="Book Antiqua" w:hAnsi="Book Antiqua" w:eastAsia="黑体"/>
                <w:sz w:val="24"/>
              </w:rPr>
            </w:pPr>
          </w:p>
        </w:tc>
        <w:tc>
          <w:tcPr>
            <w:tcW w:w="1247" w:type="dxa"/>
            <w:vMerge w:val="continue"/>
            <w:shd w:val="clear" w:color="auto" w:fill="auto"/>
            <w:vAlign w:val="center"/>
          </w:tcPr>
          <w:p>
            <w:pPr>
              <w:snapToGrid w:val="0"/>
              <w:spacing w:line="360" w:lineRule="auto"/>
              <w:rPr>
                <w:rFonts w:ascii="Book Antiqua" w:hAnsi="Book Antiqua" w:eastAsia="黑体"/>
                <w:sz w:val="24"/>
              </w:rPr>
            </w:pPr>
          </w:p>
        </w:tc>
        <w:tc>
          <w:tcPr>
            <w:tcW w:w="1269" w:type="dxa"/>
            <w:gridSpan w:val="3"/>
            <w:vMerge w:val="continue"/>
            <w:shd w:val="clear" w:color="auto" w:fill="auto"/>
            <w:vAlign w:val="center"/>
          </w:tcPr>
          <w:p>
            <w:pPr>
              <w:snapToGrid w:val="0"/>
              <w:spacing w:line="360" w:lineRule="auto"/>
              <w:rPr>
                <w:rFonts w:ascii="Book Antiqua" w:hAnsi="Book Antiqua" w:eastAsia="黑体"/>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52" w:type="dxa"/>
            <w:vMerge w:val="restart"/>
            <w:shd w:val="clear" w:color="auto" w:fill="auto"/>
            <w:vAlign w:val="center"/>
          </w:tcPr>
          <w:p>
            <w:pPr>
              <w:widowControl/>
              <w:snapToGrid w:val="0"/>
              <w:spacing w:line="360" w:lineRule="auto"/>
              <w:jc w:val="left"/>
              <w:rPr>
                <w:rFonts w:ascii="Book Antiqua" w:hAnsi="Book Antiqua" w:eastAsia="黑体"/>
                <w:sz w:val="24"/>
              </w:rPr>
            </w:pPr>
            <w:r>
              <w:rPr>
                <w:rFonts w:ascii="Book Antiqua" w:hAnsi="Book Antiqua" w:eastAsia="黑体"/>
                <w:sz w:val="24"/>
              </w:rPr>
              <w:t>TIPS</w:t>
            </w:r>
          </w:p>
        </w:tc>
        <w:tc>
          <w:tcPr>
            <w:tcW w:w="1466" w:type="dxa"/>
            <w:gridSpan w:val="2"/>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A</w:t>
            </w:r>
          </w:p>
        </w:tc>
        <w:tc>
          <w:tcPr>
            <w:tcW w:w="1482"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289</w:t>
            </w:r>
          </w:p>
        </w:tc>
        <w:tc>
          <w:tcPr>
            <w:tcW w:w="1698"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255</w:t>
            </w:r>
          </w:p>
        </w:tc>
        <w:tc>
          <w:tcPr>
            <w:tcW w:w="1832"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34</w:t>
            </w:r>
          </w:p>
        </w:tc>
        <w:tc>
          <w:tcPr>
            <w:tcW w:w="2038" w:type="dxa"/>
            <w:gridSpan w:val="3"/>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88.2</w:t>
            </w:r>
          </w:p>
        </w:tc>
        <w:tc>
          <w:tcPr>
            <w:tcW w:w="1247" w:type="dxa"/>
            <w:vMerge w:val="restart"/>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19.28</w:t>
            </w:r>
          </w:p>
        </w:tc>
        <w:tc>
          <w:tcPr>
            <w:tcW w:w="1269" w:type="dxa"/>
            <w:gridSpan w:val="3"/>
            <w:vMerge w:val="restart"/>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0.016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952" w:type="dxa"/>
            <w:vMerge w:val="continue"/>
            <w:shd w:val="clear" w:color="auto" w:fill="auto"/>
            <w:vAlign w:val="center"/>
          </w:tcPr>
          <w:p>
            <w:pPr>
              <w:snapToGrid w:val="0"/>
              <w:spacing w:line="360" w:lineRule="auto"/>
              <w:jc w:val="left"/>
              <w:rPr>
                <w:rFonts w:ascii="Book Antiqua" w:hAnsi="Book Antiqua" w:eastAsia="黑体"/>
                <w:sz w:val="24"/>
              </w:rPr>
            </w:pPr>
          </w:p>
        </w:tc>
        <w:tc>
          <w:tcPr>
            <w:tcW w:w="1466" w:type="dxa"/>
            <w:gridSpan w:val="2"/>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B</w:t>
            </w:r>
          </w:p>
        </w:tc>
        <w:tc>
          <w:tcPr>
            <w:tcW w:w="1482"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197</w:t>
            </w:r>
          </w:p>
        </w:tc>
        <w:tc>
          <w:tcPr>
            <w:tcW w:w="1698"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144</w:t>
            </w:r>
          </w:p>
        </w:tc>
        <w:tc>
          <w:tcPr>
            <w:tcW w:w="1832"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53</w:t>
            </w:r>
          </w:p>
        </w:tc>
        <w:tc>
          <w:tcPr>
            <w:tcW w:w="2038" w:type="dxa"/>
            <w:gridSpan w:val="3"/>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73.1</w:t>
            </w:r>
          </w:p>
        </w:tc>
        <w:tc>
          <w:tcPr>
            <w:tcW w:w="1247" w:type="dxa"/>
            <w:vMerge w:val="continue"/>
            <w:shd w:val="clear" w:color="auto" w:fill="auto"/>
            <w:vAlign w:val="center"/>
          </w:tcPr>
          <w:p>
            <w:pPr>
              <w:snapToGrid w:val="0"/>
              <w:spacing w:line="360" w:lineRule="auto"/>
              <w:rPr>
                <w:rFonts w:ascii="Book Antiqua" w:hAnsi="Book Antiqua" w:eastAsia="黑体"/>
                <w:sz w:val="24"/>
              </w:rPr>
            </w:pPr>
          </w:p>
        </w:tc>
        <w:tc>
          <w:tcPr>
            <w:tcW w:w="1269" w:type="dxa"/>
            <w:gridSpan w:val="3"/>
            <w:vMerge w:val="continue"/>
            <w:shd w:val="clear" w:color="auto" w:fill="auto"/>
            <w:vAlign w:val="center"/>
          </w:tcPr>
          <w:p>
            <w:pPr>
              <w:snapToGrid w:val="0"/>
              <w:spacing w:line="360" w:lineRule="auto"/>
              <w:rPr>
                <w:rFonts w:ascii="Book Antiqua" w:hAnsi="Book Antiqua" w:eastAsia="黑体"/>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5" w:type="dxa"/>
          <w:trHeight w:val="698" w:hRule="atLeast"/>
        </w:trPr>
        <w:tc>
          <w:tcPr>
            <w:tcW w:w="2952" w:type="dxa"/>
            <w:vMerge w:val="restart"/>
            <w:shd w:val="clear" w:color="auto" w:fill="auto"/>
            <w:vAlign w:val="center"/>
          </w:tcPr>
          <w:p>
            <w:pPr>
              <w:widowControl/>
              <w:snapToGrid w:val="0"/>
              <w:spacing w:line="360" w:lineRule="auto"/>
              <w:jc w:val="left"/>
              <w:rPr>
                <w:rFonts w:ascii="Book Antiqua" w:hAnsi="Book Antiqua" w:eastAsia="黑体"/>
                <w:sz w:val="24"/>
              </w:rPr>
            </w:pPr>
            <w:r>
              <w:rPr>
                <w:rFonts w:ascii="Book Antiqua" w:hAnsi="Book Antiqua" w:eastAsia="黑体"/>
                <w:sz w:val="24"/>
              </w:rPr>
              <w:t>Portosystemic gradient (mmHg) Pre-TIPS</w:t>
            </w:r>
          </w:p>
        </w:tc>
        <w:tc>
          <w:tcPr>
            <w:tcW w:w="1377"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A</w:t>
            </w:r>
          </w:p>
        </w:tc>
        <w:tc>
          <w:tcPr>
            <w:tcW w:w="1571" w:type="dxa"/>
            <w:gridSpan w:val="2"/>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255</w:t>
            </w:r>
          </w:p>
        </w:tc>
        <w:tc>
          <w:tcPr>
            <w:tcW w:w="3538" w:type="dxa"/>
            <w:gridSpan w:val="3"/>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32.43 ± 6.64</w:t>
            </w:r>
          </w:p>
        </w:tc>
        <w:tc>
          <w:tcPr>
            <w:tcW w:w="1966" w:type="dxa"/>
            <w:vMerge w:val="restart"/>
            <w:shd w:val="clear" w:color="auto" w:fill="auto"/>
            <w:vAlign w:val="center"/>
          </w:tcPr>
          <w:p>
            <w:pPr>
              <w:widowControl/>
              <w:snapToGrid w:val="0"/>
              <w:spacing w:line="360" w:lineRule="auto"/>
              <w:rPr>
                <w:rFonts w:ascii="Book Antiqua" w:hAnsi="Book Antiqua" w:eastAsia="黑体"/>
                <w:sz w:val="24"/>
              </w:rPr>
            </w:pPr>
          </w:p>
        </w:tc>
        <w:tc>
          <w:tcPr>
            <w:tcW w:w="1375" w:type="dxa"/>
            <w:gridSpan w:val="3"/>
            <w:vMerge w:val="restart"/>
            <w:shd w:val="clear" w:color="auto" w:fill="auto"/>
            <w:vAlign w:val="center"/>
          </w:tcPr>
          <w:p>
            <w:pPr>
              <w:widowControl/>
              <w:snapToGrid w:val="0"/>
              <w:spacing w:line="360" w:lineRule="auto"/>
              <w:rPr>
                <w:rFonts w:ascii="Book Antiqua" w:hAnsi="Book Antiqua" w:eastAsia="黑体"/>
                <w:sz w:val="24"/>
              </w:rPr>
            </w:pPr>
          </w:p>
        </w:tc>
        <w:tc>
          <w:tcPr>
            <w:tcW w:w="1180" w:type="dxa"/>
            <w:vMerge w:val="restart"/>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0.447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5" w:type="dxa"/>
          <w:trHeight w:val="285" w:hRule="atLeast"/>
        </w:trPr>
        <w:tc>
          <w:tcPr>
            <w:tcW w:w="2952" w:type="dxa"/>
            <w:vMerge w:val="continue"/>
            <w:shd w:val="clear" w:color="auto" w:fill="auto"/>
            <w:vAlign w:val="center"/>
          </w:tcPr>
          <w:p>
            <w:pPr>
              <w:snapToGrid w:val="0"/>
              <w:spacing w:line="360" w:lineRule="auto"/>
              <w:jc w:val="left"/>
              <w:rPr>
                <w:rFonts w:ascii="Book Antiqua" w:hAnsi="Book Antiqua" w:eastAsia="黑体"/>
                <w:sz w:val="24"/>
              </w:rPr>
            </w:pPr>
          </w:p>
        </w:tc>
        <w:tc>
          <w:tcPr>
            <w:tcW w:w="1377"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B</w:t>
            </w:r>
          </w:p>
        </w:tc>
        <w:tc>
          <w:tcPr>
            <w:tcW w:w="1571" w:type="dxa"/>
            <w:gridSpan w:val="2"/>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144</w:t>
            </w:r>
          </w:p>
        </w:tc>
        <w:tc>
          <w:tcPr>
            <w:tcW w:w="3538" w:type="dxa"/>
            <w:gridSpan w:val="3"/>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31.90 ± 4.63</w:t>
            </w:r>
          </w:p>
        </w:tc>
        <w:tc>
          <w:tcPr>
            <w:tcW w:w="1966" w:type="dxa"/>
            <w:vMerge w:val="continue"/>
            <w:shd w:val="clear" w:color="auto" w:fill="auto"/>
            <w:vAlign w:val="center"/>
          </w:tcPr>
          <w:p>
            <w:pPr>
              <w:snapToGrid w:val="0"/>
              <w:spacing w:line="360" w:lineRule="auto"/>
              <w:rPr>
                <w:rFonts w:ascii="Book Antiqua" w:hAnsi="Book Antiqua" w:eastAsia="黑体"/>
                <w:sz w:val="24"/>
              </w:rPr>
            </w:pPr>
          </w:p>
        </w:tc>
        <w:tc>
          <w:tcPr>
            <w:tcW w:w="1375" w:type="dxa"/>
            <w:gridSpan w:val="3"/>
            <w:vMerge w:val="continue"/>
            <w:shd w:val="clear" w:color="auto" w:fill="auto"/>
            <w:vAlign w:val="center"/>
          </w:tcPr>
          <w:p>
            <w:pPr>
              <w:snapToGrid w:val="0"/>
              <w:spacing w:line="360" w:lineRule="auto"/>
              <w:rPr>
                <w:rFonts w:ascii="Book Antiqua" w:hAnsi="Book Antiqua" w:eastAsia="黑体"/>
                <w:sz w:val="24"/>
              </w:rPr>
            </w:pPr>
          </w:p>
        </w:tc>
        <w:tc>
          <w:tcPr>
            <w:tcW w:w="1180" w:type="dxa"/>
            <w:vMerge w:val="continue"/>
            <w:shd w:val="clear" w:color="auto" w:fill="auto"/>
            <w:vAlign w:val="center"/>
          </w:tcPr>
          <w:p>
            <w:pPr>
              <w:snapToGrid w:val="0"/>
              <w:spacing w:line="360" w:lineRule="auto"/>
              <w:rPr>
                <w:rFonts w:ascii="Book Antiqua" w:hAnsi="Book Antiqua" w:eastAsia="黑体"/>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5" w:type="dxa"/>
          <w:trHeight w:val="705" w:hRule="atLeast"/>
        </w:trPr>
        <w:tc>
          <w:tcPr>
            <w:tcW w:w="2952" w:type="dxa"/>
            <w:vMerge w:val="restart"/>
            <w:shd w:val="clear" w:color="auto" w:fill="auto"/>
            <w:vAlign w:val="center"/>
          </w:tcPr>
          <w:p>
            <w:pPr>
              <w:widowControl/>
              <w:snapToGrid w:val="0"/>
              <w:spacing w:line="360" w:lineRule="auto"/>
              <w:jc w:val="left"/>
              <w:rPr>
                <w:rFonts w:ascii="Book Antiqua" w:hAnsi="Book Antiqua" w:eastAsia="黑体"/>
                <w:sz w:val="24"/>
              </w:rPr>
            </w:pPr>
            <w:r>
              <w:rPr>
                <w:rFonts w:ascii="Book Antiqua" w:hAnsi="Book Antiqua" w:eastAsia="黑体"/>
                <w:sz w:val="24"/>
              </w:rPr>
              <w:t>Portosystemic gradient (mmHg) Post-TIPS</w:t>
            </w:r>
          </w:p>
        </w:tc>
        <w:tc>
          <w:tcPr>
            <w:tcW w:w="1377" w:type="dxa"/>
            <w:vMerge w:val="restart"/>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A</w:t>
            </w:r>
          </w:p>
        </w:tc>
        <w:tc>
          <w:tcPr>
            <w:tcW w:w="1571" w:type="dxa"/>
            <w:gridSpan w:val="2"/>
            <w:vMerge w:val="restart"/>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255</w:t>
            </w:r>
          </w:p>
        </w:tc>
        <w:tc>
          <w:tcPr>
            <w:tcW w:w="3538" w:type="dxa"/>
            <w:gridSpan w:val="3"/>
            <w:vMerge w:val="restart"/>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11.15 ± 1.20</w:t>
            </w:r>
          </w:p>
        </w:tc>
        <w:tc>
          <w:tcPr>
            <w:tcW w:w="1966" w:type="dxa"/>
            <w:vMerge w:val="restart"/>
            <w:shd w:val="clear" w:color="auto" w:fill="auto"/>
            <w:vAlign w:val="center"/>
          </w:tcPr>
          <w:p>
            <w:pPr>
              <w:widowControl/>
              <w:snapToGrid w:val="0"/>
              <w:spacing w:line="360" w:lineRule="auto"/>
              <w:rPr>
                <w:rFonts w:ascii="Book Antiqua" w:hAnsi="Book Antiqua" w:eastAsia="黑体"/>
                <w:sz w:val="24"/>
              </w:rPr>
            </w:pPr>
          </w:p>
        </w:tc>
        <w:tc>
          <w:tcPr>
            <w:tcW w:w="1375" w:type="dxa"/>
            <w:gridSpan w:val="3"/>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0.027</w:t>
            </w:r>
          </w:p>
        </w:tc>
        <w:tc>
          <w:tcPr>
            <w:tcW w:w="1180" w:type="dxa"/>
            <w:vMerge w:val="restart"/>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0.605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5" w:type="dxa"/>
          <w:trHeight w:val="705" w:hRule="atLeast"/>
        </w:trPr>
        <w:tc>
          <w:tcPr>
            <w:tcW w:w="2952" w:type="dxa"/>
            <w:vMerge w:val="continue"/>
            <w:shd w:val="clear" w:color="auto" w:fill="auto"/>
            <w:vAlign w:val="center"/>
          </w:tcPr>
          <w:p>
            <w:pPr>
              <w:widowControl/>
              <w:snapToGrid w:val="0"/>
              <w:spacing w:line="360" w:lineRule="auto"/>
              <w:rPr>
                <w:rFonts w:ascii="Book Antiqua" w:hAnsi="Book Antiqua" w:eastAsia="黑体"/>
                <w:sz w:val="24"/>
              </w:rPr>
            </w:pPr>
          </w:p>
        </w:tc>
        <w:tc>
          <w:tcPr>
            <w:tcW w:w="1377" w:type="dxa"/>
            <w:vMerge w:val="continue"/>
            <w:shd w:val="clear" w:color="auto" w:fill="auto"/>
            <w:vAlign w:val="center"/>
          </w:tcPr>
          <w:p>
            <w:pPr>
              <w:widowControl/>
              <w:snapToGrid w:val="0"/>
              <w:spacing w:line="360" w:lineRule="auto"/>
              <w:rPr>
                <w:rFonts w:ascii="Book Antiqua" w:hAnsi="Book Antiqua" w:eastAsia="黑体"/>
                <w:sz w:val="24"/>
              </w:rPr>
            </w:pPr>
          </w:p>
        </w:tc>
        <w:tc>
          <w:tcPr>
            <w:tcW w:w="1571" w:type="dxa"/>
            <w:gridSpan w:val="2"/>
            <w:vMerge w:val="continue"/>
            <w:shd w:val="clear" w:color="auto" w:fill="auto"/>
            <w:vAlign w:val="center"/>
          </w:tcPr>
          <w:p>
            <w:pPr>
              <w:widowControl/>
              <w:snapToGrid w:val="0"/>
              <w:spacing w:line="360" w:lineRule="auto"/>
              <w:rPr>
                <w:rFonts w:ascii="Book Antiqua" w:hAnsi="Book Antiqua" w:eastAsia="黑体"/>
                <w:sz w:val="24"/>
              </w:rPr>
            </w:pPr>
          </w:p>
        </w:tc>
        <w:tc>
          <w:tcPr>
            <w:tcW w:w="3538" w:type="dxa"/>
            <w:gridSpan w:val="3"/>
            <w:vMerge w:val="continue"/>
            <w:shd w:val="clear" w:color="auto" w:fill="auto"/>
            <w:vAlign w:val="center"/>
          </w:tcPr>
          <w:p>
            <w:pPr>
              <w:widowControl/>
              <w:snapToGrid w:val="0"/>
              <w:spacing w:line="360" w:lineRule="auto"/>
              <w:rPr>
                <w:rFonts w:ascii="Book Antiqua" w:hAnsi="Book Antiqua" w:eastAsia="黑体"/>
                <w:sz w:val="24"/>
              </w:rPr>
            </w:pPr>
          </w:p>
        </w:tc>
        <w:tc>
          <w:tcPr>
            <w:tcW w:w="1966" w:type="dxa"/>
            <w:vMerge w:val="continue"/>
            <w:shd w:val="clear" w:color="auto" w:fill="auto"/>
            <w:vAlign w:val="center"/>
          </w:tcPr>
          <w:p>
            <w:pPr>
              <w:widowControl/>
              <w:snapToGrid w:val="0"/>
              <w:spacing w:line="360" w:lineRule="auto"/>
              <w:rPr>
                <w:rFonts w:ascii="Book Antiqua" w:hAnsi="Book Antiqua" w:eastAsia="黑体"/>
                <w:sz w:val="24"/>
              </w:rPr>
            </w:pPr>
          </w:p>
        </w:tc>
        <w:tc>
          <w:tcPr>
            <w:tcW w:w="1375" w:type="dxa"/>
            <w:gridSpan w:val="3"/>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0.025</w:t>
            </w:r>
          </w:p>
        </w:tc>
        <w:tc>
          <w:tcPr>
            <w:tcW w:w="1180" w:type="dxa"/>
            <w:vMerge w:val="continue"/>
            <w:shd w:val="clear" w:color="auto" w:fill="auto"/>
            <w:vAlign w:val="center"/>
          </w:tcPr>
          <w:p>
            <w:pPr>
              <w:widowControl/>
              <w:snapToGrid w:val="0"/>
              <w:spacing w:line="360" w:lineRule="auto"/>
              <w:rPr>
                <w:rFonts w:ascii="Book Antiqua" w:hAnsi="Book Antiqua" w:eastAsia="黑体"/>
                <w:sz w:val="24"/>
              </w:rPr>
            </w:pPr>
          </w:p>
        </w:tc>
      </w:tr>
    </w:tbl>
    <w:p>
      <w:pPr>
        <w:autoSpaceDE w:val="0"/>
        <w:autoSpaceDN w:val="0"/>
        <w:adjustRightInd w:val="0"/>
        <w:snapToGrid w:val="0"/>
        <w:spacing w:line="360" w:lineRule="auto"/>
        <w:rPr>
          <w:rFonts w:ascii="Book Antiqua" w:hAnsi="Book Antiqua" w:eastAsia="黑体" w:cs="Times New Roman"/>
          <w:sz w:val="24"/>
        </w:rPr>
      </w:pPr>
      <w:r>
        <w:rPr>
          <w:rFonts w:ascii="Book Antiqua" w:hAnsi="Book Antiqua" w:eastAsia="黑体" w:cs="Times New Roman"/>
          <w:sz w:val="24"/>
        </w:rPr>
        <w:t xml:space="preserve">TIPS: </w:t>
      </w:r>
      <w:r>
        <w:rPr>
          <w:rFonts w:ascii="Book Antiqua" w:hAnsi="Book Antiqua" w:eastAsia="黑体"/>
          <w:sz w:val="24"/>
        </w:rPr>
        <w:t>Transjugular intrahepatic portosystemic shunt.</w:t>
      </w:r>
    </w:p>
    <w:p>
      <w:pPr>
        <w:widowControl/>
        <w:snapToGrid w:val="0"/>
        <w:spacing w:line="360" w:lineRule="auto"/>
        <w:rPr>
          <w:rFonts w:ascii="Book Antiqua" w:hAnsi="Book Antiqua"/>
          <w:b/>
          <w:sz w:val="24"/>
        </w:rPr>
      </w:pPr>
      <w:r>
        <w:rPr>
          <w:rFonts w:ascii="Book Antiqua" w:hAnsi="Book Antiqua"/>
          <w:b/>
          <w:sz w:val="24"/>
        </w:rPr>
        <w:br w:type="page"/>
      </w:r>
    </w:p>
    <w:p>
      <w:pPr>
        <w:snapToGrid w:val="0"/>
        <w:spacing w:line="360" w:lineRule="auto"/>
        <w:rPr>
          <w:rFonts w:ascii="Book Antiqua" w:hAnsi="Book Antiqua" w:eastAsia="黑体"/>
          <w:b/>
          <w:sz w:val="24"/>
        </w:rPr>
      </w:pPr>
      <w:r>
        <w:rPr>
          <w:rFonts w:ascii="Book Antiqua" w:hAnsi="Book Antiqua" w:eastAsia="黑体"/>
          <w:b/>
          <w:sz w:val="24"/>
        </w:rPr>
        <w:t>Table 3 Clinical characteristics of the patients in stent primary patency rate</w:t>
      </w:r>
    </w:p>
    <w:tbl>
      <w:tblPr>
        <w:tblStyle w:val="8"/>
        <w:tblW w:w="13984"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051"/>
        <w:gridCol w:w="2028"/>
        <w:gridCol w:w="117"/>
        <w:gridCol w:w="1714"/>
        <w:gridCol w:w="643"/>
        <w:gridCol w:w="1787"/>
        <w:gridCol w:w="2145"/>
        <w:gridCol w:w="123"/>
        <w:gridCol w:w="1591"/>
        <w:gridCol w:w="98"/>
        <w:gridCol w:w="1617"/>
        <w:gridCol w:w="7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70" w:type="dxa"/>
          <w:trHeight w:val="285" w:hRule="atLeast"/>
        </w:trPr>
        <w:tc>
          <w:tcPr>
            <w:tcW w:w="2051" w:type="dxa"/>
            <w:vMerge w:val="restart"/>
            <w:tcBorders>
              <w:top w:val="single" w:color="auto" w:sz="4" w:space="0"/>
              <w:bottom w:val="nil"/>
            </w:tcBorders>
            <w:shd w:val="clear" w:color="auto" w:fill="auto"/>
            <w:vAlign w:val="center"/>
          </w:tcPr>
          <w:p>
            <w:pPr>
              <w:widowControl/>
              <w:autoSpaceDE w:val="0"/>
              <w:autoSpaceDN w:val="0"/>
              <w:adjustRightInd w:val="0"/>
              <w:snapToGrid w:val="0"/>
              <w:spacing w:line="360" w:lineRule="auto"/>
              <w:rPr>
                <w:rFonts w:ascii="Book Antiqua" w:hAnsi="Book Antiqua" w:eastAsia="黑体"/>
                <w:b/>
                <w:bCs/>
                <w:sz w:val="24"/>
              </w:rPr>
            </w:pPr>
            <w:r>
              <w:rPr>
                <w:rFonts w:ascii="Book Antiqua" w:hAnsi="Book Antiqua" w:eastAsia="黑体"/>
                <w:b/>
                <w:bCs/>
                <w:sz w:val="24"/>
              </w:rPr>
              <w:t>Time</w:t>
            </w:r>
          </w:p>
        </w:tc>
        <w:tc>
          <w:tcPr>
            <w:tcW w:w="2145" w:type="dxa"/>
            <w:gridSpan w:val="2"/>
            <w:vMerge w:val="restart"/>
            <w:tcBorders>
              <w:top w:val="single" w:color="auto" w:sz="4" w:space="0"/>
              <w:bottom w:val="nil"/>
            </w:tcBorders>
            <w:shd w:val="clear" w:color="auto" w:fill="auto"/>
            <w:vAlign w:val="center"/>
          </w:tcPr>
          <w:p>
            <w:pPr>
              <w:widowControl/>
              <w:autoSpaceDE w:val="0"/>
              <w:autoSpaceDN w:val="0"/>
              <w:adjustRightInd w:val="0"/>
              <w:snapToGrid w:val="0"/>
              <w:spacing w:line="360" w:lineRule="auto"/>
              <w:rPr>
                <w:rFonts w:ascii="Book Antiqua" w:hAnsi="Book Antiqua" w:eastAsia="黑体"/>
                <w:b/>
                <w:bCs/>
                <w:sz w:val="24"/>
              </w:rPr>
            </w:pPr>
            <w:r>
              <w:rPr>
                <w:rFonts w:ascii="Book Antiqua" w:hAnsi="Book Antiqua" w:eastAsia="黑体"/>
                <w:b/>
                <w:bCs/>
                <w:sz w:val="24"/>
              </w:rPr>
              <w:t>Group</w:t>
            </w:r>
          </w:p>
        </w:tc>
        <w:tc>
          <w:tcPr>
            <w:tcW w:w="4144" w:type="dxa"/>
            <w:gridSpan w:val="3"/>
            <w:tcBorders>
              <w:top w:val="single" w:color="auto" w:sz="4" w:space="0"/>
              <w:bottom w:val="nil"/>
            </w:tcBorders>
            <w:shd w:val="clear" w:color="auto" w:fill="auto"/>
            <w:vAlign w:val="center"/>
          </w:tcPr>
          <w:p>
            <w:pPr>
              <w:widowControl/>
              <w:autoSpaceDE w:val="0"/>
              <w:autoSpaceDN w:val="0"/>
              <w:adjustRightInd w:val="0"/>
              <w:snapToGrid w:val="0"/>
              <w:spacing w:line="360" w:lineRule="auto"/>
              <w:jc w:val="center"/>
              <w:rPr>
                <w:rFonts w:ascii="Book Antiqua" w:hAnsi="Book Antiqua" w:eastAsia="黑体"/>
                <w:b/>
                <w:bCs/>
                <w:sz w:val="24"/>
              </w:rPr>
            </w:pPr>
            <w:r>
              <w:rPr>
                <w:rFonts w:ascii="Book Antiqua" w:hAnsi="Book Antiqua" w:eastAsia="黑体"/>
                <w:b/>
                <w:bCs/>
                <w:sz w:val="24"/>
              </w:rPr>
              <w:t>Patency</w:t>
            </w:r>
          </w:p>
        </w:tc>
        <w:tc>
          <w:tcPr>
            <w:tcW w:w="2145" w:type="dxa"/>
            <w:vMerge w:val="restart"/>
            <w:tcBorders>
              <w:top w:val="single" w:color="auto" w:sz="4" w:space="0"/>
              <w:bottom w:val="single" w:color="auto" w:sz="4" w:space="0"/>
            </w:tcBorders>
            <w:shd w:val="clear" w:color="auto" w:fill="auto"/>
            <w:vAlign w:val="center"/>
          </w:tcPr>
          <w:p>
            <w:pPr>
              <w:widowControl/>
              <w:autoSpaceDE w:val="0"/>
              <w:autoSpaceDN w:val="0"/>
              <w:adjustRightInd w:val="0"/>
              <w:snapToGrid w:val="0"/>
              <w:spacing w:line="360" w:lineRule="auto"/>
              <w:rPr>
                <w:rFonts w:ascii="Book Antiqua" w:hAnsi="Book Antiqua" w:eastAsia="黑体"/>
                <w:b/>
                <w:bCs/>
                <w:sz w:val="24"/>
              </w:rPr>
            </w:pPr>
            <w:r>
              <w:rPr>
                <w:rFonts w:ascii="Book Antiqua" w:hAnsi="Book Antiqua" w:eastAsia="黑体"/>
                <w:b/>
                <w:bCs/>
                <w:sz w:val="24"/>
              </w:rPr>
              <w:t>Patency rate, %</w:t>
            </w:r>
          </w:p>
        </w:tc>
        <w:tc>
          <w:tcPr>
            <w:tcW w:w="1714" w:type="dxa"/>
            <w:gridSpan w:val="2"/>
            <w:vMerge w:val="restart"/>
            <w:tcBorders>
              <w:top w:val="single" w:color="auto" w:sz="4" w:space="0"/>
              <w:bottom w:val="single" w:color="auto" w:sz="4" w:space="0"/>
            </w:tcBorders>
            <w:shd w:val="clear" w:color="auto" w:fill="auto"/>
            <w:vAlign w:val="center"/>
          </w:tcPr>
          <w:p>
            <w:pPr>
              <w:widowControl/>
              <w:autoSpaceDE w:val="0"/>
              <w:autoSpaceDN w:val="0"/>
              <w:adjustRightInd w:val="0"/>
              <w:snapToGrid w:val="0"/>
              <w:spacing w:line="360" w:lineRule="auto"/>
              <w:rPr>
                <w:rFonts w:ascii="Book Antiqua" w:hAnsi="Book Antiqua" w:eastAsia="黑体"/>
                <w:b/>
                <w:bCs/>
                <w:sz w:val="24"/>
              </w:rPr>
            </w:pPr>
            <w:r>
              <w:rPr>
                <w:rFonts w:ascii="Book Antiqua" w:hAnsi="Book Antiqua" w:eastAsia="黑体"/>
                <w:b/>
                <w:bCs/>
                <w:sz w:val="24"/>
              </w:rPr>
              <w:t>χ</w:t>
            </w:r>
            <w:r>
              <w:rPr>
                <w:rFonts w:ascii="Book Antiqua" w:hAnsi="Book Antiqua" w:eastAsia="黑体"/>
                <w:b/>
                <w:bCs/>
                <w:sz w:val="24"/>
                <w:vertAlign w:val="superscript"/>
              </w:rPr>
              <w:t>2</w:t>
            </w:r>
          </w:p>
        </w:tc>
        <w:tc>
          <w:tcPr>
            <w:tcW w:w="1715" w:type="dxa"/>
            <w:gridSpan w:val="2"/>
            <w:vMerge w:val="restart"/>
            <w:tcBorders>
              <w:top w:val="single" w:color="auto" w:sz="4" w:space="0"/>
              <w:bottom w:val="single" w:color="auto" w:sz="4" w:space="0"/>
            </w:tcBorders>
            <w:shd w:val="clear" w:color="auto" w:fill="auto"/>
            <w:vAlign w:val="center"/>
          </w:tcPr>
          <w:p>
            <w:pPr>
              <w:widowControl/>
              <w:autoSpaceDE w:val="0"/>
              <w:autoSpaceDN w:val="0"/>
              <w:adjustRightInd w:val="0"/>
              <w:snapToGrid w:val="0"/>
              <w:spacing w:line="360" w:lineRule="auto"/>
              <w:rPr>
                <w:rFonts w:ascii="Book Antiqua" w:hAnsi="Book Antiqua" w:eastAsia="黑体"/>
                <w:b/>
                <w:bCs/>
                <w:sz w:val="24"/>
              </w:rPr>
            </w:pPr>
            <w:r>
              <w:rPr>
                <w:rFonts w:ascii="Book Antiqua" w:hAnsi="Book Antiqua" w:eastAsia="黑体"/>
                <w:b/>
                <w:bCs/>
                <w:i/>
                <w:iCs/>
                <w:sz w:val="24"/>
              </w:rPr>
              <w:t>P</w:t>
            </w:r>
            <w:r>
              <w:rPr>
                <w:rFonts w:ascii="Book Antiqua" w:hAnsi="Book Antiqua" w:eastAsia="黑体"/>
                <w:b/>
                <w:bCs/>
                <w:sz w:val="24"/>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70" w:type="dxa"/>
          <w:trHeight w:val="285" w:hRule="atLeast"/>
        </w:trPr>
        <w:tc>
          <w:tcPr>
            <w:tcW w:w="2051" w:type="dxa"/>
            <w:vMerge w:val="continue"/>
            <w:tcBorders>
              <w:top w:val="nil"/>
              <w:bottom w:val="single" w:color="auto" w:sz="4" w:space="0"/>
            </w:tcBorders>
            <w:shd w:val="clear" w:color="auto" w:fill="auto"/>
            <w:vAlign w:val="center"/>
          </w:tcPr>
          <w:p>
            <w:pPr>
              <w:autoSpaceDE w:val="0"/>
              <w:autoSpaceDN w:val="0"/>
              <w:adjustRightInd w:val="0"/>
              <w:snapToGrid w:val="0"/>
              <w:spacing w:line="360" w:lineRule="auto"/>
              <w:rPr>
                <w:rFonts w:ascii="Book Antiqua" w:hAnsi="Book Antiqua" w:eastAsia="黑体"/>
                <w:b/>
                <w:bCs/>
                <w:sz w:val="24"/>
              </w:rPr>
            </w:pPr>
          </w:p>
        </w:tc>
        <w:tc>
          <w:tcPr>
            <w:tcW w:w="2145" w:type="dxa"/>
            <w:gridSpan w:val="2"/>
            <w:vMerge w:val="continue"/>
            <w:tcBorders>
              <w:top w:val="nil"/>
              <w:bottom w:val="single" w:color="auto" w:sz="4" w:space="0"/>
            </w:tcBorders>
            <w:shd w:val="clear" w:color="auto" w:fill="auto"/>
            <w:vAlign w:val="center"/>
          </w:tcPr>
          <w:p>
            <w:pPr>
              <w:autoSpaceDE w:val="0"/>
              <w:autoSpaceDN w:val="0"/>
              <w:adjustRightInd w:val="0"/>
              <w:snapToGrid w:val="0"/>
              <w:spacing w:line="360" w:lineRule="auto"/>
              <w:rPr>
                <w:rFonts w:ascii="Book Antiqua" w:hAnsi="Book Antiqua" w:eastAsia="黑体"/>
                <w:b/>
                <w:bCs/>
                <w:sz w:val="24"/>
              </w:rPr>
            </w:pPr>
          </w:p>
        </w:tc>
        <w:tc>
          <w:tcPr>
            <w:tcW w:w="1714" w:type="dxa"/>
            <w:tcBorders>
              <w:top w:val="nil"/>
              <w:bottom w:val="single" w:color="auto" w:sz="4" w:space="0"/>
            </w:tcBorders>
            <w:shd w:val="clear" w:color="auto" w:fill="auto"/>
            <w:vAlign w:val="center"/>
          </w:tcPr>
          <w:p>
            <w:pPr>
              <w:widowControl/>
              <w:autoSpaceDE w:val="0"/>
              <w:autoSpaceDN w:val="0"/>
              <w:adjustRightInd w:val="0"/>
              <w:snapToGrid w:val="0"/>
              <w:spacing w:line="360" w:lineRule="auto"/>
              <w:rPr>
                <w:rFonts w:ascii="Book Antiqua" w:hAnsi="Book Antiqua" w:eastAsia="黑体"/>
                <w:b/>
                <w:bCs/>
                <w:sz w:val="24"/>
              </w:rPr>
            </w:pPr>
            <w:r>
              <w:rPr>
                <w:rFonts w:ascii="Book Antiqua" w:hAnsi="Book Antiqua" w:eastAsia="黑体"/>
                <w:b/>
                <w:bCs/>
                <w:sz w:val="24"/>
              </w:rPr>
              <w:t>Yes</w:t>
            </w:r>
          </w:p>
        </w:tc>
        <w:tc>
          <w:tcPr>
            <w:tcW w:w="2430" w:type="dxa"/>
            <w:gridSpan w:val="2"/>
            <w:tcBorders>
              <w:top w:val="nil"/>
              <w:bottom w:val="single" w:color="auto" w:sz="4" w:space="0"/>
            </w:tcBorders>
            <w:shd w:val="clear" w:color="auto" w:fill="auto"/>
            <w:vAlign w:val="center"/>
          </w:tcPr>
          <w:p>
            <w:pPr>
              <w:widowControl/>
              <w:autoSpaceDE w:val="0"/>
              <w:autoSpaceDN w:val="0"/>
              <w:adjustRightInd w:val="0"/>
              <w:snapToGrid w:val="0"/>
              <w:spacing w:line="360" w:lineRule="auto"/>
              <w:rPr>
                <w:rFonts w:ascii="Book Antiqua" w:hAnsi="Book Antiqua" w:eastAsia="黑体"/>
                <w:b/>
                <w:bCs/>
                <w:sz w:val="24"/>
              </w:rPr>
            </w:pPr>
            <w:r>
              <w:rPr>
                <w:rFonts w:ascii="Book Antiqua" w:hAnsi="Book Antiqua" w:eastAsia="黑体"/>
                <w:b/>
                <w:bCs/>
                <w:sz w:val="24"/>
              </w:rPr>
              <w:t>Not</w:t>
            </w:r>
          </w:p>
        </w:tc>
        <w:tc>
          <w:tcPr>
            <w:tcW w:w="2145" w:type="dxa"/>
            <w:vMerge w:val="continue"/>
            <w:tcBorders>
              <w:top w:val="nil"/>
              <w:bottom w:val="single" w:color="auto" w:sz="4" w:space="0"/>
            </w:tcBorders>
            <w:shd w:val="clear" w:color="auto" w:fill="auto"/>
            <w:vAlign w:val="center"/>
          </w:tcPr>
          <w:p>
            <w:pPr>
              <w:autoSpaceDE w:val="0"/>
              <w:autoSpaceDN w:val="0"/>
              <w:adjustRightInd w:val="0"/>
              <w:snapToGrid w:val="0"/>
              <w:spacing w:line="360" w:lineRule="auto"/>
              <w:rPr>
                <w:rFonts w:ascii="Book Antiqua" w:hAnsi="Book Antiqua" w:eastAsia="黑体"/>
                <w:b/>
                <w:bCs/>
                <w:sz w:val="24"/>
              </w:rPr>
            </w:pPr>
          </w:p>
        </w:tc>
        <w:tc>
          <w:tcPr>
            <w:tcW w:w="1714" w:type="dxa"/>
            <w:gridSpan w:val="2"/>
            <w:vMerge w:val="continue"/>
            <w:tcBorders>
              <w:top w:val="nil"/>
              <w:bottom w:val="single" w:color="auto" w:sz="4" w:space="0"/>
            </w:tcBorders>
            <w:shd w:val="clear" w:color="auto" w:fill="auto"/>
            <w:vAlign w:val="center"/>
          </w:tcPr>
          <w:p>
            <w:pPr>
              <w:autoSpaceDE w:val="0"/>
              <w:autoSpaceDN w:val="0"/>
              <w:adjustRightInd w:val="0"/>
              <w:snapToGrid w:val="0"/>
              <w:spacing w:line="360" w:lineRule="auto"/>
              <w:rPr>
                <w:rFonts w:ascii="Book Antiqua" w:hAnsi="Book Antiqua" w:eastAsia="黑体"/>
                <w:b/>
                <w:bCs/>
                <w:sz w:val="24"/>
              </w:rPr>
            </w:pPr>
          </w:p>
        </w:tc>
        <w:tc>
          <w:tcPr>
            <w:tcW w:w="1715" w:type="dxa"/>
            <w:gridSpan w:val="2"/>
            <w:vMerge w:val="continue"/>
            <w:tcBorders>
              <w:top w:val="nil"/>
              <w:bottom w:val="single" w:color="auto" w:sz="4" w:space="0"/>
            </w:tcBorders>
            <w:shd w:val="clear" w:color="auto" w:fill="auto"/>
            <w:vAlign w:val="center"/>
          </w:tcPr>
          <w:p>
            <w:pPr>
              <w:autoSpaceDE w:val="0"/>
              <w:autoSpaceDN w:val="0"/>
              <w:adjustRightInd w:val="0"/>
              <w:snapToGrid w:val="0"/>
              <w:spacing w:line="360" w:lineRule="auto"/>
              <w:rPr>
                <w:rFonts w:ascii="Book Antiqua" w:hAnsi="Book Antiqua" w:eastAsia="黑体"/>
                <w:b/>
                <w:bCs/>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70" w:type="dxa"/>
          <w:trHeight w:val="285" w:hRule="atLeast"/>
        </w:trPr>
        <w:tc>
          <w:tcPr>
            <w:tcW w:w="2051" w:type="dxa"/>
            <w:vMerge w:val="restart"/>
            <w:tcBorders>
              <w:top w:val="single" w:color="auto" w:sz="4" w:space="0"/>
            </w:tcBorders>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3 mo</w:t>
            </w:r>
          </w:p>
        </w:tc>
        <w:tc>
          <w:tcPr>
            <w:tcW w:w="2145" w:type="dxa"/>
            <w:gridSpan w:val="2"/>
            <w:tcBorders>
              <w:top w:val="single" w:color="auto" w:sz="4" w:space="0"/>
            </w:tcBorders>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A</w:t>
            </w:r>
          </w:p>
        </w:tc>
        <w:tc>
          <w:tcPr>
            <w:tcW w:w="1714" w:type="dxa"/>
            <w:tcBorders>
              <w:top w:val="single" w:color="auto" w:sz="4" w:space="0"/>
            </w:tcBorders>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249</w:t>
            </w:r>
          </w:p>
        </w:tc>
        <w:tc>
          <w:tcPr>
            <w:tcW w:w="2430" w:type="dxa"/>
            <w:gridSpan w:val="2"/>
            <w:tcBorders>
              <w:top w:val="single" w:color="auto" w:sz="4" w:space="0"/>
            </w:tcBorders>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6</w:t>
            </w:r>
          </w:p>
        </w:tc>
        <w:tc>
          <w:tcPr>
            <w:tcW w:w="2145" w:type="dxa"/>
            <w:tcBorders>
              <w:top w:val="single" w:color="auto" w:sz="4" w:space="0"/>
            </w:tcBorders>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 xml:space="preserve">97.6 </w:t>
            </w:r>
          </w:p>
        </w:tc>
        <w:tc>
          <w:tcPr>
            <w:tcW w:w="1714" w:type="dxa"/>
            <w:gridSpan w:val="2"/>
            <w:vMerge w:val="restart"/>
            <w:tcBorders>
              <w:top w:val="single" w:color="auto" w:sz="4" w:space="0"/>
            </w:tcBorders>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 xml:space="preserve">15.18 </w:t>
            </w:r>
          </w:p>
        </w:tc>
        <w:tc>
          <w:tcPr>
            <w:tcW w:w="1715" w:type="dxa"/>
            <w:gridSpan w:val="2"/>
            <w:vMerge w:val="restart"/>
            <w:tcBorders>
              <w:top w:val="single" w:color="auto" w:sz="4" w:space="0"/>
            </w:tcBorders>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 xml:space="preserve">0.006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70" w:type="dxa"/>
          <w:trHeight w:val="285" w:hRule="atLeast"/>
        </w:trPr>
        <w:tc>
          <w:tcPr>
            <w:tcW w:w="2051" w:type="dxa"/>
            <w:vMerge w:val="continue"/>
            <w:shd w:val="clear" w:color="auto" w:fill="auto"/>
            <w:vAlign w:val="center"/>
          </w:tcPr>
          <w:p>
            <w:pPr>
              <w:autoSpaceDE w:val="0"/>
              <w:autoSpaceDN w:val="0"/>
              <w:adjustRightInd w:val="0"/>
              <w:snapToGrid w:val="0"/>
              <w:spacing w:line="360" w:lineRule="auto"/>
              <w:rPr>
                <w:rFonts w:ascii="Book Antiqua" w:hAnsi="Book Antiqua" w:eastAsia="黑体"/>
                <w:sz w:val="24"/>
              </w:rPr>
            </w:pPr>
          </w:p>
        </w:tc>
        <w:tc>
          <w:tcPr>
            <w:tcW w:w="2145" w:type="dxa"/>
            <w:gridSpan w:val="2"/>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B</w:t>
            </w:r>
          </w:p>
        </w:tc>
        <w:tc>
          <w:tcPr>
            <w:tcW w:w="1714" w:type="dxa"/>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127</w:t>
            </w:r>
          </w:p>
        </w:tc>
        <w:tc>
          <w:tcPr>
            <w:tcW w:w="2430" w:type="dxa"/>
            <w:gridSpan w:val="2"/>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17</w:t>
            </w:r>
          </w:p>
        </w:tc>
        <w:tc>
          <w:tcPr>
            <w:tcW w:w="2145" w:type="dxa"/>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 xml:space="preserve">88.1 </w:t>
            </w:r>
          </w:p>
        </w:tc>
        <w:tc>
          <w:tcPr>
            <w:tcW w:w="1714" w:type="dxa"/>
            <w:gridSpan w:val="2"/>
            <w:vMerge w:val="continue"/>
            <w:shd w:val="clear" w:color="auto" w:fill="auto"/>
            <w:vAlign w:val="center"/>
          </w:tcPr>
          <w:p>
            <w:pPr>
              <w:autoSpaceDE w:val="0"/>
              <w:autoSpaceDN w:val="0"/>
              <w:adjustRightInd w:val="0"/>
              <w:snapToGrid w:val="0"/>
              <w:spacing w:line="360" w:lineRule="auto"/>
              <w:rPr>
                <w:rFonts w:ascii="Book Antiqua" w:hAnsi="Book Antiqua" w:eastAsia="黑体"/>
                <w:sz w:val="24"/>
              </w:rPr>
            </w:pPr>
          </w:p>
        </w:tc>
        <w:tc>
          <w:tcPr>
            <w:tcW w:w="1715" w:type="dxa"/>
            <w:gridSpan w:val="2"/>
            <w:vMerge w:val="continue"/>
            <w:shd w:val="clear" w:color="auto" w:fill="auto"/>
            <w:vAlign w:val="center"/>
          </w:tcPr>
          <w:p>
            <w:pPr>
              <w:autoSpaceDE w:val="0"/>
              <w:autoSpaceDN w:val="0"/>
              <w:adjustRightInd w:val="0"/>
              <w:snapToGrid w:val="0"/>
              <w:spacing w:line="360" w:lineRule="auto"/>
              <w:rPr>
                <w:rFonts w:ascii="Book Antiqua" w:hAnsi="Book Antiqua" w:eastAsia="黑体"/>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70" w:type="dxa"/>
          <w:trHeight w:val="285" w:hRule="atLeast"/>
        </w:trPr>
        <w:tc>
          <w:tcPr>
            <w:tcW w:w="2051" w:type="dxa"/>
            <w:vMerge w:val="restart"/>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6 mo</w:t>
            </w:r>
          </w:p>
        </w:tc>
        <w:tc>
          <w:tcPr>
            <w:tcW w:w="2145" w:type="dxa"/>
            <w:gridSpan w:val="2"/>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A</w:t>
            </w:r>
          </w:p>
        </w:tc>
        <w:tc>
          <w:tcPr>
            <w:tcW w:w="1714" w:type="dxa"/>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226</w:t>
            </w:r>
          </w:p>
        </w:tc>
        <w:tc>
          <w:tcPr>
            <w:tcW w:w="2430" w:type="dxa"/>
            <w:gridSpan w:val="2"/>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29</w:t>
            </w:r>
          </w:p>
        </w:tc>
        <w:tc>
          <w:tcPr>
            <w:tcW w:w="2145" w:type="dxa"/>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 xml:space="preserve">88.6 </w:t>
            </w:r>
          </w:p>
        </w:tc>
        <w:tc>
          <w:tcPr>
            <w:tcW w:w="1714" w:type="dxa"/>
            <w:gridSpan w:val="2"/>
            <w:vMerge w:val="restart"/>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 xml:space="preserve">10.34 </w:t>
            </w:r>
          </w:p>
        </w:tc>
        <w:tc>
          <w:tcPr>
            <w:tcW w:w="1715" w:type="dxa"/>
            <w:gridSpan w:val="2"/>
            <w:vMerge w:val="restart"/>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 xml:space="preserve">0.011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70" w:type="dxa"/>
          <w:trHeight w:val="285" w:hRule="atLeast"/>
        </w:trPr>
        <w:tc>
          <w:tcPr>
            <w:tcW w:w="2051" w:type="dxa"/>
            <w:vMerge w:val="continue"/>
            <w:shd w:val="clear" w:color="auto" w:fill="auto"/>
            <w:vAlign w:val="center"/>
          </w:tcPr>
          <w:p>
            <w:pPr>
              <w:autoSpaceDE w:val="0"/>
              <w:autoSpaceDN w:val="0"/>
              <w:adjustRightInd w:val="0"/>
              <w:snapToGrid w:val="0"/>
              <w:spacing w:line="360" w:lineRule="auto"/>
              <w:rPr>
                <w:rFonts w:ascii="Book Antiqua" w:hAnsi="Book Antiqua" w:eastAsia="黑体"/>
                <w:sz w:val="24"/>
              </w:rPr>
            </w:pPr>
          </w:p>
        </w:tc>
        <w:tc>
          <w:tcPr>
            <w:tcW w:w="2145" w:type="dxa"/>
            <w:gridSpan w:val="2"/>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B</w:t>
            </w:r>
          </w:p>
        </w:tc>
        <w:tc>
          <w:tcPr>
            <w:tcW w:w="1714" w:type="dxa"/>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109</w:t>
            </w:r>
          </w:p>
        </w:tc>
        <w:tc>
          <w:tcPr>
            <w:tcW w:w="2430" w:type="dxa"/>
            <w:gridSpan w:val="2"/>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35</w:t>
            </w:r>
          </w:p>
        </w:tc>
        <w:tc>
          <w:tcPr>
            <w:tcW w:w="2145" w:type="dxa"/>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 xml:space="preserve">75.7 </w:t>
            </w:r>
          </w:p>
        </w:tc>
        <w:tc>
          <w:tcPr>
            <w:tcW w:w="1714" w:type="dxa"/>
            <w:gridSpan w:val="2"/>
            <w:vMerge w:val="continue"/>
            <w:shd w:val="clear" w:color="auto" w:fill="auto"/>
            <w:vAlign w:val="center"/>
          </w:tcPr>
          <w:p>
            <w:pPr>
              <w:autoSpaceDE w:val="0"/>
              <w:autoSpaceDN w:val="0"/>
              <w:adjustRightInd w:val="0"/>
              <w:snapToGrid w:val="0"/>
              <w:spacing w:line="360" w:lineRule="auto"/>
              <w:rPr>
                <w:rFonts w:ascii="Book Antiqua" w:hAnsi="Book Antiqua" w:eastAsia="黑体"/>
                <w:sz w:val="24"/>
              </w:rPr>
            </w:pPr>
          </w:p>
        </w:tc>
        <w:tc>
          <w:tcPr>
            <w:tcW w:w="1715" w:type="dxa"/>
            <w:gridSpan w:val="2"/>
            <w:vMerge w:val="continue"/>
            <w:shd w:val="clear" w:color="auto" w:fill="auto"/>
            <w:vAlign w:val="center"/>
          </w:tcPr>
          <w:p>
            <w:pPr>
              <w:autoSpaceDE w:val="0"/>
              <w:autoSpaceDN w:val="0"/>
              <w:adjustRightInd w:val="0"/>
              <w:snapToGrid w:val="0"/>
              <w:spacing w:line="360" w:lineRule="auto"/>
              <w:rPr>
                <w:rFonts w:ascii="Book Antiqua" w:hAnsi="Book Antiqua" w:eastAsia="黑体"/>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70" w:type="dxa"/>
          <w:trHeight w:val="285" w:hRule="atLeast"/>
        </w:trPr>
        <w:tc>
          <w:tcPr>
            <w:tcW w:w="2051" w:type="dxa"/>
            <w:vMerge w:val="restart"/>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9 mo</w:t>
            </w:r>
          </w:p>
        </w:tc>
        <w:tc>
          <w:tcPr>
            <w:tcW w:w="2145" w:type="dxa"/>
            <w:gridSpan w:val="2"/>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A</w:t>
            </w:r>
          </w:p>
        </w:tc>
        <w:tc>
          <w:tcPr>
            <w:tcW w:w="1714" w:type="dxa"/>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215</w:t>
            </w:r>
          </w:p>
        </w:tc>
        <w:tc>
          <w:tcPr>
            <w:tcW w:w="2430" w:type="dxa"/>
            <w:gridSpan w:val="2"/>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40</w:t>
            </w:r>
          </w:p>
        </w:tc>
        <w:tc>
          <w:tcPr>
            <w:tcW w:w="2145" w:type="dxa"/>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 xml:space="preserve">84.3 </w:t>
            </w:r>
          </w:p>
        </w:tc>
        <w:tc>
          <w:tcPr>
            <w:tcW w:w="1714" w:type="dxa"/>
            <w:gridSpan w:val="2"/>
            <w:vMerge w:val="restart"/>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 xml:space="preserve">14.24 </w:t>
            </w:r>
          </w:p>
        </w:tc>
        <w:tc>
          <w:tcPr>
            <w:tcW w:w="1715" w:type="dxa"/>
            <w:gridSpan w:val="2"/>
            <w:vMerge w:val="restart"/>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 xml:space="preserve">0.023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70" w:type="dxa"/>
          <w:trHeight w:val="285" w:hRule="atLeast"/>
        </w:trPr>
        <w:tc>
          <w:tcPr>
            <w:tcW w:w="2051" w:type="dxa"/>
            <w:vMerge w:val="continue"/>
            <w:shd w:val="clear" w:color="auto" w:fill="auto"/>
            <w:vAlign w:val="center"/>
          </w:tcPr>
          <w:p>
            <w:pPr>
              <w:autoSpaceDE w:val="0"/>
              <w:autoSpaceDN w:val="0"/>
              <w:adjustRightInd w:val="0"/>
              <w:snapToGrid w:val="0"/>
              <w:spacing w:line="360" w:lineRule="auto"/>
              <w:rPr>
                <w:rFonts w:ascii="Book Antiqua" w:hAnsi="Book Antiqua" w:eastAsia="黑体"/>
                <w:sz w:val="24"/>
              </w:rPr>
            </w:pPr>
          </w:p>
        </w:tc>
        <w:tc>
          <w:tcPr>
            <w:tcW w:w="2145" w:type="dxa"/>
            <w:gridSpan w:val="2"/>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B</w:t>
            </w:r>
          </w:p>
        </w:tc>
        <w:tc>
          <w:tcPr>
            <w:tcW w:w="1714" w:type="dxa"/>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98</w:t>
            </w:r>
          </w:p>
        </w:tc>
        <w:tc>
          <w:tcPr>
            <w:tcW w:w="2430" w:type="dxa"/>
            <w:gridSpan w:val="2"/>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46</w:t>
            </w:r>
          </w:p>
        </w:tc>
        <w:tc>
          <w:tcPr>
            <w:tcW w:w="2145" w:type="dxa"/>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 xml:space="preserve">68.1 </w:t>
            </w:r>
          </w:p>
        </w:tc>
        <w:tc>
          <w:tcPr>
            <w:tcW w:w="1714" w:type="dxa"/>
            <w:gridSpan w:val="2"/>
            <w:vMerge w:val="continue"/>
            <w:shd w:val="clear" w:color="auto" w:fill="auto"/>
            <w:vAlign w:val="center"/>
          </w:tcPr>
          <w:p>
            <w:pPr>
              <w:autoSpaceDE w:val="0"/>
              <w:autoSpaceDN w:val="0"/>
              <w:adjustRightInd w:val="0"/>
              <w:snapToGrid w:val="0"/>
              <w:spacing w:line="360" w:lineRule="auto"/>
              <w:rPr>
                <w:rFonts w:ascii="Book Antiqua" w:hAnsi="Book Antiqua" w:eastAsia="黑体"/>
                <w:sz w:val="24"/>
              </w:rPr>
            </w:pPr>
          </w:p>
        </w:tc>
        <w:tc>
          <w:tcPr>
            <w:tcW w:w="1715" w:type="dxa"/>
            <w:gridSpan w:val="2"/>
            <w:vMerge w:val="continue"/>
            <w:shd w:val="clear" w:color="auto" w:fill="auto"/>
            <w:vAlign w:val="center"/>
          </w:tcPr>
          <w:p>
            <w:pPr>
              <w:autoSpaceDE w:val="0"/>
              <w:autoSpaceDN w:val="0"/>
              <w:adjustRightInd w:val="0"/>
              <w:snapToGrid w:val="0"/>
              <w:spacing w:line="360" w:lineRule="auto"/>
              <w:rPr>
                <w:rFonts w:ascii="Book Antiqua" w:hAnsi="Book Antiqua" w:eastAsia="黑体"/>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70" w:type="dxa"/>
          <w:trHeight w:val="285" w:hRule="atLeast"/>
        </w:trPr>
        <w:tc>
          <w:tcPr>
            <w:tcW w:w="2051" w:type="dxa"/>
            <w:vMerge w:val="restart"/>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12 mo</w:t>
            </w:r>
          </w:p>
        </w:tc>
        <w:tc>
          <w:tcPr>
            <w:tcW w:w="2145" w:type="dxa"/>
            <w:gridSpan w:val="2"/>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A</w:t>
            </w:r>
          </w:p>
        </w:tc>
        <w:tc>
          <w:tcPr>
            <w:tcW w:w="1714" w:type="dxa"/>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177</w:t>
            </w:r>
          </w:p>
        </w:tc>
        <w:tc>
          <w:tcPr>
            <w:tcW w:w="2430" w:type="dxa"/>
            <w:gridSpan w:val="2"/>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78</w:t>
            </w:r>
          </w:p>
        </w:tc>
        <w:tc>
          <w:tcPr>
            <w:tcW w:w="2145" w:type="dxa"/>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 xml:space="preserve">69.4 </w:t>
            </w:r>
          </w:p>
        </w:tc>
        <w:tc>
          <w:tcPr>
            <w:tcW w:w="1714" w:type="dxa"/>
            <w:gridSpan w:val="2"/>
            <w:vMerge w:val="restart"/>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 xml:space="preserve">25.93 </w:t>
            </w:r>
          </w:p>
        </w:tc>
        <w:tc>
          <w:tcPr>
            <w:tcW w:w="1715" w:type="dxa"/>
            <w:gridSpan w:val="2"/>
            <w:vMerge w:val="restart"/>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 xml:space="preserve">0.032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70" w:type="dxa"/>
          <w:trHeight w:val="285" w:hRule="atLeast"/>
        </w:trPr>
        <w:tc>
          <w:tcPr>
            <w:tcW w:w="2051" w:type="dxa"/>
            <w:vMerge w:val="continue"/>
            <w:shd w:val="clear" w:color="auto" w:fill="auto"/>
            <w:vAlign w:val="center"/>
          </w:tcPr>
          <w:p>
            <w:pPr>
              <w:autoSpaceDE w:val="0"/>
              <w:autoSpaceDN w:val="0"/>
              <w:adjustRightInd w:val="0"/>
              <w:snapToGrid w:val="0"/>
              <w:spacing w:line="360" w:lineRule="auto"/>
              <w:rPr>
                <w:rFonts w:ascii="Book Antiqua" w:hAnsi="Book Antiqua" w:eastAsia="黑体"/>
                <w:sz w:val="24"/>
              </w:rPr>
            </w:pPr>
          </w:p>
        </w:tc>
        <w:tc>
          <w:tcPr>
            <w:tcW w:w="2145" w:type="dxa"/>
            <w:gridSpan w:val="2"/>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B</w:t>
            </w:r>
          </w:p>
        </w:tc>
        <w:tc>
          <w:tcPr>
            <w:tcW w:w="1714" w:type="dxa"/>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65</w:t>
            </w:r>
          </w:p>
        </w:tc>
        <w:tc>
          <w:tcPr>
            <w:tcW w:w="2430" w:type="dxa"/>
            <w:gridSpan w:val="2"/>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79</w:t>
            </w:r>
          </w:p>
        </w:tc>
        <w:tc>
          <w:tcPr>
            <w:tcW w:w="2145" w:type="dxa"/>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 xml:space="preserve">45.1 </w:t>
            </w:r>
          </w:p>
        </w:tc>
        <w:tc>
          <w:tcPr>
            <w:tcW w:w="1714" w:type="dxa"/>
            <w:gridSpan w:val="2"/>
            <w:vMerge w:val="continue"/>
            <w:shd w:val="clear" w:color="auto" w:fill="auto"/>
            <w:vAlign w:val="center"/>
          </w:tcPr>
          <w:p>
            <w:pPr>
              <w:autoSpaceDE w:val="0"/>
              <w:autoSpaceDN w:val="0"/>
              <w:adjustRightInd w:val="0"/>
              <w:snapToGrid w:val="0"/>
              <w:spacing w:line="360" w:lineRule="auto"/>
              <w:rPr>
                <w:rFonts w:ascii="Book Antiqua" w:hAnsi="Book Antiqua" w:eastAsia="黑体"/>
                <w:sz w:val="24"/>
              </w:rPr>
            </w:pPr>
          </w:p>
        </w:tc>
        <w:tc>
          <w:tcPr>
            <w:tcW w:w="1715" w:type="dxa"/>
            <w:gridSpan w:val="2"/>
            <w:vMerge w:val="continue"/>
            <w:shd w:val="clear" w:color="auto" w:fill="auto"/>
            <w:vAlign w:val="center"/>
          </w:tcPr>
          <w:p>
            <w:pPr>
              <w:autoSpaceDE w:val="0"/>
              <w:autoSpaceDN w:val="0"/>
              <w:adjustRightInd w:val="0"/>
              <w:snapToGrid w:val="0"/>
              <w:spacing w:line="360" w:lineRule="auto"/>
              <w:rPr>
                <w:rFonts w:ascii="Book Antiqua" w:hAnsi="Book Antiqua" w:eastAsia="黑体"/>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70" w:type="dxa"/>
          <w:trHeight w:val="285" w:hRule="atLeast"/>
        </w:trPr>
        <w:tc>
          <w:tcPr>
            <w:tcW w:w="2051" w:type="dxa"/>
            <w:vMerge w:val="restart"/>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2 yr</w:t>
            </w:r>
          </w:p>
        </w:tc>
        <w:tc>
          <w:tcPr>
            <w:tcW w:w="2145" w:type="dxa"/>
            <w:gridSpan w:val="2"/>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A</w:t>
            </w:r>
          </w:p>
        </w:tc>
        <w:tc>
          <w:tcPr>
            <w:tcW w:w="1714" w:type="dxa"/>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130</w:t>
            </w:r>
          </w:p>
        </w:tc>
        <w:tc>
          <w:tcPr>
            <w:tcW w:w="2430" w:type="dxa"/>
            <w:gridSpan w:val="2"/>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125</w:t>
            </w:r>
          </w:p>
        </w:tc>
        <w:tc>
          <w:tcPr>
            <w:tcW w:w="2145" w:type="dxa"/>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 xml:space="preserve">51.0 </w:t>
            </w:r>
          </w:p>
        </w:tc>
        <w:tc>
          <w:tcPr>
            <w:tcW w:w="1714" w:type="dxa"/>
            <w:gridSpan w:val="2"/>
            <w:vMerge w:val="restart"/>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 xml:space="preserve">22.75 </w:t>
            </w:r>
          </w:p>
        </w:tc>
        <w:tc>
          <w:tcPr>
            <w:tcW w:w="1715" w:type="dxa"/>
            <w:gridSpan w:val="2"/>
            <w:vMerge w:val="restart"/>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 xml:space="preserve">0.037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70" w:type="dxa"/>
          <w:trHeight w:val="285" w:hRule="atLeast"/>
        </w:trPr>
        <w:tc>
          <w:tcPr>
            <w:tcW w:w="2051" w:type="dxa"/>
            <w:vMerge w:val="continue"/>
            <w:shd w:val="clear" w:color="auto" w:fill="auto"/>
            <w:vAlign w:val="center"/>
          </w:tcPr>
          <w:p>
            <w:pPr>
              <w:autoSpaceDE w:val="0"/>
              <w:autoSpaceDN w:val="0"/>
              <w:adjustRightInd w:val="0"/>
              <w:snapToGrid w:val="0"/>
              <w:spacing w:line="360" w:lineRule="auto"/>
              <w:rPr>
                <w:rFonts w:ascii="Book Antiqua" w:hAnsi="Book Antiqua" w:eastAsia="黑体"/>
                <w:sz w:val="24"/>
              </w:rPr>
            </w:pPr>
          </w:p>
        </w:tc>
        <w:tc>
          <w:tcPr>
            <w:tcW w:w="2145" w:type="dxa"/>
            <w:gridSpan w:val="2"/>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B</w:t>
            </w:r>
          </w:p>
        </w:tc>
        <w:tc>
          <w:tcPr>
            <w:tcW w:w="1714" w:type="dxa"/>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38</w:t>
            </w:r>
          </w:p>
        </w:tc>
        <w:tc>
          <w:tcPr>
            <w:tcW w:w="2430" w:type="dxa"/>
            <w:gridSpan w:val="2"/>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106</w:t>
            </w:r>
          </w:p>
        </w:tc>
        <w:tc>
          <w:tcPr>
            <w:tcW w:w="2145" w:type="dxa"/>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 xml:space="preserve">26.4 </w:t>
            </w:r>
          </w:p>
        </w:tc>
        <w:tc>
          <w:tcPr>
            <w:tcW w:w="1714" w:type="dxa"/>
            <w:gridSpan w:val="2"/>
            <w:vMerge w:val="continue"/>
            <w:shd w:val="clear" w:color="auto" w:fill="auto"/>
            <w:vAlign w:val="center"/>
          </w:tcPr>
          <w:p>
            <w:pPr>
              <w:autoSpaceDE w:val="0"/>
              <w:autoSpaceDN w:val="0"/>
              <w:adjustRightInd w:val="0"/>
              <w:snapToGrid w:val="0"/>
              <w:spacing w:line="360" w:lineRule="auto"/>
              <w:rPr>
                <w:rFonts w:ascii="Book Antiqua" w:hAnsi="Book Antiqua" w:eastAsia="黑体"/>
                <w:sz w:val="24"/>
              </w:rPr>
            </w:pPr>
          </w:p>
        </w:tc>
        <w:tc>
          <w:tcPr>
            <w:tcW w:w="1715" w:type="dxa"/>
            <w:gridSpan w:val="2"/>
            <w:vMerge w:val="continue"/>
            <w:shd w:val="clear" w:color="auto" w:fill="auto"/>
            <w:vAlign w:val="center"/>
          </w:tcPr>
          <w:p>
            <w:pPr>
              <w:autoSpaceDE w:val="0"/>
              <w:autoSpaceDN w:val="0"/>
              <w:adjustRightInd w:val="0"/>
              <w:snapToGrid w:val="0"/>
              <w:spacing w:line="360" w:lineRule="auto"/>
              <w:rPr>
                <w:rFonts w:ascii="Book Antiqua" w:hAnsi="Book Antiqua" w:eastAsia="黑体"/>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70" w:type="dxa"/>
          <w:trHeight w:val="285" w:hRule="atLeast"/>
        </w:trPr>
        <w:tc>
          <w:tcPr>
            <w:tcW w:w="2051" w:type="dxa"/>
            <w:vMerge w:val="restart"/>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3 yr</w:t>
            </w:r>
          </w:p>
        </w:tc>
        <w:tc>
          <w:tcPr>
            <w:tcW w:w="2145" w:type="dxa"/>
            <w:gridSpan w:val="2"/>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A</w:t>
            </w:r>
          </w:p>
        </w:tc>
        <w:tc>
          <w:tcPr>
            <w:tcW w:w="1714" w:type="dxa"/>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78</w:t>
            </w:r>
          </w:p>
        </w:tc>
        <w:tc>
          <w:tcPr>
            <w:tcW w:w="2430" w:type="dxa"/>
            <w:gridSpan w:val="2"/>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177</w:t>
            </w:r>
          </w:p>
        </w:tc>
        <w:tc>
          <w:tcPr>
            <w:tcW w:w="2145" w:type="dxa"/>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 xml:space="preserve">30.6 </w:t>
            </w:r>
          </w:p>
        </w:tc>
        <w:tc>
          <w:tcPr>
            <w:tcW w:w="1714" w:type="dxa"/>
            <w:gridSpan w:val="2"/>
            <w:vMerge w:val="restart"/>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 xml:space="preserve">21.39 </w:t>
            </w:r>
          </w:p>
        </w:tc>
        <w:tc>
          <w:tcPr>
            <w:tcW w:w="1715" w:type="dxa"/>
            <w:gridSpan w:val="2"/>
            <w:vMerge w:val="restart"/>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 xml:space="preserve">0.028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70" w:type="dxa"/>
          <w:trHeight w:val="300" w:hRule="atLeast"/>
        </w:trPr>
        <w:tc>
          <w:tcPr>
            <w:tcW w:w="2051" w:type="dxa"/>
            <w:vMerge w:val="continue"/>
            <w:shd w:val="clear" w:color="auto" w:fill="auto"/>
            <w:vAlign w:val="center"/>
          </w:tcPr>
          <w:p>
            <w:pPr>
              <w:autoSpaceDE w:val="0"/>
              <w:autoSpaceDN w:val="0"/>
              <w:adjustRightInd w:val="0"/>
              <w:snapToGrid w:val="0"/>
              <w:spacing w:line="360" w:lineRule="auto"/>
              <w:rPr>
                <w:rFonts w:ascii="Book Antiqua" w:hAnsi="Book Antiqua" w:eastAsia="黑体"/>
                <w:sz w:val="24"/>
              </w:rPr>
            </w:pPr>
          </w:p>
        </w:tc>
        <w:tc>
          <w:tcPr>
            <w:tcW w:w="2145" w:type="dxa"/>
            <w:gridSpan w:val="2"/>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B</w:t>
            </w:r>
          </w:p>
        </w:tc>
        <w:tc>
          <w:tcPr>
            <w:tcW w:w="1714" w:type="dxa"/>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18</w:t>
            </w:r>
          </w:p>
        </w:tc>
        <w:tc>
          <w:tcPr>
            <w:tcW w:w="2430" w:type="dxa"/>
            <w:gridSpan w:val="2"/>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126</w:t>
            </w:r>
          </w:p>
        </w:tc>
        <w:tc>
          <w:tcPr>
            <w:tcW w:w="2145" w:type="dxa"/>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 xml:space="preserve">12.5 </w:t>
            </w:r>
          </w:p>
        </w:tc>
        <w:tc>
          <w:tcPr>
            <w:tcW w:w="1714" w:type="dxa"/>
            <w:gridSpan w:val="2"/>
            <w:vMerge w:val="continue"/>
            <w:shd w:val="clear" w:color="auto" w:fill="auto"/>
            <w:vAlign w:val="center"/>
          </w:tcPr>
          <w:p>
            <w:pPr>
              <w:autoSpaceDE w:val="0"/>
              <w:autoSpaceDN w:val="0"/>
              <w:adjustRightInd w:val="0"/>
              <w:snapToGrid w:val="0"/>
              <w:spacing w:line="360" w:lineRule="auto"/>
              <w:rPr>
                <w:rFonts w:ascii="Book Antiqua" w:hAnsi="Book Antiqua" w:eastAsia="黑体"/>
                <w:sz w:val="24"/>
              </w:rPr>
            </w:pPr>
          </w:p>
        </w:tc>
        <w:tc>
          <w:tcPr>
            <w:tcW w:w="1715" w:type="dxa"/>
            <w:gridSpan w:val="2"/>
            <w:vMerge w:val="continue"/>
            <w:shd w:val="clear" w:color="auto" w:fill="auto"/>
            <w:vAlign w:val="center"/>
          </w:tcPr>
          <w:p>
            <w:pPr>
              <w:autoSpaceDE w:val="0"/>
              <w:autoSpaceDN w:val="0"/>
              <w:adjustRightInd w:val="0"/>
              <w:snapToGrid w:val="0"/>
              <w:spacing w:line="360" w:lineRule="auto"/>
              <w:rPr>
                <w:rFonts w:ascii="Book Antiqua" w:hAnsi="Book Antiqua" w:eastAsia="黑体"/>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051" w:type="dxa"/>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p>
        </w:tc>
        <w:tc>
          <w:tcPr>
            <w:tcW w:w="2028" w:type="dxa"/>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p>
        </w:tc>
        <w:tc>
          <w:tcPr>
            <w:tcW w:w="2474" w:type="dxa"/>
            <w:gridSpan w:val="3"/>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Median stent patency in mo</w:t>
            </w:r>
          </w:p>
        </w:tc>
        <w:tc>
          <w:tcPr>
            <w:tcW w:w="4055" w:type="dxa"/>
            <w:gridSpan w:val="3"/>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Four quantile spacing in mo</w:t>
            </w:r>
          </w:p>
        </w:tc>
        <w:tc>
          <w:tcPr>
            <w:tcW w:w="3376" w:type="dxa"/>
            <w:gridSpan w:val="4"/>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051" w:type="dxa"/>
            <w:vMerge w:val="restart"/>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 xml:space="preserve">Total </w:t>
            </w:r>
          </w:p>
        </w:tc>
        <w:tc>
          <w:tcPr>
            <w:tcW w:w="2028" w:type="dxa"/>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A</w:t>
            </w:r>
          </w:p>
        </w:tc>
        <w:tc>
          <w:tcPr>
            <w:tcW w:w="2474" w:type="dxa"/>
            <w:gridSpan w:val="3"/>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12</w:t>
            </w:r>
          </w:p>
        </w:tc>
        <w:tc>
          <w:tcPr>
            <w:tcW w:w="4055" w:type="dxa"/>
            <w:gridSpan w:val="3"/>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(10, 14)</w:t>
            </w:r>
          </w:p>
        </w:tc>
        <w:tc>
          <w:tcPr>
            <w:tcW w:w="1689" w:type="dxa"/>
            <w:gridSpan w:val="2"/>
            <w:vMerge w:val="restart"/>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p>
        </w:tc>
        <w:tc>
          <w:tcPr>
            <w:tcW w:w="1687" w:type="dxa"/>
            <w:gridSpan w:val="2"/>
            <w:vMerge w:val="restart"/>
            <w:shd w:val="clear" w:color="auto" w:fill="auto"/>
            <w:vAlign w:val="center"/>
          </w:tcPr>
          <w:p>
            <w:pPr>
              <w:widowControl/>
              <w:autoSpaceDE w:val="0"/>
              <w:autoSpaceDN w:val="0"/>
              <w:adjustRightInd w:val="0"/>
              <w:snapToGrid w:val="0"/>
              <w:spacing w:line="360" w:lineRule="auto"/>
              <w:rPr>
                <w:rFonts w:ascii="Book Antiqua" w:hAnsi="Book Antiqua" w:eastAsia="黑体"/>
                <w:sz w:val="24"/>
              </w:rPr>
            </w:pPr>
            <w:r>
              <w:rPr>
                <w:rFonts w:ascii="Book Antiqua" w:hAnsi="Book Antiqua" w:eastAsia="黑体"/>
                <w:sz w:val="24"/>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051" w:type="dxa"/>
            <w:vMerge w:val="continue"/>
            <w:shd w:val="clear" w:color="auto" w:fill="auto"/>
            <w:vAlign w:val="center"/>
          </w:tcPr>
          <w:p>
            <w:pPr>
              <w:snapToGrid w:val="0"/>
              <w:spacing w:line="360" w:lineRule="auto"/>
              <w:rPr>
                <w:rFonts w:ascii="Book Antiqua" w:hAnsi="Book Antiqua" w:eastAsia="黑体"/>
                <w:sz w:val="24"/>
              </w:rPr>
            </w:pPr>
          </w:p>
        </w:tc>
        <w:tc>
          <w:tcPr>
            <w:tcW w:w="2028" w:type="dxa"/>
            <w:shd w:val="clear" w:color="auto" w:fill="auto"/>
            <w:vAlign w:val="center"/>
          </w:tcPr>
          <w:p>
            <w:pPr>
              <w:widowControl/>
              <w:snapToGrid w:val="0"/>
              <w:spacing w:line="360" w:lineRule="auto"/>
              <w:rPr>
                <w:rFonts w:ascii="Book Antiqua" w:hAnsi="Book Antiqua" w:eastAsia="黑体" w:cs="Times New Roman"/>
                <w:sz w:val="24"/>
              </w:rPr>
            </w:pPr>
            <w:r>
              <w:rPr>
                <w:rFonts w:ascii="Book Antiqua" w:hAnsi="Book Antiqua" w:eastAsia="黑体" w:cs="Times New Roman"/>
                <w:sz w:val="24"/>
              </w:rPr>
              <w:t>B</w:t>
            </w:r>
          </w:p>
        </w:tc>
        <w:tc>
          <w:tcPr>
            <w:tcW w:w="2474" w:type="dxa"/>
            <w:gridSpan w:val="3"/>
            <w:shd w:val="clear" w:color="auto" w:fill="auto"/>
            <w:vAlign w:val="center"/>
          </w:tcPr>
          <w:p>
            <w:pPr>
              <w:widowControl/>
              <w:snapToGrid w:val="0"/>
              <w:spacing w:line="360" w:lineRule="auto"/>
              <w:rPr>
                <w:rFonts w:ascii="Book Antiqua" w:hAnsi="Book Antiqua" w:eastAsia="黑体" w:cs="Times New Roman"/>
                <w:sz w:val="24"/>
              </w:rPr>
            </w:pPr>
            <w:r>
              <w:rPr>
                <w:rFonts w:ascii="Book Antiqua" w:hAnsi="Book Antiqua" w:eastAsia="黑体" w:cs="Times New Roman"/>
                <w:sz w:val="24"/>
              </w:rPr>
              <w:t>4</w:t>
            </w:r>
          </w:p>
        </w:tc>
        <w:tc>
          <w:tcPr>
            <w:tcW w:w="4055" w:type="dxa"/>
            <w:gridSpan w:val="3"/>
            <w:shd w:val="clear" w:color="auto" w:fill="auto"/>
            <w:vAlign w:val="center"/>
          </w:tcPr>
          <w:p>
            <w:pPr>
              <w:widowControl/>
              <w:snapToGrid w:val="0"/>
              <w:spacing w:line="360" w:lineRule="auto"/>
              <w:rPr>
                <w:rFonts w:ascii="Book Antiqua" w:hAnsi="Book Antiqua" w:eastAsia="黑体" w:cs="Times New Roman"/>
                <w:sz w:val="24"/>
              </w:rPr>
            </w:pPr>
            <w:r>
              <w:rPr>
                <w:rFonts w:ascii="Book Antiqua" w:hAnsi="Book Antiqua" w:eastAsia="黑体" w:cs="Times New Roman"/>
                <w:sz w:val="24"/>
              </w:rPr>
              <w:t>(3, 6)</w:t>
            </w:r>
          </w:p>
        </w:tc>
        <w:tc>
          <w:tcPr>
            <w:tcW w:w="1689" w:type="dxa"/>
            <w:gridSpan w:val="2"/>
            <w:vMerge w:val="continue"/>
            <w:shd w:val="clear" w:color="auto" w:fill="auto"/>
            <w:vAlign w:val="center"/>
          </w:tcPr>
          <w:p>
            <w:pPr>
              <w:snapToGrid w:val="0"/>
              <w:spacing w:line="360" w:lineRule="auto"/>
              <w:rPr>
                <w:rFonts w:ascii="Book Antiqua" w:hAnsi="Book Antiqua" w:eastAsia="黑体"/>
                <w:sz w:val="24"/>
              </w:rPr>
            </w:pPr>
          </w:p>
        </w:tc>
        <w:tc>
          <w:tcPr>
            <w:tcW w:w="1687" w:type="dxa"/>
            <w:gridSpan w:val="2"/>
            <w:vMerge w:val="continue"/>
            <w:shd w:val="clear" w:color="auto" w:fill="auto"/>
            <w:vAlign w:val="center"/>
          </w:tcPr>
          <w:p>
            <w:pPr>
              <w:snapToGrid w:val="0"/>
              <w:spacing w:line="360" w:lineRule="auto"/>
              <w:rPr>
                <w:rFonts w:ascii="Book Antiqua" w:hAnsi="Book Antiqua" w:eastAsia="黑体"/>
                <w:sz w:val="24"/>
              </w:rPr>
            </w:pPr>
          </w:p>
        </w:tc>
      </w:tr>
    </w:tbl>
    <w:p>
      <w:pPr>
        <w:widowControl/>
        <w:snapToGrid w:val="0"/>
        <w:spacing w:line="360" w:lineRule="auto"/>
        <w:rPr>
          <w:rFonts w:ascii="Book Antiqua" w:hAnsi="Book Antiqua"/>
          <w:b/>
          <w:sz w:val="24"/>
        </w:rPr>
      </w:pPr>
      <w:r>
        <w:rPr>
          <w:rFonts w:ascii="Book Antiqua" w:hAnsi="Book Antiqua"/>
          <w:b/>
          <w:sz w:val="24"/>
        </w:rPr>
        <w:br w:type="page"/>
      </w:r>
    </w:p>
    <w:p>
      <w:pPr>
        <w:snapToGrid w:val="0"/>
        <w:spacing w:line="360" w:lineRule="auto"/>
        <w:rPr>
          <w:rFonts w:ascii="Book Antiqua" w:hAnsi="Book Antiqua" w:eastAsia="黑体"/>
          <w:b/>
          <w:sz w:val="24"/>
        </w:rPr>
      </w:pPr>
      <w:r>
        <w:rPr>
          <w:rFonts w:ascii="Book Antiqua" w:hAnsi="Book Antiqua" w:eastAsia="黑体"/>
          <w:b/>
          <w:sz w:val="24"/>
        </w:rPr>
        <w:t>Table 4 Clinical characteristics of the patients in recurrent bleeding rate</w:t>
      </w:r>
    </w:p>
    <w:tbl>
      <w:tblPr>
        <w:tblStyle w:val="8"/>
        <w:tblW w:w="13984"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044"/>
        <w:gridCol w:w="2025"/>
        <w:gridCol w:w="115"/>
        <w:gridCol w:w="1712"/>
        <w:gridCol w:w="646"/>
        <w:gridCol w:w="1541"/>
        <w:gridCol w:w="2472"/>
        <w:gridCol w:w="34"/>
        <w:gridCol w:w="1684"/>
        <w:gridCol w:w="1686"/>
        <w:gridCol w:w="2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044" w:type="dxa"/>
            <w:vMerge w:val="restart"/>
            <w:tcBorders>
              <w:top w:val="single" w:color="auto" w:sz="4" w:space="0"/>
              <w:bottom w:val="nil"/>
            </w:tcBorders>
            <w:shd w:val="clear" w:color="auto" w:fill="auto"/>
            <w:vAlign w:val="center"/>
          </w:tcPr>
          <w:p>
            <w:pPr>
              <w:widowControl/>
              <w:snapToGrid w:val="0"/>
              <w:spacing w:line="360" w:lineRule="auto"/>
              <w:textAlignment w:val="center"/>
              <w:rPr>
                <w:rFonts w:ascii="Book Antiqua" w:hAnsi="Book Antiqua" w:eastAsia="黑体" w:cs="宋体"/>
                <w:b/>
                <w:bCs/>
                <w:kern w:val="0"/>
                <w:sz w:val="24"/>
              </w:rPr>
            </w:pPr>
            <w:r>
              <w:rPr>
                <w:rFonts w:ascii="Book Antiqua" w:hAnsi="Book Antiqua" w:eastAsia="黑体" w:cs="宋体"/>
                <w:b/>
                <w:bCs/>
                <w:kern w:val="0"/>
                <w:sz w:val="24"/>
              </w:rPr>
              <w:t>Time</w:t>
            </w:r>
          </w:p>
        </w:tc>
        <w:tc>
          <w:tcPr>
            <w:tcW w:w="2140" w:type="dxa"/>
            <w:gridSpan w:val="2"/>
            <w:vMerge w:val="restart"/>
            <w:tcBorders>
              <w:top w:val="single" w:color="auto" w:sz="4" w:space="0"/>
              <w:bottom w:val="nil"/>
            </w:tcBorders>
            <w:shd w:val="clear" w:color="auto" w:fill="auto"/>
            <w:vAlign w:val="center"/>
          </w:tcPr>
          <w:p>
            <w:pPr>
              <w:widowControl/>
              <w:snapToGrid w:val="0"/>
              <w:spacing w:line="360" w:lineRule="auto"/>
              <w:textAlignment w:val="center"/>
              <w:rPr>
                <w:rFonts w:ascii="Book Antiqua" w:hAnsi="Book Antiqua" w:eastAsia="黑体" w:cs="宋体"/>
                <w:b/>
                <w:bCs/>
                <w:kern w:val="0"/>
                <w:sz w:val="24"/>
              </w:rPr>
            </w:pPr>
            <w:r>
              <w:rPr>
                <w:rFonts w:ascii="Book Antiqua" w:hAnsi="Book Antiqua" w:eastAsia="黑体" w:cs="宋体"/>
                <w:b/>
                <w:bCs/>
                <w:kern w:val="0"/>
                <w:sz w:val="24"/>
              </w:rPr>
              <w:t>Group</w:t>
            </w:r>
          </w:p>
        </w:tc>
        <w:tc>
          <w:tcPr>
            <w:tcW w:w="3899" w:type="dxa"/>
            <w:gridSpan w:val="3"/>
            <w:tcBorders>
              <w:top w:val="single" w:color="auto" w:sz="4" w:space="0"/>
              <w:bottom w:val="nil"/>
            </w:tcBorders>
            <w:shd w:val="clear" w:color="auto" w:fill="auto"/>
            <w:vAlign w:val="center"/>
          </w:tcPr>
          <w:p>
            <w:pPr>
              <w:widowControl/>
              <w:snapToGrid w:val="0"/>
              <w:spacing w:line="360" w:lineRule="auto"/>
              <w:jc w:val="center"/>
              <w:textAlignment w:val="center"/>
              <w:rPr>
                <w:rFonts w:ascii="Book Antiqua" w:hAnsi="Book Antiqua" w:eastAsia="黑体" w:cs="宋体"/>
                <w:b/>
                <w:bCs/>
                <w:kern w:val="0"/>
                <w:sz w:val="24"/>
              </w:rPr>
            </w:pPr>
            <w:r>
              <w:rPr>
                <w:rFonts w:ascii="Book Antiqua" w:hAnsi="Book Antiqua" w:eastAsia="黑体" w:cs="宋体"/>
                <w:b/>
                <w:bCs/>
                <w:kern w:val="0"/>
                <w:sz w:val="24"/>
              </w:rPr>
              <w:t>Bleeding</w:t>
            </w:r>
          </w:p>
        </w:tc>
        <w:tc>
          <w:tcPr>
            <w:tcW w:w="2472" w:type="dxa"/>
            <w:vMerge w:val="restart"/>
            <w:tcBorders>
              <w:top w:val="single" w:color="auto" w:sz="4" w:space="0"/>
              <w:bottom w:val="single" w:color="auto" w:sz="4" w:space="0"/>
            </w:tcBorders>
            <w:shd w:val="clear" w:color="auto" w:fill="auto"/>
            <w:vAlign w:val="center"/>
          </w:tcPr>
          <w:p>
            <w:pPr>
              <w:widowControl/>
              <w:snapToGrid w:val="0"/>
              <w:spacing w:line="360" w:lineRule="auto"/>
              <w:jc w:val="left"/>
              <w:textAlignment w:val="center"/>
              <w:rPr>
                <w:rFonts w:ascii="Book Antiqua" w:hAnsi="Book Antiqua" w:eastAsia="黑体" w:cs="宋体"/>
                <w:b/>
                <w:bCs/>
                <w:kern w:val="0"/>
                <w:sz w:val="24"/>
              </w:rPr>
            </w:pPr>
            <w:r>
              <w:rPr>
                <w:rFonts w:ascii="Book Antiqua" w:hAnsi="Book Antiqua" w:eastAsia="黑体" w:cs="宋体"/>
                <w:b/>
                <w:bCs/>
                <w:kern w:val="0"/>
                <w:sz w:val="24"/>
              </w:rPr>
              <w:t>Recurrence of bleeding, %</w:t>
            </w:r>
          </w:p>
        </w:tc>
        <w:tc>
          <w:tcPr>
            <w:tcW w:w="1718" w:type="dxa"/>
            <w:gridSpan w:val="2"/>
            <w:vMerge w:val="restart"/>
            <w:tcBorders>
              <w:top w:val="single" w:color="auto" w:sz="4" w:space="0"/>
              <w:bottom w:val="single" w:color="auto" w:sz="4" w:space="0"/>
            </w:tcBorders>
            <w:shd w:val="clear" w:color="auto" w:fill="auto"/>
            <w:vAlign w:val="center"/>
          </w:tcPr>
          <w:p>
            <w:pPr>
              <w:widowControl/>
              <w:snapToGrid w:val="0"/>
              <w:spacing w:line="360" w:lineRule="auto"/>
              <w:textAlignment w:val="center"/>
              <w:rPr>
                <w:rFonts w:ascii="Book Antiqua" w:hAnsi="Book Antiqua" w:eastAsia="黑体" w:cs="宋体"/>
                <w:b/>
                <w:bCs/>
                <w:kern w:val="0"/>
                <w:sz w:val="24"/>
              </w:rPr>
            </w:pPr>
            <w:r>
              <w:rPr>
                <w:rFonts w:ascii="Book Antiqua" w:hAnsi="Book Antiqua" w:eastAsia="黑体" w:cs="宋体"/>
                <w:b/>
                <w:bCs/>
                <w:kern w:val="0"/>
                <w:sz w:val="24"/>
              </w:rPr>
              <w:t>χ</w:t>
            </w:r>
            <w:r>
              <w:rPr>
                <w:rFonts w:ascii="Book Antiqua" w:hAnsi="Book Antiqua" w:eastAsia="黑体" w:cs="宋体"/>
                <w:b/>
                <w:bCs/>
                <w:kern w:val="0"/>
                <w:sz w:val="24"/>
                <w:vertAlign w:val="superscript"/>
              </w:rPr>
              <w:t>2</w:t>
            </w:r>
          </w:p>
        </w:tc>
        <w:tc>
          <w:tcPr>
            <w:tcW w:w="1711" w:type="dxa"/>
            <w:gridSpan w:val="2"/>
            <w:vMerge w:val="restart"/>
            <w:tcBorders>
              <w:top w:val="single" w:color="auto" w:sz="4" w:space="0"/>
              <w:bottom w:val="single" w:color="auto" w:sz="4" w:space="0"/>
            </w:tcBorders>
            <w:shd w:val="clear" w:color="auto" w:fill="auto"/>
            <w:vAlign w:val="center"/>
          </w:tcPr>
          <w:p>
            <w:pPr>
              <w:widowControl/>
              <w:snapToGrid w:val="0"/>
              <w:spacing w:line="360" w:lineRule="auto"/>
              <w:textAlignment w:val="center"/>
              <w:rPr>
                <w:rFonts w:ascii="Book Antiqua" w:hAnsi="Book Antiqua" w:eastAsia="黑体" w:cs="宋体"/>
                <w:b/>
                <w:bCs/>
                <w:kern w:val="0"/>
                <w:sz w:val="24"/>
              </w:rPr>
            </w:pPr>
            <w:r>
              <w:rPr>
                <w:rFonts w:ascii="Book Antiqua" w:hAnsi="Book Antiqua" w:eastAsia="黑体" w:cs="宋体"/>
                <w:b/>
                <w:bCs/>
                <w:i/>
                <w:iCs/>
                <w:kern w:val="0"/>
                <w:sz w:val="24"/>
              </w:rPr>
              <w:t>P</w:t>
            </w:r>
            <w:r>
              <w:rPr>
                <w:rFonts w:ascii="Book Antiqua" w:hAnsi="Book Antiqua" w:eastAsia="黑体" w:cs="宋体"/>
                <w:b/>
                <w:bCs/>
                <w:kern w:val="0"/>
                <w:sz w:val="24"/>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044" w:type="dxa"/>
            <w:vMerge w:val="continue"/>
            <w:tcBorders>
              <w:top w:val="nil"/>
              <w:bottom w:val="single" w:color="auto" w:sz="4" w:space="0"/>
            </w:tcBorders>
            <w:shd w:val="clear" w:color="auto" w:fill="auto"/>
            <w:vAlign w:val="center"/>
          </w:tcPr>
          <w:p>
            <w:pPr>
              <w:widowControl/>
              <w:snapToGrid w:val="0"/>
              <w:spacing w:line="360" w:lineRule="auto"/>
              <w:textAlignment w:val="center"/>
              <w:rPr>
                <w:rFonts w:ascii="Book Antiqua" w:hAnsi="Book Antiqua" w:eastAsia="黑体" w:cs="宋体"/>
                <w:b/>
                <w:bCs/>
                <w:kern w:val="0"/>
                <w:sz w:val="24"/>
              </w:rPr>
            </w:pPr>
          </w:p>
        </w:tc>
        <w:tc>
          <w:tcPr>
            <w:tcW w:w="2140" w:type="dxa"/>
            <w:gridSpan w:val="2"/>
            <w:vMerge w:val="continue"/>
            <w:tcBorders>
              <w:top w:val="nil"/>
              <w:bottom w:val="single" w:color="auto" w:sz="4" w:space="0"/>
            </w:tcBorders>
            <w:shd w:val="clear" w:color="auto" w:fill="auto"/>
            <w:vAlign w:val="center"/>
          </w:tcPr>
          <w:p>
            <w:pPr>
              <w:widowControl/>
              <w:snapToGrid w:val="0"/>
              <w:spacing w:line="360" w:lineRule="auto"/>
              <w:textAlignment w:val="center"/>
              <w:rPr>
                <w:rFonts w:ascii="Book Antiqua" w:hAnsi="Book Antiqua" w:eastAsia="黑体" w:cs="宋体"/>
                <w:b/>
                <w:bCs/>
                <w:kern w:val="0"/>
                <w:sz w:val="24"/>
              </w:rPr>
            </w:pPr>
          </w:p>
        </w:tc>
        <w:tc>
          <w:tcPr>
            <w:tcW w:w="1712" w:type="dxa"/>
            <w:tcBorders>
              <w:top w:val="nil"/>
              <w:bottom w:val="single" w:color="auto" w:sz="4" w:space="0"/>
            </w:tcBorders>
            <w:shd w:val="clear" w:color="auto" w:fill="auto"/>
            <w:vAlign w:val="center"/>
          </w:tcPr>
          <w:p>
            <w:pPr>
              <w:widowControl/>
              <w:snapToGrid w:val="0"/>
              <w:spacing w:line="360" w:lineRule="auto"/>
              <w:textAlignment w:val="center"/>
              <w:rPr>
                <w:rFonts w:ascii="Book Antiqua" w:hAnsi="Book Antiqua" w:eastAsia="黑体" w:cs="宋体"/>
                <w:b/>
                <w:bCs/>
                <w:kern w:val="0"/>
                <w:sz w:val="24"/>
              </w:rPr>
            </w:pPr>
            <w:r>
              <w:rPr>
                <w:rFonts w:ascii="Book Antiqua" w:hAnsi="Book Antiqua" w:eastAsia="黑体" w:cs="宋体"/>
                <w:b/>
                <w:bCs/>
                <w:kern w:val="0"/>
                <w:sz w:val="24"/>
              </w:rPr>
              <w:t>Yes</w:t>
            </w:r>
          </w:p>
        </w:tc>
        <w:tc>
          <w:tcPr>
            <w:tcW w:w="2187" w:type="dxa"/>
            <w:gridSpan w:val="2"/>
            <w:tcBorders>
              <w:top w:val="nil"/>
              <w:bottom w:val="single" w:color="auto" w:sz="4" w:space="0"/>
            </w:tcBorders>
            <w:shd w:val="clear" w:color="auto" w:fill="auto"/>
            <w:vAlign w:val="center"/>
          </w:tcPr>
          <w:p>
            <w:pPr>
              <w:widowControl/>
              <w:snapToGrid w:val="0"/>
              <w:spacing w:line="360" w:lineRule="auto"/>
              <w:textAlignment w:val="center"/>
              <w:rPr>
                <w:rFonts w:ascii="Book Antiqua" w:hAnsi="Book Antiqua" w:eastAsia="黑体" w:cs="宋体"/>
                <w:b/>
                <w:bCs/>
                <w:kern w:val="0"/>
                <w:sz w:val="24"/>
              </w:rPr>
            </w:pPr>
            <w:r>
              <w:rPr>
                <w:rFonts w:ascii="Book Antiqua" w:hAnsi="Book Antiqua" w:eastAsia="黑体" w:cs="宋体"/>
                <w:b/>
                <w:bCs/>
                <w:kern w:val="0"/>
                <w:sz w:val="24"/>
              </w:rPr>
              <w:t>No</w:t>
            </w:r>
          </w:p>
        </w:tc>
        <w:tc>
          <w:tcPr>
            <w:tcW w:w="2472" w:type="dxa"/>
            <w:vMerge w:val="continue"/>
            <w:tcBorders>
              <w:top w:val="nil"/>
              <w:bottom w:val="single" w:color="auto" w:sz="4" w:space="0"/>
            </w:tcBorders>
            <w:shd w:val="clear" w:color="auto" w:fill="auto"/>
            <w:vAlign w:val="center"/>
          </w:tcPr>
          <w:p>
            <w:pPr>
              <w:widowControl/>
              <w:snapToGrid w:val="0"/>
              <w:spacing w:line="360" w:lineRule="auto"/>
              <w:textAlignment w:val="center"/>
              <w:rPr>
                <w:rFonts w:ascii="Book Antiqua" w:hAnsi="Book Antiqua" w:eastAsia="黑体" w:cs="宋体"/>
                <w:b/>
                <w:bCs/>
                <w:kern w:val="0"/>
                <w:sz w:val="24"/>
              </w:rPr>
            </w:pPr>
          </w:p>
        </w:tc>
        <w:tc>
          <w:tcPr>
            <w:tcW w:w="1718" w:type="dxa"/>
            <w:gridSpan w:val="2"/>
            <w:vMerge w:val="continue"/>
            <w:tcBorders>
              <w:top w:val="nil"/>
              <w:bottom w:val="single" w:color="auto" w:sz="4" w:space="0"/>
            </w:tcBorders>
            <w:shd w:val="clear" w:color="auto" w:fill="auto"/>
            <w:vAlign w:val="center"/>
          </w:tcPr>
          <w:p>
            <w:pPr>
              <w:widowControl/>
              <w:snapToGrid w:val="0"/>
              <w:spacing w:line="360" w:lineRule="auto"/>
              <w:textAlignment w:val="center"/>
              <w:rPr>
                <w:rFonts w:ascii="Book Antiqua" w:hAnsi="Book Antiqua" w:eastAsia="黑体" w:cs="宋体"/>
                <w:b/>
                <w:bCs/>
                <w:kern w:val="0"/>
                <w:sz w:val="24"/>
              </w:rPr>
            </w:pPr>
          </w:p>
        </w:tc>
        <w:tc>
          <w:tcPr>
            <w:tcW w:w="1711" w:type="dxa"/>
            <w:gridSpan w:val="2"/>
            <w:vMerge w:val="continue"/>
            <w:tcBorders>
              <w:top w:val="nil"/>
              <w:bottom w:val="single" w:color="auto" w:sz="4" w:space="0"/>
            </w:tcBorders>
            <w:shd w:val="clear" w:color="auto" w:fill="auto"/>
            <w:vAlign w:val="center"/>
          </w:tcPr>
          <w:p>
            <w:pPr>
              <w:widowControl/>
              <w:snapToGrid w:val="0"/>
              <w:spacing w:line="360" w:lineRule="auto"/>
              <w:textAlignment w:val="center"/>
              <w:rPr>
                <w:rFonts w:ascii="Book Antiqua" w:hAnsi="Book Antiqua" w:eastAsia="黑体" w:cs="宋体"/>
                <w:b/>
                <w:bCs/>
                <w:kern w:val="0"/>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044" w:type="dxa"/>
            <w:vMerge w:val="restart"/>
            <w:tcBorders>
              <w:top w:val="single" w:color="auto" w:sz="4" w:space="0"/>
            </w:tcBorders>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3 mo</w:t>
            </w:r>
          </w:p>
        </w:tc>
        <w:tc>
          <w:tcPr>
            <w:tcW w:w="2140" w:type="dxa"/>
            <w:gridSpan w:val="2"/>
            <w:tcBorders>
              <w:top w:val="single" w:color="auto" w:sz="4" w:space="0"/>
            </w:tcBorders>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A</w:t>
            </w:r>
          </w:p>
        </w:tc>
        <w:tc>
          <w:tcPr>
            <w:tcW w:w="1712" w:type="dxa"/>
            <w:tcBorders>
              <w:top w:val="single" w:color="auto" w:sz="4" w:space="0"/>
            </w:tcBorders>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13</w:t>
            </w:r>
          </w:p>
        </w:tc>
        <w:tc>
          <w:tcPr>
            <w:tcW w:w="2187" w:type="dxa"/>
            <w:gridSpan w:val="2"/>
            <w:tcBorders>
              <w:top w:val="single" w:color="auto" w:sz="4" w:space="0"/>
            </w:tcBorders>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242</w:t>
            </w:r>
          </w:p>
        </w:tc>
        <w:tc>
          <w:tcPr>
            <w:tcW w:w="2472" w:type="dxa"/>
            <w:tcBorders>
              <w:top w:val="single" w:color="auto" w:sz="4" w:space="0"/>
            </w:tcBorders>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 xml:space="preserve">5.1 </w:t>
            </w:r>
          </w:p>
        </w:tc>
        <w:tc>
          <w:tcPr>
            <w:tcW w:w="1718" w:type="dxa"/>
            <w:gridSpan w:val="2"/>
            <w:vMerge w:val="restart"/>
            <w:tcBorders>
              <w:top w:val="single" w:color="auto" w:sz="4" w:space="0"/>
            </w:tcBorders>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 xml:space="preserve">12.13 </w:t>
            </w:r>
          </w:p>
        </w:tc>
        <w:tc>
          <w:tcPr>
            <w:tcW w:w="1711" w:type="dxa"/>
            <w:gridSpan w:val="2"/>
            <w:vMerge w:val="restart"/>
            <w:tcBorders>
              <w:top w:val="single" w:color="auto" w:sz="4" w:space="0"/>
            </w:tcBorders>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 xml:space="preserve">≤ 0.001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044" w:type="dxa"/>
            <w:vMerge w:val="continue"/>
            <w:shd w:val="clear" w:color="auto" w:fill="auto"/>
            <w:vAlign w:val="center"/>
          </w:tcPr>
          <w:p>
            <w:pPr>
              <w:widowControl/>
              <w:snapToGrid w:val="0"/>
              <w:spacing w:line="360" w:lineRule="auto"/>
              <w:textAlignment w:val="center"/>
              <w:rPr>
                <w:rFonts w:ascii="Book Antiqua" w:hAnsi="Book Antiqua" w:eastAsia="黑体" w:cs="宋体"/>
                <w:kern w:val="0"/>
                <w:sz w:val="24"/>
              </w:rPr>
            </w:pPr>
          </w:p>
        </w:tc>
        <w:tc>
          <w:tcPr>
            <w:tcW w:w="2140" w:type="dxa"/>
            <w:gridSpan w:val="2"/>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B</w:t>
            </w:r>
          </w:p>
        </w:tc>
        <w:tc>
          <w:tcPr>
            <w:tcW w:w="1712" w:type="dxa"/>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21</w:t>
            </w:r>
          </w:p>
        </w:tc>
        <w:tc>
          <w:tcPr>
            <w:tcW w:w="2187" w:type="dxa"/>
            <w:gridSpan w:val="2"/>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123</w:t>
            </w:r>
          </w:p>
        </w:tc>
        <w:tc>
          <w:tcPr>
            <w:tcW w:w="2472" w:type="dxa"/>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 xml:space="preserve">14.6 </w:t>
            </w:r>
          </w:p>
        </w:tc>
        <w:tc>
          <w:tcPr>
            <w:tcW w:w="1718" w:type="dxa"/>
            <w:gridSpan w:val="2"/>
            <w:vMerge w:val="continue"/>
            <w:shd w:val="clear" w:color="auto" w:fill="auto"/>
            <w:vAlign w:val="center"/>
          </w:tcPr>
          <w:p>
            <w:pPr>
              <w:widowControl/>
              <w:snapToGrid w:val="0"/>
              <w:spacing w:line="360" w:lineRule="auto"/>
              <w:textAlignment w:val="center"/>
              <w:rPr>
                <w:rFonts w:ascii="Book Antiqua" w:hAnsi="Book Antiqua" w:eastAsia="黑体" w:cs="宋体"/>
                <w:kern w:val="0"/>
                <w:sz w:val="24"/>
              </w:rPr>
            </w:pPr>
          </w:p>
        </w:tc>
        <w:tc>
          <w:tcPr>
            <w:tcW w:w="1711" w:type="dxa"/>
            <w:gridSpan w:val="2"/>
            <w:vMerge w:val="continue"/>
            <w:shd w:val="clear" w:color="auto" w:fill="auto"/>
            <w:vAlign w:val="center"/>
          </w:tcPr>
          <w:p>
            <w:pPr>
              <w:widowControl/>
              <w:snapToGrid w:val="0"/>
              <w:spacing w:line="360" w:lineRule="auto"/>
              <w:textAlignment w:val="center"/>
              <w:rPr>
                <w:rFonts w:ascii="Book Antiqua" w:hAnsi="Book Antiqua" w:eastAsia="黑体" w:cs="宋体"/>
                <w:kern w:val="0"/>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044" w:type="dxa"/>
            <w:vMerge w:val="restart"/>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6 mo</w:t>
            </w:r>
          </w:p>
        </w:tc>
        <w:tc>
          <w:tcPr>
            <w:tcW w:w="2140" w:type="dxa"/>
            <w:gridSpan w:val="2"/>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A</w:t>
            </w:r>
          </w:p>
        </w:tc>
        <w:tc>
          <w:tcPr>
            <w:tcW w:w="1712" w:type="dxa"/>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25</w:t>
            </w:r>
          </w:p>
        </w:tc>
        <w:tc>
          <w:tcPr>
            <w:tcW w:w="2187" w:type="dxa"/>
            <w:gridSpan w:val="2"/>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230</w:t>
            </w:r>
          </w:p>
        </w:tc>
        <w:tc>
          <w:tcPr>
            <w:tcW w:w="2472" w:type="dxa"/>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 xml:space="preserve">9.8 </w:t>
            </w:r>
          </w:p>
        </w:tc>
        <w:tc>
          <w:tcPr>
            <w:tcW w:w="1718" w:type="dxa"/>
            <w:gridSpan w:val="2"/>
            <w:vMerge w:val="restart"/>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 xml:space="preserve">19.53 </w:t>
            </w:r>
          </w:p>
        </w:tc>
        <w:tc>
          <w:tcPr>
            <w:tcW w:w="1711" w:type="dxa"/>
            <w:gridSpan w:val="2"/>
            <w:vMerge w:val="restart"/>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0.003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044" w:type="dxa"/>
            <w:vMerge w:val="continue"/>
            <w:shd w:val="clear" w:color="auto" w:fill="auto"/>
            <w:vAlign w:val="center"/>
          </w:tcPr>
          <w:p>
            <w:pPr>
              <w:widowControl/>
              <w:snapToGrid w:val="0"/>
              <w:spacing w:line="360" w:lineRule="auto"/>
              <w:textAlignment w:val="center"/>
              <w:rPr>
                <w:rFonts w:ascii="Book Antiqua" w:hAnsi="Book Antiqua" w:eastAsia="黑体" w:cs="宋体"/>
                <w:kern w:val="0"/>
                <w:sz w:val="24"/>
              </w:rPr>
            </w:pPr>
          </w:p>
        </w:tc>
        <w:tc>
          <w:tcPr>
            <w:tcW w:w="2140" w:type="dxa"/>
            <w:gridSpan w:val="2"/>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B</w:t>
            </w:r>
          </w:p>
        </w:tc>
        <w:tc>
          <w:tcPr>
            <w:tcW w:w="1712" w:type="dxa"/>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37</w:t>
            </w:r>
          </w:p>
        </w:tc>
        <w:tc>
          <w:tcPr>
            <w:tcW w:w="2187" w:type="dxa"/>
            <w:gridSpan w:val="2"/>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107</w:t>
            </w:r>
          </w:p>
        </w:tc>
        <w:tc>
          <w:tcPr>
            <w:tcW w:w="2472" w:type="dxa"/>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 xml:space="preserve">25.7 </w:t>
            </w:r>
          </w:p>
        </w:tc>
        <w:tc>
          <w:tcPr>
            <w:tcW w:w="1718" w:type="dxa"/>
            <w:gridSpan w:val="2"/>
            <w:vMerge w:val="continue"/>
            <w:shd w:val="clear" w:color="auto" w:fill="auto"/>
            <w:vAlign w:val="center"/>
          </w:tcPr>
          <w:p>
            <w:pPr>
              <w:widowControl/>
              <w:snapToGrid w:val="0"/>
              <w:spacing w:line="360" w:lineRule="auto"/>
              <w:textAlignment w:val="center"/>
              <w:rPr>
                <w:rFonts w:ascii="Book Antiqua" w:hAnsi="Book Antiqua" w:eastAsia="黑体" w:cs="宋体"/>
                <w:kern w:val="0"/>
                <w:sz w:val="24"/>
              </w:rPr>
            </w:pPr>
          </w:p>
        </w:tc>
        <w:tc>
          <w:tcPr>
            <w:tcW w:w="1711" w:type="dxa"/>
            <w:gridSpan w:val="2"/>
            <w:vMerge w:val="continue"/>
            <w:shd w:val="clear" w:color="auto" w:fill="auto"/>
            <w:vAlign w:val="center"/>
          </w:tcPr>
          <w:p>
            <w:pPr>
              <w:widowControl/>
              <w:snapToGrid w:val="0"/>
              <w:spacing w:line="360" w:lineRule="auto"/>
              <w:textAlignment w:val="center"/>
              <w:rPr>
                <w:rFonts w:ascii="Book Antiqua" w:hAnsi="Book Antiqua" w:eastAsia="黑体" w:cs="宋体"/>
                <w:kern w:val="0"/>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044" w:type="dxa"/>
            <w:vMerge w:val="restart"/>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9 mo</w:t>
            </w:r>
          </w:p>
        </w:tc>
        <w:tc>
          <w:tcPr>
            <w:tcW w:w="2140" w:type="dxa"/>
            <w:gridSpan w:val="2"/>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A</w:t>
            </w:r>
          </w:p>
        </w:tc>
        <w:tc>
          <w:tcPr>
            <w:tcW w:w="1712" w:type="dxa"/>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39</w:t>
            </w:r>
          </w:p>
        </w:tc>
        <w:tc>
          <w:tcPr>
            <w:tcW w:w="2187" w:type="dxa"/>
            <w:gridSpan w:val="2"/>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216</w:t>
            </w:r>
          </w:p>
        </w:tc>
        <w:tc>
          <w:tcPr>
            <w:tcW w:w="2472" w:type="dxa"/>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 xml:space="preserve">15.3 </w:t>
            </w:r>
          </w:p>
        </w:tc>
        <w:tc>
          <w:tcPr>
            <w:tcW w:w="1718" w:type="dxa"/>
            <w:gridSpan w:val="2"/>
            <w:vMerge w:val="restart"/>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 xml:space="preserve">13.18 </w:t>
            </w:r>
          </w:p>
        </w:tc>
        <w:tc>
          <w:tcPr>
            <w:tcW w:w="1711" w:type="dxa"/>
            <w:gridSpan w:val="2"/>
            <w:vMerge w:val="restart"/>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0.005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044" w:type="dxa"/>
            <w:vMerge w:val="continue"/>
            <w:shd w:val="clear" w:color="auto" w:fill="auto"/>
            <w:vAlign w:val="center"/>
          </w:tcPr>
          <w:p>
            <w:pPr>
              <w:widowControl/>
              <w:snapToGrid w:val="0"/>
              <w:spacing w:line="360" w:lineRule="auto"/>
              <w:textAlignment w:val="center"/>
              <w:rPr>
                <w:rFonts w:ascii="Book Antiqua" w:hAnsi="Book Antiqua" w:eastAsia="黑体" w:cs="宋体"/>
                <w:kern w:val="0"/>
                <w:sz w:val="24"/>
              </w:rPr>
            </w:pPr>
          </w:p>
        </w:tc>
        <w:tc>
          <w:tcPr>
            <w:tcW w:w="2140" w:type="dxa"/>
            <w:gridSpan w:val="2"/>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B</w:t>
            </w:r>
          </w:p>
        </w:tc>
        <w:tc>
          <w:tcPr>
            <w:tcW w:w="1712" w:type="dxa"/>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43</w:t>
            </w:r>
          </w:p>
        </w:tc>
        <w:tc>
          <w:tcPr>
            <w:tcW w:w="2187" w:type="dxa"/>
            <w:gridSpan w:val="2"/>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101</w:t>
            </w:r>
          </w:p>
        </w:tc>
        <w:tc>
          <w:tcPr>
            <w:tcW w:w="2472" w:type="dxa"/>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 xml:space="preserve">29.8 </w:t>
            </w:r>
          </w:p>
        </w:tc>
        <w:tc>
          <w:tcPr>
            <w:tcW w:w="1718" w:type="dxa"/>
            <w:gridSpan w:val="2"/>
            <w:vMerge w:val="continue"/>
            <w:shd w:val="clear" w:color="auto" w:fill="auto"/>
            <w:vAlign w:val="center"/>
          </w:tcPr>
          <w:p>
            <w:pPr>
              <w:widowControl/>
              <w:snapToGrid w:val="0"/>
              <w:spacing w:line="360" w:lineRule="auto"/>
              <w:textAlignment w:val="center"/>
              <w:rPr>
                <w:rFonts w:ascii="Book Antiqua" w:hAnsi="Book Antiqua" w:eastAsia="黑体" w:cs="宋体"/>
                <w:kern w:val="0"/>
                <w:sz w:val="24"/>
              </w:rPr>
            </w:pPr>
          </w:p>
        </w:tc>
        <w:tc>
          <w:tcPr>
            <w:tcW w:w="1711" w:type="dxa"/>
            <w:gridSpan w:val="2"/>
            <w:vMerge w:val="continue"/>
            <w:shd w:val="clear" w:color="auto" w:fill="auto"/>
            <w:vAlign w:val="center"/>
          </w:tcPr>
          <w:p>
            <w:pPr>
              <w:widowControl/>
              <w:snapToGrid w:val="0"/>
              <w:spacing w:line="360" w:lineRule="auto"/>
              <w:textAlignment w:val="center"/>
              <w:rPr>
                <w:rFonts w:ascii="Book Antiqua" w:hAnsi="Book Antiqua" w:eastAsia="黑体" w:cs="宋体"/>
                <w:kern w:val="0"/>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044" w:type="dxa"/>
            <w:vMerge w:val="restart"/>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12 mo</w:t>
            </w:r>
          </w:p>
        </w:tc>
        <w:tc>
          <w:tcPr>
            <w:tcW w:w="2140" w:type="dxa"/>
            <w:gridSpan w:val="2"/>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A</w:t>
            </w:r>
          </w:p>
        </w:tc>
        <w:tc>
          <w:tcPr>
            <w:tcW w:w="1712" w:type="dxa"/>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51</w:t>
            </w:r>
          </w:p>
        </w:tc>
        <w:tc>
          <w:tcPr>
            <w:tcW w:w="2187" w:type="dxa"/>
            <w:gridSpan w:val="2"/>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204</w:t>
            </w:r>
          </w:p>
        </w:tc>
        <w:tc>
          <w:tcPr>
            <w:tcW w:w="2472" w:type="dxa"/>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 xml:space="preserve">20.0 </w:t>
            </w:r>
          </w:p>
        </w:tc>
        <w:tc>
          <w:tcPr>
            <w:tcW w:w="1718" w:type="dxa"/>
            <w:gridSpan w:val="2"/>
            <w:vMerge w:val="restart"/>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 xml:space="preserve">20.90 </w:t>
            </w:r>
          </w:p>
        </w:tc>
        <w:tc>
          <w:tcPr>
            <w:tcW w:w="1711" w:type="dxa"/>
            <w:gridSpan w:val="2"/>
            <w:vMerge w:val="restart"/>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0.008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044" w:type="dxa"/>
            <w:vMerge w:val="continue"/>
            <w:shd w:val="clear" w:color="auto" w:fill="auto"/>
            <w:vAlign w:val="center"/>
          </w:tcPr>
          <w:p>
            <w:pPr>
              <w:widowControl/>
              <w:snapToGrid w:val="0"/>
              <w:spacing w:line="360" w:lineRule="auto"/>
              <w:textAlignment w:val="center"/>
              <w:rPr>
                <w:rFonts w:ascii="Book Antiqua" w:hAnsi="Book Antiqua" w:eastAsia="黑体" w:cs="宋体"/>
                <w:kern w:val="0"/>
                <w:sz w:val="24"/>
              </w:rPr>
            </w:pPr>
          </w:p>
        </w:tc>
        <w:tc>
          <w:tcPr>
            <w:tcW w:w="2140" w:type="dxa"/>
            <w:gridSpan w:val="2"/>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B</w:t>
            </w:r>
          </w:p>
        </w:tc>
        <w:tc>
          <w:tcPr>
            <w:tcW w:w="1712" w:type="dxa"/>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57</w:t>
            </w:r>
          </w:p>
        </w:tc>
        <w:tc>
          <w:tcPr>
            <w:tcW w:w="2187" w:type="dxa"/>
            <w:gridSpan w:val="2"/>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87</w:t>
            </w:r>
          </w:p>
        </w:tc>
        <w:tc>
          <w:tcPr>
            <w:tcW w:w="2472" w:type="dxa"/>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 xml:space="preserve">39.6 </w:t>
            </w:r>
          </w:p>
        </w:tc>
        <w:tc>
          <w:tcPr>
            <w:tcW w:w="1718" w:type="dxa"/>
            <w:gridSpan w:val="2"/>
            <w:vMerge w:val="continue"/>
            <w:shd w:val="clear" w:color="auto" w:fill="auto"/>
            <w:vAlign w:val="center"/>
          </w:tcPr>
          <w:p>
            <w:pPr>
              <w:widowControl/>
              <w:snapToGrid w:val="0"/>
              <w:spacing w:line="360" w:lineRule="auto"/>
              <w:textAlignment w:val="center"/>
              <w:rPr>
                <w:rFonts w:ascii="Book Antiqua" w:hAnsi="Book Antiqua" w:eastAsia="黑体" w:cs="宋体"/>
                <w:kern w:val="0"/>
                <w:sz w:val="24"/>
              </w:rPr>
            </w:pPr>
          </w:p>
        </w:tc>
        <w:tc>
          <w:tcPr>
            <w:tcW w:w="1711" w:type="dxa"/>
            <w:gridSpan w:val="2"/>
            <w:vMerge w:val="continue"/>
            <w:shd w:val="clear" w:color="auto" w:fill="auto"/>
            <w:vAlign w:val="center"/>
          </w:tcPr>
          <w:p>
            <w:pPr>
              <w:widowControl/>
              <w:snapToGrid w:val="0"/>
              <w:spacing w:line="360" w:lineRule="auto"/>
              <w:textAlignment w:val="center"/>
              <w:rPr>
                <w:rFonts w:ascii="Book Antiqua" w:hAnsi="Book Antiqua" w:eastAsia="黑体" w:cs="宋体"/>
                <w:kern w:val="0"/>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044" w:type="dxa"/>
            <w:vMerge w:val="restart"/>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2 yr</w:t>
            </w:r>
          </w:p>
        </w:tc>
        <w:tc>
          <w:tcPr>
            <w:tcW w:w="2140" w:type="dxa"/>
            <w:gridSpan w:val="2"/>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A</w:t>
            </w:r>
          </w:p>
        </w:tc>
        <w:tc>
          <w:tcPr>
            <w:tcW w:w="1712" w:type="dxa"/>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74</w:t>
            </w:r>
          </w:p>
        </w:tc>
        <w:tc>
          <w:tcPr>
            <w:tcW w:w="2187" w:type="dxa"/>
            <w:gridSpan w:val="2"/>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181</w:t>
            </w:r>
          </w:p>
        </w:tc>
        <w:tc>
          <w:tcPr>
            <w:tcW w:w="2472" w:type="dxa"/>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 xml:space="preserve">29.0 </w:t>
            </w:r>
          </w:p>
        </w:tc>
        <w:tc>
          <w:tcPr>
            <w:tcW w:w="1718" w:type="dxa"/>
            <w:gridSpan w:val="2"/>
            <w:vMerge w:val="restart"/>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 xml:space="preserve">12.10 </w:t>
            </w:r>
          </w:p>
        </w:tc>
        <w:tc>
          <w:tcPr>
            <w:tcW w:w="1711" w:type="dxa"/>
            <w:gridSpan w:val="2"/>
            <w:vMerge w:val="restart"/>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0.011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044" w:type="dxa"/>
            <w:vMerge w:val="continue"/>
            <w:shd w:val="clear" w:color="auto" w:fill="auto"/>
            <w:vAlign w:val="center"/>
          </w:tcPr>
          <w:p>
            <w:pPr>
              <w:widowControl/>
              <w:snapToGrid w:val="0"/>
              <w:spacing w:line="360" w:lineRule="auto"/>
              <w:textAlignment w:val="center"/>
              <w:rPr>
                <w:rFonts w:ascii="Book Antiqua" w:hAnsi="Book Antiqua" w:eastAsia="黑体" w:cs="宋体"/>
                <w:kern w:val="0"/>
                <w:sz w:val="24"/>
              </w:rPr>
            </w:pPr>
          </w:p>
        </w:tc>
        <w:tc>
          <w:tcPr>
            <w:tcW w:w="2140" w:type="dxa"/>
            <w:gridSpan w:val="2"/>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B</w:t>
            </w:r>
          </w:p>
        </w:tc>
        <w:tc>
          <w:tcPr>
            <w:tcW w:w="1712" w:type="dxa"/>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65</w:t>
            </w:r>
          </w:p>
        </w:tc>
        <w:tc>
          <w:tcPr>
            <w:tcW w:w="2187" w:type="dxa"/>
            <w:gridSpan w:val="2"/>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79</w:t>
            </w:r>
          </w:p>
        </w:tc>
        <w:tc>
          <w:tcPr>
            <w:tcW w:w="2472" w:type="dxa"/>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 xml:space="preserve">45.1 </w:t>
            </w:r>
          </w:p>
        </w:tc>
        <w:tc>
          <w:tcPr>
            <w:tcW w:w="1718" w:type="dxa"/>
            <w:gridSpan w:val="2"/>
            <w:vMerge w:val="continue"/>
            <w:shd w:val="clear" w:color="auto" w:fill="auto"/>
            <w:vAlign w:val="center"/>
          </w:tcPr>
          <w:p>
            <w:pPr>
              <w:widowControl/>
              <w:snapToGrid w:val="0"/>
              <w:spacing w:line="360" w:lineRule="auto"/>
              <w:textAlignment w:val="center"/>
              <w:rPr>
                <w:rFonts w:ascii="Book Antiqua" w:hAnsi="Book Antiqua" w:eastAsia="黑体" w:cs="宋体"/>
                <w:kern w:val="0"/>
                <w:sz w:val="24"/>
              </w:rPr>
            </w:pPr>
          </w:p>
        </w:tc>
        <w:tc>
          <w:tcPr>
            <w:tcW w:w="1711" w:type="dxa"/>
            <w:gridSpan w:val="2"/>
            <w:vMerge w:val="continue"/>
            <w:shd w:val="clear" w:color="auto" w:fill="auto"/>
            <w:vAlign w:val="center"/>
          </w:tcPr>
          <w:p>
            <w:pPr>
              <w:widowControl/>
              <w:snapToGrid w:val="0"/>
              <w:spacing w:line="360" w:lineRule="auto"/>
              <w:textAlignment w:val="center"/>
              <w:rPr>
                <w:rFonts w:ascii="Book Antiqua" w:hAnsi="Book Antiqua" w:eastAsia="黑体" w:cs="宋体"/>
                <w:kern w:val="0"/>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044" w:type="dxa"/>
            <w:vMerge w:val="restart"/>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3 yr</w:t>
            </w:r>
          </w:p>
        </w:tc>
        <w:tc>
          <w:tcPr>
            <w:tcW w:w="2140" w:type="dxa"/>
            <w:gridSpan w:val="2"/>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A</w:t>
            </w:r>
          </w:p>
        </w:tc>
        <w:tc>
          <w:tcPr>
            <w:tcW w:w="1712" w:type="dxa"/>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102</w:t>
            </w:r>
          </w:p>
        </w:tc>
        <w:tc>
          <w:tcPr>
            <w:tcW w:w="2187" w:type="dxa"/>
            <w:gridSpan w:val="2"/>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153</w:t>
            </w:r>
          </w:p>
        </w:tc>
        <w:tc>
          <w:tcPr>
            <w:tcW w:w="2472" w:type="dxa"/>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 xml:space="preserve">40.0 </w:t>
            </w:r>
          </w:p>
        </w:tc>
        <w:tc>
          <w:tcPr>
            <w:tcW w:w="1718" w:type="dxa"/>
            <w:gridSpan w:val="2"/>
            <w:vMerge w:val="restart"/>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 xml:space="preserve">16.20 </w:t>
            </w:r>
          </w:p>
        </w:tc>
        <w:tc>
          <w:tcPr>
            <w:tcW w:w="1711" w:type="dxa"/>
            <w:gridSpan w:val="2"/>
            <w:vMerge w:val="restart"/>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0.016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044" w:type="dxa"/>
            <w:vMerge w:val="continue"/>
            <w:shd w:val="clear" w:color="auto" w:fill="auto"/>
            <w:vAlign w:val="center"/>
          </w:tcPr>
          <w:p>
            <w:pPr>
              <w:widowControl/>
              <w:snapToGrid w:val="0"/>
              <w:spacing w:line="360" w:lineRule="auto"/>
              <w:textAlignment w:val="center"/>
              <w:rPr>
                <w:rFonts w:ascii="Book Antiqua" w:hAnsi="Book Antiqua" w:eastAsia="黑体" w:cs="宋体"/>
                <w:kern w:val="0"/>
                <w:sz w:val="24"/>
              </w:rPr>
            </w:pPr>
          </w:p>
        </w:tc>
        <w:tc>
          <w:tcPr>
            <w:tcW w:w="2140" w:type="dxa"/>
            <w:gridSpan w:val="2"/>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B</w:t>
            </w:r>
          </w:p>
        </w:tc>
        <w:tc>
          <w:tcPr>
            <w:tcW w:w="1712" w:type="dxa"/>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86</w:t>
            </w:r>
          </w:p>
        </w:tc>
        <w:tc>
          <w:tcPr>
            <w:tcW w:w="2187" w:type="dxa"/>
            <w:gridSpan w:val="2"/>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58</w:t>
            </w:r>
          </w:p>
        </w:tc>
        <w:tc>
          <w:tcPr>
            <w:tcW w:w="2472" w:type="dxa"/>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 xml:space="preserve">59.7 </w:t>
            </w:r>
          </w:p>
        </w:tc>
        <w:tc>
          <w:tcPr>
            <w:tcW w:w="1718" w:type="dxa"/>
            <w:gridSpan w:val="2"/>
            <w:vMerge w:val="continue"/>
            <w:shd w:val="clear" w:color="auto" w:fill="auto"/>
            <w:vAlign w:val="center"/>
          </w:tcPr>
          <w:p>
            <w:pPr>
              <w:widowControl/>
              <w:snapToGrid w:val="0"/>
              <w:spacing w:line="360" w:lineRule="auto"/>
              <w:textAlignment w:val="center"/>
              <w:rPr>
                <w:rFonts w:ascii="Book Antiqua" w:hAnsi="Book Antiqua" w:eastAsia="黑体" w:cs="宋体"/>
                <w:kern w:val="0"/>
                <w:sz w:val="24"/>
              </w:rPr>
            </w:pPr>
          </w:p>
        </w:tc>
        <w:tc>
          <w:tcPr>
            <w:tcW w:w="1711" w:type="dxa"/>
            <w:gridSpan w:val="2"/>
            <w:vMerge w:val="continue"/>
            <w:shd w:val="clear" w:color="auto" w:fill="auto"/>
            <w:vAlign w:val="center"/>
          </w:tcPr>
          <w:p>
            <w:pPr>
              <w:widowControl/>
              <w:snapToGrid w:val="0"/>
              <w:spacing w:line="360" w:lineRule="auto"/>
              <w:textAlignment w:val="center"/>
              <w:rPr>
                <w:rFonts w:ascii="Book Antiqua" w:hAnsi="Book Antiqua" w:eastAsia="黑体" w:cs="宋体"/>
                <w:kern w:val="0"/>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5" w:type="dxa"/>
          <w:trHeight w:val="285" w:hRule="atLeast"/>
        </w:trPr>
        <w:tc>
          <w:tcPr>
            <w:tcW w:w="2044" w:type="dxa"/>
            <w:shd w:val="clear" w:color="auto" w:fill="auto"/>
            <w:vAlign w:val="center"/>
          </w:tcPr>
          <w:p>
            <w:pPr>
              <w:widowControl/>
              <w:snapToGrid w:val="0"/>
              <w:spacing w:line="360" w:lineRule="auto"/>
              <w:textAlignment w:val="center"/>
              <w:rPr>
                <w:rFonts w:ascii="Book Antiqua" w:hAnsi="Book Antiqua" w:eastAsia="黑体" w:cs="宋体"/>
                <w:kern w:val="0"/>
                <w:sz w:val="24"/>
              </w:rPr>
            </w:pPr>
          </w:p>
        </w:tc>
        <w:tc>
          <w:tcPr>
            <w:tcW w:w="2025" w:type="dxa"/>
            <w:shd w:val="clear" w:color="auto" w:fill="auto"/>
            <w:vAlign w:val="center"/>
          </w:tcPr>
          <w:p>
            <w:pPr>
              <w:widowControl/>
              <w:snapToGrid w:val="0"/>
              <w:spacing w:line="360" w:lineRule="auto"/>
              <w:textAlignment w:val="center"/>
              <w:rPr>
                <w:rFonts w:ascii="Book Antiqua" w:hAnsi="Book Antiqua" w:eastAsia="黑体" w:cs="宋体"/>
                <w:kern w:val="0"/>
                <w:sz w:val="24"/>
              </w:rPr>
            </w:pPr>
          </w:p>
        </w:tc>
        <w:tc>
          <w:tcPr>
            <w:tcW w:w="2473" w:type="dxa"/>
            <w:gridSpan w:val="3"/>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Median recurrent bleeding in mo</w:t>
            </w:r>
          </w:p>
        </w:tc>
        <w:tc>
          <w:tcPr>
            <w:tcW w:w="4047" w:type="dxa"/>
            <w:gridSpan w:val="3"/>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Four quantile spacing in mo</w:t>
            </w:r>
          </w:p>
        </w:tc>
        <w:tc>
          <w:tcPr>
            <w:tcW w:w="3370" w:type="dxa"/>
            <w:gridSpan w:val="2"/>
            <w:shd w:val="clear" w:color="auto" w:fill="auto"/>
            <w:vAlign w:val="center"/>
          </w:tcPr>
          <w:p>
            <w:pPr>
              <w:widowControl/>
              <w:snapToGrid w:val="0"/>
              <w:spacing w:line="360" w:lineRule="auto"/>
              <w:textAlignment w:val="center"/>
              <w:rPr>
                <w:rFonts w:ascii="Book Antiqua" w:hAnsi="Book Antiqua" w:eastAsia="黑体" w:cs="宋体"/>
                <w:kern w:val="0"/>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5" w:type="dxa"/>
          <w:trHeight w:val="285" w:hRule="atLeast"/>
        </w:trPr>
        <w:tc>
          <w:tcPr>
            <w:tcW w:w="2044" w:type="dxa"/>
            <w:vMerge w:val="restart"/>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 xml:space="preserve">Total </w:t>
            </w:r>
          </w:p>
        </w:tc>
        <w:tc>
          <w:tcPr>
            <w:tcW w:w="2025" w:type="dxa"/>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A</w:t>
            </w:r>
          </w:p>
        </w:tc>
        <w:tc>
          <w:tcPr>
            <w:tcW w:w="2473" w:type="dxa"/>
            <w:gridSpan w:val="3"/>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10</w:t>
            </w:r>
          </w:p>
        </w:tc>
        <w:tc>
          <w:tcPr>
            <w:tcW w:w="4047" w:type="dxa"/>
            <w:gridSpan w:val="3"/>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(8, 12)</w:t>
            </w:r>
          </w:p>
        </w:tc>
        <w:tc>
          <w:tcPr>
            <w:tcW w:w="1684" w:type="dxa"/>
            <w:vMerge w:val="restart"/>
            <w:shd w:val="clear" w:color="auto" w:fill="auto"/>
            <w:vAlign w:val="center"/>
          </w:tcPr>
          <w:p>
            <w:pPr>
              <w:widowControl/>
              <w:snapToGrid w:val="0"/>
              <w:spacing w:line="360" w:lineRule="auto"/>
              <w:textAlignment w:val="center"/>
              <w:rPr>
                <w:rFonts w:ascii="Book Antiqua" w:hAnsi="Book Antiqua" w:eastAsia="黑体" w:cs="宋体"/>
                <w:kern w:val="0"/>
                <w:sz w:val="24"/>
              </w:rPr>
            </w:pPr>
          </w:p>
        </w:tc>
        <w:tc>
          <w:tcPr>
            <w:tcW w:w="1686" w:type="dxa"/>
            <w:vMerge w:val="restart"/>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5" w:type="dxa"/>
          <w:trHeight w:val="300" w:hRule="atLeast"/>
        </w:trPr>
        <w:tc>
          <w:tcPr>
            <w:tcW w:w="2044" w:type="dxa"/>
            <w:vMerge w:val="continue"/>
            <w:shd w:val="clear" w:color="auto" w:fill="auto"/>
            <w:vAlign w:val="center"/>
          </w:tcPr>
          <w:p>
            <w:pPr>
              <w:widowControl/>
              <w:snapToGrid w:val="0"/>
              <w:spacing w:line="360" w:lineRule="auto"/>
              <w:textAlignment w:val="center"/>
              <w:rPr>
                <w:rFonts w:ascii="Book Antiqua" w:hAnsi="Book Antiqua" w:eastAsia="黑体" w:cs="宋体"/>
                <w:kern w:val="0"/>
                <w:sz w:val="24"/>
              </w:rPr>
            </w:pPr>
          </w:p>
        </w:tc>
        <w:tc>
          <w:tcPr>
            <w:tcW w:w="2025" w:type="dxa"/>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B</w:t>
            </w:r>
          </w:p>
        </w:tc>
        <w:tc>
          <w:tcPr>
            <w:tcW w:w="2473" w:type="dxa"/>
            <w:gridSpan w:val="3"/>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5</w:t>
            </w:r>
          </w:p>
        </w:tc>
        <w:tc>
          <w:tcPr>
            <w:tcW w:w="4047" w:type="dxa"/>
            <w:gridSpan w:val="3"/>
            <w:shd w:val="clear" w:color="auto" w:fill="auto"/>
            <w:vAlign w:val="center"/>
          </w:tcPr>
          <w:p>
            <w:pPr>
              <w:widowControl/>
              <w:snapToGrid w:val="0"/>
              <w:spacing w:line="360" w:lineRule="auto"/>
              <w:textAlignment w:val="center"/>
              <w:rPr>
                <w:rFonts w:ascii="Book Antiqua" w:hAnsi="Book Antiqua" w:eastAsia="黑体" w:cs="宋体"/>
                <w:kern w:val="0"/>
                <w:sz w:val="24"/>
              </w:rPr>
            </w:pPr>
            <w:r>
              <w:rPr>
                <w:rFonts w:ascii="Book Antiqua" w:hAnsi="Book Antiqua" w:eastAsia="黑体" w:cs="宋体"/>
                <w:kern w:val="0"/>
                <w:sz w:val="24"/>
              </w:rPr>
              <w:t>(4, 7)</w:t>
            </w:r>
          </w:p>
        </w:tc>
        <w:tc>
          <w:tcPr>
            <w:tcW w:w="1684" w:type="dxa"/>
            <w:vMerge w:val="continue"/>
            <w:shd w:val="clear" w:color="auto" w:fill="auto"/>
            <w:vAlign w:val="center"/>
          </w:tcPr>
          <w:p>
            <w:pPr>
              <w:widowControl/>
              <w:snapToGrid w:val="0"/>
              <w:spacing w:line="360" w:lineRule="auto"/>
              <w:textAlignment w:val="center"/>
              <w:rPr>
                <w:rFonts w:ascii="Book Antiqua" w:hAnsi="Book Antiqua" w:eastAsia="黑体" w:cs="宋体"/>
                <w:kern w:val="0"/>
                <w:sz w:val="24"/>
              </w:rPr>
            </w:pPr>
          </w:p>
        </w:tc>
        <w:tc>
          <w:tcPr>
            <w:tcW w:w="1686" w:type="dxa"/>
            <w:vMerge w:val="continue"/>
            <w:shd w:val="clear" w:color="auto" w:fill="auto"/>
            <w:vAlign w:val="center"/>
          </w:tcPr>
          <w:p>
            <w:pPr>
              <w:widowControl/>
              <w:snapToGrid w:val="0"/>
              <w:spacing w:line="360" w:lineRule="auto"/>
              <w:textAlignment w:val="center"/>
              <w:rPr>
                <w:rFonts w:ascii="Book Antiqua" w:hAnsi="Book Antiqua" w:eastAsia="黑体" w:cs="宋体"/>
                <w:kern w:val="0"/>
                <w:sz w:val="24"/>
              </w:rPr>
            </w:pPr>
          </w:p>
        </w:tc>
      </w:tr>
    </w:tbl>
    <w:p>
      <w:pPr>
        <w:widowControl/>
        <w:autoSpaceDE w:val="0"/>
        <w:autoSpaceDN w:val="0"/>
        <w:adjustRightInd w:val="0"/>
        <w:snapToGrid w:val="0"/>
        <w:spacing w:line="360" w:lineRule="auto"/>
        <w:rPr>
          <w:rFonts w:ascii="Book Antiqua" w:hAnsi="Book Antiqua" w:eastAsia="黑体"/>
          <w:sz w:val="24"/>
        </w:rPr>
      </w:pPr>
    </w:p>
    <w:p>
      <w:pPr>
        <w:widowControl/>
        <w:snapToGrid w:val="0"/>
        <w:spacing w:line="360" w:lineRule="auto"/>
        <w:rPr>
          <w:rFonts w:ascii="Book Antiqua" w:hAnsi="Book Antiqua"/>
          <w:b/>
          <w:sz w:val="24"/>
        </w:rPr>
      </w:pPr>
      <w:r>
        <w:rPr>
          <w:rFonts w:ascii="Book Antiqua" w:hAnsi="Book Antiqua"/>
          <w:b/>
          <w:sz w:val="24"/>
        </w:rPr>
        <w:br w:type="page"/>
      </w:r>
    </w:p>
    <w:p>
      <w:pPr>
        <w:widowControl/>
        <w:snapToGrid w:val="0"/>
        <w:spacing w:line="360" w:lineRule="auto"/>
        <w:rPr>
          <w:rFonts w:ascii="Book Antiqua" w:hAnsi="Book Antiqua" w:eastAsia="黑体"/>
          <w:b/>
          <w:sz w:val="24"/>
        </w:rPr>
      </w:pPr>
      <w:r>
        <w:rPr>
          <w:rFonts w:ascii="Book Antiqua" w:hAnsi="Book Antiqua" w:eastAsia="黑体"/>
          <w:b/>
          <w:sz w:val="24"/>
        </w:rPr>
        <w:t>Table 5 Clinical characteristics of the patients in recurrence of ascites</w:t>
      </w:r>
    </w:p>
    <w:tbl>
      <w:tblPr>
        <w:tblStyle w:val="8"/>
        <w:tblW w:w="13984"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895"/>
        <w:gridCol w:w="1877"/>
        <w:gridCol w:w="109"/>
        <w:gridCol w:w="1589"/>
        <w:gridCol w:w="2028"/>
        <w:gridCol w:w="25"/>
        <w:gridCol w:w="3239"/>
        <w:gridCol w:w="95"/>
        <w:gridCol w:w="1493"/>
        <w:gridCol w:w="70"/>
        <w:gridCol w:w="1519"/>
        <w:gridCol w:w="4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5" w:type="dxa"/>
          <w:trHeight w:val="285" w:hRule="atLeast"/>
        </w:trPr>
        <w:tc>
          <w:tcPr>
            <w:tcW w:w="1895" w:type="dxa"/>
            <w:vMerge w:val="restart"/>
            <w:tcBorders>
              <w:top w:val="single" w:color="auto" w:sz="4" w:space="0"/>
              <w:bottom w:val="nil"/>
            </w:tcBorders>
            <w:shd w:val="clear" w:color="auto" w:fill="auto"/>
            <w:vAlign w:val="center"/>
          </w:tcPr>
          <w:p>
            <w:pPr>
              <w:widowControl/>
              <w:snapToGrid w:val="0"/>
              <w:spacing w:line="360" w:lineRule="auto"/>
              <w:rPr>
                <w:rFonts w:ascii="Book Antiqua" w:hAnsi="Book Antiqua" w:eastAsia="黑体"/>
                <w:b/>
                <w:bCs/>
                <w:sz w:val="24"/>
              </w:rPr>
            </w:pPr>
            <w:r>
              <w:rPr>
                <w:rFonts w:ascii="Book Antiqua" w:hAnsi="Book Antiqua" w:eastAsia="黑体"/>
                <w:b/>
                <w:bCs/>
                <w:sz w:val="24"/>
              </w:rPr>
              <w:t>Time</w:t>
            </w:r>
          </w:p>
        </w:tc>
        <w:tc>
          <w:tcPr>
            <w:tcW w:w="1986" w:type="dxa"/>
            <w:gridSpan w:val="2"/>
            <w:vMerge w:val="restart"/>
            <w:tcBorders>
              <w:top w:val="single" w:color="auto" w:sz="4" w:space="0"/>
              <w:bottom w:val="nil"/>
            </w:tcBorders>
            <w:shd w:val="clear" w:color="auto" w:fill="auto"/>
            <w:vAlign w:val="center"/>
          </w:tcPr>
          <w:p>
            <w:pPr>
              <w:widowControl/>
              <w:snapToGrid w:val="0"/>
              <w:spacing w:line="360" w:lineRule="auto"/>
              <w:rPr>
                <w:rFonts w:ascii="Book Antiqua" w:hAnsi="Book Antiqua" w:eastAsia="黑体"/>
                <w:b/>
                <w:bCs/>
                <w:sz w:val="24"/>
              </w:rPr>
            </w:pPr>
            <w:r>
              <w:rPr>
                <w:rFonts w:ascii="Book Antiqua" w:hAnsi="Book Antiqua" w:eastAsia="黑体"/>
                <w:b/>
                <w:bCs/>
                <w:sz w:val="24"/>
              </w:rPr>
              <w:t>Group</w:t>
            </w:r>
          </w:p>
        </w:tc>
        <w:tc>
          <w:tcPr>
            <w:tcW w:w="3617" w:type="dxa"/>
            <w:gridSpan w:val="2"/>
            <w:tcBorders>
              <w:top w:val="single" w:color="auto" w:sz="4" w:space="0"/>
              <w:bottom w:val="nil"/>
            </w:tcBorders>
            <w:shd w:val="clear" w:color="auto" w:fill="auto"/>
            <w:vAlign w:val="center"/>
          </w:tcPr>
          <w:p>
            <w:pPr>
              <w:widowControl/>
              <w:snapToGrid w:val="0"/>
              <w:spacing w:line="360" w:lineRule="auto"/>
              <w:jc w:val="center"/>
              <w:rPr>
                <w:rFonts w:ascii="Book Antiqua" w:hAnsi="Book Antiqua" w:eastAsia="黑体"/>
                <w:b/>
                <w:bCs/>
                <w:sz w:val="24"/>
              </w:rPr>
            </w:pPr>
            <w:r>
              <w:rPr>
                <w:rFonts w:ascii="Book Antiqua" w:hAnsi="Book Antiqua" w:eastAsia="黑体"/>
                <w:b/>
                <w:bCs/>
                <w:sz w:val="24"/>
              </w:rPr>
              <w:t>Ascites</w:t>
            </w:r>
          </w:p>
        </w:tc>
        <w:tc>
          <w:tcPr>
            <w:tcW w:w="3264" w:type="dxa"/>
            <w:gridSpan w:val="2"/>
            <w:vMerge w:val="restart"/>
            <w:tcBorders>
              <w:top w:val="single" w:color="auto" w:sz="4" w:space="0"/>
              <w:bottom w:val="single" w:color="auto" w:sz="4" w:space="0"/>
            </w:tcBorders>
            <w:shd w:val="clear" w:color="auto" w:fill="auto"/>
            <w:vAlign w:val="center"/>
          </w:tcPr>
          <w:p>
            <w:pPr>
              <w:widowControl/>
              <w:snapToGrid w:val="0"/>
              <w:spacing w:line="360" w:lineRule="auto"/>
              <w:rPr>
                <w:rFonts w:ascii="Book Antiqua" w:hAnsi="Book Antiqua" w:eastAsia="黑体"/>
                <w:b/>
                <w:bCs/>
                <w:sz w:val="24"/>
              </w:rPr>
            </w:pPr>
            <w:r>
              <w:rPr>
                <w:rFonts w:ascii="Book Antiqua" w:hAnsi="Book Antiqua" w:eastAsia="黑体"/>
                <w:b/>
                <w:bCs/>
                <w:sz w:val="24"/>
              </w:rPr>
              <w:t>Recurrence of ascites, %</w:t>
            </w:r>
          </w:p>
        </w:tc>
        <w:tc>
          <w:tcPr>
            <w:tcW w:w="1588" w:type="dxa"/>
            <w:gridSpan w:val="2"/>
            <w:vMerge w:val="restart"/>
            <w:tcBorders>
              <w:top w:val="single" w:color="auto" w:sz="4" w:space="0"/>
              <w:bottom w:val="single" w:color="auto" w:sz="4" w:space="0"/>
            </w:tcBorders>
            <w:shd w:val="clear" w:color="auto" w:fill="auto"/>
            <w:vAlign w:val="center"/>
          </w:tcPr>
          <w:p>
            <w:pPr>
              <w:widowControl/>
              <w:snapToGrid w:val="0"/>
              <w:spacing w:line="360" w:lineRule="auto"/>
              <w:rPr>
                <w:rFonts w:ascii="Book Antiqua" w:hAnsi="Book Antiqua" w:eastAsia="黑体"/>
                <w:b/>
                <w:bCs/>
                <w:sz w:val="24"/>
              </w:rPr>
            </w:pPr>
            <w:r>
              <w:rPr>
                <w:rFonts w:ascii="Book Antiqua" w:hAnsi="Book Antiqua" w:eastAsia="黑体"/>
                <w:b/>
                <w:bCs/>
                <w:sz w:val="24"/>
              </w:rPr>
              <w:t>χ</w:t>
            </w:r>
            <w:r>
              <w:rPr>
                <w:rFonts w:ascii="Book Antiqua" w:hAnsi="Book Antiqua" w:eastAsia="黑体"/>
                <w:b/>
                <w:bCs/>
                <w:sz w:val="24"/>
                <w:vertAlign w:val="superscript"/>
              </w:rPr>
              <w:t>2</w:t>
            </w:r>
          </w:p>
        </w:tc>
        <w:tc>
          <w:tcPr>
            <w:tcW w:w="1589" w:type="dxa"/>
            <w:gridSpan w:val="2"/>
            <w:vMerge w:val="restart"/>
            <w:tcBorders>
              <w:top w:val="single" w:color="auto" w:sz="4" w:space="0"/>
              <w:bottom w:val="single" w:color="auto" w:sz="4" w:space="0"/>
            </w:tcBorders>
            <w:shd w:val="clear" w:color="auto" w:fill="auto"/>
            <w:vAlign w:val="center"/>
          </w:tcPr>
          <w:p>
            <w:pPr>
              <w:widowControl/>
              <w:snapToGrid w:val="0"/>
              <w:spacing w:line="360" w:lineRule="auto"/>
              <w:rPr>
                <w:rFonts w:ascii="Book Antiqua" w:hAnsi="Book Antiqua" w:eastAsia="黑体"/>
                <w:b/>
                <w:bCs/>
                <w:sz w:val="24"/>
              </w:rPr>
            </w:pPr>
            <w:r>
              <w:rPr>
                <w:rFonts w:ascii="Book Antiqua" w:hAnsi="Book Antiqua" w:eastAsia="黑体"/>
                <w:b/>
                <w:bCs/>
                <w:i/>
                <w:iCs/>
                <w:sz w:val="24"/>
              </w:rPr>
              <w:t>P</w:t>
            </w:r>
            <w:r>
              <w:rPr>
                <w:rFonts w:ascii="Book Antiqua" w:hAnsi="Book Antiqua" w:eastAsia="黑体"/>
                <w:b/>
                <w:bCs/>
                <w:sz w:val="24"/>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5" w:type="dxa"/>
          <w:trHeight w:val="285" w:hRule="atLeast"/>
        </w:trPr>
        <w:tc>
          <w:tcPr>
            <w:tcW w:w="1895" w:type="dxa"/>
            <w:vMerge w:val="continue"/>
            <w:tcBorders>
              <w:top w:val="nil"/>
              <w:bottom w:val="single" w:color="auto" w:sz="4" w:space="0"/>
            </w:tcBorders>
            <w:shd w:val="clear" w:color="auto" w:fill="auto"/>
            <w:vAlign w:val="center"/>
          </w:tcPr>
          <w:p>
            <w:pPr>
              <w:snapToGrid w:val="0"/>
              <w:spacing w:line="360" w:lineRule="auto"/>
              <w:rPr>
                <w:rFonts w:ascii="Book Antiqua" w:hAnsi="Book Antiqua" w:eastAsia="黑体"/>
                <w:b/>
                <w:bCs/>
                <w:sz w:val="24"/>
              </w:rPr>
            </w:pPr>
          </w:p>
        </w:tc>
        <w:tc>
          <w:tcPr>
            <w:tcW w:w="1986" w:type="dxa"/>
            <w:gridSpan w:val="2"/>
            <w:vMerge w:val="continue"/>
            <w:tcBorders>
              <w:top w:val="nil"/>
              <w:bottom w:val="single" w:color="auto" w:sz="4" w:space="0"/>
            </w:tcBorders>
            <w:shd w:val="clear" w:color="auto" w:fill="auto"/>
            <w:vAlign w:val="center"/>
          </w:tcPr>
          <w:p>
            <w:pPr>
              <w:snapToGrid w:val="0"/>
              <w:spacing w:line="360" w:lineRule="auto"/>
              <w:rPr>
                <w:rFonts w:ascii="Book Antiqua" w:hAnsi="Book Antiqua" w:eastAsia="黑体"/>
                <w:b/>
                <w:bCs/>
                <w:sz w:val="24"/>
              </w:rPr>
            </w:pPr>
          </w:p>
        </w:tc>
        <w:tc>
          <w:tcPr>
            <w:tcW w:w="1589" w:type="dxa"/>
            <w:tcBorders>
              <w:top w:val="nil"/>
              <w:bottom w:val="single" w:color="auto" w:sz="4" w:space="0"/>
            </w:tcBorders>
            <w:shd w:val="clear" w:color="auto" w:fill="auto"/>
            <w:vAlign w:val="center"/>
          </w:tcPr>
          <w:p>
            <w:pPr>
              <w:widowControl/>
              <w:snapToGrid w:val="0"/>
              <w:spacing w:line="360" w:lineRule="auto"/>
              <w:rPr>
                <w:rFonts w:ascii="Book Antiqua" w:hAnsi="Book Antiqua" w:eastAsia="黑体"/>
                <w:b/>
                <w:bCs/>
                <w:sz w:val="24"/>
              </w:rPr>
            </w:pPr>
            <w:r>
              <w:rPr>
                <w:rFonts w:ascii="Book Antiqua" w:hAnsi="Book Antiqua" w:eastAsia="黑体"/>
                <w:b/>
                <w:bCs/>
                <w:sz w:val="24"/>
              </w:rPr>
              <w:t>Yes</w:t>
            </w:r>
          </w:p>
        </w:tc>
        <w:tc>
          <w:tcPr>
            <w:tcW w:w="2028" w:type="dxa"/>
            <w:tcBorders>
              <w:top w:val="nil"/>
              <w:bottom w:val="single" w:color="auto" w:sz="4" w:space="0"/>
            </w:tcBorders>
            <w:shd w:val="clear" w:color="auto" w:fill="auto"/>
            <w:vAlign w:val="center"/>
          </w:tcPr>
          <w:p>
            <w:pPr>
              <w:widowControl/>
              <w:snapToGrid w:val="0"/>
              <w:spacing w:line="360" w:lineRule="auto"/>
              <w:rPr>
                <w:rFonts w:ascii="Book Antiqua" w:hAnsi="Book Antiqua" w:eastAsia="黑体"/>
                <w:b/>
                <w:bCs/>
                <w:sz w:val="24"/>
              </w:rPr>
            </w:pPr>
            <w:r>
              <w:rPr>
                <w:rFonts w:ascii="Book Antiqua" w:hAnsi="Book Antiqua" w:eastAsia="黑体"/>
                <w:b/>
                <w:bCs/>
                <w:sz w:val="24"/>
              </w:rPr>
              <w:t>No</w:t>
            </w:r>
          </w:p>
        </w:tc>
        <w:tc>
          <w:tcPr>
            <w:tcW w:w="3264" w:type="dxa"/>
            <w:gridSpan w:val="2"/>
            <w:vMerge w:val="continue"/>
            <w:tcBorders>
              <w:top w:val="nil"/>
              <w:bottom w:val="single" w:color="auto" w:sz="4" w:space="0"/>
            </w:tcBorders>
            <w:shd w:val="clear" w:color="auto" w:fill="auto"/>
            <w:vAlign w:val="center"/>
          </w:tcPr>
          <w:p>
            <w:pPr>
              <w:snapToGrid w:val="0"/>
              <w:spacing w:line="360" w:lineRule="auto"/>
              <w:rPr>
                <w:rFonts w:ascii="Book Antiqua" w:hAnsi="Book Antiqua" w:eastAsia="黑体"/>
                <w:sz w:val="24"/>
              </w:rPr>
            </w:pPr>
          </w:p>
        </w:tc>
        <w:tc>
          <w:tcPr>
            <w:tcW w:w="1588" w:type="dxa"/>
            <w:gridSpan w:val="2"/>
            <w:vMerge w:val="continue"/>
            <w:tcBorders>
              <w:top w:val="nil"/>
              <w:bottom w:val="single" w:color="auto" w:sz="4" w:space="0"/>
            </w:tcBorders>
            <w:shd w:val="clear" w:color="auto" w:fill="auto"/>
            <w:vAlign w:val="center"/>
          </w:tcPr>
          <w:p>
            <w:pPr>
              <w:snapToGrid w:val="0"/>
              <w:spacing w:line="360" w:lineRule="auto"/>
              <w:rPr>
                <w:rFonts w:ascii="Book Antiqua" w:hAnsi="Book Antiqua" w:eastAsia="黑体"/>
                <w:sz w:val="24"/>
              </w:rPr>
            </w:pPr>
          </w:p>
        </w:tc>
        <w:tc>
          <w:tcPr>
            <w:tcW w:w="1589" w:type="dxa"/>
            <w:gridSpan w:val="2"/>
            <w:vMerge w:val="continue"/>
            <w:tcBorders>
              <w:top w:val="nil"/>
              <w:bottom w:val="single" w:color="auto" w:sz="4" w:space="0"/>
            </w:tcBorders>
            <w:shd w:val="clear" w:color="auto" w:fill="auto"/>
            <w:vAlign w:val="center"/>
          </w:tcPr>
          <w:p>
            <w:pPr>
              <w:snapToGrid w:val="0"/>
              <w:spacing w:line="360" w:lineRule="auto"/>
              <w:rPr>
                <w:rFonts w:ascii="Book Antiqua" w:hAnsi="Book Antiqua" w:eastAsia="黑体"/>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5" w:type="dxa"/>
          <w:trHeight w:val="285" w:hRule="atLeast"/>
        </w:trPr>
        <w:tc>
          <w:tcPr>
            <w:tcW w:w="1895" w:type="dxa"/>
            <w:vMerge w:val="restart"/>
            <w:tcBorders>
              <w:top w:val="single" w:color="auto" w:sz="4" w:space="0"/>
            </w:tcBorders>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3 mo</w:t>
            </w:r>
          </w:p>
        </w:tc>
        <w:tc>
          <w:tcPr>
            <w:tcW w:w="1986" w:type="dxa"/>
            <w:gridSpan w:val="2"/>
            <w:tcBorders>
              <w:top w:val="single" w:color="auto" w:sz="4" w:space="0"/>
            </w:tcBorders>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A</w:t>
            </w:r>
          </w:p>
        </w:tc>
        <w:tc>
          <w:tcPr>
            <w:tcW w:w="1589" w:type="dxa"/>
            <w:tcBorders>
              <w:top w:val="single" w:color="auto" w:sz="4" w:space="0"/>
            </w:tcBorders>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15</w:t>
            </w:r>
          </w:p>
        </w:tc>
        <w:tc>
          <w:tcPr>
            <w:tcW w:w="2028" w:type="dxa"/>
            <w:tcBorders>
              <w:top w:val="single" w:color="auto" w:sz="4" w:space="0"/>
            </w:tcBorders>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240</w:t>
            </w:r>
          </w:p>
        </w:tc>
        <w:tc>
          <w:tcPr>
            <w:tcW w:w="3264" w:type="dxa"/>
            <w:gridSpan w:val="2"/>
            <w:tcBorders>
              <w:top w:val="single" w:color="auto" w:sz="4" w:space="0"/>
            </w:tcBorders>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5.9</w:t>
            </w:r>
          </w:p>
        </w:tc>
        <w:tc>
          <w:tcPr>
            <w:tcW w:w="1588" w:type="dxa"/>
            <w:gridSpan w:val="2"/>
            <w:vMerge w:val="restart"/>
            <w:tcBorders>
              <w:top w:val="single" w:color="auto" w:sz="4" w:space="0"/>
            </w:tcBorders>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9.82</w:t>
            </w:r>
          </w:p>
        </w:tc>
        <w:tc>
          <w:tcPr>
            <w:tcW w:w="1589" w:type="dxa"/>
            <w:gridSpan w:val="2"/>
            <w:vMerge w:val="restart"/>
            <w:tcBorders>
              <w:top w:val="single" w:color="auto" w:sz="4" w:space="0"/>
            </w:tcBorders>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5" w:type="dxa"/>
          <w:trHeight w:val="285" w:hRule="atLeast"/>
        </w:trPr>
        <w:tc>
          <w:tcPr>
            <w:tcW w:w="1895" w:type="dxa"/>
            <w:vMerge w:val="continue"/>
            <w:shd w:val="clear" w:color="auto" w:fill="auto"/>
            <w:vAlign w:val="center"/>
          </w:tcPr>
          <w:p>
            <w:pPr>
              <w:snapToGrid w:val="0"/>
              <w:spacing w:line="360" w:lineRule="auto"/>
              <w:rPr>
                <w:rFonts w:ascii="Book Antiqua" w:hAnsi="Book Antiqua" w:eastAsia="黑体"/>
                <w:sz w:val="24"/>
              </w:rPr>
            </w:pPr>
          </w:p>
        </w:tc>
        <w:tc>
          <w:tcPr>
            <w:tcW w:w="1986" w:type="dxa"/>
            <w:gridSpan w:val="2"/>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B</w:t>
            </w:r>
          </w:p>
        </w:tc>
        <w:tc>
          <w:tcPr>
            <w:tcW w:w="1589"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24</w:t>
            </w:r>
          </w:p>
        </w:tc>
        <w:tc>
          <w:tcPr>
            <w:tcW w:w="2028"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120</w:t>
            </w:r>
          </w:p>
        </w:tc>
        <w:tc>
          <w:tcPr>
            <w:tcW w:w="3264" w:type="dxa"/>
            <w:gridSpan w:val="2"/>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16.7</w:t>
            </w:r>
          </w:p>
        </w:tc>
        <w:tc>
          <w:tcPr>
            <w:tcW w:w="1588" w:type="dxa"/>
            <w:gridSpan w:val="2"/>
            <w:vMerge w:val="continue"/>
            <w:shd w:val="clear" w:color="auto" w:fill="auto"/>
            <w:vAlign w:val="center"/>
          </w:tcPr>
          <w:p>
            <w:pPr>
              <w:snapToGrid w:val="0"/>
              <w:spacing w:line="360" w:lineRule="auto"/>
              <w:rPr>
                <w:rFonts w:ascii="Book Antiqua" w:hAnsi="Book Antiqua" w:eastAsia="黑体"/>
                <w:sz w:val="24"/>
              </w:rPr>
            </w:pPr>
          </w:p>
        </w:tc>
        <w:tc>
          <w:tcPr>
            <w:tcW w:w="1589" w:type="dxa"/>
            <w:gridSpan w:val="2"/>
            <w:vMerge w:val="continue"/>
            <w:shd w:val="clear" w:color="auto" w:fill="auto"/>
            <w:vAlign w:val="center"/>
          </w:tcPr>
          <w:p>
            <w:pPr>
              <w:snapToGrid w:val="0"/>
              <w:spacing w:line="360" w:lineRule="auto"/>
              <w:rPr>
                <w:rFonts w:ascii="Book Antiqua" w:hAnsi="Book Antiqua" w:eastAsia="黑体"/>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5" w:type="dxa"/>
          <w:trHeight w:val="285" w:hRule="atLeast"/>
        </w:trPr>
        <w:tc>
          <w:tcPr>
            <w:tcW w:w="1895" w:type="dxa"/>
            <w:vMerge w:val="restart"/>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6 mo</w:t>
            </w:r>
          </w:p>
        </w:tc>
        <w:tc>
          <w:tcPr>
            <w:tcW w:w="1986" w:type="dxa"/>
            <w:gridSpan w:val="2"/>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A</w:t>
            </w:r>
          </w:p>
        </w:tc>
        <w:tc>
          <w:tcPr>
            <w:tcW w:w="1589"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26</w:t>
            </w:r>
          </w:p>
        </w:tc>
        <w:tc>
          <w:tcPr>
            <w:tcW w:w="2028"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229</w:t>
            </w:r>
          </w:p>
        </w:tc>
        <w:tc>
          <w:tcPr>
            <w:tcW w:w="3264" w:type="dxa"/>
            <w:gridSpan w:val="2"/>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10.2</w:t>
            </w:r>
          </w:p>
        </w:tc>
        <w:tc>
          <w:tcPr>
            <w:tcW w:w="1588" w:type="dxa"/>
            <w:gridSpan w:val="2"/>
            <w:vMerge w:val="restart"/>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16.15</w:t>
            </w:r>
          </w:p>
        </w:tc>
        <w:tc>
          <w:tcPr>
            <w:tcW w:w="1589" w:type="dxa"/>
            <w:gridSpan w:val="2"/>
            <w:vMerge w:val="restart"/>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0.005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5" w:type="dxa"/>
          <w:trHeight w:val="285" w:hRule="atLeast"/>
        </w:trPr>
        <w:tc>
          <w:tcPr>
            <w:tcW w:w="1895" w:type="dxa"/>
            <w:vMerge w:val="continue"/>
            <w:shd w:val="clear" w:color="auto" w:fill="auto"/>
            <w:vAlign w:val="center"/>
          </w:tcPr>
          <w:p>
            <w:pPr>
              <w:snapToGrid w:val="0"/>
              <w:spacing w:line="360" w:lineRule="auto"/>
              <w:rPr>
                <w:rFonts w:ascii="Book Antiqua" w:hAnsi="Book Antiqua" w:eastAsia="黑体"/>
                <w:sz w:val="24"/>
              </w:rPr>
            </w:pPr>
          </w:p>
        </w:tc>
        <w:tc>
          <w:tcPr>
            <w:tcW w:w="1986" w:type="dxa"/>
            <w:gridSpan w:val="2"/>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B</w:t>
            </w:r>
          </w:p>
        </w:tc>
        <w:tc>
          <w:tcPr>
            <w:tcW w:w="1589"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35</w:t>
            </w:r>
          </w:p>
        </w:tc>
        <w:tc>
          <w:tcPr>
            <w:tcW w:w="2028"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109</w:t>
            </w:r>
          </w:p>
        </w:tc>
        <w:tc>
          <w:tcPr>
            <w:tcW w:w="3264" w:type="dxa"/>
            <w:gridSpan w:val="2"/>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24.3</w:t>
            </w:r>
          </w:p>
        </w:tc>
        <w:tc>
          <w:tcPr>
            <w:tcW w:w="1588" w:type="dxa"/>
            <w:gridSpan w:val="2"/>
            <w:vMerge w:val="continue"/>
            <w:shd w:val="clear" w:color="auto" w:fill="auto"/>
            <w:vAlign w:val="center"/>
          </w:tcPr>
          <w:p>
            <w:pPr>
              <w:snapToGrid w:val="0"/>
              <w:spacing w:line="360" w:lineRule="auto"/>
              <w:rPr>
                <w:rFonts w:ascii="Book Antiqua" w:hAnsi="Book Antiqua" w:eastAsia="黑体"/>
                <w:sz w:val="24"/>
              </w:rPr>
            </w:pPr>
          </w:p>
        </w:tc>
        <w:tc>
          <w:tcPr>
            <w:tcW w:w="1589" w:type="dxa"/>
            <w:gridSpan w:val="2"/>
            <w:vMerge w:val="continue"/>
            <w:shd w:val="clear" w:color="auto" w:fill="auto"/>
            <w:vAlign w:val="center"/>
          </w:tcPr>
          <w:p>
            <w:pPr>
              <w:snapToGrid w:val="0"/>
              <w:spacing w:line="360" w:lineRule="auto"/>
              <w:rPr>
                <w:rFonts w:ascii="Book Antiqua" w:hAnsi="Book Antiqua" w:eastAsia="黑体"/>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5" w:type="dxa"/>
          <w:trHeight w:val="285" w:hRule="atLeast"/>
        </w:trPr>
        <w:tc>
          <w:tcPr>
            <w:tcW w:w="1895" w:type="dxa"/>
            <w:vMerge w:val="restart"/>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9 mo</w:t>
            </w:r>
          </w:p>
        </w:tc>
        <w:tc>
          <w:tcPr>
            <w:tcW w:w="1986" w:type="dxa"/>
            <w:gridSpan w:val="2"/>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A</w:t>
            </w:r>
          </w:p>
        </w:tc>
        <w:tc>
          <w:tcPr>
            <w:tcW w:w="1589"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51</w:t>
            </w:r>
          </w:p>
        </w:tc>
        <w:tc>
          <w:tcPr>
            <w:tcW w:w="2028"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204</w:t>
            </w:r>
          </w:p>
        </w:tc>
        <w:tc>
          <w:tcPr>
            <w:tcW w:w="3264" w:type="dxa"/>
            <w:gridSpan w:val="2"/>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20.0</w:t>
            </w:r>
          </w:p>
        </w:tc>
        <w:tc>
          <w:tcPr>
            <w:tcW w:w="1588" w:type="dxa"/>
            <w:gridSpan w:val="2"/>
            <w:vMerge w:val="restart"/>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12.16</w:t>
            </w:r>
          </w:p>
        </w:tc>
        <w:tc>
          <w:tcPr>
            <w:tcW w:w="1589" w:type="dxa"/>
            <w:gridSpan w:val="2"/>
            <w:vMerge w:val="restart"/>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0.012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5" w:type="dxa"/>
          <w:trHeight w:val="285" w:hRule="atLeast"/>
        </w:trPr>
        <w:tc>
          <w:tcPr>
            <w:tcW w:w="1895" w:type="dxa"/>
            <w:vMerge w:val="continue"/>
            <w:shd w:val="clear" w:color="auto" w:fill="auto"/>
            <w:vAlign w:val="center"/>
          </w:tcPr>
          <w:p>
            <w:pPr>
              <w:snapToGrid w:val="0"/>
              <w:spacing w:line="360" w:lineRule="auto"/>
              <w:rPr>
                <w:rFonts w:ascii="Book Antiqua" w:hAnsi="Book Antiqua" w:eastAsia="黑体"/>
                <w:sz w:val="24"/>
              </w:rPr>
            </w:pPr>
          </w:p>
        </w:tc>
        <w:tc>
          <w:tcPr>
            <w:tcW w:w="1986" w:type="dxa"/>
            <w:gridSpan w:val="2"/>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B</w:t>
            </w:r>
          </w:p>
        </w:tc>
        <w:tc>
          <w:tcPr>
            <w:tcW w:w="1589"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51</w:t>
            </w:r>
          </w:p>
        </w:tc>
        <w:tc>
          <w:tcPr>
            <w:tcW w:w="2028"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93</w:t>
            </w:r>
          </w:p>
        </w:tc>
        <w:tc>
          <w:tcPr>
            <w:tcW w:w="3264" w:type="dxa"/>
            <w:gridSpan w:val="2"/>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35.4</w:t>
            </w:r>
          </w:p>
        </w:tc>
        <w:tc>
          <w:tcPr>
            <w:tcW w:w="1588" w:type="dxa"/>
            <w:gridSpan w:val="2"/>
            <w:vMerge w:val="continue"/>
            <w:shd w:val="clear" w:color="auto" w:fill="auto"/>
            <w:vAlign w:val="center"/>
          </w:tcPr>
          <w:p>
            <w:pPr>
              <w:snapToGrid w:val="0"/>
              <w:spacing w:line="360" w:lineRule="auto"/>
              <w:rPr>
                <w:rFonts w:ascii="Book Antiqua" w:hAnsi="Book Antiqua" w:eastAsia="黑体"/>
                <w:sz w:val="24"/>
              </w:rPr>
            </w:pPr>
          </w:p>
        </w:tc>
        <w:tc>
          <w:tcPr>
            <w:tcW w:w="1589" w:type="dxa"/>
            <w:gridSpan w:val="2"/>
            <w:vMerge w:val="continue"/>
            <w:shd w:val="clear" w:color="auto" w:fill="auto"/>
            <w:vAlign w:val="center"/>
          </w:tcPr>
          <w:p>
            <w:pPr>
              <w:snapToGrid w:val="0"/>
              <w:spacing w:line="360" w:lineRule="auto"/>
              <w:rPr>
                <w:rFonts w:ascii="Book Antiqua" w:hAnsi="Book Antiqua" w:eastAsia="黑体"/>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5" w:type="dxa"/>
          <w:trHeight w:val="285" w:hRule="atLeast"/>
        </w:trPr>
        <w:tc>
          <w:tcPr>
            <w:tcW w:w="1895" w:type="dxa"/>
            <w:vMerge w:val="restart"/>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12 mo</w:t>
            </w:r>
          </w:p>
        </w:tc>
        <w:tc>
          <w:tcPr>
            <w:tcW w:w="1986" w:type="dxa"/>
            <w:gridSpan w:val="2"/>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A</w:t>
            </w:r>
          </w:p>
        </w:tc>
        <w:tc>
          <w:tcPr>
            <w:tcW w:w="1589"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87</w:t>
            </w:r>
          </w:p>
        </w:tc>
        <w:tc>
          <w:tcPr>
            <w:tcW w:w="2028"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168</w:t>
            </w:r>
          </w:p>
        </w:tc>
        <w:tc>
          <w:tcPr>
            <w:tcW w:w="3264" w:type="dxa"/>
            <w:gridSpan w:val="2"/>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34.1</w:t>
            </w:r>
          </w:p>
        </w:tc>
        <w:tc>
          <w:tcPr>
            <w:tcW w:w="1588" w:type="dxa"/>
            <w:gridSpan w:val="2"/>
            <w:vMerge w:val="restart"/>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4.50</w:t>
            </w:r>
          </w:p>
        </w:tc>
        <w:tc>
          <w:tcPr>
            <w:tcW w:w="1589" w:type="dxa"/>
            <w:gridSpan w:val="2"/>
            <w:vMerge w:val="restart"/>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0.024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5" w:type="dxa"/>
          <w:trHeight w:val="285" w:hRule="atLeast"/>
        </w:trPr>
        <w:tc>
          <w:tcPr>
            <w:tcW w:w="1895" w:type="dxa"/>
            <w:vMerge w:val="continue"/>
            <w:shd w:val="clear" w:color="auto" w:fill="auto"/>
            <w:vAlign w:val="center"/>
          </w:tcPr>
          <w:p>
            <w:pPr>
              <w:snapToGrid w:val="0"/>
              <w:spacing w:line="360" w:lineRule="auto"/>
              <w:rPr>
                <w:rFonts w:ascii="Book Antiqua" w:hAnsi="Book Antiqua" w:eastAsia="黑体"/>
                <w:sz w:val="24"/>
              </w:rPr>
            </w:pPr>
          </w:p>
        </w:tc>
        <w:tc>
          <w:tcPr>
            <w:tcW w:w="1986" w:type="dxa"/>
            <w:gridSpan w:val="2"/>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B</w:t>
            </w:r>
          </w:p>
        </w:tc>
        <w:tc>
          <w:tcPr>
            <w:tcW w:w="1589"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63</w:t>
            </w:r>
          </w:p>
        </w:tc>
        <w:tc>
          <w:tcPr>
            <w:tcW w:w="2028"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81</w:t>
            </w:r>
          </w:p>
        </w:tc>
        <w:tc>
          <w:tcPr>
            <w:tcW w:w="3264" w:type="dxa"/>
            <w:gridSpan w:val="2"/>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43.8</w:t>
            </w:r>
          </w:p>
        </w:tc>
        <w:tc>
          <w:tcPr>
            <w:tcW w:w="1588" w:type="dxa"/>
            <w:gridSpan w:val="2"/>
            <w:vMerge w:val="continue"/>
            <w:shd w:val="clear" w:color="auto" w:fill="auto"/>
            <w:vAlign w:val="center"/>
          </w:tcPr>
          <w:p>
            <w:pPr>
              <w:snapToGrid w:val="0"/>
              <w:spacing w:line="360" w:lineRule="auto"/>
              <w:rPr>
                <w:rFonts w:ascii="Book Antiqua" w:hAnsi="Book Antiqua" w:eastAsia="黑体"/>
                <w:sz w:val="24"/>
              </w:rPr>
            </w:pPr>
          </w:p>
        </w:tc>
        <w:tc>
          <w:tcPr>
            <w:tcW w:w="1589" w:type="dxa"/>
            <w:gridSpan w:val="2"/>
            <w:vMerge w:val="continue"/>
            <w:shd w:val="clear" w:color="auto" w:fill="auto"/>
            <w:vAlign w:val="center"/>
          </w:tcPr>
          <w:p>
            <w:pPr>
              <w:snapToGrid w:val="0"/>
              <w:spacing w:line="360" w:lineRule="auto"/>
              <w:rPr>
                <w:rFonts w:ascii="Book Antiqua" w:hAnsi="Book Antiqua" w:eastAsia="黑体"/>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5" w:type="dxa"/>
          <w:trHeight w:val="285" w:hRule="atLeast"/>
        </w:trPr>
        <w:tc>
          <w:tcPr>
            <w:tcW w:w="1895" w:type="dxa"/>
            <w:vMerge w:val="restart"/>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2 yr</w:t>
            </w:r>
          </w:p>
        </w:tc>
        <w:tc>
          <w:tcPr>
            <w:tcW w:w="1986" w:type="dxa"/>
            <w:gridSpan w:val="2"/>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A</w:t>
            </w:r>
          </w:p>
        </w:tc>
        <w:tc>
          <w:tcPr>
            <w:tcW w:w="1589"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71</w:t>
            </w:r>
          </w:p>
        </w:tc>
        <w:tc>
          <w:tcPr>
            <w:tcW w:w="2028"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184</w:t>
            </w:r>
          </w:p>
        </w:tc>
        <w:tc>
          <w:tcPr>
            <w:tcW w:w="3264" w:type="dxa"/>
            <w:gridSpan w:val="2"/>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27.8</w:t>
            </w:r>
          </w:p>
        </w:tc>
        <w:tc>
          <w:tcPr>
            <w:tcW w:w="1588" w:type="dxa"/>
            <w:gridSpan w:val="2"/>
            <w:vMerge w:val="restart"/>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6.56</w:t>
            </w:r>
          </w:p>
        </w:tc>
        <w:tc>
          <w:tcPr>
            <w:tcW w:w="1589" w:type="dxa"/>
            <w:gridSpan w:val="2"/>
            <w:vMerge w:val="restart"/>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0.018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5" w:type="dxa"/>
          <w:trHeight w:val="285" w:hRule="atLeast"/>
        </w:trPr>
        <w:tc>
          <w:tcPr>
            <w:tcW w:w="1895" w:type="dxa"/>
            <w:vMerge w:val="continue"/>
            <w:shd w:val="clear" w:color="auto" w:fill="auto"/>
            <w:vAlign w:val="center"/>
          </w:tcPr>
          <w:p>
            <w:pPr>
              <w:snapToGrid w:val="0"/>
              <w:spacing w:line="360" w:lineRule="auto"/>
              <w:rPr>
                <w:rFonts w:ascii="Book Antiqua" w:hAnsi="Book Antiqua" w:eastAsia="黑体"/>
                <w:sz w:val="24"/>
              </w:rPr>
            </w:pPr>
          </w:p>
        </w:tc>
        <w:tc>
          <w:tcPr>
            <w:tcW w:w="1986" w:type="dxa"/>
            <w:gridSpan w:val="2"/>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B</w:t>
            </w:r>
          </w:p>
        </w:tc>
        <w:tc>
          <w:tcPr>
            <w:tcW w:w="1589"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57</w:t>
            </w:r>
          </w:p>
        </w:tc>
        <w:tc>
          <w:tcPr>
            <w:tcW w:w="2028"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87</w:t>
            </w:r>
          </w:p>
        </w:tc>
        <w:tc>
          <w:tcPr>
            <w:tcW w:w="3264" w:type="dxa"/>
            <w:gridSpan w:val="2"/>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39.6</w:t>
            </w:r>
          </w:p>
        </w:tc>
        <w:tc>
          <w:tcPr>
            <w:tcW w:w="1588" w:type="dxa"/>
            <w:gridSpan w:val="2"/>
            <w:vMerge w:val="continue"/>
            <w:shd w:val="clear" w:color="auto" w:fill="auto"/>
            <w:vAlign w:val="center"/>
          </w:tcPr>
          <w:p>
            <w:pPr>
              <w:snapToGrid w:val="0"/>
              <w:spacing w:line="360" w:lineRule="auto"/>
              <w:rPr>
                <w:rFonts w:ascii="Book Antiqua" w:hAnsi="Book Antiqua" w:eastAsia="黑体"/>
                <w:sz w:val="24"/>
              </w:rPr>
            </w:pPr>
          </w:p>
        </w:tc>
        <w:tc>
          <w:tcPr>
            <w:tcW w:w="1589" w:type="dxa"/>
            <w:gridSpan w:val="2"/>
            <w:vMerge w:val="continue"/>
            <w:shd w:val="clear" w:color="auto" w:fill="auto"/>
            <w:vAlign w:val="center"/>
          </w:tcPr>
          <w:p>
            <w:pPr>
              <w:snapToGrid w:val="0"/>
              <w:spacing w:line="360" w:lineRule="auto"/>
              <w:rPr>
                <w:rFonts w:ascii="Book Antiqua" w:hAnsi="Book Antiqua" w:eastAsia="黑体"/>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5" w:type="dxa"/>
          <w:trHeight w:val="285" w:hRule="atLeast"/>
        </w:trPr>
        <w:tc>
          <w:tcPr>
            <w:tcW w:w="1895" w:type="dxa"/>
            <w:vMerge w:val="restart"/>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3 yr</w:t>
            </w:r>
          </w:p>
        </w:tc>
        <w:tc>
          <w:tcPr>
            <w:tcW w:w="1986" w:type="dxa"/>
            <w:gridSpan w:val="2"/>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A</w:t>
            </w:r>
          </w:p>
        </w:tc>
        <w:tc>
          <w:tcPr>
            <w:tcW w:w="1589"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104</w:t>
            </w:r>
          </w:p>
        </w:tc>
        <w:tc>
          <w:tcPr>
            <w:tcW w:w="2028"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151</w:t>
            </w:r>
          </w:p>
        </w:tc>
        <w:tc>
          <w:tcPr>
            <w:tcW w:w="3264" w:type="dxa"/>
            <w:gridSpan w:val="2"/>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40.8</w:t>
            </w:r>
          </w:p>
        </w:tc>
        <w:tc>
          <w:tcPr>
            <w:tcW w:w="1588" w:type="dxa"/>
            <w:gridSpan w:val="2"/>
            <w:vMerge w:val="restart"/>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10.02</w:t>
            </w:r>
          </w:p>
        </w:tc>
        <w:tc>
          <w:tcPr>
            <w:tcW w:w="1589" w:type="dxa"/>
            <w:gridSpan w:val="2"/>
            <w:vMerge w:val="restart"/>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0.017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5" w:type="dxa"/>
          <w:trHeight w:val="300" w:hRule="atLeast"/>
        </w:trPr>
        <w:tc>
          <w:tcPr>
            <w:tcW w:w="1895" w:type="dxa"/>
            <w:vMerge w:val="continue"/>
            <w:shd w:val="clear" w:color="auto" w:fill="auto"/>
            <w:vAlign w:val="center"/>
          </w:tcPr>
          <w:p>
            <w:pPr>
              <w:snapToGrid w:val="0"/>
              <w:spacing w:line="360" w:lineRule="auto"/>
              <w:rPr>
                <w:rFonts w:ascii="Book Antiqua" w:hAnsi="Book Antiqua" w:eastAsia="黑体"/>
                <w:sz w:val="24"/>
              </w:rPr>
            </w:pPr>
          </w:p>
        </w:tc>
        <w:tc>
          <w:tcPr>
            <w:tcW w:w="1986" w:type="dxa"/>
            <w:gridSpan w:val="2"/>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B</w:t>
            </w:r>
          </w:p>
        </w:tc>
        <w:tc>
          <w:tcPr>
            <w:tcW w:w="1589"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81</w:t>
            </w:r>
          </w:p>
        </w:tc>
        <w:tc>
          <w:tcPr>
            <w:tcW w:w="2028"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63</w:t>
            </w:r>
          </w:p>
        </w:tc>
        <w:tc>
          <w:tcPr>
            <w:tcW w:w="3264" w:type="dxa"/>
            <w:gridSpan w:val="2"/>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56.3</w:t>
            </w:r>
          </w:p>
        </w:tc>
        <w:tc>
          <w:tcPr>
            <w:tcW w:w="1588" w:type="dxa"/>
            <w:gridSpan w:val="2"/>
            <w:vMerge w:val="continue"/>
            <w:shd w:val="clear" w:color="auto" w:fill="auto"/>
            <w:vAlign w:val="center"/>
          </w:tcPr>
          <w:p>
            <w:pPr>
              <w:snapToGrid w:val="0"/>
              <w:spacing w:line="360" w:lineRule="auto"/>
              <w:rPr>
                <w:rFonts w:ascii="Book Antiqua" w:hAnsi="Book Antiqua" w:eastAsia="黑体"/>
                <w:sz w:val="24"/>
              </w:rPr>
            </w:pPr>
          </w:p>
        </w:tc>
        <w:tc>
          <w:tcPr>
            <w:tcW w:w="1589" w:type="dxa"/>
            <w:gridSpan w:val="2"/>
            <w:vMerge w:val="continue"/>
            <w:shd w:val="clear" w:color="auto" w:fill="auto"/>
            <w:vAlign w:val="center"/>
          </w:tcPr>
          <w:p>
            <w:pPr>
              <w:snapToGrid w:val="0"/>
              <w:spacing w:line="360" w:lineRule="auto"/>
              <w:rPr>
                <w:rFonts w:ascii="Book Antiqua" w:hAnsi="Book Antiqua" w:eastAsia="黑体"/>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95" w:type="dxa"/>
            <w:shd w:val="clear" w:color="auto" w:fill="auto"/>
            <w:vAlign w:val="center"/>
          </w:tcPr>
          <w:p>
            <w:pPr>
              <w:widowControl/>
              <w:snapToGrid w:val="0"/>
              <w:spacing w:line="360" w:lineRule="auto"/>
              <w:rPr>
                <w:rFonts w:ascii="Book Antiqua" w:hAnsi="Book Antiqua" w:eastAsia="黑体"/>
                <w:sz w:val="24"/>
              </w:rPr>
            </w:pPr>
          </w:p>
        </w:tc>
        <w:tc>
          <w:tcPr>
            <w:tcW w:w="1877" w:type="dxa"/>
            <w:shd w:val="clear" w:color="auto" w:fill="auto"/>
            <w:vAlign w:val="center"/>
          </w:tcPr>
          <w:p>
            <w:pPr>
              <w:widowControl/>
              <w:snapToGrid w:val="0"/>
              <w:spacing w:line="360" w:lineRule="auto"/>
              <w:rPr>
                <w:rFonts w:ascii="Book Antiqua" w:hAnsi="Book Antiqua" w:eastAsia="黑体"/>
                <w:sz w:val="24"/>
              </w:rPr>
            </w:pPr>
          </w:p>
        </w:tc>
        <w:tc>
          <w:tcPr>
            <w:tcW w:w="3751" w:type="dxa"/>
            <w:gridSpan w:val="4"/>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Median recurrent of ascites in mo</w:t>
            </w:r>
          </w:p>
        </w:tc>
        <w:tc>
          <w:tcPr>
            <w:tcW w:w="3334" w:type="dxa"/>
            <w:gridSpan w:val="2"/>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Four quantile spacing in mo</w:t>
            </w:r>
          </w:p>
        </w:tc>
        <w:tc>
          <w:tcPr>
            <w:tcW w:w="3127" w:type="dxa"/>
            <w:gridSpan w:val="4"/>
            <w:shd w:val="clear" w:color="auto" w:fill="auto"/>
            <w:vAlign w:val="center"/>
          </w:tcPr>
          <w:p>
            <w:pPr>
              <w:widowControl/>
              <w:snapToGrid w:val="0"/>
              <w:spacing w:line="360" w:lineRule="auto"/>
              <w:rPr>
                <w:rFonts w:ascii="Book Antiqua" w:hAnsi="Book Antiqua" w:eastAsia="黑体"/>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95" w:type="dxa"/>
            <w:vMerge w:val="restart"/>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Total 3 yr</w:t>
            </w:r>
          </w:p>
        </w:tc>
        <w:tc>
          <w:tcPr>
            <w:tcW w:w="1877"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A</w:t>
            </w:r>
          </w:p>
        </w:tc>
        <w:tc>
          <w:tcPr>
            <w:tcW w:w="3751" w:type="dxa"/>
            <w:gridSpan w:val="4"/>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11</w:t>
            </w:r>
          </w:p>
        </w:tc>
        <w:tc>
          <w:tcPr>
            <w:tcW w:w="3334" w:type="dxa"/>
            <w:gridSpan w:val="2"/>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(6, 16)</w:t>
            </w:r>
          </w:p>
        </w:tc>
        <w:tc>
          <w:tcPr>
            <w:tcW w:w="1563" w:type="dxa"/>
            <w:gridSpan w:val="2"/>
            <w:vMerge w:val="restart"/>
            <w:shd w:val="clear" w:color="auto" w:fill="auto"/>
            <w:vAlign w:val="center"/>
          </w:tcPr>
          <w:p>
            <w:pPr>
              <w:widowControl/>
              <w:snapToGrid w:val="0"/>
              <w:spacing w:line="360" w:lineRule="auto"/>
              <w:rPr>
                <w:rFonts w:ascii="Book Antiqua" w:hAnsi="Book Antiqua" w:eastAsia="黑体"/>
                <w:sz w:val="24"/>
              </w:rPr>
            </w:pPr>
          </w:p>
        </w:tc>
        <w:tc>
          <w:tcPr>
            <w:tcW w:w="1564" w:type="dxa"/>
            <w:gridSpan w:val="2"/>
            <w:vMerge w:val="restart"/>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0.009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895" w:type="dxa"/>
            <w:vMerge w:val="continue"/>
            <w:shd w:val="clear" w:color="auto" w:fill="auto"/>
            <w:vAlign w:val="center"/>
          </w:tcPr>
          <w:p>
            <w:pPr>
              <w:snapToGrid w:val="0"/>
              <w:spacing w:line="360" w:lineRule="auto"/>
              <w:rPr>
                <w:rFonts w:ascii="Book Antiqua" w:hAnsi="Book Antiqua" w:eastAsia="黑体"/>
                <w:sz w:val="24"/>
              </w:rPr>
            </w:pPr>
          </w:p>
        </w:tc>
        <w:tc>
          <w:tcPr>
            <w:tcW w:w="1877"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B</w:t>
            </w:r>
          </w:p>
        </w:tc>
        <w:tc>
          <w:tcPr>
            <w:tcW w:w="3751" w:type="dxa"/>
            <w:gridSpan w:val="4"/>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16</w:t>
            </w:r>
          </w:p>
        </w:tc>
        <w:tc>
          <w:tcPr>
            <w:tcW w:w="3334" w:type="dxa"/>
            <w:gridSpan w:val="2"/>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(12, 19)</w:t>
            </w:r>
          </w:p>
        </w:tc>
        <w:tc>
          <w:tcPr>
            <w:tcW w:w="1563" w:type="dxa"/>
            <w:gridSpan w:val="2"/>
            <w:vMerge w:val="continue"/>
            <w:shd w:val="clear" w:color="auto" w:fill="auto"/>
            <w:vAlign w:val="center"/>
          </w:tcPr>
          <w:p>
            <w:pPr>
              <w:snapToGrid w:val="0"/>
              <w:spacing w:line="360" w:lineRule="auto"/>
              <w:rPr>
                <w:rFonts w:ascii="Book Antiqua" w:hAnsi="Book Antiqua" w:eastAsia="黑体"/>
                <w:sz w:val="24"/>
              </w:rPr>
            </w:pPr>
          </w:p>
        </w:tc>
        <w:tc>
          <w:tcPr>
            <w:tcW w:w="1564" w:type="dxa"/>
            <w:gridSpan w:val="2"/>
            <w:vMerge w:val="continue"/>
            <w:shd w:val="clear" w:color="auto" w:fill="auto"/>
            <w:vAlign w:val="center"/>
          </w:tcPr>
          <w:p>
            <w:pPr>
              <w:snapToGrid w:val="0"/>
              <w:spacing w:line="360" w:lineRule="auto"/>
              <w:rPr>
                <w:rFonts w:ascii="Book Antiqua" w:hAnsi="Book Antiqua" w:eastAsia="黑体"/>
                <w:sz w:val="24"/>
              </w:rPr>
            </w:pPr>
          </w:p>
        </w:tc>
      </w:tr>
    </w:tbl>
    <w:p>
      <w:pPr>
        <w:widowControl/>
        <w:snapToGrid w:val="0"/>
        <w:spacing w:line="360" w:lineRule="auto"/>
        <w:rPr>
          <w:rFonts w:ascii="Book Antiqua" w:hAnsi="Book Antiqua"/>
          <w:b/>
          <w:sz w:val="24"/>
        </w:rPr>
      </w:pPr>
      <w:r>
        <w:rPr>
          <w:rFonts w:ascii="Book Antiqua" w:hAnsi="Book Antiqua"/>
          <w:b/>
          <w:sz w:val="24"/>
        </w:rPr>
        <w:br w:type="page"/>
      </w:r>
    </w:p>
    <w:p>
      <w:pPr>
        <w:snapToGrid w:val="0"/>
        <w:spacing w:line="360" w:lineRule="auto"/>
        <w:rPr>
          <w:rFonts w:ascii="Book Antiqua" w:hAnsi="Book Antiqua" w:eastAsia="黑体"/>
          <w:b/>
          <w:sz w:val="24"/>
        </w:rPr>
      </w:pPr>
      <w:r>
        <w:rPr>
          <w:rFonts w:ascii="Book Antiqua" w:hAnsi="Book Antiqua" w:eastAsia="黑体"/>
          <w:b/>
          <w:sz w:val="24"/>
        </w:rPr>
        <w:t xml:space="preserve">Table 6 Clinical characteristics of the patients in survival rate and incidence of </w:t>
      </w:r>
      <w:r>
        <w:rPr>
          <w:rFonts w:ascii="Book Antiqua" w:hAnsi="Book Antiqua" w:eastAsia="黑体"/>
          <w:b/>
          <w:bCs/>
          <w:sz w:val="24"/>
        </w:rPr>
        <w:t>hepatic encephalopathy</w:t>
      </w:r>
    </w:p>
    <w:tbl>
      <w:tblPr>
        <w:tblStyle w:val="8"/>
        <w:tblW w:w="13984" w:type="dxa"/>
        <w:tblInd w:w="0" w:type="dxa"/>
        <w:tblLayout w:type="fixed"/>
        <w:tblCellMar>
          <w:top w:w="15" w:type="dxa"/>
          <w:left w:w="15" w:type="dxa"/>
          <w:bottom w:w="15" w:type="dxa"/>
          <w:right w:w="15" w:type="dxa"/>
        </w:tblCellMar>
      </w:tblPr>
      <w:tblGrid>
        <w:gridCol w:w="2304"/>
        <w:gridCol w:w="1575"/>
        <w:gridCol w:w="1597"/>
        <w:gridCol w:w="2039"/>
        <w:gridCol w:w="3281"/>
        <w:gridCol w:w="1597"/>
        <w:gridCol w:w="1591"/>
      </w:tblGrid>
      <w:tr>
        <w:tblPrEx>
          <w:tblLayout w:type="fixed"/>
          <w:tblCellMar>
            <w:top w:w="15" w:type="dxa"/>
            <w:left w:w="15" w:type="dxa"/>
            <w:bottom w:w="15" w:type="dxa"/>
            <w:right w:w="15" w:type="dxa"/>
          </w:tblCellMar>
        </w:tblPrEx>
        <w:trPr>
          <w:trHeight w:val="285" w:hRule="atLeast"/>
        </w:trPr>
        <w:tc>
          <w:tcPr>
            <w:tcW w:w="2304" w:type="dxa"/>
            <w:vMerge w:val="restart"/>
            <w:tcBorders>
              <w:top w:val="single" w:color="000000" w:sz="12" w:space="0"/>
            </w:tcBorders>
            <w:shd w:val="clear" w:color="auto" w:fill="auto"/>
            <w:vAlign w:val="center"/>
          </w:tcPr>
          <w:p>
            <w:pPr>
              <w:widowControl/>
              <w:snapToGrid w:val="0"/>
              <w:spacing w:line="360" w:lineRule="auto"/>
              <w:rPr>
                <w:rFonts w:ascii="Book Antiqua" w:hAnsi="Book Antiqua" w:eastAsia="黑体"/>
                <w:b/>
                <w:bCs/>
                <w:sz w:val="24"/>
              </w:rPr>
            </w:pPr>
            <w:r>
              <w:rPr>
                <w:rFonts w:ascii="Book Antiqua" w:hAnsi="Book Antiqua" w:eastAsia="黑体"/>
                <w:b/>
                <w:bCs/>
                <w:sz w:val="24"/>
              </w:rPr>
              <w:t>Characteristics</w:t>
            </w:r>
          </w:p>
        </w:tc>
        <w:tc>
          <w:tcPr>
            <w:tcW w:w="1575" w:type="dxa"/>
            <w:vMerge w:val="restart"/>
            <w:tcBorders>
              <w:top w:val="single" w:color="000000" w:sz="12" w:space="0"/>
            </w:tcBorders>
            <w:shd w:val="clear" w:color="auto" w:fill="auto"/>
            <w:vAlign w:val="center"/>
          </w:tcPr>
          <w:p>
            <w:pPr>
              <w:widowControl/>
              <w:snapToGrid w:val="0"/>
              <w:spacing w:line="360" w:lineRule="auto"/>
              <w:rPr>
                <w:rFonts w:ascii="Book Antiqua" w:hAnsi="Book Antiqua" w:eastAsia="黑体"/>
                <w:b/>
                <w:bCs/>
                <w:sz w:val="24"/>
              </w:rPr>
            </w:pPr>
            <w:r>
              <w:rPr>
                <w:rFonts w:ascii="Book Antiqua" w:hAnsi="Book Antiqua" w:eastAsia="黑体"/>
                <w:b/>
                <w:bCs/>
                <w:sz w:val="24"/>
              </w:rPr>
              <w:t>Group</w:t>
            </w:r>
          </w:p>
        </w:tc>
        <w:tc>
          <w:tcPr>
            <w:tcW w:w="3636" w:type="dxa"/>
            <w:gridSpan w:val="2"/>
            <w:tcBorders>
              <w:top w:val="single" w:color="000000" w:sz="12" w:space="0"/>
            </w:tcBorders>
            <w:shd w:val="clear" w:color="auto" w:fill="auto"/>
            <w:vAlign w:val="center"/>
          </w:tcPr>
          <w:p>
            <w:pPr>
              <w:widowControl/>
              <w:snapToGrid w:val="0"/>
              <w:spacing w:line="360" w:lineRule="auto"/>
              <w:jc w:val="center"/>
              <w:rPr>
                <w:rFonts w:ascii="Book Antiqua" w:hAnsi="Book Antiqua" w:eastAsia="黑体"/>
                <w:b/>
                <w:bCs/>
                <w:sz w:val="24"/>
              </w:rPr>
            </w:pPr>
            <w:r>
              <w:rPr>
                <w:rFonts w:ascii="Book Antiqua" w:hAnsi="Book Antiqua" w:eastAsia="黑体"/>
                <w:b/>
                <w:bCs/>
                <w:sz w:val="24"/>
              </w:rPr>
              <w:t>Survival</w:t>
            </w:r>
          </w:p>
        </w:tc>
        <w:tc>
          <w:tcPr>
            <w:tcW w:w="3281" w:type="dxa"/>
            <w:vMerge w:val="restart"/>
            <w:tcBorders>
              <w:top w:val="single" w:color="000000" w:sz="12" w:space="0"/>
            </w:tcBorders>
            <w:shd w:val="clear" w:color="auto" w:fill="auto"/>
            <w:vAlign w:val="center"/>
          </w:tcPr>
          <w:p>
            <w:pPr>
              <w:widowControl/>
              <w:snapToGrid w:val="0"/>
              <w:spacing w:line="360" w:lineRule="auto"/>
              <w:rPr>
                <w:rFonts w:ascii="Book Antiqua" w:hAnsi="Book Antiqua" w:eastAsia="黑体"/>
                <w:b/>
                <w:bCs/>
                <w:sz w:val="24"/>
              </w:rPr>
            </w:pPr>
            <w:r>
              <w:rPr>
                <w:rFonts w:ascii="Book Antiqua" w:hAnsi="Book Antiqua" w:eastAsia="黑体"/>
                <w:b/>
                <w:bCs/>
                <w:sz w:val="24"/>
              </w:rPr>
              <w:t>Survival rate, %</w:t>
            </w:r>
          </w:p>
        </w:tc>
        <w:tc>
          <w:tcPr>
            <w:tcW w:w="1597" w:type="dxa"/>
            <w:vMerge w:val="restart"/>
            <w:tcBorders>
              <w:top w:val="single" w:color="000000" w:sz="12" w:space="0"/>
            </w:tcBorders>
            <w:shd w:val="clear" w:color="auto" w:fill="auto"/>
            <w:vAlign w:val="center"/>
          </w:tcPr>
          <w:p>
            <w:pPr>
              <w:widowControl/>
              <w:snapToGrid w:val="0"/>
              <w:spacing w:line="360" w:lineRule="auto"/>
              <w:rPr>
                <w:rFonts w:ascii="Book Antiqua" w:hAnsi="Book Antiqua" w:eastAsia="黑体"/>
                <w:b/>
                <w:bCs/>
                <w:sz w:val="24"/>
              </w:rPr>
            </w:pPr>
            <w:r>
              <w:rPr>
                <w:rFonts w:ascii="Book Antiqua" w:hAnsi="Book Antiqua" w:eastAsia="黑体"/>
                <w:b/>
                <w:bCs/>
                <w:sz w:val="24"/>
              </w:rPr>
              <w:t>χ</w:t>
            </w:r>
            <w:r>
              <w:rPr>
                <w:rFonts w:ascii="Book Antiqua" w:hAnsi="Book Antiqua" w:eastAsia="黑体"/>
                <w:b/>
                <w:bCs/>
                <w:sz w:val="24"/>
                <w:vertAlign w:val="superscript"/>
              </w:rPr>
              <w:t>2</w:t>
            </w:r>
          </w:p>
        </w:tc>
        <w:tc>
          <w:tcPr>
            <w:tcW w:w="1591" w:type="dxa"/>
            <w:vMerge w:val="restart"/>
            <w:tcBorders>
              <w:top w:val="single" w:color="000000" w:sz="12" w:space="0"/>
            </w:tcBorders>
            <w:shd w:val="clear" w:color="auto" w:fill="auto"/>
            <w:vAlign w:val="center"/>
          </w:tcPr>
          <w:p>
            <w:pPr>
              <w:widowControl/>
              <w:snapToGrid w:val="0"/>
              <w:spacing w:line="360" w:lineRule="auto"/>
              <w:rPr>
                <w:rFonts w:ascii="Book Antiqua" w:hAnsi="Book Antiqua" w:eastAsia="黑体"/>
                <w:b/>
                <w:bCs/>
                <w:sz w:val="24"/>
              </w:rPr>
            </w:pPr>
            <w:r>
              <w:rPr>
                <w:rFonts w:ascii="Book Antiqua" w:hAnsi="Book Antiqua" w:eastAsia="黑体"/>
                <w:b/>
                <w:bCs/>
                <w:i/>
                <w:iCs/>
                <w:sz w:val="24"/>
              </w:rPr>
              <w:t>P</w:t>
            </w:r>
            <w:r>
              <w:rPr>
                <w:rFonts w:ascii="Book Antiqua" w:hAnsi="Book Antiqua" w:eastAsia="黑体"/>
                <w:b/>
                <w:bCs/>
                <w:sz w:val="24"/>
              </w:rPr>
              <w:t xml:space="preserve"> value</w:t>
            </w:r>
          </w:p>
        </w:tc>
      </w:tr>
      <w:tr>
        <w:tblPrEx>
          <w:tblLayout w:type="fixed"/>
          <w:tblCellMar>
            <w:top w:w="15" w:type="dxa"/>
            <w:left w:w="15" w:type="dxa"/>
            <w:bottom w:w="15" w:type="dxa"/>
            <w:right w:w="15" w:type="dxa"/>
          </w:tblCellMar>
        </w:tblPrEx>
        <w:trPr>
          <w:trHeight w:val="285" w:hRule="atLeast"/>
        </w:trPr>
        <w:tc>
          <w:tcPr>
            <w:tcW w:w="2304" w:type="dxa"/>
            <w:vMerge w:val="continue"/>
            <w:tcBorders>
              <w:bottom w:val="single" w:color="000000" w:sz="12" w:space="0"/>
            </w:tcBorders>
            <w:shd w:val="clear" w:color="auto" w:fill="auto"/>
            <w:vAlign w:val="center"/>
          </w:tcPr>
          <w:p>
            <w:pPr>
              <w:snapToGrid w:val="0"/>
              <w:spacing w:line="360" w:lineRule="auto"/>
              <w:rPr>
                <w:rFonts w:ascii="Book Antiqua" w:hAnsi="Book Antiqua" w:eastAsia="黑体"/>
                <w:sz w:val="24"/>
              </w:rPr>
            </w:pPr>
          </w:p>
        </w:tc>
        <w:tc>
          <w:tcPr>
            <w:tcW w:w="1575" w:type="dxa"/>
            <w:vMerge w:val="continue"/>
            <w:tcBorders>
              <w:bottom w:val="single" w:color="000000" w:sz="12" w:space="0"/>
            </w:tcBorders>
            <w:shd w:val="clear" w:color="auto" w:fill="auto"/>
            <w:vAlign w:val="center"/>
          </w:tcPr>
          <w:p>
            <w:pPr>
              <w:snapToGrid w:val="0"/>
              <w:spacing w:line="360" w:lineRule="auto"/>
              <w:rPr>
                <w:rFonts w:ascii="Book Antiqua" w:hAnsi="Book Antiqua" w:eastAsia="黑体"/>
                <w:sz w:val="24"/>
              </w:rPr>
            </w:pPr>
          </w:p>
        </w:tc>
        <w:tc>
          <w:tcPr>
            <w:tcW w:w="1597" w:type="dxa"/>
            <w:tcBorders>
              <w:bottom w:val="single" w:color="000000" w:sz="12" w:space="0"/>
            </w:tcBorders>
            <w:shd w:val="clear" w:color="auto" w:fill="auto"/>
            <w:vAlign w:val="center"/>
          </w:tcPr>
          <w:p>
            <w:pPr>
              <w:widowControl/>
              <w:snapToGrid w:val="0"/>
              <w:spacing w:line="360" w:lineRule="auto"/>
              <w:rPr>
                <w:rFonts w:ascii="Book Antiqua" w:hAnsi="Book Antiqua" w:eastAsia="黑体"/>
                <w:b/>
                <w:bCs/>
                <w:sz w:val="24"/>
              </w:rPr>
            </w:pPr>
            <w:r>
              <w:rPr>
                <w:rFonts w:ascii="Book Antiqua" w:hAnsi="Book Antiqua" w:eastAsia="黑体"/>
                <w:b/>
                <w:bCs/>
                <w:sz w:val="24"/>
              </w:rPr>
              <w:t>Yes</w:t>
            </w:r>
          </w:p>
        </w:tc>
        <w:tc>
          <w:tcPr>
            <w:tcW w:w="2039" w:type="dxa"/>
            <w:tcBorders>
              <w:bottom w:val="single" w:color="000000" w:sz="12" w:space="0"/>
            </w:tcBorders>
            <w:shd w:val="clear" w:color="auto" w:fill="auto"/>
            <w:vAlign w:val="center"/>
          </w:tcPr>
          <w:p>
            <w:pPr>
              <w:widowControl/>
              <w:snapToGrid w:val="0"/>
              <w:spacing w:line="360" w:lineRule="auto"/>
              <w:rPr>
                <w:rFonts w:ascii="Book Antiqua" w:hAnsi="Book Antiqua" w:eastAsia="黑体"/>
                <w:b/>
                <w:bCs/>
                <w:sz w:val="24"/>
              </w:rPr>
            </w:pPr>
            <w:r>
              <w:rPr>
                <w:rFonts w:ascii="Book Antiqua" w:hAnsi="Book Antiqua" w:eastAsia="黑体"/>
                <w:b/>
                <w:bCs/>
                <w:sz w:val="24"/>
              </w:rPr>
              <w:t>No</w:t>
            </w:r>
          </w:p>
        </w:tc>
        <w:tc>
          <w:tcPr>
            <w:tcW w:w="3281" w:type="dxa"/>
            <w:vMerge w:val="continue"/>
            <w:tcBorders>
              <w:bottom w:val="single" w:color="000000" w:sz="12" w:space="0"/>
            </w:tcBorders>
            <w:shd w:val="clear" w:color="auto" w:fill="auto"/>
            <w:vAlign w:val="center"/>
          </w:tcPr>
          <w:p>
            <w:pPr>
              <w:snapToGrid w:val="0"/>
              <w:spacing w:line="360" w:lineRule="auto"/>
              <w:rPr>
                <w:rFonts w:ascii="Book Antiqua" w:hAnsi="Book Antiqua" w:eastAsia="黑体"/>
                <w:sz w:val="24"/>
              </w:rPr>
            </w:pPr>
          </w:p>
        </w:tc>
        <w:tc>
          <w:tcPr>
            <w:tcW w:w="1597" w:type="dxa"/>
            <w:vMerge w:val="continue"/>
            <w:tcBorders>
              <w:bottom w:val="single" w:color="000000" w:sz="12" w:space="0"/>
            </w:tcBorders>
            <w:shd w:val="clear" w:color="auto" w:fill="auto"/>
            <w:vAlign w:val="center"/>
          </w:tcPr>
          <w:p>
            <w:pPr>
              <w:snapToGrid w:val="0"/>
              <w:spacing w:line="360" w:lineRule="auto"/>
              <w:rPr>
                <w:rFonts w:ascii="Book Antiqua" w:hAnsi="Book Antiqua" w:eastAsia="黑体"/>
                <w:sz w:val="24"/>
              </w:rPr>
            </w:pPr>
          </w:p>
        </w:tc>
        <w:tc>
          <w:tcPr>
            <w:tcW w:w="1591" w:type="dxa"/>
            <w:vMerge w:val="continue"/>
            <w:tcBorders>
              <w:bottom w:val="single" w:color="000000" w:sz="12" w:space="0"/>
            </w:tcBorders>
            <w:shd w:val="clear" w:color="auto" w:fill="auto"/>
            <w:vAlign w:val="center"/>
          </w:tcPr>
          <w:p>
            <w:pPr>
              <w:snapToGrid w:val="0"/>
              <w:spacing w:line="360" w:lineRule="auto"/>
              <w:rPr>
                <w:rFonts w:ascii="Book Antiqua" w:hAnsi="Book Antiqua" w:eastAsia="黑体"/>
                <w:sz w:val="24"/>
              </w:rPr>
            </w:pPr>
          </w:p>
        </w:tc>
      </w:tr>
      <w:tr>
        <w:tblPrEx>
          <w:tblLayout w:type="fixed"/>
          <w:tblCellMar>
            <w:top w:w="15" w:type="dxa"/>
            <w:left w:w="15" w:type="dxa"/>
            <w:bottom w:w="15" w:type="dxa"/>
            <w:right w:w="15" w:type="dxa"/>
          </w:tblCellMar>
        </w:tblPrEx>
        <w:trPr>
          <w:trHeight w:val="285" w:hRule="atLeast"/>
        </w:trPr>
        <w:tc>
          <w:tcPr>
            <w:tcW w:w="2304" w:type="dxa"/>
            <w:vMerge w:val="restart"/>
            <w:tcBorders>
              <w:top w:val="single" w:color="000000" w:sz="12" w:space="0"/>
            </w:tcBorders>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1 yr</w:t>
            </w:r>
          </w:p>
        </w:tc>
        <w:tc>
          <w:tcPr>
            <w:tcW w:w="1575" w:type="dxa"/>
            <w:tcBorders>
              <w:top w:val="single" w:color="000000" w:sz="12" w:space="0"/>
            </w:tcBorders>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A</w:t>
            </w:r>
          </w:p>
        </w:tc>
        <w:tc>
          <w:tcPr>
            <w:tcW w:w="1597" w:type="dxa"/>
            <w:tcBorders>
              <w:top w:val="single" w:color="000000" w:sz="12" w:space="0"/>
            </w:tcBorders>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237</w:t>
            </w:r>
          </w:p>
        </w:tc>
        <w:tc>
          <w:tcPr>
            <w:tcW w:w="2039" w:type="dxa"/>
            <w:tcBorders>
              <w:top w:val="single" w:color="000000" w:sz="12" w:space="0"/>
            </w:tcBorders>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18</w:t>
            </w:r>
          </w:p>
        </w:tc>
        <w:tc>
          <w:tcPr>
            <w:tcW w:w="3281" w:type="dxa"/>
            <w:tcBorders>
              <w:top w:val="single" w:color="000000" w:sz="12" w:space="0"/>
            </w:tcBorders>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 xml:space="preserve">92.9 </w:t>
            </w:r>
          </w:p>
        </w:tc>
        <w:tc>
          <w:tcPr>
            <w:tcW w:w="1597" w:type="dxa"/>
            <w:vMerge w:val="restart"/>
            <w:tcBorders>
              <w:top w:val="single" w:color="000000" w:sz="12" w:space="0"/>
            </w:tcBorders>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6.98</w:t>
            </w:r>
          </w:p>
        </w:tc>
        <w:tc>
          <w:tcPr>
            <w:tcW w:w="1591" w:type="dxa"/>
            <w:vMerge w:val="restart"/>
            <w:tcBorders>
              <w:top w:val="single" w:color="000000" w:sz="12" w:space="0"/>
            </w:tcBorders>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0.008</w:t>
            </w:r>
          </w:p>
        </w:tc>
      </w:tr>
      <w:tr>
        <w:tblPrEx>
          <w:tblLayout w:type="fixed"/>
          <w:tblCellMar>
            <w:top w:w="15" w:type="dxa"/>
            <w:left w:w="15" w:type="dxa"/>
            <w:bottom w:w="15" w:type="dxa"/>
            <w:right w:w="15" w:type="dxa"/>
          </w:tblCellMar>
        </w:tblPrEx>
        <w:trPr>
          <w:trHeight w:val="285" w:hRule="atLeast"/>
        </w:trPr>
        <w:tc>
          <w:tcPr>
            <w:tcW w:w="2304" w:type="dxa"/>
            <w:vMerge w:val="continue"/>
            <w:shd w:val="clear" w:color="auto" w:fill="auto"/>
            <w:vAlign w:val="center"/>
          </w:tcPr>
          <w:p>
            <w:pPr>
              <w:snapToGrid w:val="0"/>
              <w:spacing w:line="360" w:lineRule="auto"/>
              <w:rPr>
                <w:rFonts w:ascii="Book Antiqua" w:hAnsi="Book Antiqua" w:eastAsia="黑体"/>
                <w:sz w:val="24"/>
              </w:rPr>
            </w:pPr>
          </w:p>
        </w:tc>
        <w:tc>
          <w:tcPr>
            <w:tcW w:w="1575"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B</w:t>
            </w:r>
          </w:p>
        </w:tc>
        <w:tc>
          <w:tcPr>
            <w:tcW w:w="1597"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123</w:t>
            </w:r>
          </w:p>
        </w:tc>
        <w:tc>
          <w:tcPr>
            <w:tcW w:w="2039"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21</w:t>
            </w:r>
          </w:p>
        </w:tc>
        <w:tc>
          <w:tcPr>
            <w:tcW w:w="3281"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 xml:space="preserve">85.4 </w:t>
            </w:r>
          </w:p>
        </w:tc>
        <w:tc>
          <w:tcPr>
            <w:tcW w:w="1597" w:type="dxa"/>
            <w:vMerge w:val="continue"/>
            <w:shd w:val="clear" w:color="auto" w:fill="auto"/>
            <w:vAlign w:val="center"/>
          </w:tcPr>
          <w:p>
            <w:pPr>
              <w:snapToGrid w:val="0"/>
              <w:spacing w:line="360" w:lineRule="auto"/>
              <w:rPr>
                <w:rFonts w:ascii="Book Antiqua" w:hAnsi="Book Antiqua" w:eastAsia="黑体"/>
                <w:sz w:val="24"/>
              </w:rPr>
            </w:pPr>
          </w:p>
        </w:tc>
        <w:tc>
          <w:tcPr>
            <w:tcW w:w="1591" w:type="dxa"/>
            <w:vMerge w:val="continue"/>
            <w:shd w:val="clear" w:color="auto" w:fill="auto"/>
            <w:vAlign w:val="center"/>
          </w:tcPr>
          <w:p>
            <w:pPr>
              <w:snapToGrid w:val="0"/>
              <w:spacing w:line="360" w:lineRule="auto"/>
              <w:rPr>
                <w:rFonts w:ascii="Book Antiqua" w:hAnsi="Book Antiqua" w:eastAsia="黑体"/>
                <w:sz w:val="24"/>
              </w:rPr>
            </w:pPr>
          </w:p>
        </w:tc>
      </w:tr>
      <w:tr>
        <w:tblPrEx>
          <w:tblLayout w:type="fixed"/>
          <w:tblCellMar>
            <w:top w:w="15" w:type="dxa"/>
            <w:left w:w="15" w:type="dxa"/>
            <w:bottom w:w="15" w:type="dxa"/>
            <w:right w:w="15" w:type="dxa"/>
          </w:tblCellMar>
        </w:tblPrEx>
        <w:trPr>
          <w:trHeight w:val="285" w:hRule="atLeast"/>
        </w:trPr>
        <w:tc>
          <w:tcPr>
            <w:tcW w:w="2304" w:type="dxa"/>
            <w:vMerge w:val="restart"/>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2 yr</w:t>
            </w:r>
          </w:p>
        </w:tc>
        <w:tc>
          <w:tcPr>
            <w:tcW w:w="1575"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A</w:t>
            </w:r>
          </w:p>
        </w:tc>
        <w:tc>
          <w:tcPr>
            <w:tcW w:w="1597"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214</w:t>
            </w:r>
          </w:p>
        </w:tc>
        <w:tc>
          <w:tcPr>
            <w:tcW w:w="2039"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41</w:t>
            </w:r>
          </w:p>
        </w:tc>
        <w:tc>
          <w:tcPr>
            <w:tcW w:w="3281"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83.9</w:t>
            </w:r>
          </w:p>
        </w:tc>
        <w:tc>
          <w:tcPr>
            <w:tcW w:w="1597" w:type="dxa"/>
            <w:vMerge w:val="restart"/>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14.362</w:t>
            </w:r>
          </w:p>
        </w:tc>
        <w:tc>
          <w:tcPr>
            <w:tcW w:w="1591" w:type="dxa"/>
            <w:vMerge w:val="restart"/>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0.021</w:t>
            </w:r>
          </w:p>
        </w:tc>
      </w:tr>
      <w:tr>
        <w:tblPrEx>
          <w:tblLayout w:type="fixed"/>
          <w:tblCellMar>
            <w:top w:w="15" w:type="dxa"/>
            <w:left w:w="15" w:type="dxa"/>
            <w:bottom w:w="15" w:type="dxa"/>
            <w:right w:w="15" w:type="dxa"/>
          </w:tblCellMar>
        </w:tblPrEx>
        <w:trPr>
          <w:trHeight w:val="285" w:hRule="atLeast"/>
        </w:trPr>
        <w:tc>
          <w:tcPr>
            <w:tcW w:w="2304" w:type="dxa"/>
            <w:vMerge w:val="continue"/>
            <w:shd w:val="clear" w:color="auto" w:fill="auto"/>
            <w:vAlign w:val="center"/>
          </w:tcPr>
          <w:p>
            <w:pPr>
              <w:snapToGrid w:val="0"/>
              <w:spacing w:line="360" w:lineRule="auto"/>
              <w:rPr>
                <w:rFonts w:ascii="Book Antiqua" w:hAnsi="Book Antiqua" w:eastAsia="黑体"/>
                <w:sz w:val="24"/>
              </w:rPr>
            </w:pPr>
          </w:p>
        </w:tc>
        <w:tc>
          <w:tcPr>
            <w:tcW w:w="1575"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B</w:t>
            </w:r>
          </w:p>
        </w:tc>
        <w:tc>
          <w:tcPr>
            <w:tcW w:w="1597"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98</w:t>
            </w:r>
          </w:p>
        </w:tc>
        <w:tc>
          <w:tcPr>
            <w:tcW w:w="2039"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46</w:t>
            </w:r>
          </w:p>
        </w:tc>
        <w:tc>
          <w:tcPr>
            <w:tcW w:w="3281"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68.1</w:t>
            </w:r>
          </w:p>
        </w:tc>
        <w:tc>
          <w:tcPr>
            <w:tcW w:w="1597" w:type="dxa"/>
            <w:vMerge w:val="continue"/>
            <w:shd w:val="clear" w:color="auto" w:fill="auto"/>
            <w:vAlign w:val="center"/>
          </w:tcPr>
          <w:p>
            <w:pPr>
              <w:snapToGrid w:val="0"/>
              <w:spacing w:line="360" w:lineRule="auto"/>
              <w:rPr>
                <w:rFonts w:ascii="Book Antiqua" w:hAnsi="Book Antiqua" w:eastAsia="黑体"/>
                <w:sz w:val="24"/>
              </w:rPr>
            </w:pPr>
          </w:p>
        </w:tc>
        <w:tc>
          <w:tcPr>
            <w:tcW w:w="1591" w:type="dxa"/>
            <w:vMerge w:val="continue"/>
            <w:shd w:val="clear" w:color="auto" w:fill="auto"/>
            <w:vAlign w:val="center"/>
          </w:tcPr>
          <w:p>
            <w:pPr>
              <w:snapToGrid w:val="0"/>
              <w:spacing w:line="360" w:lineRule="auto"/>
              <w:rPr>
                <w:rFonts w:ascii="Book Antiqua" w:hAnsi="Book Antiqua" w:eastAsia="黑体"/>
                <w:sz w:val="24"/>
              </w:rPr>
            </w:pPr>
          </w:p>
        </w:tc>
      </w:tr>
      <w:tr>
        <w:tblPrEx>
          <w:tblLayout w:type="fixed"/>
          <w:tblCellMar>
            <w:top w:w="15" w:type="dxa"/>
            <w:left w:w="15" w:type="dxa"/>
            <w:bottom w:w="15" w:type="dxa"/>
            <w:right w:w="15" w:type="dxa"/>
          </w:tblCellMar>
        </w:tblPrEx>
        <w:trPr>
          <w:trHeight w:val="285" w:hRule="atLeast"/>
        </w:trPr>
        <w:tc>
          <w:tcPr>
            <w:tcW w:w="2304" w:type="dxa"/>
            <w:vMerge w:val="restart"/>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3 yr</w:t>
            </w:r>
          </w:p>
        </w:tc>
        <w:tc>
          <w:tcPr>
            <w:tcW w:w="1575"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A</w:t>
            </w:r>
          </w:p>
        </w:tc>
        <w:tc>
          <w:tcPr>
            <w:tcW w:w="1597"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177</w:t>
            </w:r>
          </w:p>
        </w:tc>
        <w:tc>
          <w:tcPr>
            <w:tcW w:w="2039"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78</w:t>
            </w:r>
          </w:p>
        </w:tc>
        <w:tc>
          <w:tcPr>
            <w:tcW w:w="3281"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69.4</w:t>
            </w:r>
          </w:p>
        </w:tc>
        <w:tc>
          <w:tcPr>
            <w:tcW w:w="1597" w:type="dxa"/>
            <w:vMerge w:val="restart"/>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7.701</w:t>
            </w:r>
          </w:p>
        </w:tc>
        <w:tc>
          <w:tcPr>
            <w:tcW w:w="1591" w:type="dxa"/>
            <w:vMerge w:val="restart"/>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0.018</w:t>
            </w:r>
          </w:p>
        </w:tc>
      </w:tr>
      <w:tr>
        <w:tblPrEx>
          <w:tblLayout w:type="fixed"/>
          <w:tblCellMar>
            <w:top w:w="15" w:type="dxa"/>
            <w:left w:w="15" w:type="dxa"/>
            <w:bottom w:w="15" w:type="dxa"/>
            <w:right w:w="15" w:type="dxa"/>
          </w:tblCellMar>
        </w:tblPrEx>
        <w:trPr>
          <w:trHeight w:val="300" w:hRule="atLeast"/>
        </w:trPr>
        <w:tc>
          <w:tcPr>
            <w:tcW w:w="2304" w:type="dxa"/>
            <w:vMerge w:val="continue"/>
            <w:shd w:val="clear" w:color="auto" w:fill="auto"/>
            <w:vAlign w:val="center"/>
          </w:tcPr>
          <w:p>
            <w:pPr>
              <w:snapToGrid w:val="0"/>
              <w:spacing w:line="360" w:lineRule="auto"/>
              <w:rPr>
                <w:rFonts w:ascii="Book Antiqua" w:hAnsi="Book Antiqua" w:eastAsia="黑体"/>
                <w:sz w:val="24"/>
              </w:rPr>
            </w:pPr>
          </w:p>
        </w:tc>
        <w:tc>
          <w:tcPr>
            <w:tcW w:w="1575"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B</w:t>
            </w:r>
          </w:p>
        </w:tc>
        <w:tc>
          <w:tcPr>
            <w:tcW w:w="1597"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81</w:t>
            </w:r>
          </w:p>
        </w:tc>
        <w:tc>
          <w:tcPr>
            <w:tcW w:w="2039"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63</w:t>
            </w:r>
          </w:p>
        </w:tc>
        <w:tc>
          <w:tcPr>
            <w:tcW w:w="3281"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56.3</w:t>
            </w:r>
          </w:p>
        </w:tc>
        <w:tc>
          <w:tcPr>
            <w:tcW w:w="1597" w:type="dxa"/>
            <w:vMerge w:val="continue"/>
            <w:shd w:val="clear" w:color="auto" w:fill="auto"/>
            <w:vAlign w:val="center"/>
          </w:tcPr>
          <w:p>
            <w:pPr>
              <w:snapToGrid w:val="0"/>
              <w:spacing w:line="360" w:lineRule="auto"/>
              <w:rPr>
                <w:rFonts w:ascii="Book Antiqua" w:hAnsi="Book Antiqua" w:eastAsia="黑体"/>
                <w:sz w:val="24"/>
              </w:rPr>
            </w:pPr>
          </w:p>
        </w:tc>
        <w:tc>
          <w:tcPr>
            <w:tcW w:w="1591" w:type="dxa"/>
            <w:vMerge w:val="continue"/>
            <w:shd w:val="clear" w:color="auto" w:fill="auto"/>
            <w:vAlign w:val="center"/>
          </w:tcPr>
          <w:p>
            <w:pPr>
              <w:snapToGrid w:val="0"/>
              <w:spacing w:line="360" w:lineRule="auto"/>
              <w:rPr>
                <w:rFonts w:ascii="Book Antiqua" w:hAnsi="Book Antiqua" w:eastAsia="黑体"/>
                <w:sz w:val="24"/>
              </w:rPr>
            </w:pPr>
          </w:p>
        </w:tc>
      </w:tr>
      <w:tr>
        <w:tblPrEx>
          <w:tblLayout w:type="fixed"/>
          <w:tblCellMar>
            <w:top w:w="15" w:type="dxa"/>
            <w:left w:w="15" w:type="dxa"/>
            <w:bottom w:w="15" w:type="dxa"/>
            <w:right w:w="15" w:type="dxa"/>
          </w:tblCellMar>
        </w:tblPrEx>
        <w:trPr>
          <w:trHeight w:val="732" w:hRule="atLeast"/>
        </w:trPr>
        <w:tc>
          <w:tcPr>
            <w:tcW w:w="2304" w:type="dxa"/>
            <w:vMerge w:val="restart"/>
            <w:shd w:val="clear" w:color="auto" w:fill="auto"/>
            <w:vAlign w:val="center"/>
          </w:tcPr>
          <w:p>
            <w:pPr>
              <w:widowControl/>
              <w:snapToGrid w:val="0"/>
              <w:spacing w:line="360" w:lineRule="auto"/>
              <w:rPr>
                <w:rFonts w:ascii="Book Antiqua" w:hAnsi="Book Antiqua" w:eastAsia="黑体"/>
                <w:sz w:val="24"/>
              </w:rPr>
            </w:pPr>
          </w:p>
        </w:tc>
        <w:tc>
          <w:tcPr>
            <w:tcW w:w="1575" w:type="dxa"/>
            <w:vMerge w:val="restart"/>
            <w:shd w:val="clear" w:color="auto" w:fill="auto"/>
            <w:vAlign w:val="center"/>
          </w:tcPr>
          <w:p>
            <w:pPr>
              <w:widowControl/>
              <w:snapToGrid w:val="0"/>
              <w:spacing w:line="360" w:lineRule="auto"/>
              <w:rPr>
                <w:rFonts w:ascii="Book Antiqua" w:hAnsi="Book Antiqua" w:eastAsia="黑体"/>
                <w:sz w:val="24"/>
              </w:rPr>
            </w:pPr>
          </w:p>
        </w:tc>
        <w:tc>
          <w:tcPr>
            <w:tcW w:w="3636" w:type="dxa"/>
            <w:gridSpan w:val="2"/>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HE</w:t>
            </w:r>
          </w:p>
        </w:tc>
        <w:tc>
          <w:tcPr>
            <w:tcW w:w="3281" w:type="dxa"/>
            <w:vMerge w:val="restart"/>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Morbidity, %</w:t>
            </w:r>
          </w:p>
        </w:tc>
        <w:tc>
          <w:tcPr>
            <w:tcW w:w="1597" w:type="dxa"/>
            <w:vMerge w:val="restart"/>
            <w:shd w:val="clear" w:color="auto" w:fill="auto"/>
            <w:vAlign w:val="center"/>
          </w:tcPr>
          <w:p>
            <w:pPr>
              <w:widowControl/>
              <w:snapToGrid w:val="0"/>
              <w:spacing w:line="360" w:lineRule="auto"/>
              <w:rPr>
                <w:rFonts w:ascii="Book Antiqua" w:hAnsi="Book Antiqua" w:eastAsia="黑体"/>
                <w:sz w:val="24"/>
              </w:rPr>
            </w:pPr>
          </w:p>
        </w:tc>
        <w:tc>
          <w:tcPr>
            <w:tcW w:w="1591" w:type="dxa"/>
            <w:vMerge w:val="restart"/>
            <w:shd w:val="clear" w:color="auto" w:fill="auto"/>
            <w:vAlign w:val="center"/>
          </w:tcPr>
          <w:p>
            <w:pPr>
              <w:widowControl/>
              <w:snapToGrid w:val="0"/>
              <w:spacing w:line="360" w:lineRule="auto"/>
              <w:rPr>
                <w:rFonts w:ascii="Book Antiqua" w:hAnsi="Book Antiqua" w:eastAsia="黑体"/>
                <w:sz w:val="24"/>
              </w:rPr>
            </w:pPr>
          </w:p>
        </w:tc>
      </w:tr>
      <w:tr>
        <w:tblPrEx>
          <w:tblLayout w:type="fixed"/>
          <w:tblCellMar>
            <w:top w:w="15" w:type="dxa"/>
            <w:left w:w="15" w:type="dxa"/>
            <w:bottom w:w="15" w:type="dxa"/>
            <w:right w:w="15" w:type="dxa"/>
          </w:tblCellMar>
        </w:tblPrEx>
        <w:trPr>
          <w:trHeight w:val="285" w:hRule="atLeast"/>
        </w:trPr>
        <w:tc>
          <w:tcPr>
            <w:tcW w:w="2304" w:type="dxa"/>
            <w:vMerge w:val="continue"/>
            <w:shd w:val="clear" w:color="auto" w:fill="auto"/>
            <w:vAlign w:val="center"/>
          </w:tcPr>
          <w:p>
            <w:pPr>
              <w:snapToGrid w:val="0"/>
              <w:spacing w:line="360" w:lineRule="auto"/>
              <w:rPr>
                <w:rFonts w:ascii="Book Antiqua" w:hAnsi="Book Antiqua" w:eastAsia="黑体"/>
                <w:sz w:val="24"/>
              </w:rPr>
            </w:pPr>
          </w:p>
        </w:tc>
        <w:tc>
          <w:tcPr>
            <w:tcW w:w="1575" w:type="dxa"/>
            <w:vMerge w:val="continue"/>
            <w:shd w:val="clear" w:color="auto" w:fill="auto"/>
            <w:vAlign w:val="center"/>
          </w:tcPr>
          <w:p>
            <w:pPr>
              <w:snapToGrid w:val="0"/>
              <w:spacing w:line="360" w:lineRule="auto"/>
              <w:rPr>
                <w:rFonts w:ascii="Book Antiqua" w:hAnsi="Book Antiqua" w:eastAsia="黑体"/>
                <w:sz w:val="24"/>
              </w:rPr>
            </w:pPr>
          </w:p>
        </w:tc>
        <w:tc>
          <w:tcPr>
            <w:tcW w:w="1597"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Yes</w:t>
            </w:r>
          </w:p>
        </w:tc>
        <w:tc>
          <w:tcPr>
            <w:tcW w:w="2039"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Not</w:t>
            </w:r>
          </w:p>
        </w:tc>
        <w:tc>
          <w:tcPr>
            <w:tcW w:w="3281" w:type="dxa"/>
            <w:vMerge w:val="continue"/>
            <w:shd w:val="clear" w:color="auto" w:fill="auto"/>
            <w:vAlign w:val="center"/>
          </w:tcPr>
          <w:p>
            <w:pPr>
              <w:snapToGrid w:val="0"/>
              <w:spacing w:line="360" w:lineRule="auto"/>
              <w:rPr>
                <w:rFonts w:ascii="Book Antiqua" w:hAnsi="Book Antiqua" w:eastAsia="黑体"/>
                <w:sz w:val="24"/>
              </w:rPr>
            </w:pPr>
          </w:p>
        </w:tc>
        <w:tc>
          <w:tcPr>
            <w:tcW w:w="1597" w:type="dxa"/>
            <w:vMerge w:val="continue"/>
            <w:shd w:val="clear" w:color="auto" w:fill="auto"/>
            <w:vAlign w:val="center"/>
          </w:tcPr>
          <w:p>
            <w:pPr>
              <w:snapToGrid w:val="0"/>
              <w:spacing w:line="360" w:lineRule="auto"/>
              <w:rPr>
                <w:rFonts w:ascii="Book Antiqua" w:hAnsi="Book Antiqua" w:eastAsia="黑体"/>
                <w:sz w:val="24"/>
              </w:rPr>
            </w:pPr>
          </w:p>
        </w:tc>
        <w:tc>
          <w:tcPr>
            <w:tcW w:w="1591" w:type="dxa"/>
            <w:vMerge w:val="continue"/>
            <w:shd w:val="clear" w:color="auto" w:fill="auto"/>
            <w:vAlign w:val="center"/>
          </w:tcPr>
          <w:p>
            <w:pPr>
              <w:snapToGrid w:val="0"/>
              <w:spacing w:line="360" w:lineRule="auto"/>
              <w:rPr>
                <w:rFonts w:ascii="Book Antiqua" w:hAnsi="Book Antiqua" w:eastAsia="黑体"/>
                <w:sz w:val="24"/>
              </w:rPr>
            </w:pPr>
          </w:p>
        </w:tc>
      </w:tr>
      <w:tr>
        <w:tblPrEx>
          <w:tblLayout w:type="fixed"/>
          <w:tblCellMar>
            <w:top w:w="15" w:type="dxa"/>
            <w:left w:w="15" w:type="dxa"/>
            <w:bottom w:w="15" w:type="dxa"/>
            <w:right w:w="15" w:type="dxa"/>
          </w:tblCellMar>
        </w:tblPrEx>
        <w:trPr>
          <w:trHeight w:val="285" w:hRule="atLeast"/>
        </w:trPr>
        <w:tc>
          <w:tcPr>
            <w:tcW w:w="2304" w:type="dxa"/>
            <w:vMerge w:val="restart"/>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HE</w:t>
            </w:r>
          </w:p>
        </w:tc>
        <w:tc>
          <w:tcPr>
            <w:tcW w:w="1575"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A</w:t>
            </w:r>
          </w:p>
        </w:tc>
        <w:tc>
          <w:tcPr>
            <w:tcW w:w="1597"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70</w:t>
            </w:r>
          </w:p>
        </w:tc>
        <w:tc>
          <w:tcPr>
            <w:tcW w:w="2039"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185</w:t>
            </w:r>
          </w:p>
        </w:tc>
        <w:tc>
          <w:tcPr>
            <w:tcW w:w="3281" w:type="dxa"/>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27.5</w:t>
            </w:r>
          </w:p>
        </w:tc>
        <w:tc>
          <w:tcPr>
            <w:tcW w:w="1597" w:type="dxa"/>
            <w:vMerge w:val="restart"/>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0.40</w:t>
            </w:r>
          </w:p>
        </w:tc>
        <w:tc>
          <w:tcPr>
            <w:tcW w:w="1591" w:type="dxa"/>
            <w:vMerge w:val="restart"/>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0.527</w:t>
            </w:r>
          </w:p>
        </w:tc>
      </w:tr>
      <w:tr>
        <w:tblPrEx>
          <w:tblLayout w:type="fixed"/>
          <w:tblCellMar>
            <w:top w:w="15" w:type="dxa"/>
            <w:left w:w="15" w:type="dxa"/>
            <w:bottom w:w="15" w:type="dxa"/>
            <w:right w:w="15" w:type="dxa"/>
          </w:tblCellMar>
        </w:tblPrEx>
        <w:trPr>
          <w:trHeight w:val="300" w:hRule="atLeast"/>
        </w:trPr>
        <w:tc>
          <w:tcPr>
            <w:tcW w:w="2304" w:type="dxa"/>
            <w:vMerge w:val="continue"/>
            <w:tcBorders>
              <w:bottom w:val="single" w:color="000000" w:sz="12" w:space="0"/>
            </w:tcBorders>
            <w:shd w:val="clear" w:color="auto" w:fill="auto"/>
            <w:vAlign w:val="center"/>
          </w:tcPr>
          <w:p>
            <w:pPr>
              <w:snapToGrid w:val="0"/>
              <w:spacing w:line="360" w:lineRule="auto"/>
              <w:rPr>
                <w:rFonts w:ascii="Book Antiqua" w:hAnsi="Book Antiqua" w:eastAsia="黑体"/>
                <w:sz w:val="24"/>
              </w:rPr>
            </w:pPr>
          </w:p>
        </w:tc>
        <w:tc>
          <w:tcPr>
            <w:tcW w:w="1575" w:type="dxa"/>
            <w:tcBorders>
              <w:bottom w:val="single" w:color="000000" w:sz="12" w:space="0"/>
            </w:tcBorders>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B</w:t>
            </w:r>
          </w:p>
        </w:tc>
        <w:tc>
          <w:tcPr>
            <w:tcW w:w="1597" w:type="dxa"/>
            <w:tcBorders>
              <w:bottom w:val="single" w:color="000000" w:sz="12" w:space="0"/>
            </w:tcBorders>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35</w:t>
            </w:r>
          </w:p>
        </w:tc>
        <w:tc>
          <w:tcPr>
            <w:tcW w:w="2039" w:type="dxa"/>
            <w:tcBorders>
              <w:bottom w:val="single" w:color="000000" w:sz="12" w:space="0"/>
            </w:tcBorders>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109</w:t>
            </w:r>
          </w:p>
        </w:tc>
        <w:tc>
          <w:tcPr>
            <w:tcW w:w="3281" w:type="dxa"/>
            <w:tcBorders>
              <w:bottom w:val="single" w:color="000000" w:sz="12" w:space="0"/>
            </w:tcBorders>
            <w:shd w:val="clear" w:color="auto" w:fill="auto"/>
            <w:vAlign w:val="center"/>
          </w:tcPr>
          <w:p>
            <w:pPr>
              <w:widowControl/>
              <w:snapToGrid w:val="0"/>
              <w:spacing w:line="360" w:lineRule="auto"/>
              <w:rPr>
                <w:rFonts w:ascii="Book Antiqua" w:hAnsi="Book Antiqua" w:eastAsia="黑体"/>
                <w:sz w:val="24"/>
              </w:rPr>
            </w:pPr>
            <w:r>
              <w:rPr>
                <w:rFonts w:ascii="Book Antiqua" w:hAnsi="Book Antiqua" w:eastAsia="黑体"/>
                <w:sz w:val="24"/>
              </w:rPr>
              <w:t>24.3</w:t>
            </w:r>
          </w:p>
        </w:tc>
        <w:tc>
          <w:tcPr>
            <w:tcW w:w="1597" w:type="dxa"/>
            <w:vMerge w:val="continue"/>
            <w:tcBorders>
              <w:bottom w:val="single" w:color="000000" w:sz="12" w:space="0"/>
            </w:tcBorders>
            <w:shd w:val="clear" w:color="auto" w:fill="auto"/>
            <w:vAlign w:val="center"/>
          </w:tcPr>
          <w:p>
            <w:pPr>
              <w:snapToGrid w:val="0"/>
              <w:spacing w:line="360" w:lineRule="auto"/>
              <w:rPr>
                <w:rFonts w:ascii="Book Antiqua" w:hAnsi="Book Antiqua" w:eastAsia="黑体"/>
                <w:sz w:val="24"/>
              </w:rPr>
            </w:pPr>
          </w:p>
        </w:tc>
        <w:tc>
          <w:tcPr>
            <w:tcW w:w="1591" w:type="dxa"/>
            <w:vMerge w:val="continue"/>
            <w:tcBorders>
              <w:bottom w:val="single" w:color="000000" w:sz="12" w:space="0"/>
            </w:tcBorders>
            <w:shd w:val="clear" w:color="auto" w:fill="auto"/>
            <w:vAlign w:val="center"/>
          </w:tcPr>
          <w:p>
            <w:pPr>
              <w:snapToGrid w:val="0"/>
              <w:spacing w:line="360" w:lineRule="auto"/>
              <w:rPr>
                <w:rFonts w:ascii="Book Antiqua" w:hAnsi="Book Antiqua" w:eastAsia="黑体"/>
                <w:sz w:val="24"/>
              </w:rPr>
            </w:pPr>
          </w:p>
        </w:tc>
      </w:tr>
    </w:tbl>
    <w:p>
      <w:pPr>
        <w:snapToGrid w:val="0"/>
        <w:spacing w:line="360" w:lineRule="auto"/>
        <w:rPr>
          <w:rFonts w:ascii="Book Antiqua" w:hAnsi="Book Antiqua" w:eastAsia="黑体"/>
          <w:sz w:val="24"/>
        </w:rPr>
      </w:pPr>
      <w:r>
        <w:rPr>
          <w:rFonts w:ascii="Book Antiqua" w:hAnsi="Book Antiqua" w:eastAsia="黑体"/>
          <w:sz w:val="24"/>
        </w:rPr>
        <w:t>HE: Hepatic encephalopathy.</w:t>
      </w:r>
    </w:p>
    <w:p>
      <w:pPr>
        <w:snapToGrid w:val="0"/>
        <w:spacing w:line="360" w:lineRule="auto"/>
        <w:rPr>
          <w:rFonts w:ascii="Book Antiqua" w:hAnsi="Book Antiqua" w:eastAsia="黑体" w:cs="Book Antiqua"/>
          <w:sz w:val="24"/>
        </w:rPr>
      </w:pPr>
    </w:p>
    <w:p>
      <w:pPr>
        <w:snapToGrid w:val="0"/>
        <w:spacing w:line="360" w:lineRule="auto"/>
        <w:rPr>
          <w:rFonts w:ascii="Book Antiqua" w:hAnsi="Book Antiqua"/>
          <w:sz w:val="24"/>
        </w:rPr>
      </w:pPr>
    </w:p>
    <w:sectPr>
      <w:pgSz w:w="16834" w:h="11894" w:orient="landscape"/>
      <w:pgMar w:top="1440" w:right="1440" w:bottom="1440" w:left="1440" w:header="850" w:footer="99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0002AFF" w:usb1="C000247B" w:usb2="00000009" w:usb3="00000000" w:csb0="200001FF" w:csb1="00000000"/>
  </w:font>
  <w:font w:name="Book Antiqua">
    <w:altName w:val="Segoe Print"/>
    <w:panose1 w:val="02040602050305030304"/>
    <w:charset w:val="00"/>
    <w:family w:val="roman"/>
    <w:pitch w:val="default"/>
    <w:sig w:usb0="00000000" w:usb1="00000000" w:usb2="00000000" w:usb3="00000000" w:csb0="0000009F" w:csb1="00000000"/>
  </w:font>
  <w:font w:name="TimesNewRomanPS-BoldItalicMT">
    <w:altName w:val="Times New Roman"/>
    <w:panose1 w:val="020B0604020202020204"/>
    <w:charset w:val="00"/>
    <w:family w:val="roman"/>
    <w:pitch w:val="default"/>
    <w:sig w:usb0="00000000" w:usb1="00000000" w:usb2="00000000" w:usb3="00000000" w:csb0="00000001" w:csb1="00000000"/>
  </w:font>
  <w:font w:name="Arial Unicode MS">
    <w:altName w:val="Arial"/>
    <w:panose1 w:val="020B0604020202020204"/>
    <w:charset w:val="80"/>
    <w:family w:val="swiss"/>
    <w:pitch w:val="default"/>
    <w:sig w:usb0="00000000" w:usb1="00000000" w:usb2="0000003F" w:usb3="00000000" w:csb0="003F01FF" w:csb1="00000000"/>
  </w:font>
  <w:font w:name="Mangal">
    <w:altName w:val="Segoe Print"/>
    <w:panose1 w:val="02040503050203030202"/>
    <w:charset w:val="00"/>
    <w:family w:val="roman"/>
    <w:pitch w:val="default"/>
    <w:sig w:usb0="00000000" w:usb1="00000000" w:usb2="00000000" w:usb3="00000000" w:csb0="00000001" w:csb1="00000000"/>
  </w:font>
  <w:font w:name="Lucida Sans Unicode">
    <w:panose1 w:val="020B0602030504020204"/>
    <w:charset w:val="00"/>
    <w:family w:val="swiss"/>
    <w:pitch w:val="default"/>
    <w:sig w:usb0="80001AFF" w:usb1="0000396B" w:usb2="00000000" w:usb3="00000000" w:csb0="200000BF" w:csb1="D7F70000"/>
  </w:font>
  <w:font w:name="Helvetica">
    <w:altName w:val="Arial"/>
    <w:panose1 w:val="00000000000000000000"/>
    <w:charset w:val="00"/>
    <w:family w:val="auto"/>
    <w:pitch w:val="default"/>
    <w:sig w:usb0="00000000" w:usb1="00000000" w:usb2="00000000" w:usb3="00000000" w:csb0="0000019F" w:csb1="00000000"/>
  </w:font>
  <w:font w:name="微软雅黑">
    <w:panose1 w:val="020B0503020204020204"/>
    <w:charset w:val="86"/>
    <w:family w:val="swiss"/>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0"/>
      </w:rPr>
      <w:id w:val="-1492484246"/>
      <w:docPartObj>
        <w:docPartGallery w:val="AutoText"/>
      </w:docPartObj>
    </w:sdtPr>
    <w:sdtEndPr>
      <w:rPr>
        <w:rStyle w:val="10"/>
        <w:rFonts w:ascii="Book Antiqua" w:hAnsi="Book Antiqua"/>
        <w:sz w:val="24"/>
        <w:szCs w:val="24"/>
      </w:rPr>
    </w:sdtEndPr>
    <w:sdtContent>
      <w:p>
        <w:pPr>
          <w:pStyle w:val="4"/>
          <w:framePr w:wrap="around" w:vAnchor="text" w:hAnchor="margin" w:xAlign="center" w:y="1"/>
          <w:rPr>
            <w:rStyle w:val="10"/>
            <w:rFonts w:ascii="Book Antiqua" w:hAnsi="Book Antiqua"/>
            <w:sz w:val="24"/>
            <w:szCs w:val="24"/>
          </w:rPr>
        </w:pPr>
        <w:r>
          <w:rPr>
            <w:rStyle w:val="10"/>
            <w:rFonts w:ascii="Book Antiqua" w:hAnsi="Book Antiqua"/>
            <w:sz w:val="24"/>
            <w:szCs w:val="24"/>
          </w:rPr>
          <w:fldChar w:fldCharType="begin"/>
        </w:r>
        <w:r>
          <w:rPr>
            <w:rStyle w:val="10"/>
            <w:rFonts w:ascii="Book Antiqua" w:hAnsi="Book Antiqua"/>
            <w:sz w:val="24"/>
            <w:szCs w:val="24"/>
          </w:rPr>
          <w:instrText xml:space="preserve"> PAGE </w:instrText>
        </w:r>
        <w:r>
          <w:rPr>
            <w:rStyle w:val="10"/>
            <w:rFonts w:ascii="Book Antiqua" w:hAnsi="Book Antiqua"/>
            <w:sz w:val="24"/>
            <w:szCs w:val="24"/>
          </w:rPr>
          <w:fldChar w:fldCharType="separate"/>
        </w:r>
        <w:r>
          <w:rPr>
            <w:rStyle w:val="10"/>
            <w:rFonts w:ascii="Book Antiqua" w:hAnsi="Book Antiqua"/>
            <w:sz w:val="24"/>
            <w:szCs w:val="24"/>
          </w:rPr>
          <w:t>1</w:t>
        </w:r>
        <w:r>
          <w:rPr>
            <w:rStyle w:val="10"/>
            <w:rFonts w:ascii="Book Antiqua" w:hAnsi="Book Antiqua"/>
            <w:sz w:val="24"/>
            <w:szCs w:val="24"/>
          </w:rPr>
          <w:fldChar w:fldCharType="end"/>
        </w:r>
      </w:p>
    </w:sdtContent>
  </w:sdt>
  <w:p>
    <w:pPr>
      <w:pStyle w:val="4"/>
      <w:rPr>
        <w:rFonts w:ascii="Book Antiqua" w:hAnsi="Book Antiqu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0"/>
      </w:rPr>
      <w:id w:val="2060429787"/>
      <w:docPartObj>
        <w:docPartGallery w:val="AutoText"/>
      </w:docPartObj>
    </w:sdtPr>
    <w:sdtEndPr>
      <w:rPr>
        <w:rStyle w:val="10"/>
      </w:rPr>
    </w:sdtEndPr>
    <w:sdtContent>
      <w:p>
        <w:pPr>
          <w:pStyle w:val="4"/>
          <w:framePr w:wrap="around" w:vAnchor="text" w:hAnchor="margin" w:xAlign="center" w:y="1"/>
          <w:rPr>
            <w:rStyle w:val="10"/>
          </w:rPr>
        </w:pPr>
        <w:r>
          <w:rPr>
            <w:rStyle w:val="10"/>
          </w:rPr>
          <w:fldChar w:fldCharType="begin"/>
        </w:r>
        <w:r>
          <w:rPr>
            <w:rStyle w:val="10"/>
          </w:rPr>
          <w:instrText xml:space="preserve"> PAGE </w:instrText>
        </w:r>
        <w:r>
          <w:rPr>
            <w:rStyle w:val="10"/>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SystemFonts/>
  <w:bordersDoNotSurroundHeader w:val="1"/>
  <w:bordersDoNotSurroundFooter w:val="1"/>
  <w:trackRevisions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B5B"/>
    <w:rsid w:val="00030682"/>
    <w:rsid w:val="00070749"/>
    <w:rsid w:val="000A07A1"/>
    <w:rsid w:val="000A6D05"/>
    <w:rsid w:val="001363C3"/>
    <w:rsid w:val="00141077"/>
    <w:rsid w:val="001933CE"/>
    <w:rsid w:val="001B0311"/>
    <w:rsid w:val="001C2A03"/>
    <w:rsid w:val="00213CA5"/>
    <w:rsid w:val="00214496"/>
    <w:rsid w:val="00266D17"/>
    <w:rsid w:val="002958AF"/>
    <w:rsid w:val="002B1D17"/>
    <w:rsid w:val="002B65E0"/>
    <w:rsid w:val="002F37DD"/>
    <w:rsid w:val="002F5B61"/>
    <w:rsid w:val="003678A6"/>
    <w:rsid w:val="003A371F"/>
    <w:rsid w:val="003D09C5"/>
    <w:rsid w:val="003E30D3"/>
    <w:rsid w:val="004040AD"/>
    <w:rsid w:val="00406E78"/>
    <w:rsid w:val="00420DE6"/>
    <w:rsid w:val="00424635"/>
    <w:rsid w:val="004255ED"/>
    <w:rsid w:val="0042756C"/>
    <w:rsid w:val="0044191A"/>
    <w:rsid w:val="004620B3"/>
    <w:rsid w:val="004624EA"/>
    <w:rsid w:val="004A6F9C"/>
    <w:rsid w:val="004A79AC"/>
    <w:rsid w:val="004F3766"/>
    <w:rsid w:val="00565602"/>
    <w:rsid w:val="00590D38"/>
    <w:rsid w:val="005A0637"/>
    <w:rsid w:val="005C417E"/>
    <w:rsid w:val="006102F6"/>
    <w:rsid w:val="006316EB"/>
    <w:rsid w:val="0063730F"/>
    <w:rsid w:val="00653841"/>
    <w:rsid w:val="00681744"/>
    <w:rsid w:val="006A1A9D"/>
    <w:rsid w:val="006B0BD8"/>
    <w:rsid w:val="006E3BF1"/>
    <w:rsid w:val="00744117"/>
    <w:rsid w:val="007845A9"/>
    <w:rsid w:val="007C1650"/>
    <w:rsid w:val="007D3D32"/>
    <w:rsid w:val="008067E5"/>
    <w:rsid w:val="008222B8"/>
    <w:rsid w:val="0084221A"/>
    <w:rsid w:val="00843D68"/>
    <w:rsid w:val="00856B9D"/>
    <w:rsid w:val="0087252D"/>
    <w:rsid w:val="008A0E71"/>
    <w:rsid w:val="008A1F5C"/>
    <w:rsid w:val="008B1CEF"/>
    <w:rsid w:val="008F05FE"/>
    <w:rsid w:val="008F0FC0"/>
    <w:rsid w:val="00921967"/>
    <w:rsid w:val="0096522E"/>
    <w:rsid w:val="009876DF"/>
    <w:rsid w:val="009E39C3"/>
    <w:rsid w:val="009E4A55"/>
    <w:rsid w:val="009F3D77"/>
    <w:rsid w:val="00A000DF"/>
    <w:rsid w:val="00A21DD0"/>
    <w:rsid w:val="00A3108C"/>
    <w:rsid w:val="00A37F59"/>
    <w:rsid w:val="00A47234"/>
    <w:rsid w:val="00A73030"/>
    <w:rsid w:val="00A76A29"/>
    <w:rsid w:val="00A8645A"/>
    <w:rsid w:val="00AA74DD"/>
    <w:rsid w:val="00AE499B"/>
    <w:rsid w:val="00B32642"/>
    <w:rsid w:val="00B4729A"/>
    <w:rsid w:val="00B52AFD"/>
    <w:rsid w:val="00B646D1"/>
    <w:rsid w:val="00BC2591"/>
    <w:rsid w:val="00BC4EF4"/>
    <w:rsid w:val="00BF7CAA"/>
    <w:rsid w:val="00C27490"/>
    <w:rsid w:val="00C311D7"/>
    <w:rsid w:val="00C34AA7"/>
    <w:rsid w:val="00C6462F"/>
    <w:rsid w:val="00C71123"/>
    <w:rsid w:val="00C72B5B"/>
    <w:rsid w:val="00CD7B4C"/>
    <w:rsid w:val="00D000CE"/>
    <w:rsid w:val="00D0037A"/>
    <w:rsid w:val="00D36454"/>
    <w:rsid w:val="00D406D9"/>
    <w:rsid w:val="00D616BE"/>
    <w:rsid w:val="00D90257"/>
    <w:rsid w:val="00D93C6B"/>
    <w:rsid w:val="00DA3035"/>
    <w:rsid w:val="00DB1DE4"/>
    <w:rsid w:val="00DC2197"/>
    <w:rsid w:val="00DF3E1D"/>
    <w:rsid w:val="00E126FD"/>
    <w:rsid w:val="00E17DFE"/>
    <w:rsid w:val="00E20846"/>
    <w:rsid w:val="00E305CF"/>
    <w:rsid w:val="00E311F7"/>
    <w:rsid w:val="00E761DE"/>
    <w:rsid w:val="00EC49A5"/>
    <w:rsid w:val="00ED6690"/>
    <w:rsid w:val="00EF277F"/>
    <w:rsid w:val="00F14108"/>
    <w:rsid w:val="00F7114E"/>
    <w:rsid w:val="00FA5057"/>
    <w:rsid w:val="00FE457C"/>
    <w:rsid w:val="011476C6"/>
    <w:rsid w:val="0270449A"/>
    <w:rsid w:val="03791E96"/>
    <w:rsid w:val="05104B91"/>
    <w:rsid w:val="05DB525B"/>
    <w:rsid w:val="05F80982"/>
    <w:rsid w:val="06D50853"/>
    <w:rsid w:val="07F9787E"/>
    <w:rsid w:val="085660D6"/>
    <w:rsid w:val="08AE313A"/>
    <w:rsid w:val="09DF3FB8"/>
    <w:rsid w:val="0CED70B1"/>
    <w:rsid w:val="0DD540A4"/>
    <w:rsid w:val="0E027FE9"/>
    <w:rsid w:val="0E3D5012"/>
    <w:rsid w:val="0FAB673B"/>
    <w:rsid w:val="12812C4D"/>
    <w:rsid w:val="138E4D8B"/>
    <w:rsid w:val="13B92D06"/>
    <w:rsid w:val="14035412"/>
    <w:rsid w:val="1506490D"/>
    <w:rsid w:val="15C06900"/>
    <w:rsid w:val="16C65C82"/>
    <w:rsid w:val="16E05657"/>
    <w:rsid w:val="1757775A"/>
    <w:rsid w:val="1A805E69"/>
    <w:rsid w:val="1AF47A67"/>
    <w:rsid w:val="1B520661"/>
    <w:rsid w:val="1D932915"/>
    <w:rsid w:val="1E0538A8"/>
    <w:rsid w:val="208B385D"/>
    <w:rsid w:val="20AE4C98"/>
    <w:rsid w:val="20CF0BF0"/>
    <w:rsid w:val="2295116C"/>
    <w:rsid w:val="22A166D7"/>
    <w:rsid w:val="23AD63CE"/>
    <w:rsid w:val="23FC091D"/>
    <w:rsid w:val="24175E30"/>
    <w:rsid w:val="24913B33"/>
    <w:rsid w:val="25EF3C78"/>
    <w:rsid w:val="25F11A43"/>
    <w:rsid w:val="26A032C7"/>
    <w:rsid w:val="27E41BE8"/>
    <w:rsid w:val="28BF2958"/>
    <w:rsid w:val="29583D54"/>
    <w:rsid w:val="29881B7D"/>
    <w:rsid w:val="2A041EB1"/>
    <w:rsid w:val="2A122BA5"/>
    <w:rsid w:val="2AC503F4"/>
    <w:rsid w:val="2BB63859"/>
    <w:rsid w:val="2C000666"/>
    <w:rsid w:val="2CE6385C"/>
    <w:rsid w:val="2D7D650D"/>
    <w:rsid w:val="2DB5413A"/>
    <w:rsid w:val="2DE71A48"/>
    <w:rsid w:val="2F010C53"/>
    <w:rsid w:val="30922452"/>
    <w:rsid w:val="314C1E07"/>
    <w:rsid w:val="31D822AA"/>
    <w:rsid w:val="32BF6E7E"/>
    <w:rsid w:val="335130CA"/>
    <w:rsid w:val="335A7DEC"/>
    <w:rsid w:val="33A6619A"/>
    <w:rsid w:val="34AE57B2"/>
    <w:rsid w:val="35810C79"/>
    <w:rsid w:val="36741A33"/>
    <w:rsid w:val="368868CF"/>
    <w:rsid w:val="37321E45"/>
    <w:rsid w:val="379410CC"/>
    <w:rsid w:val="387F5A99"/>
    <w:rsid w:val="38F911D4"/>
    <w:rsid w:val="39C3719A"/>
    <w:rsid w:val="39D8425E"/>
    <w:rsid w:val="3B517BBC"/>
    <w:rsid w:val="3B9D49C3"/>
    <w:rsid w:val="3C6656D9"/>
    <w:rsid w:val="3DAC1452"/>
    <w:rsid w:val="3DF44A53"/>
    <w:rsid w:val="3DFF084B"/>
    <w:rsid w:val="3E140773"/>
    <w:rsid w:val="3E671778"/>
    <w:rsid w:val="3ECD132B"/>
    <w:rsid w:val="3EF81E93"/>
    <w:rsid w:val="3F0B4492"/>
    <w:rsid w:val="4113357D"/>
    <w:rsid w:val="41CD6EDD"/>
    <w:rsid w:val="42FE6418"/>
    <w:rsid w:val="43683B9D"/>
    <w:rsid w:val="44B919E9"/>
    <w:rsid w:val="455A1EAC"/>
    <w:rsid w:val="45BA1CAA"/>
    <w:rsid w:val="46624D36"/>
    <w:rsid w:val="469A4A69"/>
    <w:rsid w:val="472F26A9"/>
    <w:rsid w:val="476602CF"/>
    <w:rsid w:val="47F54EEF"/>
    <w:rsid w:val="4A4D369E"/>
    <w:rsid w:val="4B611E61"/>
    <w:rsid w:val="4BBC4071"/>
    <w:rsid w:val="4BE12A98"/>
    <w:rsid w:val="4C2F5966"/>
    <w:rsid w:val="4C8572AA"/>
    <w:rsid w:val="4DB41757"/>
    <w:rsid w:val="4DD35410"/>
    <w:rsid w:val="4EA16971"/>
    <w:rsid w:val="504E5905"/>
    <w:rsid w:val="50945C87"/>
    <w:rsid w:val="50AC3140"/>
    <w:rsid w:val="50EB4AD5"/>
    <w:rsid w:val="53952644"/>
    <w:rsid w:val="54107BD7"/>
    <w:rsid w:val="55217AE7"/>
    <w:rsid w:val="55BD1C4C"/>
    <w:rsid w:val="56490C14"/>
    <w:rsid w:val="570625A6"/>
    <w:rsid w:val="5890359E"/>
    <w:rsid w:val="58B1402A"/>
    <w:rsid w:val="5B522027"/>
    <w:rsid w:val="5BA73352"/>
    <w:rsid w:val="5C8B750B"/>
    <w:rsid w:val="5D0A2815"/>
    <w:rsid w:val="5D411C3C"/>
    <w:rsid w:val="5D9610A9"/>
    <w:rsid w:val="5E2E062B"/>
    <w:rsid w:val="5E384F0D"/>
    <w:rsid w:val="5EB737CD"/>
    <w:rsid w:val="5EE04615"/>
    <w:rsid w:val="5F1330FD"/>
    <w:rsid w:val="5FFC7D80"/>
    <w:rsid w:val="601351FB"/>
    <w:rsid w:val="61EB3C08"/>
    <w:rsid w:val="62156F2B"/>
    <w:rsid w:val="64917F38"/>
    <w:rsid w:val="659238CB"/>
    <w:rsid w:val="66305B33"/>
    <w:rsid w:val="672B046A"/>
    <w:rsid w:val="67F73350"/>
    <w:rsid w:val="6B3C1D72"/>
    <w:rsid w:val="6B8A518B"/>
    <w:rsid w:val="6BD6029F"/>
    <w:rsid w:val="6BEC0B66"/>
    <w:rsid w:val="6E5D59D2"/>
    <w:rsid w:val="6F9B798E"/>
    <w:rsid w:val="6FCF0737"/>
    <w:rsid w:val="700C3100"/>
    <w:rsid w:val="70374B84"/>
    <w:rsid w:val="70BB4BEA"/>
    <w:rsid w:val="71875252"/>
    <w:rsid w:val="718C6568"/>
    <w:rsid w:val="72115AEB"/>
    <w:rsid w:val="726715D4"/>
    <w:rsid w:val="72A82E50"/>
    <w:rsid w:val="733D59B0"/>
    <w:rsid w:val="73A132B2"/>
    <w:rsid w:val="741E1A35"/>
    <w:rsid w:val="745660BD"/>
    <w:rsid w:val="76072BA6"/>
    <w:rsid w:val="76AE684D"/>
    <w:rsid w:val="7D3C6B3B"/>
    <w:rsid w:val="7DA23054"/>
    <w:rsid w:val="7DC32998"/>
    <w:rsid w:val="7E9155F8"/>
    <w:rsid w:val="7EF060CB"/>
    <w:rsid w:val="7F0C5A28"/>
    <w:rsid w:val="7FC4222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nhideWhenUsed="0" w:uiPriority="0" w:semiHidden="0" w:name="List 5"/>
    <w:lsdException w:uiPriority="0" w:name="List Bullet 2"/>
    <w:lsdException w:uiPriority="0" w:name="List Bullet 3"/>
    <w:lsdException w:unhideWhenUsed="0" w:uiPriority="0" w:semiHidden="0" w:name="List Bullet 4"/>
    <w:lsdException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8"/>
    <w:unhideWhenUsed/>
    <w:qFormat/>
    <w:uiPriority w:val="99"/>
    <w:pPr>
      <w:jc w:val="left"/>
    </w:pPr>
    <w:rPr>
      <w:szCs w:val="22"/>
    </w:rPr>
  </w:style>
  <w:style w:type="paragraph" w:styleId="3">
    <w:name w:val="Balloon Text"/>
    <w:basedOn w:val="1"/>
    <w:link w:val="19"/>
    <w:qFormat/>
    <w:uiPriority w:val="0"/>
    <w:rPr>
      <w:sz w:val="18"/>
      <w:szCs w:val="18"/>
    </w:r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rPr>
  </w:style>
  <w:style w:type="paragraph" w:styleId="7">
    <w:name w:val="annotation subject"/>
    <w:basedOn w:val="2"/>
    <w:next w:val="2"/>
    <w:link w:val="21"/>
    <w:qFormat/>
    <w:uiPriority w:val="0"/>
    <w:rPr>
      <w:b/>
      <w:bCs/>
      <w:szCs w:val="24"/>
    </w:rPr>
  </w:style>
  <w:style w:type="character" w:styleId="10">
    <w:name w:val="page number"/>
    <w:basedOn w:val="9"/>
    <w:semiHidden/>
    <w:unhideWhenUsed/>
    <w:uiPriority w:val="0"/>
  </w:style>
  <w:style w:type="character" w:styleId="11">
    <w:name w:val="Hyperlink"/>
    <w:basedOn w:val="9"/>
    <w:qFormat/>
    <w:uiPriority w:val="0"/>
    <w:rPr>
      <w:color w:val="0000FF"/>
      <w:u w:val="single"/>
    </w:rPr>
  </w:style>
  <w:style w:type="character" w:styleId="12">
    <w:name w:val="annotation reference"/>
    <w:basedOn w:val="9"/>
    <w:unhideWhenUsed/>
    <w:qFormat/>
    <w:uiPriority w:val="99"/>
    <w:rPr>
      <w:sz w:val="21"/>
      <w:szCs w:val="21"/>
    </w:rPr>
  </w:style>
  <w:style w:type="character" w:customStyle="1" w:styleId="13">
    <w:name w:val="highlight2"/>
    <w:basedOn w:val="9"/>
    <w:qFormat/>
    <w:uiPriority w:val="0"/>
  </w:style>
  <w:style w:type="character" w:customStyle="1" w:styleId="14">
    <w:name w:val="Header Char"/>
    <w:basedOn w:val="9"/>
    <w:link w:val="5"/>
    <w:qFormat/>
    <w:uiPriority w:val="0"/>
    <w:rPr>
      <w:rFonts w:asciiTheme="minorHAnsi" w:hAnsiTheme="minorHAnsi" w:eastAsiaTheme="minorEastAsia" w:cstheme="minorBidi"/>
      <w:kern w:val="2"/>
      <w:sz w:val="18"/>
      <w:szCs w:val="18"/>
    </w:rPr>
  </w:style>
  <w:style w:type="character" w:customStyle="1" w:styleId="15">
    <w:name w:val="Footer Char"/>
    <w:basedOn w:val="9"/>
    <w:link w:val="4"/>
    <w:qFormat/>
    <w:uiPriority w:val="0"/>
    <w:rPr>
      <w:rFonts w:asciiTheme="minorHAnsi" w:hAnsiTheme="minorHAnsi" w:eastAsiaTheme="minorEastAsia" w:cstheme="minorBidi"/>
      <w:kern w:val="2"/>
      <w:sz w:val="18"/>
      <w:szCs w:val="18"/>
    </w:rPr>
  </w:style>
  <w:style w:type="paragraph" w:customStyle="1" w:styleId="16">
    <w:name w:val="正文1"/>
    <w:qFormat/>
    <w:uiPriority w:val="99"/>
    <w:pPr>
      <w:spacing w:line="276" w:lineRule="auto"/>
    </w:pPr>
    <w:rPr>
      <w:rFonts w:ascii="Arial" w:hAnsi="Arial" w:eastAsia="宋体" w:cs="Arial"/>
      <w:color w:val="000000"/>
      <w:sz w:val="22"/>
      <w:lang w:val="pl-PL" w:eastAsia="pl-PL" w:bidi="ar-SA"/>
    </w:rPr>
  </w:style>
  <w:style w:type="character" w:customStyle="1" w:styleId="17">
    <w:name w:val="批注文字 字符"/>
    <w:basedOn w:val="9"/>
    <w:qFormat/>
    <w:uiPriority w:val="99"/>
    <w:rPr>
      <w:rFonts w:asciiTheme="minorHAnsi" w:hAnsiTheme="minorHAnsi" w:eastAsiaTheme="minorEastAsia" w:cstheme="minorBidi"/>
      <w:kern w:val="2"/>
      <w:sz w:val="21"/>
      <w:szCs w:val="24"/>
    </w:rPr>
  </w:style>
  <w:style w:type="character" w:customStyle="1" w:styleId="18">
    <w:name w:val="Comment Text Char"/>
    <w:basedOn w:val="9"/>
    <w:link w:val="2"/>
    <w:qFormat/>
    <w:uiPriority w:val="99"/>
    <w:rPr>
      <w:rFonts w:asciiTheme="minorHAnsi" w:hAnsiTheme="minorHAnsi" w:eastAsiaTheme="minorEastAsia" w:cstheme="minorBidi"/>
      <w:kern w:val="2"/>
      <w:sz w:val="21"/>
      <w:szCs w:val="22"/>
    </w:rPr>
  </w:style>
  <w:style w:type="character" w:customStyle="1" w:styleId="19">
    <w:name w:val="Balloon Text Char"/>
    <w:basedOn w:val="9"/>
    <w:link w:val="3"/>
    <w:qFormat/>
    <w:uiPriority w:val="0"/>
    <w:rPr>
      <w:rFonts w:asciiTheme="minorHAnsi" w:hAnsiTheme="minorHAnsi" w:eastAsiaTheme="minorEastAsia" w:cstheme="minorBidi"/>
      <w:kern w:val="2"/>
      <w:sz w:val="18"/>
      <w:szCs w:val="18"/>
    </w:rPr>
  </w:style>
  <w:style w:type="paragraph" w:styleId="20">
    <w:name w:val="List Paragraph"/>
    <w:basedOn w:val="1"/>
    <w:qFormat/>
    <w:uiPriority w:val="34"/>
    <w:pPr>
      <w:widowControl/>
      <w:spacing w:after="200" w:line="276" w:lineRule="auto"/>
      <w:ind w:left="720"/>
      <w:contextualSpacing/>
      <w:jc w:val="left"/>
    </w:pPr>
    <w:rPr>
      <w:rFonts w:eastAsia="宋体" w:asciiTheme="majorHAnsi" w:hAnsiTheme="majorHAnsi"/>
      <w:kern w:val="0"/>
      <w:sz w:val="22"/>
      <w:szCs w:val="22"/>
    </w:rPr>
  </w:style>
  <w:style w:type="character" w:customStyle="1" w:styleId="21">
    <w:name w:val="Comment Subject Char"/>
    <w:basedOn w:val="18"/>
    <w:link w:val="7"/>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08DB27-9E91-ED45-835B-161BFC6B82DD}">
  <ds:schemaRefs/>
</ds:datastoreItem>
</file>

<file path=docProps/app.xml><?xml version="1.0" encoding="utf-8"?>
<Properties xmlns="http://schemas.openxmlformats.org/officeDocument/2006/extended-properties" xmlns:vt="http://schemas.openxmlformats.org/officeDocument/2006/docPropsVTypes">
  <Template>Normal.dotm</Template>
  <Pages>34</Pages>
  <Words>6616</Words>
  <Characters>37717</Characters>
  <Lines>314</Lines>
  <Paragraphs>88</Paragraphs>
  <TotalTime>12</TotalTime>
  <ScaleCrop>false</ScaleCrop>
  <LinksUpToDate>false</LinksUpToDate>
  <CharactersWithSpaces>44245</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2019-07-20T01:32:00Z</dcterms:created>
  <dcterms:modified xsi:type="dcterms:W3CDTF">2019-07-29T14:54:24Z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