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43009" w14:textId="791DAAC3" w:rsidR="00395EB3" w:rsidRPr="007D70F4" w:rsidRDefault="0077492B" w:rsidP="008E78B7">
      <w:pPr>
        <w:rPr>
          <w:szCs w:val="24"/>
        </w:rPr>
      </w:pPr>
      <w:bookmarkStart w:id="0" w:name="_Hlk19199183"/>
      <w:bookmarkStart w:id="1" w:name="OLE_LINK17"/>
      <w:bookmarkStart w:id="2" w:name="OLE_LINK18"/>
      <w:bookmarkStart w:id="3" w:name="OLE_LINK22"/>
      <w:bookmarkStart w:id="4" w:name="OLE_LINK371"/>
      <w:bookmarkStart w:id="5" w:name="OLE_LINK423"/>
      <w:bookmarkStart w:id="6" w:name="OLE_LINK77"/>
      <w:bookmarkStart w:id="7" w:name="OLE_LINK435"/>
      <w:bookmarkStart w:id="8" w:name="OLE_LINK112"/>
      <w:bookmarkStart w:id="9" w:name="OLE_LINK166"/>
      <w:bookmarkEnd w:id="0"/>
      <w:r w:rsidRPr="007D70F4">
        <w:rPr>
          <w:b/>
          <w:szCs w:val="24"/>
        </w:rPr>
        <w:t xml:space="preserve">Name of Journal: </w:t>
      </w:r>
      <w:r w:rsidRPr="007D70F4">
        <w:rPr>
          <w:i/>
          <w:szCs w:val="24"/>
        </w:rPr>
        <w:t>World Journal of Gastroenterology</w:t>
      </w:r>
      <w:bookmarkStart w:id="10" w:name="_Hlk5632321"/>
    </w:p>
    <w:p w14:paraId="1D7D64B1" w14:textId="31C44C69" w:rsidR="0077492B" w:rsidRPr="007D70F4" w:rsidRDefault="0077492B" w:rsidP="008E78B7">
      <w:pPr>
        <w:rPr>
          <w:rFonts w:cs="Arial"/>
          <w:color w:val="000000"/>
          <w:szCs w:val="24"/>
          <w:lang w:val="en" w:eastAsia="zh-CN"/>
        </w:rPr>
      </w:pPr>
      <w:r w:rsidRPr="007D70F4">
        <w:rPr>
          <w:b/>
          <w:szCs w:val="24"/>
        </w:rPr>
        <w:t>Manuscript NO</w:t>
      </w:r>
      <w:r w:rsidRPr="007D70F4">
        <w:rPr>
          <w:rFonts w:cs="Arial"/>
          <w:b/>
          <w:color w:val="000000"/>
          <w:szCs w:val="24"/>
          <w:lang w:val="en"/>
        </w:rPr>
        <w:t>:</w:t>
      </w:r>
      <w:r w:rsidRPr="007D70F4">
        <w:rPr>
          <w:rFonts w:cs="Arial"/>
          <w:color w:val="000000"/>
          <w:szCs w:val="24"/>
          <w:lang w:val="en"/>
        </w:rPr>
        <w:t xml:space="preserve"> 48308</w:t>
      </w:r>
    </w:p>
    <w:bookmarkEnd w:id="10"/>
    <w:p w14:paraId="129B46EB" w14:textId="62EF8F41" w:rsidR="0077492B" w:rsidRPr="007D70F4" w:rsidRDefault="0077492B" w:rsidP="008E78B7">
      <w:pPr>
        <w:rPr>
          <w:szCs w:val="24"/>
          <w:lang w:eastAsia="zh-CN"/>
        </w:rPr>
      </w:pPr>
      <w:r w:rsidRPr="007D70F4">
        <w:rPr>
          <w:b/>
          <w:szCs w:val="24"/>
          <w:shd w:val="clear" w:color="auto" w:fill="FFFFFF"/>
        </w:rPr>
        <w:t>Manuscript Type</w:t>
      </w:r>
      <w:r w:rsidRPr="007D70F4">
        <w:rPr>
          <w:b/>
          <w:szCs w:val="24"/>
        </w:rPr>
        <w:t>:</w:t>
      </w:r>
      <w:bookmarkEnd w:id="1"/>
      <w:bookmarkEnd w:id="2"/>
      <w:bookmarkEnd w:id="3"/>
      <w:bookmarkEnd w:id="4"/>
      <w:bookmarkEnd w:id="5"/>
      <w:bookmarkEnd w:id="6"/>
      <w:bookmarkEnd w:id="7"/>
      <w:bookmarkEnd w:id="8"/>
      <w:bookmarkEnd w:id="9"/>
      <w:r w:rsidRPr="007D70F4">
        <w:rPr>
          <w:szCs w:val="24"/>
        </w:rPr>
        <w:t xml:space="preserve"> </w:t>
      </w:r>
      <w:r w:rsidR="008E78B7" w:rsidRPr="007D70F4">
        <w:rPr>
          <w:szCs w:val="24"/>
        </w:rPr>
        <w:t>ORIGINAL ARTICLE</w:t>
      </w:r>
    </w:p>
    <w:p w14:paraId="1E56E0E8" w14:textId="4F4BAF00" w:rsidR="00231AC4" w:rsidRPr="007D70F4" w:rsidRDefault="00231AC4" w:rsidP="008E78B7">
      <w:pPr>
        <w:rPr>
          <w:szCs w:val="24"/>
          <w:lang w:val="en-GB"/>
        </w:rPr>
      </w:pPr>
    </w:p>
    <w:p w14:paraId="25857F0C" w14:textId="053B014B" w:rsidR="008E78B7" w:rsidRPr="007D70F4" w:rsidRDefault="00681C0A" w:rsidP="008E78B7">
      <w:pPr>
        <w:rPr>
          <w:b/>
          <w:bCs/>
          <w:i/>
          <w:iCs/>
          <w:szCs w:val="24"/>
          <w:lang w:val="en-GB"/>
        </w:rPr>
      </w:pPr>
      <w:r w:rsidRPr="007D70F4">
        <w:rPr>
          <w:b/>
          <w:bCs/>
          <w:i/>
          <w:iCs/>
          <w:szCs w:val="24"/>
        </w:rPr>
        <w:t>Basic Study</w:t>
      </w:r>
    </w:p>
    <w:p w14:paraId="7BF0B890" w14:textId="2D0C90E7" w:rsidR="00F82D2C" w:rsidRPr="007D70F4" w:rsidRDefault="00231AC4" w:rsidP="008E78B7">
      <w:pPr>
        <w:rPr>
          <w:b/>
          <w:szCs w:val="24"/>
          <w:lang w:val="en-GB"/>
        </w:rPr>
      </w:pPr>
      <w:bookmarkStart w:id="11" w:name="OLE_LINK1080"/>
      <w:r w:rsidRPr="007D70F4">
        <w:rPr>
          <w:b/>
          <w:szCs w:val="24"/>
          <w:lang w:val="en-GB"/>
        </w:rPr>
        <w:t xml:space="preserve">STW 5 is effective against </w:t>
      </w:r>
      <w:r w:rsidR="00681C0A" w:rsidRPr="007D70F4">
        <w:rPr>
          <w:rStyle w:val="Absatz-Standardschriftart"/>
          <w:b/>
          <w:bCs/>
          <w:szCs w:val="24"/>
        </w:rPr>
        <w:t>nonsteroidal anti-inflammatory drugs</w:t>
      </w:r>
      <w:r w:rsidRPr="007D70F4">
        <w:rPr>
          <w:b/>
          <w:szCs w:val="24"/>
          <w:lang w:val="en-GB"/>
        </w:rPr>
        <w:t xml:space="preserve"> induced gastro-duodenal lesions in rats</w:t>
      </w:r>
    </w:p>
    <w:bookmarkEnd w:id="11"/>
    <w:p w14:paraId="00FEC2E0" w14:textId="77777777" w:rsidR="00231AC4" w:rsidRPr="007D70F4" w:rsidRDefault="00231AC4" w:rsidP="008E78B7">
      <w:pPr>
        <w:rPr>
          <w:szCs w:val="24"/>
          <w:lang w:val="en-GB"/>
        </w:rPr>
      </w:pPr>
    </w:p>
    <w:p w14:paraId="66FD9F06" w14:textId="4382AEDE" w:rsidR="00231AC4" w:rsidRPr="007D70F4" w:rsidRDefault="00681C0A" w:rsidP="008E78B7">
      <w:pPr>
        <w:rPr>
          <w:szCs w:val="24"/>
          <w:lang w:val="en-GB"/>
        </w:rPr>
      </w:pPr>
      <w:r w:rsidRPr="007D70F4">
        <w:rPr>
          <w:rStyle w:val="Absatz-Standardschriftart"/>
          <w:rFonts w:cs="Calibri"/>
          <w:szCs w:val="24"/>
        </w:rPr>
        <w:t>Khayyal</w:t>
      </w:r>
      <w:r w:rsidRPr="007D70F4">
        <w:rPr>
          <w:szCs w:val="24"/>
          <w:lang w:eastAsia="zh-CN"/>
        </w:rPr>
        <w:t xml:space="preserve"> MT </w:t>
      </w:r>
      <w:r w:rsidRPr="007D70F4">
        <w:rPr>
          <w:i/>
          <w:iCs/>
          <w:szCs w:val="24"/>
          <w:lang w:eastAsia="zh-CN"/>
        </w:rPr>
        <w:t>et al</w:t>
      </w:r>
      <w:r w:rsidRPr="007D70F4">
        <w:rPr>
          <w:szCs w:val="24"/>
          <w:lang w:eastAsia="zh-CN"/>
        </w:rPr>
        <w:t xml:space="preserve">. </w:t>
      </w:r>
      <w:bookmarkStart w:id="12" w:name="OLE_LINK1081"/>
      <w:bookmarkStart w:id="13" w:name="OLE_LINK1082"/>
      <w:r w:rsidR="00231AC4" w:rsidRPr="007D70F4">
        <w:rPr>
          <w:szCs w:val="24"/>
          <w:lang w:eastAsia="zh-CN"/>
        </w:rPr>
        <w:t>STW 5 protects against diclofenac-induced lesions</w:t>
      </w:r>
      <w:bookmarkEnd w:id="12"/>
      <w:bookmarkEnd w:id="13"/>
    </w:p>
    <w:p w14:paraId="49598E60" w14:textId="77777777" w:rsidR="00231AC4" w:rsidRPr="007D70F4" w:rsidRDefault="00231AC4" w:rsidP="008E78B7">
      <w:pPr>
        <w:rPr>
          <w:szCs w:val="24"/>
          <w:lang w:val="en-GB"/>
        </w:rPr>
      </w:pPr>
    </w:p>
    <w:p w14:paraId="7DBFB839" w14:textId="202A3D87" w:rsidR="00231AC4" w:rsidRPr="007D70F4" w:rsidRDefault="00231AC4" w:rsidP="008E78B7">
      <w:pPr>
        <w:rPr>
          <w:szCs w:val="24"/>
          <w:vertAlign w:val="superscript"/>
        </w:rPr>
      </w:pPr>
      <w:r w:rsidRPr="007D70F4">
        <w:rPr>
          <w:rStyle w:val="Absatz-Standardschriftart"/>
          <w:rFonts w:cs="Calibri"/>
          <w:szCs w:val="24"/>
        </w:rPr>
        <w:t xml:space="preserve">Mohamed T Khayyal, Walaa Wadie, Enas A Abd El-Haleim, </w:t>
      </w:r>
      <w:r w:rsidRPr="007D70F4">
        <w:rPr>
          <w:rStyle w:val="Absatz-Standardschriftart"/>
          <w:szCs w:val="24"/>
        </w:rPr>
        <w:t xml:space="preserve">Kawkab A Ahmed, </w:t>
      </w:r>
      <w:r w:rsidRPr="007D70F4">
        <w:rPr>
          <w:rStyle w:val="Absatz-Standardschriftart"/>
          <w:rFonts w:cs="Calibri"/>
          <w:szCs w:val="24"/>
        </w:rPr>
        <w:t>Olaf Kelber, Ramy M Ammar, Heba Abdel-Aziz</w:t>
      </w:r>
    </w:p>
    <w:p w14:paraId="721200DE" w14:textId="77777777" w:rsidR="00231AC4" w:rsidRPr="007D70F4" w:rsidRDefault="00231AC4" w:rsidP="008E78B7">
      <w:pPr>
        <w:rPr>
          <w:szCs w:val="24"/>
          <w:lang w:val="en-GB"/>
        </w:rPr>
      </w:pPr>
    </w:p>
    <w:p w14:paraId="6D648C3A" w14:textId="1883D8CA" w:rsidR="00231AC4" w:rsidRPr="007D70F4" w:rsidRDefault="00231AC4" w:rsidP="008E78B7">
      <w:pPr>
        <w:rPr>
          <w:szCs w:val="24"/>
          <w:lang w:val="en-GB"/>
        </w:rPr>
      </w:pPr>
      <w:r w:rsidRPr="007D70F4">
        <w:rPr>
          <w:rStyle w:val="Absatz-Standardschriftart"/>
          <w:rFonts w:cs="Calibri"/>
          <w:b/>
          <w:szCs w:val="24"/>
        </w:rPr>
        <w:t>Mohamed T Khayyal, Walaa Wadie, Enas A Abd El-Haleim,</w:t>
      </w:r>
      <w:r w:rsidRPr="007D70F4">
        <w:rPr>
          <w:rStyle w:val="Absatz-Standardschriftart"/>
          <w:rFonts w:cs="Calibri"/>
          <w:szCs w:val="24"/>
        </w:rPr>
        <w:t xml:space="preserve"> Department of Pharmacology, </w:t>
      </w:r>
      <w:r w:rsidRPr="007D70F4">
        <w:rPr>
          <w:szCs w:val="24"/>
          <w:lang w:val="en-GB"/>
        </w:rPr>
        <w:t xml:space="preserve">Faculty of Pharmacy, Cairo University, </w:t>
      </w:r>
      <w:r w:rsidR="00681C0A" w:rsidRPr="007D70F4">
        <w:rPr>
          <w:szCs w:val="24"/>
          <w:lang w:val="en-GB"/>
        </w:rPr>
        <w:t xml:space="preserve">Cairo </w:t>
      </w:r>
      <w:r w:rsidRPr="007D70F4">
        <w:rPr>
          <w:szCs w:val="24"/>
          <w:lang w:val="en-GB"/>
        </w:rPr>
        <w:t>11562, Egypt</w:t>
      </w:r>
    </w:p>
    <w:p w14:paraId="24017779" w14:textId="77777777" w:rsidR="00231AC4" w:rsidRPr="007D70F4" w:rsidRDefault="00231AC4" w:rsidP="008E78B7">
      <w:pPr>
        <w:rPr>
          <w:rStyle w:val="Absatz-Standardschriftart"/>
          <w:szCs w:val="24"/>
        </w:rPr>
      </w:pPr>
    </w:p>
    <w:p w14:paraId="6BFB3C19" w14:textId="37F92940" w:rsidR="00615D4B" w:rsidRPr="007D70F4" w:rsidRDefault="00231AC4" w:rsidP="008E78B7">
      <w:pPr>
        <w:rPr>
          <w:szCs w:val="24"/>
        </w:rPr>
      </w:pPr>
      <w:r w:rsidRPr="007D70F4">
        <w:rPr>
          <w:rStyle w:val="Absatz-Standardschriftart"/>
          <w:b/>
          <w:szCs w:val="24"/>
        </w:rPr>
        <w:t>Kawkab A Ahmed,</w:t>
      </w:r>
      <w:r w:rsidR="00615D4B" w:rsidRPr="007D70F4">
        <w:rPr>
          <w:rStyle w:val="Absatz-Standardschriftart"/>
          <w:b/>
          <w:szCs w:val="24"/>
        </w:rPr>
        <w:t xml:space="preserve"> </w:t>
      </w:r>
      <w:r w:rsidR="00615D4B" w:rsidRPr="007D70F4">
        <w:rPr>
          <w:szCs w:val="24"/>
        </w:rPr>
        <w:t xml:space="preserve">Department of Pathology, Faculty of Veterinary Medicine, Cairo University, </w:t>
      </w:r>
      <w:r w:rsidR="00681C0A" w:rsidRPr="007D70F4">
        <w:rPr>
          <w:szCs w:val="24"/>
          <w:lang w:val="en-GB"/>
        </w:rPr>
        <w:t>Cairo</w:t>
      </w:r>
      <w:r w:rsidR="00681C0A" w:rsidRPr="007D70F4">
        <w:rPr>
          <w:szCs w:val="24"/>
        </w:rPr>
        <w:t xml:space="preserve"> </w:t>
      </w:r>
      <w:r w:rsidR="00615D4B" w:rsidRPr="007D70F4">
        <w:rPr>
          <w:szCs w:val="24"/>
        </w:rPr>
        <w:t>12163, Egypt</w:t>
      </w:r>
    </w:p>
    <w:p w14:paraId="33FEC0E1" w14:textId="7A5D04C1" w:rsidR="00231AC4" w:rsidRPr="007D70F4" w:rsidRDefault="00231AC4" w:rsidP="008E78B7">
      <w:pPr>
        <w:rPr>
          <w:szCs w:val="24"/>
          <w:lang w:val="en-GB"/>
        </w:rPr>
      </w:pPr>
    </w:p>
    <w:p w14:paraId="16A8EB3F" w14:textId="5F65A43F" w:rsidR="00615D4B" w:rsidRPr="007D70F4" w:rsidRDefault="00615D4B" w:rsidP="008E78B7">
      <w:pPr>
        <w:rPr>
          <w:b/>
          <w:szCs w:val="24"/>
        </w:rPr>
      </w:pPr>
      <w:r w:rsidRPr="007D70F4">
        <w:rPr>
          <w:rStyle w:val="Absatz-Standardschriftart"/>
          <w:rFonts w:cs="Calibri"/>
          <w:b/>
          <w:szCs w:val="24"/>
        </w:rPr>
        <w:t xml:space="preserve">Ramy M Ammar, Olaf Kelber, Heba Abdel-Aziz, </w:t>
      </w:r>
      <w:r w:rsidRPr="007D70F4">
        <w:rPr>
          <w:szCs w:val="24"/>
        </w:rPr>
        <w:t>Steigerwald Arzneimittelwerk GmbH, Bayer Consumer Health</w:t>
      </w:r>
      <w:r w:rsidRPr="007D70F4">
        <w:rPr>
          <w:b/>
          <w:szCs w:val="24"/>
        </w:rPr>
        <w:t xml:space="preserve">, </w:t>
      </w:r>
      <w:r w:rsidR="00681C0A" w:rsidRPr="007D70F4">
        <w:rPr>
          <w:szCs w:val="24"/>
        </w:rPr>
        <w:t xml:space="preserve">Darmstadt </w:t>
      </w:r>
      <w:r w:rsidRPr="007D70F4">
        <w:rPr>
          <w:szCs w:val="24"/>
        </w:rPr>
        <w:t>64295, Germany</w:t>
      </w:r>
    </w:p>
    <w:p w14:paraId="5D8C4843" w14:textId="2A61E545" w:rsidR="00615D4B" w:rsidRPr="007D70F4" w:rsidRDefault="00615D4B" w:rsidP="008E78B7">
      <w:pPr>
        <w:rPr>
          <w:szCs w:val="24"/>
          <w:lang w:val="en-GB"/>
        </w:rPr>
      </w:pPr>
    </w:p>
    <w:p w14:paraId="1358209F" w14:textId="38E170A7" w:rsidR="00F1284D" w:rsidRPr="007D70F4" w:rsidRDefault="00615D4B" w:rsidP="008E78B7">
      <w:pPr>
        <w:rPr>
          <w:szCs w:val="24"/>
        </w:rPr>
      </w:pPr>
      <w:r w:rsidRPr="007D70F4">
        <w:rPr>
          <w:rStyle w:val="Absatz-Standardschriftart"/>
          <w:rFonts w:cs="Calibri"/>
          <w:b/>
          <w:szCs w:val="24"/>
        </w:rPr>
        <w:t>Ramy M Ammar</w:t>
      </w:r>
      <w:r w:rsidR="00F1284D" w:rsidRPr="007D70F4">
        <w:rPr>
          <w:rStyle w:val="Absatz-Standardschriftart"/>
          <w:rFonts w:cs="Calibri"/>
          <w:b/>
          <w:szCs w:val="24"/>
        </w:rPr>
        <w:t xml:space="preserve">, </w:t>
      </w:r>
      <w:r w:rsidR="00F1284D" w:rsidRPr="007D70F4">
        <w:rPr>
          <w:szCs w:val="24"/>
        </w:rPr>
        <w:t xml:space="preserve">Department of Pharmacology, Faculty of Pharmacy, Kafrelsheikh University, </w:t>
      </w:r>
      <w:r w:rsidR="00681C0A" w:rsidRPr="007D70F4">
        <w:rPr>
          <w:szCs w:val="24"/>
          <w:lang w:val="en-GB"/>
        </w:rPr>
        <w:t>Cairo</w:t>
      </w:r>
      <w:r w:rsidR="00681C0A" w:rsidRPr="007D70F4">
        <w:rPr>
          <w:szCs w:val="24"/>
        </w:rPr>
        <w:t xml:space="preserve"> </w:t>
      </w:r>
      <w:r w:rsidR="00F1284D" w:rsidRPr="007D70F4">
        <w:rPr>
          <w:szCs w:val="24"/>
        </w:rPr>
        <w:t>33511, Egypt</w:t>
      </w:r>
    </w:p>
    <w:p w14:paraId="3BAB86EB" w14:textId="3E63AD74" w:rsidR="00681C0A" w:rsidRPr="007D70F4" w:rsidRDefault="00681C0A" w:rsidP="008E78B7">
      <w:pPr>
        <w:rPr>
          <w:szCs w:val="24"/>
        </w:rPr>
      </w:pPr>
    </w:p>
    <w:p w14:paraId="44355B65" w14:textId="001CC06D" w:rsidR="00F82D2C" w:rsidRPr="007D70F4" w:rsidRDefault="00681C0A" w:rsidP="008E78B7">
      <w:pPr>
        <w:rPr>
          <w:szCs w:val="24"/>
        </w:rPr>
      </w:pPr>
      <w:r w:rsidRPr="007D70F4">
        <w:rPr>
          <w:b/>
          <w:bCs/>
          <w:szCs w:val="24"/>
          <w:lang w:val="hu-HU"/>
        </w:rPr>
        <w:t>ORCID number</w:t>
      </w:r>
      <w:r w:rsidRPr="007D70F4">
        <w:rPr>
          <w:b/>
          <w:szCs w:val="24"/>
          <w:lang w:val="en-GB"/>
        </w:rPr>
        <w:t>:</w:t>
      </w:r>
      <w:r w:rsidRPr="007D70F4">
        <w:rPr>
          <w:rFonts w:eastAsiaTheme="minorEastAsia" w:hint="eastAsia"/>
          <w:szCs w:val="24"/>
          <w:lang w:eastAsia="zh-CN"/>
        </w:rPr>
        <w:t xml:space="preserve"> </w:t>
      </w:r>
      <w:r w:rsidR="00F82D2C" w:rsidRPr="007D70F4">
        <w:rPr>
          <w:szCs w:val="24"/>
        </w:rPr>
        <w:t>Mohamed T Khayyal</w:t>
      </w:r>
      <w:r w:rsidR="00F1284D" w:rsidRPr="007D70F4">
        <w:rPr>
          <w:szCs w:val="24"/>
        </w:rPr>
        <w:t xml:space="preserve"> (</w:t>
      </w:r>
      <w:hyperlink r:id="rId7" w:tgtFrame="_blank" w:history="1">
        <w:r w:rsidR="00F82D2C" w:rsidRPr="007D70F4">
          <w:rPr>
            <w:szCs w:val="24"/>
          </w:rPr>
          <w:t>0000-0002-7805-6704</w:t>
        </w:r>
      </w:hyperlink>
      <w:r w:rsidR="00F1284D" w:rsidRPr="007D70F4">
        <w:rPr>
          <w:szCs w:val="24"/>
        </w:rPr>
        <w:t xml:space="preserve">); </w:t>
      </w:r>
      <w:r w:rsidR="00F82D2C" w:rsidRPr="007D70F4">
        <w:rPr>
          <w:szCs w:val="24"/>
        </w:rPr>
        <w:t>Walaa Wadie</w:t>
      </w:r>
      <w:r w:rsidR="00F1284D" w:rsidRPr="007D70F4">
        <w:rPr>
          <w:szCs w:val="24"/>
        </w:rPr>
        <w:t xml:space="preserve"> (</w:t>
      </w:r>
      <w:hyperlink r:id="rId8" w:tgtFrame="_blank" w:history="1">
        <w:r w:rsidR="005A5C1D" w:rsidRPr="007D70F4">
          <w:rPr>
            <w:szCs w:val="24"/>
          </w:rPr>
          <w:t>0000-0002-3421-2189</w:t>
        </w:r>
      </w:hyperlink>
      <w:r w:rsidR="00F1284D" w:rsidRPr="007D70F4">
        <w:rPr>
          <w:szCs w:val="24"/>
        </w:rPr>
        <w:t xml:space="preserve">); </w:t>
      </w:r>
      <w:r w:rsidR="00F82D2C" w:rsidRPr="007D70F4">
        <w:rPr>
          <w:szCs w:val="24"/>
        </w:rPr>
        <w:t>Enas A Abd El-Haleim</w:t>
      </w:r>
      <w:r w:rsidR="00F1284D" w:rsidRPr="007D70F4">
        <w:rPr>
          <w:szCs w:val="24"/>
        </w:rPr>
        <w:t xml:space="preserve"> (</w:t>
      </w:r>
      <w:hyperlink r:id="rId9" w:tgtFrame="_blank" w:history="1">
        <w:r w:rsidR="005A5C1D" w:rsidRPr="007D70F4">
          <w:rPr>
            <w:szCs w:val="24"/>
          </w:rPr>
          <w:t>0000-0001-9822-5416</w:t>
        </w:r>
      </w:hyperlink>
      <w:r w:rsidR="00F1284D" w:rsidRPr="007D70F4">
        <w:rPr>
          <w:szCs w:val="24"/>
        </w:rPr>
        <w:t xml:space="preserve">); </w:t>
      </w:r>
      <w:r w:rsidR="00F82D2C" w:rsidRPr="007D70F4">
        <w:rPr>
          <w:szCs w:val="24"/>
        </w:rPr>
        <w:t>Kawkab A Ahmed</w:t>
      </w:r>
      <w:r w:rsidR="00F1284D" w:rsidRPr="007D70F4">
        <w:rPr>
          <w:szCs w:val="24"/>
        </w:rPr>
        <w:t xml:space="preserve"> (</w:t>
      </w:r>
      <w:hyperlink r:id="rId10" w:tgtFrame="_blank" w:history="1">
        <w:r w:rsidR="00A86E79" w:rsidRPr="007D70F4">
          <w:rPr>
            <w:szCs w:val="24"/>
          </w:rPr>
          <w:t>0000-0001-7376-7411</w:t>
        </w:r>
      </w:hyperlink>
      <w:r w:rsidR="00F1284D" w:rsidRPr="007D70F4">
        <w:rPr>
          <w:szCs w:val="24"/>
        </w:rPr>
        <w:t xml:space="preserve">); </w:t>
      </w:r>
      <w:r w:rsidR="00F82D2C" w:rsidRPr="007D70F4">
        <w:rPr>
          <w:szCs w:val="24"/>
        </w:rPr>
        <w:t>Olaf Kelber</w:t>
      </w:r>
      <w:r w:rsidR="00F1284D" w:rsidRPr="007D70F4">
        <w:rPr>
          <w:szCs w:val="24"/>
        </w:rPr>
        <w:t xml:space="preserve"> (</w:t>
      </w:r>
      <w:hyperlink r:id="rId11" w:tgtFrame="_blank" w:history="1">
        <w:r w:rsidR="00A86E79" w:rsidRPr="007D70F4">
          <w:rPr>
            <w:szCs w:val="24"/>
          </w:rPr>
          <w:t>0000-0003-3334-5833</w:t>
        </w:r>
      </w:hyperlink>
      <w:r w:rsidR="00F1284D" w:rsidRPr="007D70F4">
        <w:rPr>
          <w:szCs w:val="24"/>
        </w:rPr>
        <w:t xml:space="preserve">); </w:t>
      </w:r>
      <w:r w:rsidR="00F82D2C" w:rsidRPr="007D70F4">
        <w:rPr>
          <w:szCs w:val="24"/>
        </w:rPr>
        <w:t>Ramy M Ammar</w:t>
      </w:r>
      <w:r w:rsidR="00F1284D" w:rsidRPr="007D70F4">
        <w:rPr>
          <w:szCs w:val="24"/>
        </w:rPr>
        <w:t xml:space="preserve"> (</w:t>
      </w:r>
      <w:hyperlink r:id="rId12" w:tgtFrame="_blank" w:history="1">
        <w:r w:rsidR="00A86E79" w:rsidRPr="007D70F4">
          <w:rPr>
            <w:szCs w:val="24"/>
          </w:rPr>
          <w:t>0000-0002-5183-2232</w:t>
        </w:r>
      </w:hyperlink>
      <w:r w:rsidR="00C90C86" w:rsidRPr="007D70F4">
        <w:rPr>
          <w:szCs w:val="24"/>
        </w:rPr>
        <w:t xml:space="preserve">); </w:t>
      </w:r>
      <w:r w:rsidR="00F82D2C" w:rsidRPr="007D70F4">
        <w:rPr>
          <w:szCs w:val="24"/>
        </w:rPr>
        <w:t>Heba Abdel-Aziz</w:t>
      </w:r>
      <w:r w:rsidR="00C90C86" w:rsidRPr="007D70F4">
        <w:rPr>
          <w:szCs w:val="24"/>
        </w:rPr>
        <w:t xml:space="preserve"> (</w:t>
      </w:r>
      <w:hyperlink r:id="rId13" w:tgtFrame="_blank" w:history="1">
        <w:r w:rsidR="00955434" w:rsidRPr="007D70F4">
          <w:rPr>
            <w:szCs w:val="24"/>
          </w:rPr>
          <w:t>0000-0002-4808-5926</w:t>
        </w:r>
      </w:hyperlink>
      <w:r w:rsidR="00C90C86" w:rsidRPr="007D70F4">
        <w:rPr>
          <w:szCs w:val="24"/>
        </w:rPr>
        <w:t>).</w:t>
      </w:r>
    </w:p>
    <w:p w14:paraId="6A0ED177" w14:textId="5586A117" w:rsidR="00681C0A" w:rsidRPr="007D70F4" w:rsidRDefault="00681C0A" w:rsidP="008E78B7">
      <w:pPr>
        <w:rPr>
          <w:szCs w:val="24"/>
        </w:rPr>
      </w:pPr>
    </w:p>
    <w:p w14:paraId="1B71267C" w14:textId="53A7B8DE" w:rsidR="00C90C86" w:rsidRPr="007D70F4" w:rsidRDefault="00681C0A" w:rsidP="008E78B7">
      <w:pPr>
        <w:rPr>
          <w:szCs w:val="24"/>
        </w:rPr>
      </w:pPr>
      <w:r w:rsidRPr="007D70F4">
        <w:rPr>
          <w:b/>
          <w:szCs w:val="24"/>
          <w:lang w:val="en-GB"/>
        </w:rPr>
        <w:t>Author contributions:</w:t>
      </w:r>
      <w:bookmarkStart w:id="14" w:name="_Hlk5615142"/>
      <w:bookmarkStart w:id="15" w:name="_Hlk5954983"/>
      <w:bookmarkStart w:id="16" w:name="OLE_LINK2"/>
      <w:bookmarkStart w:id="17" w:name="_Hlk6393376"/>
      <w:r w:rsidRPr="007D70F4">
        <w:rPr>
          <w:rFonts w:eastAsiaTheme="minorEastAsia" w:hint="eastAsia"/>
          <w:szCs w:val="24"/>
          <w:lang w:eastAsia="zh-CN"/>
        </w:rPr>
        <w:t xml:space="preserve"> </w:t>
      </w:r>
      <w:r w:rsidR="00C90C86" w:rsidRPr="007D70F4">
        <w:rPr>
          <w:rStyle w:val="Absatz-Standardschriftart"/>
          <w:rFonts w:cs="Calibri"/>
          <w:szCs w:val="24"/>
        </w:rPr>
        <w:t>Khayyal</w:t>
      </w:r>
      <w:r w:rsidRPr="007D70F4">
        <w:rPr>
          <w:rStyle w:val="Absatz-Standardschriftart"/>
          <w:rFonts w:cs="Calibri"/>
          <w:szCs w:val="24"/>
        </w:rPr>
        <w:t xml:space="preserve"> MT</w:t>
      </w:r>
      <w:r w:rsidR="00C90C86" w:rsidRPr="007D70F4">
        <w:rPr>
          <w:rStyle w:val="Absatz-Standardschriftart"/>
          <w:rFonts w:cs="Calibri"/>
          <w:szCs w:val="24"/>
        </w:rPr>
        <w:t>, Wadie</w:t>
      </w:r>
      <w:r w:rsidRPr="007D70F4">
        <w:rPr>
          <w:rStyle w:val="Absatz-Standardschriftart"/>
          <w:rFonts w:cs="Calibri"/>
          <w:szCs w:val="24"/>
        </w:rPr>
        <w:t xml:space="preserve"> W</w:t>
      </w:r>
      <w:r w:rsidR="00C90C86" w:rsidRPr="007D70F4">
        <w:rPr>
          <w:rStyle w:val="Absatz-Standardschriftart"/>
          <w:rFonts w:cs="Calibri"/>
          <w:szCs w:val="24"/>
        </w:rPr>
        <w:t>, Abd El-Haleim</w:t>
      </w:r>
      <w:r w:rsidR="00C90C86" w:rsidRPr="007D70F4">
        <w:rPr>
          <w:szCs w:val="24"/>
        </w:rPr>
        <w:t xml:space="preserve"> </w:t>
      </w:r>
      <w:r w:rsidRPr="007D70F4">
        <w:rPr>
          <w:szCs w:val="24"/>
        </w:rPr>
        <w:t xml:space="preserve">EA </w:t>
      </w:r>
      <w:r w:rsidR="00C90C86" w:rsidRPr="007D70F4">
        <w:rPr>
          <w:szCs w:val="24"/>
        </w:rPr>
        <w:t xml:space="preserve">carried out the </w:t>
      </w:r>
      <w:r w:rsidR="00C90C86" w:rsidRPr="007D70F4">
        <w:rPr>
          <w:szCs w:val="24"/>
        </w:rPr>
        <w:lastRenderedPageBreak/>
        <w:t xml:space="preserve">experimental study; </w:t>
      </w:r>
      <w:r w:rsidR="00C90C86" w:rsidRPr="007D70F4">
        <w:rPr>
          <w:rStyle w:val="Absatz-Standardschriftart"/>
          <w:szCs w:val="24"/>
        </w:rPr>
        <w:t>Ahmed</w:t>
      </w:r>
      <w:r w:rsidR="00861C3C" w:rsidRPr="007D70F4">
        <w:rPr>
          <w:rStyle w:val="Absatz-Standardschriftart"/>
          <w:szCs w:val="24"/>
        </w:rPr>
        <w:t xml:space="preserve"> </w:t>
      </w:r>
      <w:r w:rsidRPr="007D70F4">
        <w:rPr>
          <w:rStyle w:val="Absatz-Standardschriftart"/>
          <w:szCs w:val="24"/>
        </w:rPr>
        <w:t xml:space="preserve">KA </w:t>
      </w:r>
      <w:r w:rsidR="00861C3C" w:rsidRPr="007D70F4">
        <w:rPr>
          <w:szCs w:val="24"/>
        </w:rPr>
        <w:t>performed</w:t>
      </w:r>
      <w:r w:rsidR="00C90C86" w:rsidRPr="007D70F4">
        <w:rPr>
          <w:szCs w:val="24"/>
        </w:rPr>
        <w:t xml:space="preserve"> </w:t>
      </w:r>
      <w:r w:rsidR="00861C3C" w:rsidRPr="007D70F4">
        <w:rPr>
          <w:szCs w:val="24"/>
        </w:rPr>
        <w:t xml:space="preserve">the </w:t>
      </w:r>
      <w:r w:rsidR="00C90C86" w:rsidRPr="007D70F4">
        <w:rPr>
          <w:szCs w:val="24"/>
        </w:rPr>
        <w:t xml:space="preserve">histological </w:t>
      </w:r>
      <w:r w:rsidR="00395EB3" w:rsidRPr="007D70F4">
        <w:rPr>
          <w:szCs w:val="24"/>
        </w:rPr>
        <w:t>part;</w:t>
      </w:r>
      <w:r w:rsidR="00C90C86" w:rsidRPr="007D70F4">
        <w:rPr>
          <w:szCs w:val="24"/>
        </w:rPr>
        <w:t xml:space="preserve"> </w:t>
      </w:r>
      <w:r w:rsidR="00861C3C" w:rsidRPr="007D70F4">
        <w:rPr>
          <w:rStyle w:val="Absatz-Standardschriftart"/>
          <w:rFonts w:cs="Calibri"/>
          <w:szCs w:val="24"/>
        </w:rPr>
        <w:t>Kelber</w:t>
      </w:r>
      <w:r w:rsidRPr="007D70F4">
        <w:rPr>
          <w:rStyle w:val="Absatz-Standardschriftart"/>
          <w:rFonts w:cs="Calibri"/>
          <w:szCs w:val="24"/>
        </w:rPr>
        <w:t xml:space="preserve"> O</w:t>
      </w:r>
      <w:r w:rsidR="00861C3C" w:rsidRPr="007D70F4">
        <w:rPr>
          <w:rStyle w:val="Absatz-Standardschriftart"/>
          <w:rFonts w:cs="Calibri"/>
          <w:szCs w:val="24"/>
        </w:rPr>
        <w:t>, Ammar</w:t>
      </w:r>
      <w:r w:rsidRPr="007D70F4">
        <w:rPr>
          <w:rStyle w:val="Absatz-Standardschriftart"/>
          <w:rFonts w:cs="Calibri"/>
          <w:szCs w:val="24"/>
        </w:rPr>
        <w:t xml:space="preserve"> RM</w:t>
      </w:r>
      <w:r w:rsidR="00861C3C" w:rsidRPr="007D70F4">
        <w:rPr>
          <w:rStyle w:val="Absatz-Standardschriftart"/>
          <w:rFonts w:cs="Calibri"/>
          <w:szCs w:val="24"/>
        </w:rPr>
        <w:t>, Abdel-Aziz</w:t>
      </w:r>
      <w:r w:rsidR="00861C3C" w:rsidRPr="007D70F4">
        <w:rPr>
          <w:szCs w:val="24"/>
        </w:rPr>
        <w:t xml:space="preserve"> </w:t>
      </w:r>
      <w:r w:rsidRPr="007D70F4">
        <w:rPr>
          <w:szCs w:val="24"/>
        </w:rPr>
        <w:t xml:space="preserve">H </w:t>
      </w:r>
      <w:r w:rsidR="00861C3C" w:rsidRPr="007D70F4">
        <w:rPr>
          <w:szCs w:val="24"/>
        </w:rPr>
        <w:t xml:space="preserve">was responsible for </w:t>
      </w:r>
      <w:r w:rsidR="00C90C86" w:rsidRPr="007D70F4">
        <w:rPr>
          <w:szCs w:val="24"/>
        </w:rPr>
        <w:t>planning of the study</w:t>
      </w:r>
      <w:r w:rsidRPr="007D70F4">
        <w:rPr>
          <w:szCs w:val="24"/>
        </w:rPr>
        <w:t>;</w:t>
      </w:r>
      <w:r w:rsidR="00C90C86" w:rsidRPr="007D70F4">
        <w:rPr>
          <w:szCs w:val="24"/>
        </w:rPr>
        <w:t xml:space="preserve"> </w:t>
      </w:r>
      <w:r w:rsidRPr="007D70F4">
        <w:rPr>
          <w:szCs w:val="24"/>
        </w:rPr>
        <w:t>a</w:t>
      </w:r>
      <w:r w:rsidR="00C90C86" w:rsidRPr="007D70F4">
        <w:rPr>
          <w:szCs w:val="24"/>
        </w:rPr>
        <w:t>ll authors involved in writing and revising the manuscript</w:t>
      </w:r>
      <w:r w:rsidR="00861C3C" w:rsidRPr="007D70F4">
        <w:rPr>
          <w:szCs w:val="24"/>
        </w:rPr>
        <w:t>.</w:t>
      </w:r>
      <w:r w:rsidR="00C90C86" w:rsidRPr="007D70F4">
        <w:rPr>
          <w:szCs w:val="24"/>
        </w:rPr>
        <w:t xml:space="preserve"> </w:t>
      </w:r>
    </w:p>
    <w:bookmarkEnd w:id="14"/>
    <w:bookmarkEnd w:id="15"/>
    <w:bookmarkEnd w:id="16"/>
    <w:bookmarkEnd w:id="17"/>
    <w:p w14:paraId="233B8093" w14:textId="3CC056FA" w:rsidR="00681C0A" w:rsidRPr="007D70F4" w:rsidRDefault="00681C0A" w:rsidP="008E78B7">
      <w:pPr>
        <w:pStyle w:val="Default"/>
        <w:spacing w:line="360" w:lineRule="auto"/>
        <w:jc w:val="both"/>
        <w:rPr>
          <w:rFonts w:cs="Times New Roman"/>
          <w:bCs/>
          <w:color w:val="auto"/>
          <w:lang w:val="hu-HU"/>
        </w:rPr>
      </w:pPr>
    </w:p>
    <w:p w14:paraId="338901A3" w14:textId="77777777" w:rsidR="00374B8F" w:rsidRPr="007D70F4" w:rsidRDefault="00681C0A" w:rsidP="00374B8F">
      <w:pPr>
        <w:rPr>
          <w:szCs w:val="24"/>
          <w:lang w:val="en-GB"/>
        </w:rPr>
      </w:pPr>
      <w:r w:rsidRPr="00681C0A">
        <w:rPr>
          <w:rFonts w:eastAsiaTheme="minorEastAsia"/>
          <w:b/>
          <w:bCs/>
          <w:kern w:val="0"/>
          <w:szCs w:val="24"/>
          <w:lang w:val="hu-HU"/>
        </w:rPr>
        <w:t>Institutional animal care and use committee statement:</w:t>
      </w:r>
      <w:r w:rsidRPr="007D70F4">
        <w:rPr>
          <w:b/>
          <w:bCs/>
          <w:lang w:val="hu-HU"/>
        </w:rPr>
        <w:t xml:space="preserve"> </w:t>
      </w:r>
      <w:r w:rsidR="00374B8F" w:rsidRPr="007D70F4">
        <w:rPr>
          <w:rStyle w:val="Absatz-Standardschriftart"/>
          <w:szCs w:val="24"/>
        </w:rPr>
        <w:t>The study was approved by the Ethical Committee for experimentation with laboratory animals (Faculty of Pharmacy, Cairo University) following the revised guidelines of the European Economic Community regulations (86/609/EEC) (Permit Number: PT 2292).</w:t>
      </w:r>
    </w:p>
    <w:p w14:paraId="775634FB" w14:textId="2A10AB19" w:rsidR="00681C0A" w:rsidRPr="007D70F4" w:rsidRDefault="00681C0A" w:rsidP="008E78B7">
      <w:pPr>
        <w:pStyle w:val="Default"/>
        <w:spacing w:line="360" w:lineRule="auto"/>
        <w:jc w:val="both"/>
        <w:rPr>
          <w:b/>
          <w:bCs/>
          <w:lang w:val="en-GB"/>
        </w:rPr>
      </w:pPr>
    </w:p>
    <w:p w14:paraId="7936201C" w14:textId="134DCB0C" w:rsidR="00C41CFF" w:rsidRPr="007D70F4" w:rsidRDefault="007D70F4" w:rsidP="007D70F4">
      <w:pPr>
        <w:pStyle w:val="Default"/>
        <w:spacing w:line="360" w:lineRule="auto"/>
        <w:jc w:val="both"/>
        <w:rPr>
          <w:rStyle w:val="Absatz-Standardschriftart"/>
          <w:rFonts w:cs="Calibri"/>
        </w:rPr>
      </w:pPr>
      <w:r w:rsidRPr="007D70F4">
        <w:rPr>
          <w:rFonts w:cs="Times New Roman"/>
          <w:b/>
          <w:bCs/>
          <w:color w:val="auto"/>
          <w:lang w:val="hu-HU"/>
        </w:rPr>
        <w:t xml:space="preserve">Conflict-of-interest statement: </w:t>
      </w:r>
      <w:r w:rsidR="00F26604" w:rsidRPr="007D70F4">
        <w:rPr>
          <w:rStyle w:val="Absatz-Standardschriftart"/>
          <w:rFonts w:cs="Calibri"/>
        </w:rPr>
        <w:t>Mohamed T Khayyal</w:t>
      </w:r>
      <w:r w:rsidR="00F26604" w:rsidRPr="007D70F4">
        <w:rPr>
          <w:b/>
          <w:bCs/>
        </w:rPr>
        <w:t xml:space="preserve"> </w:t>
      </w:r>
      <w:r w:rsidR="00F26604" w:rsidRPr="007D70F4">
        <w:rPr>
          <w:rStyle w:val="Absatz-Standardschriftart"/>
          <w:rFonts w:cs="Calibri"/>
        </w:rPr>
        <w:t>reports grants from Steigerwald Arzneimittelwerk GmbH, Bayer Consumer Health, during the conduct of the study</w:t>
      </w:r>
      <w:r w:rsidR="00A54EFB">
        <w:rPr>
          <w:rStyle w:val="Absatz-Standardschriftart"/>
          <w:rFonts w:cs="Calibri"/>
        </w:rPr>
        <w:t>;</w:t>
      </w:r>
      <w:r w:rsidR="00F26604" w:rsidRPr="007D70F4">
        <w:rPr>
          <w:rStyle w:val="Absatz-Standardschriftart"/>
          <w:rFonts w:cs="Calibri"/>
        </w:rPr>
        <w:t xml:space="preserve"> Olaf Kelber, Ramy M. Ammar, Heba Abdel-Aziz</w:t>
      </w:r>
      <w:r w:rsidR="00C41CFF" w:rsidRPr="007D70F4">
        <w:rPr>
          <w:rStyle w:val="Absatz-Standardschriftart"/>
          <w:rFonts w:cs="Calibri"/>
        </w:rPr>
        <w:t xml:space="preserve"> are employed by Steigerwald Arzneimittelwerk GmbH, Bayer Consumer Health, Darmstadt, Germany</w:t>
      </w:r>
      <w:r w:rsidR="00A54EFB">
        <w:rPr>
          <w:rStyle w:val="Absatz-Standardschriftart"/>
          <w:rFonts w:cs="Calibri"/>
        </w:rPr>
        <w:t>;</w:t>
      </w:r>
      <w:r w:rsidR="00C41CFF" w:rsidRPr="007D70F4">
        <w:rPr>
          <w:rStyle w:val="Absatz-Standardschriftart"/>
          <w:rFonts w:cs="Calibri"/>
        </w:rPr>
        <w:t xml:space="preserve"> </w:t>
      </w:r>
      <w:r w:rsidR="00A54EFB" w:rsidRPr="007D70F4">
        <w:rPr>
          <w:rStyle w:val="Absatz-Standardschriftart"/>
          <w:rFonts w:cs="Calibri"/>
        </w:rPr>
        <w:t>a</w:t>
      </w:r>
      <w:r w:rsidR="00C41CFF" w:rsidRPr="007D70F4">
        <w:rPr>
          <w:rStyle w:val="Absatz-Standardschriftart"/>
          <w:rFonts w:cs="Calibri"/>
        </w:rPr>
        <w:t>ll other authors have no conflict of interest.</w:t>
      </w:r>
    </w:p>
    <w:p w14:paraId="13D4712B" w14:textId="5806480D" w:rsidR="007D70F4" w:rsidRPr="007D70F4" w:rsidRDefault="007D70F4" w:rsidP="007D70F4">
      <w:pPr>
        <w:pStyle w:val="Default"/>
        <w:spacing w:line="360" w:lineRule="auto"/>
        <w:jc w:val="both"/>
        <w:rPr>
          <w:rStyle w:val="Absatz-Standardschriftart"/>
          <w:rFonts w:cs="Calibri"/>
        </w:rPr>
      </w:pPr>
    </w:p>
    <w:p w14:paraId="1E7895CA" w14:textId="7A400579" w:rsidR="00C90C86" w:rsidRPr="007D70F4" w:rsidRDefault="007D70F4" w:rsidP="007D70F4">
      <w:pPr>
        <w:pStyle w:val="Default"/>
        <w:spacing w:line="360" w:lineRule="auto"/>
        <w:jc w:val="both"/>
      </w:pPr>
      <w:r w:rsidRPr="007D70F4">
        <w:rPr>
          <w:b/>
          <w:bCs/>
          <w:lang w:val="hu-HU"/>
        </w:rPr>
        <w:t xml:space="preserve">ARRIVE guidelines statement: </w:t>
      </w:r>
      <w:r w:rsidR="00C90C86" w:rsidRPr="007D70F4">
        <w:t xml:space="preserve">The authors have read the ARRIVE guidelines, and the manuscript was prepared and revised according to the ARRIVE guidelines. </w:t>
      </w:r>
    </w:p>
    <w:p w14:paraId="051EE2D5" w14:textId="0CF0B0C4" w:rsidR="007D70F4" w:rsidRPr="007D70F4" w:rsidRDefault="007D70F4" w:rsidP="007D70F4">
      <w:pPr>
        <w:pStyle w:val="Default"/>
        <w:spacing w:line="360" w:lineRule="auto"/>
        <w:jc w:val="both"/>
      </w:pPr>
    </w:p>
    <w:p w14:paraId="54ADB1DB" w14:textId="77777777" w:rsidR="007D70F4" w:rsidRPr="007D70F4" w:rsidRDefault="007D70F4" w:rsidP="007D70F4">
      <w:pPr>
        <w:widowControl/>
        <w:suppressAutoHyphens w:val="0"/>
        <w:overflowPunct/>
        <w:autoSpaceDE/>
        <w:autoSpaceDN/>
        <w:adjustRightInd w:val="0"/>
        <w:snapToGrid w:val="0"/>
        <w:textAlignment w:val="auto"/>
        <w:rPr>
          <w:rFonts w:eastAsia="宋体"/>
          <w:color w:val="000000"/>
          <w:kern w:val="0"/>
          <w:szCs w:val="24"/>
          <w:lang w:val="hu-HU" w:eastAsia="en-US"/>
        </w:rPr>
      </w:pPr>
      <w:bookmarkStart w:id="18" w:name="OLE_LINK856"/>
      <w:r w:rsidRPr="007D70F4">
        <w:rPr>
          <w:rFonts w:eastAsia="宋体"/>
          <w:b/>
          <w:color w:val="000000"/>
          <w:kern w:val="0"/>
          <w:szCs w:val="24"/>
          <w:lang w:val="hu-HU" w:eastAsia="en-US"/>
        </w:rPr>
        <w:t>Open-Access:</w:t>
      </w:r>
      <w:r w:rsidRPr="007D70F4">
        <w:rPr>
          <w:rFonts w:eastAsia="宋体"/>
          <w:color w:val="000000"/>
          <w:kern w:val="0"/>
          <w:szCs w:val="24"/>
          <w:lang w:val="hu-HU" w:eastAsia="en-US"/>
        </w:rPr>
        <w:t xml:space="preserve"> </w:t>
      </w:r>
      <w:bookmarkStart w:id="19" w:name="OLE_LINK1083"/>
      <w:r w:rsidRPr="007D70F4">
        <w:rPr>
          <w:rFonts w:eastAsia="宋体"/>
          <w:color w:val="000000"/>
          <w:kern w:val="0"/>
          <w:szCs w:val="24"/>
          <w:lang w:val="hu-HU" w:eastAsia="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9"/>
    <w:p w14:paraId="268CF4F4" w14:textId="77777777" w:rsidR="007D70F4" w:rsidRPr="007D70F4" w:rsidRDefault="007D70F4" w:rsidP="007D70F4">
      <w:pPr>
        <w:widowControl/>
        <w:suppressAutoHyphens w:val="0"/>
        <w:overflowPunct/>
        <w:autoSpaceDE/>
        <w:autoSpaceDN/>
        <w:adjustRightInd w:val="0"/>
        <w:snapToGrid w:val="0"/>
        <w:textAlignment w:val="auto"/>
        <w:rPr>
          <w:rFonts w:eastAsia="宋体"/>
          <w:color w:val="000000"/>
          <w:kern w:val="0"/>
          <w:szCs w:val="24"/>
          <w:lang w:val="hu-HU" w:eastAsia="en-US"/>
        </w:rPr>
      </w:pPr>
    </w:p>
    <w:p w14:paraId="089DF8AE" w14:textId="77777777" w:rsidR="007D70F4" w:rsidRPr="007D70F4" w:rsidRDefault="007D70F4" w:rsidP="007D70F4">
      <w:pPr>
        <w:widowControl/>
        <w:suppressAutoHyphens w:val="0"/>
        <w:overflowPunct/>
        <w:autoSpaceDE/>
        <w:autoSpaceDN/>
        <w:snapToGrid w:val="0"/>
        <w:textAlignment w:val="auto"/>
        <w:rPr>
          <w:rFonts w:eastAsia="宋体"/>
          <w:b/>
          <w:bCs/>
          <w:color w:val="000000"/>
          <w:kern w:val="0"/>
          <w:szCs w:val="24"/>
          <w:lang w:eastAsia="zh-CN"/>
        </w:rPr>
      </w:pPr>
      <w:r w:rsidRPr="007D70F4">
        <w:rPr>
          <w:rFonts w:eastAsia="宋体"/>
          <w:b/>
          <w:bCs/>
          <w:color w:val="000000"/>
          <w:kern w:val="0"/>
          <w:szCs w:val="24"/>
          <w:lang w:eastAsia="pl-PL"/>
        </w:rPr>
        <w:t>Manuscript source:</w:t>
      </w:r>
      <w:r w:rsidRPr="007D70F4">
        <w:rPr>
          <w:rFonts w:eastAsia="宋体"/>
          <w:b/>
          <w:bCs/>
          <w:color w:val="000000"/>
          <w:kern w:val="0"/>
          <w:szCs w:val="24"/>
          <w:lang w:eastAsia="zh-CN"/>
        </w:rPr>
        <w:t xml:space="preserve"> </w:t>
      </w:r>
      <w:r w:rsidRPr="007D70F4">
        <w:rPr>
          <w:rFonts w:eastAsia="宋体"/>
          <w:bCs/>
          <w:color w:val="000000"/>
          <w:kern w:val="0"/>
          <w:szCs w:val="24"/>
          <w:lang w:eastAsia="pl-PL"/>
        </w:rPr>
        <w:t>Unsolicited manuscript</w:t>
      </w:r>
    </w:p>
    <w:bookmarkEnd w:id="18"/>
    <w:p w14:paraId="08BA0934" w14:textId="703570FF" w:rsidR="007D70F4" w:rsidRPr="007D70F4" w:rsidRDefault="007D70F4" w:rsidP="007D70F4">
      <w:pPr>
        <w:pStyle w:val="Default"/>
        <w:spacing w:line="360" w:lineRule="auto"/>
        <w:jc w:val="both"/>
        <w:rPr>
          <w:b/>
          <w:bCs/>
        </w:rPr>
      </w:pPr>
    </w:p>
    <w:p w14:paraId="58FE2097" w14:textId="5BC6FCA1" w:rsidR="007D70F4" w:rsidRPr="007D70F4" w:rsidRDefault="007D70F4" w:rsidP="007D70F4">
      <w:pPr>
        <w:rPr>
          <w:szCs w:val="24"/>
          <w:lang w:val="en-GB"/>
        </w:rPr>
      </w:pPr>
      <w:r w:rsidRPr="007D70F4">
        <w:rPr>
          <w:b/>
          <w:bCs/>
          <w:lang w:val="hu-HU"/>
        </w:rPr>
        <w:t xml:space="preserve">Corresponding author: </w:t>
      </w:r>
      <w:r w:rsidR="00F82D2C" w:rsidRPr="007D70F4">
        <w:rPr>
          <w:b/>
          <w:szCs w:val="24"/>
        </w:rPr>
        <w:t xml:space="preserve">Mohamed T Khayyal, </w:t>
      </w:r>
      <w:r w:rsidRPr="007D70F4">
        <w:rPr>
          <w:b/>
        </w:rPr>
        <w:t xml:space="preserve">PhD, Professor, </w:t>
      </w:r>
      <w:bookmarkStart w:id="20" w:name="OLE_LINK1089"/>
      <w:r w:rsidRPr="007D70F4">
        <w:rPr>
          <w:rStyle w:val="Absatz-Standardschriftart"/>
          <w:rFonts w:cs="Calibri"/>
          <w:szCs w:val="24"/>
        </w:rPr>
        <w:t>Department of Pharmacology</w:t>
      </w:r>
      <w:bookmarkEnd w:id="20"/>
      <w:r w:rsidRPr="007D70F4">
        <w:rPr>
          <w:rStyle w:val="Absatz-Standardschriftart"/>
          <w:rFonts w:cs="Calibri"/>
          <w:szCs w:val="24"/>
        </w:rPr>
        <w:t xml:space="preserve">, </w:t>
      </w:r>
      <w:bookmarkStart w:id="21" w:name="OLE_LINK1090"/>
      <w:r w:rsidRPr="007D70F4">
        <w:rPr>
          <w:szCs w:val="24"/>
          <w:lang w:val="en-GB"/>
        </w:rPr>
        <w:t>Faculty of Pharmacy, Cairo University</w:t>
      </w:r>
      <w:bookmarkEnd w:id="21"/>
      <w:r w:rsidRPr="007D70F4">
        <w:rPr>
          <w:szCs w:val="24"/>
          <w:lang w:val="en-GB"/>
        </w:rPr>
        <w:t xml:space="preserve">, </w:t>
      </w:r>
      <w:bookmarkStart w:id="22" w:name="OLE_LINK1091"/>
      <w:r w:rsidRPr="007D70F4">
        <w:rPr>
          <w:szCs w:val="24"/>
          <w:lang w:val="en-GB"/>
        </w:rPr>
        <w:t>Kasr-El-Aini Street</w:t>
      </w:r>
      <w:bookmarkEnd w:id="22"/>
      <w:r w:rsidRPr="007D70F4">
        <w:rPr>
          <w:szCs w:val="24"/>
          <w:lang w:val="en-GB"/>
        </w:rPr>
        <w:t xml:space="preserve">, Cairo 11562, Egypt. </w:t>
      </w:r>
      <w:hyperlink r:id="rId14" w:history="1">
        <w:r w:rsidRPr="007D70F4">
          <w:rPr>
            <w:color w:val="000000" w:themeColor="text1"/>
            <w:szCs w:val="24"/>
            <w:lang w:val="en-GB"/>
          </w:rPr>
          <w:t>mtkhayyal@gmail.com</w:t>
        </w:r>
      </w:hyperlink>
    </w:p>
    <w:p w14:paraId="1242D3BD" w14:textId="7C818B0E" w:rsidR="00F82D2C" w:rsidRPr="007D70F4" w:rsidRDefault="00C90C86" w:rsidP="008E78B7">
      <w:pPr>
        <w:rPr>
          <w:szCs w:val="24"/>
        </w:rPr>
      </w:pPr>
      <w:r w:rsidRPr="007D70F4">
        <w:rPr>
          <w:b/>
          <w:szCs w:val="24"/>
        </w:rPr>
        <w:lastRenderedPageBreak/>
        <w:t>Telephone</w:t>
      </w:r>
      <w:r w:rsidR="007D70F4" w:rsidRPr="007D70F4">
        <w:rPr>
          <w:b/>
          <w:szCs w:val="24"/>
        </w:rPr>
        <w:t>:</w:t>
      </w:r>
      <w:r w:rsidR="00F82D2C" w:rsidRPr="007D70F4">
        <w:rPr>
          <w:b/>
          <w:szCs w:val="24"/>
        </w:rPr>
        <w:t xml:space="preserve"> </w:t>
      </w:r>
      <w:bookmarkStart w:id="23" w:name="OLE_LINK1092"/>
      <w:r w:rsidR="00F82D2C" w:rsidRPr="007D70F4">
        <w:rPr>
          <w:szCs w:val="24"/>
        </w:rPr>
        <w:t>+20</w:t>
      </w:r>
      <w:r w:rsidR="007D70F4" w:rsidRPr="007D70F4">
        <w:rPr>
          <w:szCs w:val="24"/>
        </w:rPr>
        <w:t>-</w:t>
      </w:r>
      <w:r w:rsidR="00F82D2C" w:rsidRPr="007D70F4">
        <w:rPr>
          <w:szCs w:val="24"/>
        </w:rPr>
        <w:t>1222102644</w:t>
      </w:r>
      <w:bookmarkEnd w:id="23"/>
    </w:p>
    <w:p w14:paraId="6E0E9C0F" w14:textId="79AB9791" w:rsidR="00F82D2C" w:rsidRPr="007D70F4" w:rsidRDefault="00F82D2C" w:rsidP="008E78B7">
      <w:pPr>
        <w:rPr>
          <w:szCs w:val="24"/>
        </w:rPr>
      </w:pPr>
      <w:r w:rsidRPr="007D70F4">
        <w:rPr>
          <w:b/>
          <w:bCs/>
          <w:szCs w:val="24"/>
        </w:rPr>
        <w:t>Fax</w:t>
      </w:r>
      <w:r w:rsidRPr="007D70F4">
        <w:rPr>
          <w:szCs w:val="24"/>
        </w:rPr>
        <w:t>: +20</w:t>
      </w:r>
      <w:r w:rsidR="007D70F4" w:rsidRPr="007D70F4">
        <w:rPr>
          <w:szCs w:val="24"/>
        </w:rPr>
        <w:t>-</w:t>
      </w:r>
      <w:r w:rsidRPr="007D70F4">
        <w:rPr>
          <w:szCs w:val="24"/>
        </w:rPr>
        <w:t>2</w:t>
      </w:r>
      <w:r w:rsidR="007D70F4" w:rsidRPr="007D70F4">
        <w:rPr>
          <w:szCs w:val="24"/>
        </w:rPr>
        <w:t>-</w:t>
      </w:r>
      <w:r w:rsidRPr="007D70F4">
        <w:rPr>
          <w:szCs w:val="24"/>
        </w:rPr>
        <w:t>37743491</w:t>
      </w:r>
    </w:p>
    <w:p w14:paraId="46E28A1D" w14:textId="7BD95EDC" w:rsidR="007D70F4" w:rsidRPr="007D70F4" w:rsidRDefault="007D70F4" w:rsidP="008E78B7">
      <w:pPr>
        <w:rPr>
          <w:szCs w:val="24"/>
        </w:rPr>
      </w:pPr>
    </w:p>
    <w:p w14:paraId="1A0F1DD9" w14:textId="520BC295" w:rsidR="007D70F4" w:rsidRPr="007D70F4" w:rsidRDefault="007D70F4" w:rsidP="007D70F4">
      <w:pPr>
        <w:suppressAutoHyphens w:val="0"/>
        <w:overflowPunct/>
        <w:autoSpaceDE/>
        <w:autoSpaceDN/>
        <w:textAlignment w:val="auto"/>
        <w:rPr>
          <w:rFonts w:eastAsia="宋体"/>
          <w:b/>
          <w:kern w:val="2"/>
          <w:szCs w:val="24"/>
          <w:lang w:eastAsia="zh-CN"/>
        </w:rPr>
      </w:pPr>
      <w:bookmarkStart w:id="24" w:name="OLE_LINK75"/>
      <w:bookmarkStart w:id="25" w:name="OLE_LINK76"/>
      <w:bookmarkStart w:id="26" w:name="OLE_LINK269"/>
      <w:bookmarkStart w:id="27" w:name="OLE_LINK239"/>
      <w:r w:rsidRPr="007D70F4">
        <w:rPr>
          <w:rFonts w:eastAsia="宋体"/>
          <w:b/>
          <w:kern w:val="2"/>
          <w:szCs w:val="24"/>
          <w:lang w:eastAsia="zh-CN"/>
        </w:rPr>
        <w:t xml:space="preserve">Received: </w:t>
      </w:r>
      <w:r w:rsidRPr="007D70F4">
        <w:rPr>
          <w:rFonts w:eastAsia="宋体"/>
          <w:kern w:val="2"/>
          <w:szCs w:val="24"/>
          <w:lang w:eastAsia="zh-CN"/>
        </w:rPr>
        <w:t>April 28, 2019</w:t>
      </w:r>
    </w:p>
    <w:p w14:paraId="50F8CEF2" w14:textId="51720565" w:rsidR="007D70F4" w:rsidRPr="007D70F4" w:rsidRDefault="007D70F4" w:rsidP="007D70F4">
      <w:pPr>
        <w:suppressAutoHyphens w:val="0"/>
        <w:overflowPunct/>
        <w:autoSpaceDE/>
        <w:autoSpaceDN/>
        <w:textAlignment w:val="auto"/>
        <w:rPr>
          <w:rFonts w:eastAsia="宋体"/>
          <w:b/>
          <w:kern w:val="2"/>
          <w:szCs w:val="24"/>
          <w:lang w:eastAsia="zh-CN"/>
        </w:rPr>
      </w:pPr>
      <w:r w:rsidRPr="007D70F4">
        <w:rPr>
          <w:rFonts w:eastAsia="宋体"/>
          <w:b/>
          <w:kern w:val="2"/>
          <w:szCs w:val="24"/>
          <w:lang w:eastAsia="zh-CN"/>
        </w:rPr>
        <w:t xml:space="preserve">Peer-review started: </w:t>
      </w:r>
      <w:r w:rsidRPr="007D70F4">
        <w:rPr>
          <w:rFonts w:eastAsia="宋体"/>
          <w:kern w:val="2"/>
          <w:szCs w:val="24"/>
          <w:lang w:eastAsia="zh-CN"/>
        </w:rPr>
        <w:t>April 28, 2019</w:t>
      </w:r>
    </w:p>
    <w:p w14:paraId="7427EDD5" w14:textId="3C332C47" w:rsidR="007D70F4" w:rsidRPr="007D70F4" w:rsidRDefault="007D70F4" w:rsidP="007D70F4">
      <w:pPr>
        <w:suppressAutoHyphens w:val="0"/>
        <w:overflowPunct/>
        <w:autoSpaceDE/>
        <w:autoSpaceDN/>
        <w:textAlignment w:val="auto"/>
        <w:rPr>
          <w:rFonts w:eastAsia="宋体"/>
          <w:b/>
          <w:kern w:val="2"/>
          <w:szCs w:val="24"/>
          <w:lang w:eastAsia="zh-CN"/>
        </w:rPr>
      </w:pPr>
      <w:r w:rsidRPr="007D70F4">
        <w:rPr>
          <w:rFonts w:eastAsia="宋体"/>
          <w:b/>
          <w:kern w:val="2"/>
          <w:szCs w:val="24"/>
          <w:lang w:eastAsia="zh-CN"/>
        </w:rPr>
        <w:t xml:space="preserve">First decision: </w:t>
      </w:r>
      <w:r w:rsidRPr="007D70F4">
        <w:rPr>
          <w:rFonts w:eastAsia="宋体"/>
          <w:kern w:val="2"/>
          <w:szCs w:val="24"/>
          <w:lang w:eastAsia="zh-CN"/>
        </w:rPr>
        <w:t>July 22, 2019</w:t>
      </w:r>
    </w:p>
    <w:p w14:paraId="3ADBEF01" w14:textId="3D1F6201" w:rsidR="007D70F4" w:rsidRPr="007D70F4" w:rsidRDefault="007D70F4" w:rsidP="007D70F4">
      <w:pPr>
        <w:suppressAutoHyphens w:val="0"/>
        <w:overflowPunct/>
        <w:autoSpaceDE/>
        <w:autoSpaceDN/>
        <w:textAlignment w:val="auto"/>
        <w:rPr>
          <w:rFonts w:eastAsia="宋体"/>
          <w:b/>
          <w:kern w:val="2"/>
          <w:szCs w:val="24"/>
          <w:lang w:eastAsia="zh-CN"/>
        </w:rPr>
      </w:pPr>
      <w:r w:rsidRPr="007D70F4">
        <w:rPr>
          <w:rFonts w:eastAsia="宋体"/>
          <w:b/>
          <w:kern w:val="2"/>
          <w:szCs w:val="24"/>
          <w:lang w:eastAsia="zh-CN"/>
        </w:rPr>
        <w:t xml:space="preserve">Revised: </w:t>
      </w:r>
      <w:r w:rsidRPr="007D70F4">
        <w:rPr>
          <w:rFonts w:eastAsia="宋体"/>
          <w:kern w:val="2"/>
          <w:szCs w:val="24"/>
          <w:lang w:eastAsia="zh-CN"/>
        </w:rPr>
        <w:t>August 16, 2019</w:t>
      </w:r>
    </w:p>
    <w:p w14:paraId="226CBF20" w14:textId="31765AA8" w:rsidR="007D70F4" w:rsidRPr="007D70F4" w:rsidRDefault="007D70F4" w:rsidP="007D70F4">
      <w:pPr>
        <w:suppressAutoHyphens w:val="0"/>
        <w:overflowPunct/>
        <w:autoSpaceDE/>
        <w:autoSpaceDN/>
        <w:textAlignment w:val="auto"/>
        <w:rPr>
          <w:rFonts w:eastAsia="宋体"/>
          <w:color w:val="000000"/>
          <w:kern w:val="2"/>
          <w:szCs w:val="24"/>
          <w:lang w:eastAsia="zh-CN"/>
        </w:rPr>
      </w:pPr>
      <w:r w:rsidRPr="007D70F4">
        <w:rPr>
          <w:rFonts w:eastAsia="宋体"/>
          <w:b/>
          <w:kern w:val="2"/>
          <w:szCs w:val="24"/>
          <w:lang w:eastAsia="zh-CN"/>
        </w:rPr>
        <w:t>Accepted:</w:t>
      </w:r>
      <w:r w:rsidR="00E54C6F" w:rsidRPr="00E54C6F">
        <w:t xml:space="preserve"> </w:t>
      </w:r>
      <w:r w:rsidR="00E54C6F" w:rsidRPr="00E54C6F">
        <w:rPr>
          <w:rFonts w:eastAsia="宋体"/>
          <w:kern w:val="2"/>
          <w:szCs w:val="24"/>
          <w:lang w:eastAsia="zh-CN"/>
        </w:rPr>
        <w:t>September 13, 2019</w:t>
      </w:r>
      <w:r w:rsidRPr="00E54C6F">
        <w:rPr>
          <w:rFonts w:eastAsia="宋体"/>
          <w:kern w:val="2"/>
          <w:szCs w:val="24"/>
          <w:lang w:eastAsia="zh-CN"/>
        </w:rPr>
        <w:t xml:space="preserve"> </w:t>
      </w:r>
    </w:p>
    <w:p w14:paraId="40ECE639" w14:textId="77777777" w:rsidR="007D70F4" w:rsidRPr="007D70F4" w:rsidRDefault="007D70F4" w:rsidP="007D70F4">
      <w:pPr>
        <w:suppressAutoHyphens w:val="0"/>
        <w:overflowPunct/>
        <w:autoSpaceDE/>
        <w:autoSpaceDN/>
        <w:textAlignment w:val="auto"/>
        <w:rPr>
          <w:rFonts w:eastAsia="宋体"/>
          <w:b/>
          <w:kern w:val="2"/>
          <w:szCs w:val="24"/>
          <w:lang w:eastAsia="zh-CN"/>
        </w:rPr>
      </w:pPr>
      <w:r w:rsidRPr="007D70F4">
        <w:rPr>
          <w:rFonts w:eastAsia="宋体"/>
          <w:b/>
          <w:kern w:val="2"/>
          <w:szCs w:val="24"/>
          <w:lang w:eastAsia="zh-CN"/>
        </w:rPr>
        <w:t>Article in press:</w:t>
      </w:r>
    </w:p>
    <w:p w14:paraId="453A60B4" w14:textId="1D7FA139" w:rsidR="000437D3" w:rsidRPr="007D70F4" w:rsidRDefault="007D70F4" w:rsidP="007D70F4">
      <w:pPr>
        <w:suppressAutoHyphens w:val="0"/>
        <w:overflowPunct/>
        <w:autoSpaceDE/>
        <w:autoSpaceDN/>
        <w:textAlignment w:val="auto"/>
        <w:rPr>
          <w:rFonts w:eastAsia="宋体"/>
          <w:b/>
          <w:kern w:val="2"/>
          <w:szCs w:val="24"/>
          <w:lang w:eastAsia="zh-CN"/>
        </w:rPr>
      </w:pPr>
      <w:r w:rsidRPr="007D70F4">
        <w:rPr>
          <w:rFonts w:eastAsia="宋体"/>
          <w:b/>
          <w:kern w:val="2"/>
          <w:szCs w:val="24"/>
          <w:lang w:eastAsia="zh-CN"/>
        </w:rPr>
        <w:t>Published online:</w:t>
      </w:r>
      <w:bookmarkEnd w:id="24"/>
      <w:bookmarkEnd w:id="25"/>
      <w:bookmarkEnd w:id="26"/>
      <w:bookmarkEnd w:id="27"/>
    </w:p>
    <w:p w14:paraId="55F59723" w14:textId="77777777" w:rsidR="00861C3C" w:rsidRPr="007D70F4" w:rsidRDefault="00861C3C" w:rsidP="008E78B7">
      <w:pPr>
        <w:rPr>
          <w:szCs w:val="24"/>
          <w:lang w:val="en-GB"/>
        </w:rPr>
      </w:pPr>
      <w:r w:rsidRPr="007D70F4">
        <w:rPr>
          <w:szCs w:val="24"/>
          <w:lang w:val="en-GB"/>
        </w:rPr>
        <w:br w:type="page"/>
      </w:r>
    </w:p>
    <w:p w14:paraId="109A28B7" w14:textId="74A22E9C" w:rsidR="00331901" w:rsidRPr="007D70F4" w:rsidRDefault="007D70F4" w:rsidP="008E78B7">
      <w:pPr>
        <w:rPr>
          <w:b/>
          <w:szCs w:val="24"/>
          <w:lang w:val="en-GB"/>
        </w:rPr>
      </w:pPr>
      <w:r w:rsidRPr="007D70F4">
        <w:rPr>
          <w:b/>
          <w:szCs w:val="24"/>
          <w:lang w:val="en-GB"/>
        </w:rPr>
        <w:lastRenderedPageBreak/>
        <w:t>Abstract</w:t>
      </w:r>
    </w:p>
    <w:p w14:paraId="0518A9E9" w14:textId="77777777" w:rsidR="00331901" w:rsidRPr="007D70F4" w:rsidRDefault="00331901" w:rsidP="008E78B7">
      <w:pPr>
        <w:rPr>
          <w:b/>
          <w:i/>
          <w:caps/>
          <w:szCs w:val="24"/>
          <w:lang w:val="en-GB"/>
        </w:rPr>
      </w:pPr>
      <w:r w:rsidRPr="007D70F4">
        <w:rPr>
          <w:b/>
          <w:i/>
          <w:caps/>
          <w:szCs w:val="24"/>
          <w:lang w:val="en-GB"/>
        </w:rPr>
        <w:t>Background</w:t>
      </w:r>
    </w:p>
    <w:p w14:paraId="1E3AF051" w14:textId="77777777" w:rsidR="00331901" w:rsidRPr="007D70F4" w:rsidRDefault="002E5585" w:rsidP="008E78B7">
      <w:pPr>
        <w:rPr>
          <w:szCs w:val="24"/>
          <w:lang w:eastAsia="zh-CN"/>
        </w:rPr>
      </w:pPr>
      <w:r w:rsidRPr="007D70F4">
        <w:rPr>
          <w:szCs w:val="24"/>
          <w:lang w:val="en-GB"/>
        </w:rPr>
        <w:t>Proton pump inhibitors</w:t>
      </w:r>
      <w:r w:rsidR="00331901" w:rsidRPr="007D70F4">
        <w:rPr>
          <w:szCs w:val="24"/>
          <w:lang w:val="en-GB"/>
        </w:rPr>
        <w:t xml:space="preserve"> are often used to prevent gastro-intestinal lesions induced by non</w:t>
      </w:r>
      <w:r w:rsidRPr="007D70F4">
        <w:rPr>
          <w:szCs w:val="24"/>
          <w:lang w:val="en-GB"/>
        </w:rPr>
        <w:t>-</w:t>
      </w:r>
      <w:r w:rsidR="00331901" w:rsidRPr="007D70F4">
        <w:rPr>
          <w:szCs w:val="24"/>
          <w:lang w:val="en-GB"/>
        </w:rPr>
        <w:t>steroidal anti-inflammatory drugs</w:t>
      </w:r>
      <w:r w:rsidR="00331901" w:rsidRPr="007D70F4">
        <w:rPr>
          <w:szCs w:val="24"/>
          <w:lang w:eastAsia="zh-CN"/>
        </w:rPr>
        <w:t xml:space="preserve">. </w:t>
      </w:r>
      <w:r w:rsidRPr="007D70F4">
        <w:rPr>
          <w:szCs w:val="24"/>
          <w:lang w:eastAsia="zh-CN"/>
        </w:rPr>
        <w:t xml:space="preserve">However, they </w:t>
      </w:r>
      <w:r w:rsidR="00331901" w:rsidRPr="007D70F4">
        <w:rPr>
          <w:szCs w:val="24"/>
          <w:lang w:eastAsia="zh-CN"/>
        </w:rPr>
        <w:t xml:space="preserve">are not always effective against both gastric and duodenal lesions and their use is not devoid of side effects. </w:t>
      </w:r>
    </w:p>
    <w:p w14:paraId="62515056" w14:textId="77777777" w:rsidR="00861C3C" w:rsidRPr="007D70F4" w:rsidRDefault="00861C3C" w:rsidP="008E78B7">
      <w:pPr>
        <w:rPr>
          <w:szCs w:val="24"/>
          <w:lang w:eastAsia="zh-CN"/>
        </w:rPr>
      </w:pPr>
    </w:p>
    <w:p w14:paraId="0626AF30" w14:textId="77777777" w:rsidR="007D70F4" w:rsidRPr="007D70F4" w:rsidRDefault="007D70F4" w:rsidP="008E78B7">
      <w:pPr>
        <w:rPr>
          <w:b/>
          <w:color w:val="000000"/>
          <w:szCs w:val="24"/>
          <w:lang w:eastAsia="zh-CN"/>
        </w:rPr>
      </w:pPr>
      <w:r w:rsidRPr="007D70F4">
        <w:rPr>
          <w:b/>
          <w:i/>
          <w:color w:val="000000"/>
          <w:szCs w:val="24"/>
        </w:rPr>
        <w:t>AIM</w:t>
      </w:r>
      <w:r w:rsidRPr="007D70F4">
        <w:rPr>
          <w:rFonts w:hint="eastAsia"/>
          <w:b/>
          <w:color w:val="000000"/>
          <w:szCs w:val="24"/>
          <w:lang w:eastAsia="zh-CN"/>
        </w:rPr>
        <w:t xml:space="preserve"> </w:t>
      </w:r>
    </w:p>
    <w:p w14:paraId="738F10A8" w14:textId="65C3B836" w:rsidR="00331901" w:rsidRPr="007D70F4" w:rsidRDefault="00C21EB7" w:rsidP="008E78B7">
      <w:pPr>
        <w:rPr>
          <w:szCs w:val="24"/>
          <w:lang w:val="en-GB"/>
        </w:rPr>
      </w:pPr>
      <w:r w:rsidRPr="007D70F4">
        <w:rPr>
          <w:szCs w:val="24"/>
          <w:lang w:val="en-GB"/>
        </w:rPr>
        <w:t xml:space="preserve">To explore the mechanisms mediating the clinical efficacy of STW 5 in gastro-duodenal lesions induced by </w:t>
      </w:r>
      <w:r w:rsidR="007D70F4" w:rsidRPr="007D70F4">
        <w:rPr>
          <w:rStyle w:val="Absatz-Standardschriftart"/>
          <w:szCs w:val="24"/>
        </w:rPr>
        <w:t>nonsteroidal anti-inflammatory drugs (</w:t>
      </w:r>
      <w:r w:rsidRPr="007D70F4">
        <w:rPr>
          <w:szCs w:val="24"/>
          <w:lang w:val="en-GB"/>
        </w:rPr>
        <w:t>NSAIDs</w:t>
      </w:r>
      <w:r w:rsidR="007D70F4" w:rsidRPr="007D70F4">
        <w:rPr>
          <w:szCs w:val="24"/>
          <w:lang w:val="en-GB"/>
        </w:rPr>
        <w:t>)</w:t>
      </w:r>
      <w:r w:rsidRPr="007D70F4">
        <w:rPr>
          <w:szCs w:val="24"/>
          <w:lang w:val="en-GB"/>
        </w:rPr>
        <w:t>, exemplified here by diclofenac, in a comparison to omeprazole.</w:t>
      </w:r>
    </w:p>
    <w:p w14:paraId="3B0582F5" w14:textId="77777777" w:rsidR="009D59D9" w:rsidRPr="007D70F4" w:rsidRDefault="009D59D9" w:rsidP="008E78B7">
      <w:pPr>
        <w:rPr>
          <w:szCs w:val="24"/>
          <w:lang w:val="en-GB"/>
        </w:rPr>
      </w:pPr>
    </w:p>
    <w:p w14:paraId="527EE04F" w14:textId="7CFE18AC" w:rsidR="00331901" w:rsidRPr="007D70F4" w:rsidRDefault="00331901" w:rsidP="008E78B7">
      <w:pPr>
        <w:rPr>
          <w:b/>
          <w:i/>
          <w:caps/>
          <w:szCs w:val="24"/>
          <w:lang w:val="en-GB"/>
        </w:rPr>
      </w:pPr>
      <w:r w:rsidRPr="007D70F4">
        <w:rPr>
          <w:b/>
          <w:i/>
          <w:caps/>
          <w:szCs w:val="24"/>
          <w:lang w:val="en-GB"/>
        </w:rPr>
        <w:t xml:space="preserve">Methods </w:t>
      </w:r>
    </w:p>
    <w:p w14:paraId="68702A76" w14:textId="7ADD1B05" w:rsidR="00331901" w:rsidRPr="007D70F4" w:rsidRDefault="00331901" w:rsidP="008E78B7">
      <w:pPr>
        <w:rPr>
          <w:szCs w:val="24"/>
          <w:lang w:val="en-GB"/>
        </w:rPr>
      </w:pPr>
      <w:r w:rsidRPr="007D70F4">
        <w:rPr>
          <w:szCs w:val="24"/>
          <w:lang w:val="en-GB"/>
        </w:rPr>
        <w:t>Gastro-duodenal lesions were induced in rats by oral administration of diclofenac (5 mg/</w:t>
      </w:r>
      <w:r w:rsidR="007D70F4" w:rsidRPr="007D70F4">
        <w:rPr>
          <w:szCs w:val="24"/>
          <w:lang w:val="en-GB"/>
        </w:rPr>
        <w:t>k</w:t>
      </w:r>
      <w:r w:rsidRPr="007D70F4">
        <w:rPr>
          <w:szCs w:val="24"/>
          <w:lang w:val="en-GB"/>
        </w:rPr>
        <w:t>g) for 6 successive days. One group was given concurrently STW 5 (5 m</w:t>
      </w:r>
      <w:r w:rsidR="007D70F4" w:rsidRPr="007D70F4">
        <w:rPr>
          <w:szCs w:val="24"/>
          <w:lang w:val="en-GB"/>
        </w:rPr>
        <w:t>L</w:t>
      </w:r>
      <w:r w:rsidRPr="007D70F4">
        <w:rPr>
          <w:szCs w:val="24"/>
          <w:lang w:val="en-GB"/>
        </w:rPr>
        <w:t xml:space="preserve">/kg) while another was given omeprazole (20 mg/kg). A day later, animals were sacrificed, stomach and duodenum excised and divided into 2 segments: </w:t>
      </w:r>
      <w:r w:rsidR="007D70F4" w:rsidRPr="007D70F4">
        <w:rPr>
          <w:szCs w:val="24"/>
          <w:lang w:val="en-GB"/>
        </w:rPr>
        <w:t>O</w:t>
      </w:r>
      <w:r w:rsidRPr="007D70F4">
        <w:rPr>
          <w:szCs w:val="24"/>
          <w:lang w:val="en-GB"/>
        </w:rPr>
        <w:t>ne for histological examination and one for measuring inflammatory medi</w:t>
      </w:r>
      <w:r w:rsidR="002E5585" w:rsidRPr="007D70F4">
        <w:rPr>
          <w:szCs w:val="24"/>
          <w:lang w:val="en-GB"/>
        </w:rPr>
        <w:t>ators (tumor necrosis factor α</w:t>
      </w:r>
      <w:r w:rsidR="007D70F4">
        <w:rPr>
          <w:szCs w:val="24"/>
          <w:lang w:val="en-GB"/>
        </w:rPr>
        <w:t>,</w:t>
      </w:r>
      <w:r w:rsidR="002E5585" w:rsidRPr="007D70F4">
        <w:rPr>
          <w:szCs w:val="24"/>
          <w:lang w:val="en-GB"/>
        </w:rPr>
        <w:t xml:space="preserve"> </w:t>
      </w:r>
      <w:r w:rsidR="002A356E" w:rsidRPr="007D70F4">
        <w:rPr>
          <w:szCs w:val="24"/>
          <w:lang w:val="en-GB"/>
        </w:rPr>
        <w:t>interleukins-1β and</w:t>
      </w:r>
      <w:r w:rsidR="009C0520" w:rsidRPr="007D70F4">
        <w:rPr>
          <w:szCs w:val="24"/>
          <w:lang w:val="en-GB"/>
        </w:rPr>
        <w:t xml:space="preserve"> </w:t>
      </w:r>
      <w:r w:rsidR="002A356E" w:rsidRPr="007D70F4">
        <w:rPr>
          <w:szCs w:val="24"/>
          <w:lang w:val="en-GB"/>
        </w:rPr>
        <w:t xml:space="preserve">10), </w:t>
      </w:r>
      <w:r w:rsidRPr="007D70F4">
        <w:rPr>
          <w:szCs w:val="24"/>
          <w:lang w:val="en-GB"/>
        </w:rPr>
        <w:t>oxidative stress enzyme</w:t>
      </w:r>
      <w:r w:rsidR="002A356E" w:rsidRPr="007D70F4">
        <w:rPr>
          <w:szCs w:val="24"/>
          <w:lang w:val="en-GB"/>
        </w:rPr>
        <w:t xml:space="preserve"> (</w:t>
      </w:r>
      <w:r w:rsidRPr="007D70F4">
        <w:rPr>
          <w:szCs w:val="24"/>
          <w:lang w:val="en-GB"/>
        </w:rPr>
        <w:t>heme oxygenase-1</w:t>
      </w:r>
      <w:r w:rsidR="001B2686" w:rsidRPr="007D70F4">
        <w:rPr>
          <w:szCs w:val="24"/>
          <w:lang w:val="en-GB"/>
        </w:rPr>
        <w:t>) and apoptosis regulator (B-cell lymphoma 2)</w:t>
      </w:r>
      <w:r w:rsidRPr="007D70F4">
        <w:rPr>
          <w:szCs w:val="24"/>
          <w:lang w:val="en-GB"/>
        </w:rPr>
        <w:t xml:space="preserve">. </w:t>
      </w:r>
    </w:p>
    <w:p w14:paraId="33237392" w14:textId="77777777" w:rsidR="00861C3C" w:rsidRPr="007D70F4" w:rsidRDefault="00861C3C" w:rsidP="008E78B7">
      <w:pPr>
        <w:rPr>
          <w:szCs w:val="24"/>
          <w:lang w:val="en-GB"/>
        </w:rPr>
      </w:pPr>
    </w:p>
    <w:p w14:paraId="3219E30F" w14:textId="59D09CFD" w:rsidR="00331901" w:rsidRPr="007D70F4" w:rsidRDefault="00331901" w:rsidP="008E78B7">
      <w:pPr>
        <w:rPr>
          <w:b/>
          <w:i/>
          <w:caps/>
          <w:szCs w:val="24"/>
          <w:lang w:val="en-GB"/>
        </w:rPr>
      </w:pPr>
      <w:r w:rsidRPr="007D70F4">
        <w:rPr>
          <w:b/>
          <w:i/>
          <w:caps/>
          <w:szCs w:val="24"/>
          <w:lang w:val="en-GB"/>
        </w:rPr>
        <w:t xml:space="preserve">Results </w:t>
      </w:r>
    </w:p>
    <w:p w14:paraId="26288966" w14:textId="77777777" w:rsidR="00331901" w:rsidRPr="007D70F4" w:rsidRDefault="00331901" w:rsidP="008E78B7">
      <w:pPr>
        <w:rPr>
          <w:rFonts w:eastAsia="宋体"/>
          <w:szCs w:val="24"/>
          <w:lang w:eastAsia="zh-CN"/>
        </w:rPr>
      </w:pPr>
      <w:r w:rsidRPr="007D70F4">
        <w:rPr>
          <w:szCs w:val="24"/>
          <w:lang w:val="en-GB"/>
        </w:rPr>
        <w:t xml:space="preserve">Diclofenac caused overt histological damage in both tissues, associated with parallel changes in all parameters measured. STW5 and omeprazole effectively </w:t>
      </w:r>
      <w:r w:rsidRPr="007D70F4">
        <w:rPr>
          <w:rFonts w:eastAsia="宋体"/>
          <w:szCs w:val="24"/>
          <w:lang w:eastAsia="zh-CN"/>
        </w:rPr>
        <w:t xml:space="preserve">prevented these changes, but STW 5 superseded omeprazole in protecting against histological damage, particularly in the duodenum. </w:t>
      </w:r>
    </w:p>
    <w:p w14:paraId="2C02819C" w14:textId="77777777" w:rsidR="00861C3C" w:rsidRPr="007D70F4" w:rsidRDefault="00861C3C" w:rsidP="008E78B7">
      <w:pPr>
        <w:rPr>
          <w:szCs w:val="24"/>
          <w:lang w:eastAsia="zh-CN"/>
        </w:rPr>
      </w:pPr>
    </w:p>
    <w:p w14:paraId="7C2BC473" w14:textId="519DC103" w:rsidR="00331901" w:rsidRPr="007D70F4" w:rsidRDefault="00331901" w:rsidP="008E78B7">
      <w:pPr>
        <w:rPr>
          <w:b/>
          <w:i/>
          <w:caps/>
          <w:szCs w:val="24"/>
          <w:lang w:eastAsia="zh-CN"/>
        </w:rPr>
      </w:pPr>
      <w:r w:rsidRPr="007D70F4">
        <w:rPr>
          <w:b/>
          <w:i/>
          <w:caps/>
          <w:szCs w:val="24"/>
          <w:lang w:eastAsia="zh-CN"/>
        </w:rPr>
        <w:t xml:space="preserve">Conclusion </w:t>
      </w:r>
    </w:p>
    <w:p w14:paraId="59048EF1" w14:textId="0F6291A5" w:rsidR="00861C3C" w:rsidRDefault="00331901" w:rsidP="008E78B7">
      <w:pPr>
        <w:rPr>
          <w:szCs w:val="24"/>
          <w:lang w:eastAsia="zh-CN"/>
        </w:rPr>
      </w:pPr>
      <w:r w:rsidRPr="007D70F4">
        <w:rPr>
          <w:szCs w:val="24"/>
          <w:lang w:eastAsia="zh-CN"/>
        </w:rPr>
        <w:t>The findings support the therapeutic usefulness of STW 5 and its superiority over omeprazole as adjuvant therapy to NSAIDs to protect against their possible gastro-duodenal side effects.</w:t>
      </w:r>
    </w:p>
    <w:p w14:paraId="537A201C" w14:textId="0F2EC2B8" w:rsidR="007D70F4" w:rsidRDefault="007D70F4" w:rsidP="008E78B7">
      <w:pPr>
        <w:rPr>
          <w:rFonts w:eastAsiaTheme="minorEastAsia"/>
          <w:szCs w:val="24"/>
          <w:lang w:eastAsia="zh-CN"/>
        </w:rPr>
      </w:pPr>
    </w:p>
    <w:p w14:paraId="1E0319C9" w14:textId="77777777" w:rsidR="006F37BB" w:rsidRDefault="006F37BB" w:rsidP="008E78B7">
      <w:pPr>
        <w:rPr>
          <w:noProof/>
          <w:szCs w:val="24"/>
        </w:rPr>
      </w:pPr>
      <w:bookmarkStart w:id="28" w:name="_Hlk8052531"/>
      <w:r w:rsidRPr="006F37BB">
        <w:rPr>
          <w:rFonts w:eastAsiaTheme="minorEastAsia"/>
          <w:b/>
          <w:szCs w:val="24"/>
          <w:lang w:val="hu-HU" w:eastAsia="zh-CN"/>
        </w:rPr>
        <w:lastRenderedPageBreak/>
        <w:t>Key words:</w:t>
      </w:r>
      <w:bookmarkEnd w:id="28"/>
      <w:r>
        <w:rPr>
          <w:rFonts w:eastAsiaTheme="minorEastAsia"/>
          <w:szCs w:val="24"/>
          <w:lang w:val="hu-HU" w:eastAsia="zh-CN"/>
        </w:rPr>
        <w:t xml:space="preserve"> </w:t>
      </w:r>
      <w:bookmarkStart w:id="29" w:name="OLE_LINK1084"/>
      <w:r w:rsidR="00331901" w:rsidRPr="007D70F4">
        <w:rPr>
          <w:noProof/>
          <w:szCs w:val="24"/>
        </w:rPr>
        <w:t>Diclofenac</w:t>
      </w:r>
      <w:bookmarkEnd w:id="29"/>
      <w:r>
        <w:rPr>
          <w:noProof/>
          <w:szCs w:val="24"/>
        </w:rPr>
        <w:t>;</w:t>
      </w:r>
      <w:r w:rsidR="00331901" w:rsidRPr="007D70F4">
        <w:rPr>
          <w:noProof/>
          <w:szCs w:val="24"/>
        </w:rPr>
        <w:t xml:space="preserve"> </w:t>
      </w:r>
      <w:bookmarkStart w:id="30" w:name="OLE_LINK1085"/>
      <w:r w:rsidR="00331901" w:rsidRPr="007D70F4">
        <w:rPr>
          <w:noProof/>
          <w:szCs w:val="24"/>
        </w:rPr>
        <w:t>STW 5</w:t>
      </w:r>
      <w:bookmarkEnd w:id="30"/>
      <w:r>
        <w:rPr>
          <w:noProof/>
          <w:szCs w:val="24"/>
        </w:rPr>
        <w:t>;</w:t>
      </w:r>
      <w:r w:rsidR="00331901" w:rsidRPr="007D70F4">
        <w:rPr>
          <w:noProof/>
          <w:szCs w:val="24"/>
        </w:rPr>
        <w:t xml:space="preserve"> </w:t>
      </w:r>
      <w:bookmarkStart w:id="31" w:name="OLE_LINK1086"/>
      <w:r w:rsidR="00331901" w:rsidRPr="007D70F4">
        <w:rPr>
          <w:noProof/>
          <w:szCs w:val="24"/>
        </w:rPr>
        <w:t>Omeprazo</w:t>
      </w:r>
      <w:r w:rsidR="002E5585" w:rsidRPr="007D70F4">
        <w:rPr>
          <w:noProof/>
          <w:szCs w:val="24"/>
        </w:rPr>
        <w:t>le</w:t>
      </w:r>
      <w:bookmarkEnd w:id="31"/>
      <w:r>
        <w:rPr>
          <w:noProof/>
          <w:szCs w:val="24"/>
        </w:rPr>
        <w:t>;</w:t>
      </w:r>
      <w:r w:rsidR="002E5585" w:rsidRPr="007D70F4">
        <w:rPr>
          <w:noProof/>
          <w:szCs w:val="24"/>
        </w:rPr>
        <w:t xml:space="preserve"> </w:t>
      </w:r>
      <w:bookmarkStart w:id="32" w:name="OLE_LINK1087"/>
      <w:r w:rsidR="002E5585" w:rsidRPr="007D70F4">
        <w:rPr>
          <w:noProof/>
          <w:szCs w:val="24"/>
        </w:rPr>
        <w:t>Gastro-intestinal lesions</w:t>
      </w:r>
      <w:bookmarkEnd w:id="32"/>
      <w:r>
        <w:rPr>
          <w:noProof/>
          <w:szCs w:val="24"/>
        </w:rPr>
        <w:t>;</w:t>
      </w:r>
      <w:r w:rsidR="002E5585" w:rsidRPr="007D70F4">
        <w:rPr>
          <w:noProof/>
          <w:szCs w:val="24"/>
        </w:rPr>
        <w:t xml:space="preserve"> </w:t>
      </w:r>
      <w:bookmarkStart w:id="33" w:name="OLE_LINK1088"/>
      <w:r w:rsidR="002E5585" w:rsidRPr="007D70F4">
        <w:rPr>
          <w:noProof/>
          <w:szCs w:val="24"/>
        </w:rPr>
        <w:t>I</w:t>
      </w:r>
      <w:r w:rsidR="00331901" w:rsidRPr="007D70F4">
        <w:rPr>
          <w:noProof/>
          <w:szCs w:val="24"/>
        </w:rPr>
        <w:t>nflammation</w:t>
      </w:r>
      <w:bookmarkEnd w:id="33"/>
    </w:p>
    <w:p w14:paraId="029DA118" w14:textId="1F67E880" w:rsidR="00AF2F6A" w:rsidRPr="006F37BB" w:rsidRDefault="00AF2F6A" w:rsidP="008E78B7">
      <w:pPr>
        <w:rPr>
          <w:rFonts w:eastAsiaTheme="minorEastAsia"/>
          <w:szCs w:val="24"/>
          <w:lang w:eastAsia="zh-CN"/>
        </w:rPr>
      </w:pPr>
      <w:bookmarkStart w:id="34" w:name="OLE_LINK19"/>
      <w:bookmarkStart w:id="35" w:name="OLE_LINK20"/>
      <w:bookmarkStart w:id="36" w:name="_Hlk13493442"/>
      <w:bookmarkStart w:id="37" w:name="_Hlk5627428"/>
    </w:p>
    <w:p w14:paraId="7192A205" w14:textId="6F8D9812" w:rsidR="006F37BB" w:rsidRPr="006F37BB" w:rsidRDefault="006F37BB" w:rsidP="006F37BB">
      <w:pPr>
        <w:rPr>
          <w:szCs w:val="24"/>
        </w:rPr>
      </w:pPr>
      <w:bookmarkStart w:id="38" w:name="OLE_LINK148"/>
      <w:bookmarkStart w:id="39" w:name="OLE_LINK149"/>
      <w:bookmarkStart w:id="40" w:name="OLE_LINK200"/>
      <w:bookmarkStart w:id="41" w:name="OLE_LINK288"/>
      <w:bookmarkStart w:id="42" w:name="OLE_LINK1864"/>
      <w:bookmarkStart w:id="43" w:name="OLE_LINK16"/>
      <w:bookmarkStart w:id="44" w:name="OLE_LINK382"/>
      <w:bookmarkStart w:id="45" w:name="OLE_LINK306"/>
      <w:bookmarkStart w:id="46" w:name="OLE_LINK569"/>
      <w:bookmarkStart w:id="47" w:name="OLE_LINK682"/>
      <w:bookmarkStart w:id="48" w:name="_Hlk8052550"/>
      <w:r w:rsidRPr="006F37BB">
        <w:rPr>
          <w:b/>
          <w:szCs w:val="24"/>
        </w:rPr>
        <w:t>© The Author(s) 201</w:t>
      </w:r>
      <w:r>
        <w:rPr>
          <w:b/>
          <w:szCs w:val="24"/>
        </w:rPr>
        <w:t>9</w:t>
      </w:r>
      <w:r w:rsidRPr="006F37BB">
        <w:rPr>
          <w:b/>
          <w:szCs w:val="24"/>
        </w:rPr>
        <w:t>.</w:t>
      </w:r>
      <w:r w:rsidRPr="006F37BB">
        <w:rPr>
          <w:szCs w:val="24"/>
        </w:rPr>
        <w:t xml:space="preserve"> Published by Baishideng Publishing Group Inc. All rights reserved.</w:t>
      </w:r>
      <w:bookmarkEnd w:id="38"/>
      <w:bookmarkEnd w:id="39"/>
      <w:bookmarkEnd w:id="40"/>
      <w:bookmarkEnd w:id="41"/>
      <w:bookmarkEnd w:id="42"/>
      <w:bookmarkEnd w:id="43"/>
      <w:bookmarkEnd w:id="44"/>
      <w:bookmarkEnd w:id="45"/>
      <w:bookmarkEnd w:id="46"/>
      <w:bookmarkEnd w:id="47"/>
    </w:p>
    <w:bookmarkEnd w:id="48"/>
    <w:p w14:paraId="5F5FFD8B" w14:textId="77777777" w:rsidR="00861C3C" w:rsidRPr="007D70F4" w:rsidRDefault="00861C3C" w:rsidP="008E78B7">
      <w:pPr>
        <w:rPr>
          <w:szCs w:val="24"/>
        </w:rPr>
      </w:pPr>
    </w:p>
    <w:p w14:paraId="3DC7C9BB" w14:textId="4FB56F33" w:rsidR="004A2853" w:rsidRDefault="00F4075D" w:rsidP="008E78B7">
      <w:pPr>
        <w:rPr>
          <w:szCs w:val="24"/>
        </w:rPr>
      </w:pPr>
      <w:r w:rsidRPr="007D70F4">
        <w:rPr>
          <w:b/>
          <w:noProof/>
          <w:szCs w:val="24"/>
        </w:rPr>
        <w:t>Core tip:</w:t>
      </w:r>
      <w:bookmarkEnd w:id="34"/>
      <w:bookmarkEnd w:id="35"/>
      <w:r w:rsidRPr="007D70F4">
        <w:rPr>
          <w:rFonts w:eastAsia="Arial Unicode MS" w:cs="Arial Unicode MS"/>
          <w:b/>
          <w:color w:val="FF0000"/>
          <w:szCs w:val="24"/>
        </w:rPr>
        <w:t xml:space="preserve"> </w:t>
      </w:r>
      <w:bookmarkStart w:id="49" w:name="_Hlk10190041"/>
      <w:bookmarkStart w:id="50" w:name="_Hlk12004771"/>
      <w:bookmarkEnd w:id="36"/>
      <w:r w:rsidR="004A2853" w:rsidRPr="007D70F4">
        <w:rPr>
          <w:szCs w:val="24"/>
        </w:rPr>
        <w:t>The herbal preparation STW 5, clinically used in functional dyspepsia and irritable bowel syndrome, was compared to omeprazole in protecting against diclofenac- induced gastro-duodenal lesions in rats. Both drugs were effective in preventing changes in the level of inflammatory mediators (</w:t>
      </w:r>
      <w:r w:rsidR="006F37BB" w:rsidRPr="007D70F4">
        <w:rPr>
          <w:szCs w:val="24"/>
          <w:lang w:val="en-GB"/>
        </w:rPr>
        <w:t>tumor necrosis factor α</w:t>
      </w:r>
      <w:r w:rsidR="006F37BB">
        <w:rPr>
          <w:szCs w:val="24"/>
          <w:lang w:val="en-GB"/>
        </w:rPr>
        <w:t>,</w:t>
      </w:r>
      <w:r w:rsidR="006F37BB" w:rsidRPr="007D70F4">
        <w:rPr>
          <w:szCs w:val="24"/>
          <w:lang w:val="en-GB"/>
        </w:rPr>
        <w:t xml:space="preserve"> interleukins-1β and 10</w:t>
      </w:r>
      <w:r w:rsidR="004A2853" w:rsidRPr="007D70F4">
        <w:rPr>
          <w:szCs w:val="24"/>
        </w:rPr>
        <w:t xml:space="preserve">), in the level of the oxidative stress enzyme, </w:t>
      </w:r>
      <w:r w:rsidR="006F37BB" w:rsidRPr="007D70F4">
        <w:rPr>
          <w:szCs w:val="24"/>
          <w:lang w:val="en-GB"/>
        </w:rPr>
        <w:t>heme oxygenase-1</w:t>
      </w:r>
      <w:r w:rsidR="004A2853" w:rsidRPr="007D70F4">
        <w:rPr>
          <w:szCs w:val="24"/>
        </w:rPr>
        <w:t>, and the apoptotic regulator (</w:t>
      </w:r>
      <w:r w:rsidR="006F37BB" w:rsidRPr="007D70F4">
        <w:rPr>
          <w:szCs w:val="24"/>
          <w:lang w:val="en-GB"/>
        </w:rPr>
        <w:t>B-cell lymphoma 2</w:t>
      </w:r>
      <w:r w:rsidR="004A2853" w:rsidRPr="007D70F4">
        <w:rPr>
          <w:szCs w:val="24"/>
        </w:rPr>
        <w:t>) in both stomach and duodenum. However, STW 5 was more effective than omeprazole in protecting against the histological damage. The results emphasize the potential usefulness of STW 5 and its superiority over omeprazole in protecting against gastro-</w:t>
      </w:r>
      <w:r w:rsidR="009C0520" w:rsidRPr="007D70F4">
        <w:rPr>
          <w:szCs w:val="24"/>
        </w:rPr>
        <w:t>duodena</w:t>
      </w:r>
      <w:r w:rsidR="004A2853" w:rsidRPr="007D70F4">
        <w:rPr>
          <w:szCs w:val="24"/>
        </w:rPr>
        <w:t xml:space="preserve">l lesions induced by </w:t>
      </w:r>
      <w:r w:rsidR="006F37BB" w:rsidRPr="007D70F4">
        <w:rPr>
          <w:rStyle w:val="Absatz-Standardschriftart"/>
          <w:szCs w:val="24"/>
        </w:rPr>
        <w:t>nonsteroidal anti-inflammatory drugs</w:t>
      </w:r>
      <w:r w:rsidR="00232A9D" w:rsidRPr="007D70F4">
        <w:rPr>
          <w:szCs w:val="24"/>
        </w:rPr>
        <w:t>.</w:t>
      </w:r>
    </w:p>
    <w:p w14:paraId="592A4DAD" w14:textId="77777777" w:rsidR="00A12AE8" w:rsidRPr="007D70F4" w:rsidRDefault="00A12AE8" w:rsidP="00A12AE8">
      <w:pPr>
        <w:rPr>
          <w:szCs w:val="24"/>
          <w:lang w:val="en-GB"/>
        </w:rPr>
      </w:pPr>
    </w:p>
    <w:p w14:paraId="4E09A078" w14:textId="0D62A0D7" w:rsidR="00F4075D" w:rsidRPr="00252D89" w:rsidRDefault="00A12AE8" w:rsidP="008E78B7">
      <w:pPr>
        <w:rPr>
          <w:bCs/>
          <w:iCs/>
          <w:szCs w:val="24"/>
          <w:lang w:val="en-GB"/>
        </w:rPr>
      </w:pPr>
      <w:r w:rsidRPr="007D70F4">
        <w:rPr>
          <w:rStyle w:val="Absatz-Standardschriftart"/>
          <w:rFonts w:cs="Calibri"/>
          <w:szCs w:val="24"/>
        </w:rPr>
        <w:t>Khayyal</w:t>
      </w:r>
      <w:r w:rsidRPr="007D70F4">
        <w:rPr>
          <w:szCs w:val="24"/>
          <w:lang w:eastAsia="zh-CN"/>
        </w:rPr>
        <w:t xml:space="preserve"> MT</w:t>
      </w:r>
      <w:r>
        <w:rPr>
          <w:szCs w:val="24"/>
          <w:lang w:eastAsia="zh-CN"/>
        </w:rPr>
        <w:t>,</w:t>
      </w:r>
      <w:r w:rsidRPr="007D70F4">
        <w:rPr>
          <w:szCs w:val="24"/>
          <w:lang w:eastAsia="zh-CN"/>
        </w:rPr>
        <w:t xml:space="preserve"> </w:t>
      </w:r>
      <w:r w:rsidRPr="007D70F4">
        <w:rPr>
          <w:rStyle w:val="Absatz-Standardschriftart"/>
          <w:rFonts w:cs="Calibri"/>
          <w:szCs w:val="24"/>
        </w:rPr>
        <w:t>Wadie</w:t>
      </w:r>
      <w:r w:rsidRPr="00A12AE8">
        <w:rPr>
          <w:bCs/>
          <w:szCs w:val="24"/>
          <w:lang w:val="en-GB"/>
        </w:rPr>
        <w:t xml:space="preserve"> </w:t>
      </w:r>
      <w:r>
        <w:rPr>
          <w:bCs/>
          <w:szCs w:val="24"/>
          <w:lang w:val="en-GB"/>
        </w:rPr>
        <w:t xml:space="preserve">W, </w:t>
      </w:r>
      <w:r w:rsidRPr="007D70F4">
        <w:rPr>
          <w:rStyle w:val="Absatz-Standardschriftart"/>
          <w:rFonts w:cs="Calibri"/>
          <w:szCs w:val="24"/>
        </w:rPr>
        <w:t>Abd El-Haleim</w:t>
      </w:r>
      <w:r w:rsidRPr="00A12AE8">
        <w:rPr>
          <w:bCs/>
          <w:szCs w:val="24"/>
          <w:lang w:val="en-GB"/>
        </w:rPr>
        <w:t xml:space="preserve"> </w:t>
      </w:r>
      <w:r>
        <w:rPr>
          <w:bCs/>
          <w:szCs w:val="24"/>
          <w:lang w:val="en-GB"/>
        </w:rPr>
        <w:t xml:space="preserve">EA, </w:t>
      </w:r>
      <w:r w:rsidRPr="007D70F4">
        <w:rPr>
          <w:rStyle w:val="Absatz-Standardschriftart"/>
          <w:szCs w:val="24"/>
        </w:rPr>
        <w:t>Ahmed</w:t>
      </w:r>
      <w:r w:rsidRPr="00A12AE8">
        <w:rPr>
          <w:bCs/>
          <w:szCs w:val="24"/>
          <w:lang w:val="en-GB"/>
        </w:rPr>
        <w:t xml:space="preserve"> </w:t>
      </w:r>
      <w:r>
        <w:rPr>
          <w:bCs/>
          <w:szCs w:val="24"/>
          <w:lang w:val="en-GB"/>
        </w:rPr>
        <w:t xml:space="preserve">KA, </w:t>
      </w:r>
      <w:r w:rsidRPr="007D70F4">
        <w:rPr>
          <w:rStyle w:val="Absatz-Standardschriftart"/>
          <w:rFonts w:cs="Calibri"/>
          <w:szCs w:val="24"/>
        </w:rPr>
        <w:t>Kelber</w:t>
      </w:r>
      <w:r w:rsidRPr="00A12AE8">
        <w:rPr>
          <w:bCs/>
          <w:szCs w:val="24"/>
          <w:lang w:val="en-GB"/>
        </w:rPr>
        <w:t xml:space="preserve"> </w:t>
      </w:r>
      <w:r>
        <w:rPr>
          <w:bCs/>
          <w:szCs w:val="24"/>
          <w:lang w:val="en-GB"/>
        </w:rPr>
        <w:t xml:space="preserve">O, </w:t>
      </w:r>
      <w:r w:rsidRPr="007D70F4">
        <w:rPr>
          <w:rStyle w:val="Absatz-Standardschriftart"/>
          <w:rFonts w:cs="Calibri"/>
          <w:szCs w:val="24"/>
        </w:rPr>
        <w:t>Ammar</w:t>
      </w:r>
      <w:r w:rsidRPr="00A12AE8">
        <w:rPr>
          <w:bCs/>
          <w:szCs w:val="24"/>
          <w:lang w:val="en-GB"/>
        </w:rPr>
        <w:t xml:space="preserve"> </w:t>
      </w:r>
      <w:r>
        <w:rPr>
          <w:bCs/>
          <w:szCs w:val="24"/>
          <w:lang w:val="en-GB"/>
        </w:rPr>
        <w:t xml:space="preserve">RM, </w:t>
      </w:r>
      <w:r w:rsidRPr="007D70F4">
        <w:rPr>
          <w:rStyle w:val="Absatz-Standardschriftart"/>
          <w:rFonts w:cs="Calibri"/>
          <w:szCs w:val="24"/>
        </w:rPr>
        <w:t>Abdel-Aziz</w:t>
      </w:r>
      <w:r w:rsidRPr="00A12AE8">
        <w:rPr>
          <w:bCs/>
          <w:szCs w:val="24"/>
          <w:lang w:val="en-GB"/>
        </w:rPr>
        <w:t xml:space="preserve"> </w:t>
      </w:r>
      <w:r>
        <w:rPr>
          <w:bCs/>
          <w:szCs w:val="24"/>
          <w:lang w:val="en-GB"/>
        </w:rPr>
        <w:t xml:space="preserve">H. </w:t>
      </w:r>
      <w:r w:rsidRPr="00A12AE8">
        <w:rPr>
          <w:bCs/>
          <w:szCs w:val="24"/>
          <w:lang w:val="en-GB"/>
        </w:rPr>
        <w:t xml:space="preserve">STW 5 is effective against </w:t>
      </w:r>
      <w:r w:rsidRPr="00A12AE8">
        <w:rPr>
          <w:rStyle w:val="Absatz-Standardschriftart"/>
          <w:bCs/>
          <w:szCs w:val="24"/>
        </w:rPr>
        <w:t>nonsteroidal anti-inflammatory drugs</w:t>
      </w:r>
      <w:r w:rsidRPr="00A12AE8">
        <w:rPr>
          <w:bCs/>
          <w:szCs w:val="24"/>
          <w:lang w:val="en-GB"/>
        </w:rPr>
        <w:t xml:space="preserve"> induced gastro-duodenal lesions in rats</w:t>
      </w:r>
      <w:r>
        <w:rPr>
          <w:bCs/>
          <w:szCs w:val="24"/>
          <w:lang w:val="en-GB"/>
        </w:rPr>
        <w:t xml:space="preserve">. </w:t>
      </w:r>
      <w:r w:rsidRPr="007D70F4">
        <w:rPr>
          <w:i/>
          <w:szCs w:val="24"/>
        </w:rPr>
        <w:t>World J Gastroenterol</w:t>
      </w:r>
      <w:r>
        <w:rPr>
          <w:i/>
          <w:szCs w:val="24"/>
        </w:rPr>
        <w:t xml:space="preserve"> </w:t>
      </w:r>
      <w:r>
        <w:rPr>
          <w:iCs/>
          <w:szCs w:val="24"/>
        </w:rPr>
        <w:t>2019; In press</w:t>
      </w:r>
      <w:bookmarkStart w:id="51" w:name="_Hlk5629955"/>
      <w:bookmarkEnd w:id="37"/>
      <w:bookmarkEnd w:id="49"/>
      <w:bookmarkEnd w:id="50"/>
    </w:p>
    <w:bookmarkEnd w:id="51"/>
    <w:p w14:paraId="625DFD39" w14:textId="77777777" w:rsidR="00F4075D" w:rsidRPr="007D70F4" w:rsidRDefault="00F4075D" w:rsidP="008E78B7">
      <w:pPr>
        <w:rPr>
          <w:noProof/>
          <w:szCs w:val="24"/>
        </w:rPr>
      </w:pPr>
      <w:r w:rsidRPr="007D70F4">
        <w:rPr>
          <w:noProof/>
          <w:szCs w:val="24"/>
        </w:rPr>
        <w:br w:type="page"/>
      </w:r>
    </w:p>
    <w:p w14:paraId="053938A9" w14:textId="5B4CBD79" w:rsidR="000A5936" w:rsidRPr="007D70F4" w:rsidRDefault="004A2853" w:rsidP="008E78B7">
      <w:pPr>
        <w:pStyle w:val="1"/>
        <w:rPr>
          <w:szCs w:val="24"/>
        </w:rPr>
      </w:pPr>
      <w:r w:rsidRPr="007D70F4">
        <w:rPr>
          <w:rStyle w:val="Absatz-Standardschriftart"/>
          <w:szCs w:val="24"/>
        </w:rPr>
        <w:lastRenderedPageBreak/>
        <w:t>INTRODUCTION</w:t>
      </w:r>
    </w:p>
    <w:p w14:paraId="348C33A0" w14:textId="77777777" w:rsidR="009D59D9" w:rsidRPr="007D70F4" w:rsidRDefault="00F243D3" w:rsidP="008E78B7">
      <w:pPr>
        <w:rPr>
          <w:rStyle w:val="Absatz-Standardschriftart"/>
          <w:szCs w:val="24"/>
        </w:rPr>
      </w:pPr>
      <w:r w:rsidRPr="007D70F4">
        <w:rPr>
          <w:rStyle w:val="Absatz-Standardschriftart"/>
          <w:szCs w:val="24"/>
        </w:rPr>
        <w:t>The long</w:t>
      </w:r>
      <w:r w:rsidR="00331901" w:rsidRPr="007D70F4">
        <w:rPr>
          <w:rStyle w:val="Absatz-Standardschriftart"/>
          <w:szCs w:val="24"/>
        </w:rPr>
        <w:t>-</w:t>
      </w:r>
      <w:r w:rsidRPr="007D70F4">
        <w:rPr>
          <w:rStyle w:val="Absatz-Standardschriftart"/>
          <w:szCs w:val="24"/>
        </w:rPr>
        <w:t>term use of nonsteroidal anti-inflammatory drugs</w:t>
      </w:r>
      <w:r w:rsidR="000C27E5" w:rsidRPr="007D70F4">
        <w:rPr>
          <w:rStyle w:val="Absatz-Standardschriftart"/>
          <w:szCs w:val="24"/>
        </w:rPr>
        <w:t xml:space="preserve"> (NSAIDs)</w:t>
      </w:r>
      <w:r w:rsidRPr="007D70F4">
        <w:rPr>
          <w:rStyle w:val="Absatz-Standardschriftart"/>
          <w:szCs w:val="24"/>
        </w:rPr>
        <w:t>, such as diclofenac, has been reported to cause various adverse effects on the gastro-intestinal tract, including lesions in the stomach and duodenum, irritation of the mucosal surface and dyspepsia</w:t>
      </w:r>
      <w:r w:rsidR="002F3972" w:rsidRPr="007D70F4">
        <w:rPr>
          <w:rStyle w:val="Absatz-Standardschriftart"/>
          <w:szCs w:val="24"/>
          <w:vertAlign w:val="superscript"/>
        </w:rPr>
        <w:t>[</w:t>
      </w:r>
      <w:r w:rsidRPr="007D70F4">
        <w:rPr>
          <w:rStyle w:val="Absatz-Standardschriftart"/>
          <w:szCs w:val="24"/>
          <w:vertAlign w:val="superscript"/>
        </w:rPr>
        <w:t>1</w:t>
      </w:r>
      <w:r w:rsidR="002F3972" w:rsidRPr="007D70F4">
        <w:rPr>
          <w:rStyle w:val="Absatz-Standardschriftart"/>
          <w:szCs w:val="24"/>
          <w:vertAlign w:val="superscript"/>
        </w:rPr>
        <w:t>]</w:t>
      </w:r>
      <w:r w:rsidRPr="007D70F4">
        <w:rPr>
          <w:rStyle w:val="Absatz-Standardschriftart"/>
          <w:szCs w:val="24"/>
        </w:rPr>
        <w:t>. Various mechanisms have been involved in the development of these side effects, such as local epithelial irritation, inhibition of prostaglandin synthesis, and interference with barrier function and mucosal blood flow</w:t>
      </w:r>
      <w:r w:rsidR="002F3972" w:rsidRPr="007D70F4">
        <w:rPr>
          <w:rStyle w:val="Absatz-Standardschriftart"/>
          <w:szCs w:val="24"/>
          <w:vertAlign w:val="superscript"/>
        </w:rPr>
        <w:t>[</w:t>
      </w:r>
      <w:r w:rsidRPr="007D70F4">
        <w:rPr>
          <w:rStyle w:val="Absatz-Standardschriftart"/>
          <w:szCs w:val="24"/>
          <w:vertAlign w:val="superscript"/>
        </w:rPr>
        <w:t>2</w:t>
      </w:r>
      <w:r w:rsidR="002F3972" w:rsidRPr="007D70F4">
        <w:rPr>
          <w:rStyle w:val="Absatz-Standardschriftart"/>
          <w:szCs w:val="24"/>
          <w:vertAlign w:val="superscript"/>
        </w:rPr>
        <w:t>]</w:t>
      </w:r>
      <w:r w:rsidRPr="007D70F4">
        <w:rPr>
          <w:rStyle w:val="Absatz-Standardschriftart"/>
          <w:szCs w:val="24"/>
        </w:rPr>
        <w:t>. While proton pump inhibitors (PPIs) have been advocated to protect against the injurious effect of NSAIDs, some authors failed to show that omeprazole was capable of healing mucosal lesions caused by diclofenac</w:t>
      </w:r>
      <w:r w:rsidR="002F3972" w:rsidRPr="007D70F4">
        <w:rPr>
          <w:rStyle w:val="Absatz-Standardschriftart"/>
          <w:szCs w:val="24"/>
          <w:vertAlign w:val="superscript"/>
        </w:rPr>
        <w:t>[</w:t>
      </w:r>
      <w:r w:rsidRPr="007D70F4">
        <w:rPr>
          <w:rStyle w:val="Absatz-Standardschriftart"/>
          <w:szCs w:val="24"/>
          <w:vertAlign w:val="superscript"/>
        </w:rPr>
        <w:t>3</w:t>
      </w:r>
      <w:r w:rsidR="002F3972" w:rsidRPr="007D70F4">
        <w:rPr>
          <w:rStyle w:val="Absatz-Standardschriftart"/>
          <w:szCs w:val="24"/>
          <w:vertAlign w:val="superscript"/>
        </w:rPr>
        <w:t>]</w:t>
      </w:r>
      <w:r w:rsidRPr="007D70F4">
        <w:rPr>
          <w:rStyle w:val="Absatz-Standardschriftart"/>
          <w:szCs w:val="24"/>
        </w:rPr>
        <w:t xml:space="preserve">. Because of the fact that PPIs and other agents like H2 receptor blockers are not devoid of side effects on their own, attention has been shifted to the use of relatively safe and better tolerated herbal preparations. </w:t>
      </w:r>
    </w:p>
    <w:p w14:paraId="7F3F53DA" w14:textId="7CF3EB06" w:rsidR="000A5936" w:rsidRPr="007D70F4" w:rsidRDefault="00F243D3" w:rsidP="00A310A1">
      <w:pPr>
        <w:ind w:firstLineChars="100" w:firstLine="240"/>
        <w:rPr>
          <w:szCs w:val="24"/>
        </w:rPr>
      </w:pPr>
      <w:r w:rsidRPr="007D70F4">
        <w:rPr>
          <w:rStyle w:val="Absatz-Standardschriftart"/>
          <w:szCs w:val="24"/>
        </w:rPr>
        <w:t>A recent review article</w:t>
      </w:r>
      <w:r w:rsidR="002F3972" w:rsidRPr="007D70F4">
        <w:rPr>
          <w:rStyle w:val="Absatz-Standardschriftart"/>
          <w:szCs w:val="24"/>
          <w:vertAlign w:val="superscript"/>
        </w:rPr>
        <w:t>[</w:t>
      </w:r>
      <w:r w:rsidRPr="007D70F4">
        <w:rPr>
          <w:rStyle w:val="Absatz-Standardschriftart"/>
          <w:szCs w:val="24"/>
          <w:vertAlign w:val="superscript"/>
        </w:rPr>
        <w:t>4</w:t>
      </w:r>
      <w:r w:rsidR="002F3972" w:rsidRPr="007D70F4">
        <w:rPr>
          <w:rStyle w:val="Absatz-Standardschriftart"/>
          <w:szCs w:val="24"/>
          <w:vertAlign w:val="superscript"/>
        </w:rPr>
        <w:t>]</w:t>
      </w:r>
      <w:r w:rsidRPr="007D70F4">
        <w:rPr>
          <w:rStyle w:val="Absatz-Standardschriftart"/>
          <w:szCs w:val="24"/>
          <w:vertAlign w:val="superscript"/>
        </w:rPr>
        <w:t xml:space="preserve"> </w:t>
      </w:r>
      <w:r w:rsidRPr="007D70F4">
        <w:rPr>
          <w:rStyle w:val="Absatz-Standardschriftart"/>
          <w:szCs w:val="24"/>
        </w:rPr>
        <w:t>emphasizes the use of natural products and herbal medicines to counteract the undesirable side effects of NSAIDs. One of the herbal preparations with established clinical efficacy in gastro-intestinal disorders such as functional dyspepsia and irritable bowel syndrome</w:t>
      </w:r>
      <w:r w:rsidR="002F3972" w:rsidRPr="007D70F4">
        <w:rPr>
          <w:rStyle w:val="Absatz-Standardschriftart"/>
          <w:szCs w:val="24"/>
          <w:vertAlign w:val="superscript"/>
        </w:rPr>
        <w:t>[</w:t>
      </w:r>
      <w:r w:rsidR="00F64132" w:rsidRPr="007D70F4">
        <w:rPr>
          <w:rStyle w:val="Absatz-Standardschriftart"/>
          <w:szCs w:val="24"/>
          <w:vertAlign w:val="superscript"/>
        </w:rPr>
        <w:t>5</w:t>
      </w:r>
      <w:r w:rsidR="002F3972" w:rsidRPr="007D70F4">
        <w:rPr>
          <w:rStyle w:val="Absatz-Standardschriftart"/>
          <w:szCs w:val="24"/>
          <w:vertAlign w:val="superscript"/>
        </w:rPr>
        <w:t>]</w:t>
      </w:r>
      <w:r w:rsidRPr="007D70F4">
        <w:rPr>
          <w:rStyle w:val="Absatz-Standardschriftart"/>
          <w:szCs w:val="24"/>
        </w:rPr>
        <w:t xml:space="preserve"> </w:t>
      </w:r>
      <w:r w:rsidR="008200F8" w:rsidRPr="007D70F4">
        <w:rPr>
          <w:rStyle w:val="Absatz-Standardschriftart"/>
          <w:szCs w:val="24"/>
        </w:rPr>
        <w:t>as well as in drug-induced gastro-</w:t>
      </w:r>
      <w:r w:rsidR="00F64132" w:rsidRPr="007D70F4">
        <w:rPr>
          <w:rStyle w:val="Absatz-Standardschriftart"/>
          <w:szCs w:val="24"/>
        </w:rPr>
        <w:t>intestinal disturbances</w:t>
      </w:r>
      <w:r w:rsidR="002F3972" w:rsidRPr="007D70F4">
        <w:rPr>
          <w:rStyle w:val="Absatz-Standardschriftart"/>
          <w:szCs w:val="24"/>
          <w:vertAlign w:val="superscript"/>
        </w:rPr>
        <w:t>[</w:t>
      </w:r>
      <w:r w:rsidR="00F64132" w:rsidRPr="007D70F4">
        <w:rPr>
          <w:rStyle w:val="Absatz-Standardschriftart"/>
          <w:szCs w:val="24"/>
          <w:vertAlign w:val="superscript"/>
        </w:rPr>
        <w:t>6</w:t>
      </w:r>
      <w:r w:rsidR="002F3972" w:rsidRPr="007D70F4">
        <w:rPr>
          <w:rStyle w:val="Absatz-Standardschriftart"/>
          <w:szCs w:val="24"/>
          <w:vertAlign w:val="superscript"/>
        </w:rPr>
        <w:t>]</w:t>
      </w:r>
      <w:r w:rsidR="00F64132" w:rsidRPr="007D70F4">
        <w:rPr>
          <w:rStyle w:val="Absatz-Standardschriftart"/>
          <w:szCs w:val="24"/>
        </w:rPr>
        <w:t xml:space="preserve"> </w:t>
      </w:r>
      <w:r w:rsidR="00F24388" w:rsidRPr="007D70F4">
        <w:rPr>
          <w:rStyle w:val="Absatz-Standardschriftart"/>
          <w:szCs w:val="24"/>
        </w:rPr>
        <w:t>is STW 5.</w:t>
      </w:r>
      <w:r w:rsidRPr="007D70F4">
        <w:rPr>
          <w:rStyle w:val="Absatz-Standardschriftart"/>
          <w:szCs w:val="24"/>
        </w:rPr>
        <w:t xml:space="preserve"> </w:t>
      </w:r>
      <w:r w:rsidR="00F24388" w:rsidRPr="007D70F4">
        <w:rPr>
          <w:rStyle w:val="Absatz-Standardschriftart"/>
          <w:szCs w:val="24"/>
        </w:rPr>
        <w:t xml:space="preserve">It </w:t>
      </w:r>
      <w:r w:rsidR="000D20A4" w:rsidRPr="007D70F4">
        <w:rPr>
          <w:rStyle w:val="Absatz-Standardschriftart"/>
          <w:szCs w:val="24"/>
        </w:rPr>
        <w:t>was shown to have</w:t>
      </w:r>
      <w:r w:rsidRPr="007D70F4">
        <w:rPr>
          <w:rStyle w:val="Absatz-Standardschriftart"/>
          <w:szCs w:val="24"/>
        </w:rPr>
        <w:t xml:space="preserve"> a favorable safety profile</w:t>
      </w:r>
      <w:r w:rsidR="002F3972" w:rsidRPr="007D70F4">
        <w:rPr>
          <w:rStyle w:val="Absatz-Standardschriftart"/>
          <w:szCs w:val="24"/>
          <w:vertAlign w:val="superscript"/>
        </w:rPr>
        <w:t>[</w:t>
      </w:r>
      <w:r w:rsidR="00451377" w:rsidRPr="007D70F4">
        <w:rPr>
          <w:rStyle w:val="Absatz-Standardschriftart"/>
          <w:szCs w:val="24"/>
          <w:vertAlign w:val="superscript"/>
        </w:rPr>
        <w:t>7</w:t>
      </w:r>
      <w:r w:rsidR="002F3972" w:rsidRPr="007D70F4">
        <w:rPr>
          <w:rStyle w:val="Absatz-Standardschriftart"/>
          <w:szCs w:val="24"/>
          <w:vertAlign w:val="superscript"/>
        </w:rPr>
        <w:t>]</w:t>
      </w:r>
      <w:r w:rsidRPr="007D70F4">
        <w:rPr>
          <w:rStyle w:val="Absatz-Standardschriftart"/>
          <w:szCs w:val="24"/>
        </w:rPr>
        <w:t xml:space="preserve"> and has recently been included in a Rome IV treatment algorithm as a treatment option for functional dyspepsia</w:t>
      </w:r>
      <w:r w:rsidR="002F3972" w:rsidRPr="007D70F4">
        <w:rPr>
          <w:rStyle w:val="Absatz-Standardschriftart"/>
          <w:szCs w:val="24"/>
          <w:vertAlign w:val="superscript"/>
        </w:rPr>
        <w:t>[</w:t>
      </w:r>
      <w:r w:rsidRPr="007D70F4">
        <w:rPr>
          <w:rStyle w:val="Absatz-Standardschriftart"/>
          <w:szCs w:val="24"/>
          <w:vertAlign w:val="superscript"/>
        </w:rPr>
        <w:t>8</w:t>
      </w:r>
      <w:r w:rsidR="002F3972" w:rsidRPr="007D70F4">
        <w:rPr>
          <w:rStyle w:val="Absatz-Standardschriftart"/>
          <w:szCs w:val="24"/>
          <w:vertAlign w:val="superscript"/>
        </w:rPr>
        <w:t>]</w:t>
      </w:r>
      <w:r w:rsidRPr="007D70F4">
        <w:rPr>
          <w:rStyle w:val="Absatz-Standardschriftart"/>
          <w:szCs w:val="24"/>
        </w:rPr>
        <w:t>.</w:t>
      </w:r>
    </w:p>
    <w:p w14:paraId="5892DF1C" w14:textId="75E1D137" w:rsidR="000A5936" w:rsidRPr="007D70F4" w:rsidRDefault="00F243D3" w:rsidP="00A310A1">
      <w:pPr>
        <w:ind w:firstLineChars="100" w:firstLine="240"/>
        <w:rPr>
          <w:szCs w:val="24"/>
        </w:rPr>
      </w:pPr>
      <w:r w:rsidRPr="007D70F4">
        <w:rPr>
          <w:rStyle w:val="Absatz-Standardschriftart"/>
          <w:szCs w:val="24"/>
        </w:rPr>
        <w:t xml:space="preserve">The anti-inflammatory and mucosal protective properties of STW 5 were investigated and documented in several animal models of </w:t>
      </w:r>
      <w:hyperlink r:id="rId15" w:history="1">
        <w:r w:rsidR="00A310A1" w:rsidRPr="00A310A1">
          <w:rPr>
            <w:rStyle w:val="a3"/>
            <w:color w:val="000000" w:themeColor="text1"/>
            <w:szCs w:val="24"/>
            <w:u w:val="none"/>
          </w:rPr>
          <w:t>gastrointestinal</w:t>
        </w:r>
      </w:hyperlink>
      <w:r w:rsidR="00A310A1" w:rsidRPr="00A310A1">
        <w:rPr>
          <w:szCs w:val="24"/>
        </w:rPr>
        <w:t xml:space="preserve"> </w:t>
      </w:r>
      <w:r w:rsidR="00A310A1">
        <w:rPr>
          <w:szCs w:val="24"/>
        </w:rPr>
        <w:t>(</w:t>
      </w:r>
      <w:r w:rsidRPr="007D70F4">
        <w:rPr>
          <w:rStyle w:val="Absatz-Standardschriftart"/>
          <w:szCs w:val="24"/>
        </w:rPr>
        <w:t>GI</w:t>
      </w:r>
      <w:r w:rsidR="00A310A1">
        <w:rPr>
          <w:rStyle w:val="Absatz-Standardschriftart"/>
          <w:szCs w:val="24"/>
        </w:rPr>
        <w:t>)</w:t>
      </w:r>
      <w:r w:rsidRPr="007D70F4">
        <w:rPr>
          <w:rStyle w:val="Absatz-Standardschriftart"/>
          <w:szCs w:val="24"/>
        </w:rPr>
        <w:t xml:space="preserve"> disorders, including reflux esophagitis</w:t>
      </w:r>
      <w:r w:rsidR="002F3972" w:rsidRPr="007D70F4">
        <w:rPr>
          <w:rStyle w:val="Absatz-Standardschriftart"/>
          <w:szCs w:val="24"/>
          <w:vertAlign w:val="superscript"/>
        </w:rPr>
        <w:t>[</w:t>
      </w:r>
      <w:r w:rsidRPr="007D70F4">
        <w:rPr>
          <w:rStyle w:val="Absatz-Standardschriftart"/>
          <w:szCs w:val="24"/>
          <w:vertAlign w:val="superscript"/>
        </w:rPr>
        <w:t>9</w:t>
      </w:r>
      <w:r w:rsidR="002F3972" w:rsidRPr="007D70F4">
        <w:rPr>
          <w:rStyle w:val="Absatz-Standardschriftart"/>
          <w:szCs w:val="24"/>
          <w:vertAlign w:val="superscript"/>
        </w:rPr>
        <w:t>]</w:t>
      </w:r>
      <w:r w:rsidRPr="007D70F4">
        <w:rPr>
          <w:rStyle w:val="Absatz-Standardschriftart"/>
          <w:szCs w:val="24"/>
        </w:rPr>
        <w:t>, gastric ulcer</w:t>
      </w:r>
      <w:r w:rsidR="002F3972" w:rsidRPr="007D70F4">
        <w:rPr>
          <w:rStyle w:val="Absatz-Standardschriftart"/>
          <w:szCs w:val="24"/>
          <w:vertAlign w:val="superscript"/>
        </w:rPr>
        <w:t>[</w:t>
      </w:r>
      <w:r w:rsidRPr="007D70F4">
        <w:rPr>
          <w:rStyle w:val="Absatz-Standardschriftart"/>
          <w:szCs w:val="24"/>
          <w:vertAlign w:val="superscript"/>
        </w:rPr>
        <w:t>10</w:t>
      </w:r>
      <w:r w:rsidR="002F3972" w:rsidRPr="007D70F4">
        <w:rPr>
          <w:rStyle w:val="Absatz-Standardschriftart"/>
          <w:szCs w:val="24"/>
          <w:vertAlign w:val="superscript"/>
        </w:rPr>
        <w:t>]</w:t>
      </w:r>
      <w:r w:rsidRPr="007D70F4">
        <w:rPr>
          <w:rStyle w:val="Absatz-Standardschriftart"/>
          <w:szCs w:val="24"/>
        </w:rPr>
        <w:t xml:space="preserve"> and ulcerative colitis</w:t>
      </w:r>
      <w:r w:rsidR="002F3972" w:rsidRPr="007D70F4">
        <w:rPr>
          <w:rStyle w:val="Absatz-Standardschriftart"/>
          <w:szCs w:val="24"/>
          <w:vertAlign w:val="superscript"/>
        </w:rPr>
        <w:t>[</w:t>
      </w:r>
      <w:r w:rsidRPr="007D70F4">
        <w:rPr>
          <w:rStyle w:val="Absatz-Standardschriftart"/>
          <w:szCs w:val="24"/>
          <w:vertAlign w:val="superscript"/>
        </w:rPr>
        <w:t>11</w:t>
      </w:r>
      <w:r w:rsidR="002F3972" w:rsidRPr="007D70F4">
        <w:rPr>
          <w:rStyle w:val="Absatz-Standardschriftart"/>
          <w:szCs w:val="24"/>
          <w:vertAlign w:val="superscript"/>
        </w:rPr>
        <w:t>]</w:t>
      </w:r>
      <w:r w:rsidRPr="007D70F4">
        <w:rPr>
          <w:rStyle w:val="Absatz-Standardschriftart"/>
          <w:szCs w:val="24"/>
        </w:rPr>
        <w:t>.</w:t>
      </w:r>
      <w:r w:rsidR="00A310A1">
        <w:rPr>
          <w:rFonts w:eastAsiaTheme="minorEastAsia" w:hint="eastAsia"/>
          <w:szCs w:val="24"/>
          <w:lang w:eastAsia="zh-CN"/>
        </w:rPr>
        <w:t xml:space="preserve"> </w:t>
      </w:r>
      <w:r w:rsidRPr="007D70F4">
        <w:rPr>
          <w:rStyle w:val="Absatz-Standardschriftart"/>
          <w:szCs w:val="24"/>
        </w:rPr>
        <w:t>The present study aims at shedding more light on mechanisms mediating the clinical efficacy of STW 5 in gastro-duodenal lesions induced by NSAIDs</w:t>
      </w:r>
      <w:r w:rsidR="00C21EB7" w:rsidRPr="007D70F4">
        <w:rPr>
          <w:rStyle w:val="Absatz-Standardschriftart"/>
          <w:szCs w:val="24"/>
          <w:vertAlign w:val="superscript"/>
        </w:rPr>
        <w:t>[6]</w:t>
      </w:r>
      <w:r w:rsidRPr="007D70F4">
        <w:rPr>
          <w:rStyle w:val="Absatz-Standardschriftart"/>
          <w:szCs w:val="24"/>
        </w:rPr>
        <w:t>, exemplified here by diclofenac, using an experimental model.</w:t>
      </w:r>
    </w:p>
    <w:p w14:paraId="5326D8C1" w14:textId="77777777" w:rsidR="00602AEB" w:rsidRDefault="00602AEB" w:rsidP="008E78B7">
      <w:pPr>
        <w:pStyle w:val="2"/>
        <w:rPr>
          <w:rStyle w:val="Absatz-Standardschriftart"/>
          <w:szCs w:val="24"/>
        </w:rPr>
      </w:pPr>
    </w:p>
    <w:p w14:paraId="4BD5A856" w14:textId="17BA82BF" w:rsidR="00602AEB" w:rsidRPr="00602AEB" w:rsidRDefault="00602AEB" w:rsidP="00602AEB">
      <w:pPr>
        <w:widowControl/>
        <w:suppressAutoHyphens w:val="0"/>
        <w:overflowPunct/>
        <w:autoSpaceDE/>
        <w:autoSpaceDN/>
        <w:adjustRightInd w:val="0"/>
        <w:snapToGrid w:val="0"/>
        <w:textAlignment w:val="auto"/>
        <w:rPr>
          <w:rStyle w:val="Absatz-Standardschriftart"/>
          <w:rFonts w:eastAsia="宋体"/>
          <w:b/>
          <w:color w:val="000000"/>
          <w:kern w:val="0"/>
          <w:szCs w:val="24"/>
          <w:lang w:eastAsia="en-US"/>
        </w:rPr>
      </w:pPr>
      <w:r w:rsidRPr="00602AEB">
        <w:rPr>
          <w:rFonts w:eastAsia="宋体"/>
          <w:b/>
          <w:color w:val="000000"/>
          <w:kern w:val="0"/>
          <w:szCs w:val="24"/>
          <w:lang w:eastAsia="en-US"/>
        </w:rPr>
        <w:t>MATERIALS AND METHODS</w:t>
      </w:r>
    </w:p>
    <w:p w14:paraId="3FD87269" w14:textId="14563FAE" w:rsidR="008958ED" w:rsidRPr="007D70F4" w:rsidRDefault="00F243D3" w:rsidP="008E78B7">
      <w:pPr>
        <w:pStyle w:val="2"/>
        <w:rPr>
          <w:rStyle w:val="Absatz-Standardschriftart"/>
          <w:szCs w:val="24"/>
        </w:rPr>
      </w:pPr>
      <w:r w:rsidRPr="007D70F4">
        <w:rPr>
          <w:rStyle w:val="Absatz-Standardschriftart"/>
          <w:szCs w:val="24"/>
        </w:rPr>
        <w:t>Animals</w:t>
      </w:r>
    </w:p>
    <w:p w14:paraId="2D4FBDE9" w14:textId="21F2EE83" w:rsidR="000A5936" w:rsidRPr="007D70F4" w:rsidRDefault="00F243D3" w:rsidP="008E78B7">
      <w:pPr>
        <w:rPr>
          <w:szCs w:val="24"/>
          <w:lang w:val="en-GB"/>
        </w:rPr>
      </w:pPr>
      <w:r w:rsidRPr="007D70F4">
        <w:rPr>
          <w:rStyle w:val="Absatz-Standardschriftart"/>
          <w:szCs w:val="24"/>
        </w:rPr>
        <w:t xml:space="preserve">Adult female </w:t>
      </w:r>
      <w:r w:rsidR="00FF6BA8" w:rsidRPr="007D70F4">
        <w:rPr>
          <w:rStyle w:val="Absatz-Standardschriftart"/>
          <w:szCs w:val="24"/>
        </w:rPr>
        <w:t>Wistar</w:t>
      </w:r>
      <w:r w:rsidRPr="007D70F4">
        <w:rPr>
          <w:rStyle w:val="Absatz-Standardschriftart"/>
          <w:szCs w:val="24"/>
        </w:rPr>
        <w:t xml:space="preserve"> rats, each</w:t>
      </w:r>
      <w:r w:rsidR="002E5585" w:rsidRPr="007D70F4">
        <w:rPr>
          <w:rStyle w:val="Absatz-Standardschriftart"/>
          <w:szCs w:val="24"/>
        </w:rPr>
        <w:t xml:space="preserve"> weighing 150-200, were purchased</w:t>
      </w:r>
      <w:r w:rsidRPr="007D70F4">
        <w:rPr>
          <w:rStyle w:val="Absatz-Standardschriftart"/>
          <w:szCs w:val="24"/>
        </w:rPr>
        <w:t xml:space="preserve"> from the National Research Centre, Giza, Egypt. They were </w:t>
      </w:r>
      <w:r w:rsidR="002E5585" w:rsidRPr="007D70F4">
        <w:rPr>
          <w:rStyle w:val="Absatz-Standardschriftart"/>
          <w:szCs w:val="24"/>
        </w:rPr>
        <w:t xml:space="preserve">housed </w:t>
      </w:r>
      <w:r w:rsidR="002075B5" w:rsidRPr="007D70F4">
        <w:rPr>
          <w:rStyle w:val="Absatz-Standardschriftart"/>
          <w:szCs w:val="24"/>
        </w:rPr>
        <w:t xml:space="preserve">in Perspex cages, housing 5 animals per cage, </w:t>
      </w:r>
      <w:r w:rsidR="002E5585" w:rsidRPr="007D70F4">
        <w:rPr>
          <w:rStyle w:val="Absatz-Standardschriftart"/>
          <w:szCs w:val="24"/>
        </w:rPr>
        <w:t>at</w:t>
      </w:r>
      <w:r w:rsidRPr="007D70F4">
        <w:rPr>
          <w:rStyle w:val="Absatz-Standardschriftart"/>
          <w:szCs w:val="24"/>
        </w:rPr>
        <w:t xml:space="preserve"> the Faculty of Pharmacy,</w:t>
      </w:r>
      <w:r w:rsidR="002E5585" w:rsidRPr="007D70F4">
        <w:rPr>
          <w:rStyle w:val="Absatz-Standardschriftart"/>
          <w:szCs w:val="24"/>
        </w:rPr>
        <w:t xml:space="preserve"> Cairo University, at a temperature of 25 ± 2 °C </w:t>
      </w:r>
      <w:r w:rsidR="002E5585" w:rsidRPr="007D70F4">
        <w:rPr>
          <w:rStyle w:val="Absatz-Standardschriftart"/>
          <w:szCs w:val="24"/>
        </w:rPr>
        <w:lastRenderedPageBreak/>
        <w:t xml:space="preserve">and </w:t>
      </w:r>
      <w:r w:rsidRPr="007D70F4">
        <w:rPr>
          <w:rStyle w:val="Absatz-Standardschriftart"/>
          <w:szCs w:val="24"/>
        </w:rPr>
        <w:t>a relative humidity of 60</w:t>
      </w:r>
      <w:r w:rsidR="00602AEB">
        <w:rPr>
          <w:rStyle w:val="Absatz-Standardschriftart"/>
          <w:szCs w:val="24"/>
        </w:rPr>
        <w:t>%-</w:t>
      </w:r>
      <w:r w:rsidRPr="007D70F4">
        <w:rPr>
          <w:rStyle w:val="Absatz-Standardschriftart"/>
          <w:szCs w:val="24"/>
        </w:rPr>
        <w:t>70%</w:t>
      </w:r>
      <w:r w:rsidR="0063559E" w:rsidRPr="007D70F4">
        <w:rPr>
          <w:rStyle w:val="Absatz-Standardschriftart"/>
          <w:szCs w:val="24"/>
        </w:rPr>
        <w:t xml:space="preserve">, </w:t>
      </w:r>
      <w:r w:rsidRPr="007D70F4">
        <w:rPr>
          <w:rStyle w:val="Absatz-Standardschriftart"/>
          <w:szCs w:val="24"/>
        </w:rPr>
        <w:t>and a 12-h light/12-h dark cycle.</w:t>
      </w:r>
      <w:r w:rsidR="00F54B7E" w:rsidRPr="007D70F4">
        <w:rPr>
          <w:rStyle w:val="Absatz-Standardschriftart"/>
          <w:szCs w:val="24"/>
        </w:rPr>
        <w:t xml:space="preserve"> Taking in consideration that the diet might influence the outcome of some pharmacological experiments</w:t>
      </w:r>
      <w:r w:rsidR="00F26604" w:rsidRPr="007D70F4">
        <w:rPr>
          <w:rStyle w:val="Absatz-Standardschriftart"/>
          <w:szCs w:val="24"/>
          <w:vertAlign w:val="superscript"/>
        </w:rPr>
        <w:t>[</w:t>
      </w:r>
      <w:r w:rsidR="003472D2" w:rsidRPr="007D70F4">
        <w:rPr>
          <w:rStyle w:val="Absatz-Standardschriftart"/>
          <w:szCs w:val="24"/>
          <w:vertAlign w:val="superscript"/>
        </w:rPr>
        <w:t>12</w:t>
      </w:r>
      <w:r w:rsidR="00F26604" w:rsidRPr="007D70F4">
        <w:rPr>
          <w:rStyle w:val="Absatz-Standardschriftart"/>
          <w:szCs w:val="24"/>
          <w:vertAlign w:val="superscript"/>
        </w:rPr>
        <w:t>]</w:t>
      </w:r>
      <w:r w:rsidR="00F54B7E" w:rsidRPr="007D70F4">
        <w:rPr>
          <w:szCs w:val="24"/>
        </w:rPr>
        <w:t>, it should be emphasized that the</w:t>
      </w:r>
      <w:r w:rsidRPr="007D70F4">
        <w:rPr>
          <w:rStyle w:val="Absatz-Standardschriftart"/>
          <w:szCs w:val="24"/>
        </w:rPr>
        <w:t xml:space="preserve"> </w:t>
      </w:r>
      <w:r w:rsidR="00F54B7E" w:rsidRPr="007D70F4">
        <w:rPr>
          <w:rFonts w:cstheme="majorBidi"/>
          <w:color w:val="000000"/>
          <w:spacing w:val="-7"/>
          <w:szCs w:val="24"/>
        </w:rPr>
        <w:t>a</w:t>
      </w:r>
      <w:r w:rsidR="007A5389" w:rsidRPr="007D70F4">
        <w:rPr>
          <w:rFonts w:cstheme="majorBidi"/>
          <w:color w:val="000000"/>
          <w:spacing w:val="-7"/>
          <w:szCs w:val="24"/>
        </w:rPr>
        <w:t>nimals were fed a normal chow diet</w:t>
      </w:r>
      <w:r w:rsidR="007A5389" w:rsidRPr="007D70F4">
        <w:rPr>
          <w:rFonts w:cstheme="majorBidi"/>
          <w:b/>
          <w:bCs/>
          <w:color w:val="000000"/>
          <w:spacing w:val="-7"/>
          <w:szCs w:val="24"/>
        </w:rPr>
        <w:t xml:space="preserve"> </w:t>
      </w:r>
      <w:r w:rsidR="007A5389" w:rsidRPr="007D70F4">
        <w:rPr>
          <w:rFonts w:cstheme="majorBidi"/>
          <w:color w:val="000000"/>
          <w:spacing w:val="-7"/>
          <w:szCs w:val="24"/>
        </w:rPr>
        <w:t>consisting of</w:t>
      </w:r>
      <w:r w:rsidR="007A5389" w:rsidRPr="007D70F4">
        <w:rPr>
          <w:rFonts w:cstheme="majorBidi"/>
          <w:b/>
          <w:bCs/>
          <w:color w:val="000000"/>
          <w:spacing w:val="-7"/>
          <w:szCs w:val="24"/>
        </w:rPr>
        <w:t xml:space="preserve"> </w:t>
      </w:r>
      <w:r w:rsidR="007A5389" w:rsidRPr="007D70F4">
        <w:rPr>
          <w:rFonts w:cstheme="majorBidi"/>
          <w:color w:val="000000"/>
          <w:spacing w:val="-7"/>
          <w:szCs w:val="24"/>
        </w:rPr>
        <w:t xml:space="preserve">66% carbohydrates, 22% protein, 6% fats, 3% fiber and 3% minerals and vitamins mixture and purchased from Alfa Media Trade (Giza, Egypt) </w:t>
      </w:r>
      <w:r w:rsidRPr="007D70F4">
        <w:rPr>
          <w:rStyle w:val="Absatz-Standardschriftart"/>
          <w:szCs w:val="24"/>
        </w:rPr>
        <w:t xml:space="preserve">and allowed water </w:t>
      </w:r>
      <w:r w:rsidRPr="007D70F4">
        <w:rPr>
          <w:rStyle w:val="Absatz-Standardschriftart"/>
          <w:i/>
          <w:szCs w:val="24"/>
        </w:rPr>
        <w:t>ad libitum</w:t>
      </w:r>
      <w:r w:rsidRPr="007D70F4">
        <w:rPr>
          <w:rStyle w:val="Absatz-Standardschriftart"/>
          <w:szCs w:val="24"/>
        </w:rPr>
        <w:t>.</w:t>
      </w:r>
      <w:r w:rsidR="00F54B7E" w:rsidRPr="007D70F4">
        <w:rPr>
          <w:rStyle w:val="Absatz-Standardschriftart"/>
          <w:szCs w:val="24"/>
        </w:rPr>
        <w:t xml:space="preserve"> This diet was previously used in</w:t>
      </w:r>
      <w:r w:rsidR="003472D2" w:rsidRPr="007D70F4">
        <w:rPr>
          <w:rStyle w:val="Absatz-Standardschriftart"/>
          <w:szCs w:val="24"/>
        </w:rPr>
        <w:t xml:space="preserve"> earlier experiments with STW 5</w:t>
      </w:r>
      <w:r w:rsidR="000C27E5" w:rsidRPr="007D70F4">
        <w:rPr>
          <w:rStyle w:val="Absatz-Standardschriftart"/>
          <w:szCs w:val="24"/>
          <w:vertAlign w:val="superscript"/>
        </w:rPr>
        <w:t xml:space="preserve"> </w:t>
      </w:r>
      <w:r w:rsidR="000C27E5" w:rsidRPr="007D70F4">
        <w:rPr>
          <w:rStyle w:val="Absatz-Standardschriftart"/>
          <w:szCs w:val="24"/>
        </w:rPr>
        <w:t>with no influence on the outcome of the results</w:t>
      </w:r>
      <w:r w:rsidR="002F3972" w:rsidRPr="007D70F4">
        <w:rPr>
          <w:rStyle w:val="Absatz-Standardschriftart"/>
          <w:szCs w:val="24"/>
          <w:vertAlign w:val="superscript"/>
        </w:rPr>
        <w:t>[</w:t>
      </w:r>
      <w:r w:rsidR="000C27E5" w:rsidRPr="007D70F4">
        <w:rPr>
          <w:rStyle w:val="Absatz-Standardschriftart"/>
          <w:szCs w:val="24"/>
          <w:vertAlign w:val="superscript"/>
        </w:rPr>
        <w:t>11</w:t>
      </w:r>
      <w:r w:rsidR="002F3972" w:rsidRPr="007D70F4">
        <w:rPr>
          <w:rStyle w:val="Absatz-Standardschriftart"/>
          <w:szCs w:val="24"/>
          <w:vertAlign w:val="superscript"/>
        </w:rPr>
        <w:t>]</w:t>
      </w:r>
      <w:r w:rsidR="000C27E5" w:rsidRPr="007D70F4">
        <w:rPr>
          <w:rStyle w:val="Absatz-Standardschriftart"/>
          <w:szCs w:val="24"/>
        </w:rPr>
        <w:t>.</w:t>
      </w:r>
      <w:r w:rsidR="00602AEB">
        <w:rPr>
          <w:rStyle w:val="Absatz-Standardschriftart"/>
          <w:szCs w:val="24"/>
        </w:rPr>
        <w:t xml:space="preserve"> </w:t>
      </w:r>
      <w:r w:rsidR="00CA20D9" w:rsidRPr="007D70F4">
        <w:rPr>
          <w:rStyle w:val="Absatz-Standardschriftart"/>
          <w:szCs w:val="24"/>
        </w:rPr>
        <w:t>They were allowed to acclimatize for 1 wk before being subjected to experimentation.</w:t>
      </w:r>
      <w:r w:rsidR="00602AEB">
        <w:rPr>
          <w:rFonts w:eastAsiaTheme="minorEastAsia" w:hint="eastAsia"/>
          <w:szCs w:val="24"/>
          <w:lang w:val="en-GB" w:eastAsia="zh-CN"/>
        </w:rPr>
        <w:t xml:space="preserve"> </w:t>
      </w:r>
      <w:r w:rsidRPr="007D70F4">
        <w:rPr>
          <w:rStyle w:val="Absatz-Standardschriftart"/>
          <w:szCs w:val="24"/>
        </w:rPr>
        <w:t xml:space="preserve">The study was </w:t>
      </w:r>
      <w:r w:rsidR="00AF1DEA" w:rsidRPr="007D70F4">
        <w:rPr>
          <w:rStyle w:val="Absatz-Standardschriftart"/>
          <w:szCs w:val="24"/>
        </w:rPr>
        <w:t xml:space="preserve">approved by the Ethical Committee for experimentation with laboratory animals (Faculty of Pharmacy, Cairo University) following the revised guidelines of </w:t>
      </w:r>
      <w:r w:rsidRPr="007D70F4">
        <w:rPr>
          <w:rStyle w:val="Absatz-Standardschriftart"/>
          <w:szCs w:val="24"/>
        </w:rPr>
        <w:t>the Eu</w:t>
      </w:r>
      <w:r w:rsidR="00AF1DEA" w:rsidRPr="007D70F4">
        <w:rPr>
          <w:rStyle w:val="Absatz-Standardschriftart"/>
          <w:szCs w:val="24"/>
        </w:rPr>
        <w:t>ropean Economic Community regulations (86/609/EEC</w:t>
      </w:r>
      <w:r w:rsidRPr="007D70F4">
        <w:rPr>
          <w:rStyle w:val="Absatz-Standardschriftart"/>
          <w:szCs w:val="24"/>
        </w:rPr>
        <w:t>) (Permit Number: PT 2292).</w:t>
      </w:r>
    </w:p>
    <w:p w14:paraId="39E8B9E4" w14:textId="77777777" w:rsidR="002F3972" w:rsidRPr="007D70F4" w:rsidRDefault="002F3972" w:rsidP="008E78B7">
      <w:pPr>
        <w:pStyle w:val="2"/>
        <w:rPr>
          <w:rStyle w:val="Absatz-Standardschriftart"/>
          <w:szCs w:val="24"/>
        </w:rPr>
      </w:pPr>
    </w:p>
    <w:p w14:paraId="673562B1" w14:textId="337F68EA" w:rsidR="000A5936" w:rsidRPr="007D70F4" w:rsidRDefault="00F243D3" w:rsidP="008E78B7">
      <w:pPr>
        <w:pStyle w:val="2"/>
        <w:rPr>
          <w:szCs w:val="24"/>
          <w:lang w:val="en-GB"/>
        </w:rPr>
      </w:pPr>
      <w:r w:rsidRPr="007D70F4">
        <w:rPr>
          <w:rStyle w:val="Absatz-Standardschriftart"/>
          <w:szCs w:val="24"/>
        </w:rPr>
        <w:t>Chemicals</w:t>
      </w:r>
    </w:p>
    <w:p w14:paraId="64847EFA" w14:textId="58F87927" w:rsidR="000A5936" w:rsidRPr="007D70F4" w:rsidRDefault="00F243D3" w:rsidP="008E78B7">
      <w:pPr>
        <w:rPr>
          <w:szCs w:val="24"/>
          <w:lang w:val="en-GB"/>
        </w:rPr>
      </w:pPr>
      <w:r w:rsidRPr="007D70F4">
        <w:rPr>
          <w:rStyle w:val="Absatz-Standardschriftart"/>
          <w:szCs w:val="24"/>
        </w:rPr>
        <w:t>Diclofenac was obtaine</w:t>
      </w:r>
      <w:r w:rsidR="00AF1DEA" w:rsidRPr="007D70F4">
        <w:rPr>
          <w:rStyle w:val="Absatz-Standardschriftart"/>
          <w:szCs w:val="24"/>
        </w:rPr>
        <w:t xml:space="preserve">d from Novartis Pharma, </w:t>
      </w:r>
      <w:r w:rsidR="009C0520" w:rsidRPr="007D70F4">
        <w:rPr>
          <w:rStyle w:val="Absatz-Standardschriftart"/>
          <w:szCs w:val="24"/>
        </w:rPr>
        <w:t>Egypt;</w:t>
      </w:r>
      <w:r w:rsidR="00AF1DEA" w:rsidRPr="007D70F4">
        <w:rPr>
          <w:rStyle w:val="Absatz-Standardschriftart"/>
          <w:szCs w:val="24"/>
        </w:rPr>
        <w:t xml:space="preserve"> </w:t>
      </w:r>
      <w:r w:rsidR="009C0520" w:rsidRPr="007D70F4">
        <w:rPr>
          <w:rStyle w:val="Absatz-Standardschriftart"/>
          <w:szCs w:val="24"/>
        </w:rPr>
        <w:t>Omeprazole from Eipico, Egypt; STW</w:t>
      </w:r>
      <w:r w:rsidRPr="007D70F4">
        <w:rPr>
          <w:rStyle w:val="Absatz-Standardschriftart"/>
          <w:szCs w:val="24"/>
        </w:rPr>
        <w:t xml:space="preserve"> 5 (Ibe</w:t>
      </w:r>
      <w:r w:rsidR="00AF1DEA" w:rsidRPr="007D70F4">
        <w:rPr>
          <w:rStyle w:val="Absatz-Standardschriftart"/>
          <w:szCs w:val="24"/>
        </w:rPr>
        <w:t>rogast</w:t>
      </w:r>
      <w:r w:rsidR="00E151F6" w:rsidRPr="007D70F4">
        <w:rPr>
          <w:rStyle w:val="Absatz-Standardschriftart"/>
          <w:szCs w:val="24"/>
          <w:vertAlign w:val="superscript"/>
        </w:rPr>
        <w:t>®</w:t>
      </w:r>
      <w:r w:rsidR="00AF1DEA" w:rsidRPr="007D70F4">
        <w:rPr>
          <w:rStyle w:val="Absatz-Standardschriftart"/>
          <w:szCs w:val="24"/>
        </w:rPr>
        <w:t>) was generously supplied by Steigerwald Arznei</w:t>
      </w:r>
      <w:r w:rsidRPr="007D70F4">
        <w:rPr>
          <w:rStyle w:val="Absatz-Standardschriftart"/>
          <w:szCs w:val="24"/>
        </w:rPr>
        <w:t xml:space="preserve">mittelwerk GmbH, Darmstadt, Germany. </w:t>
      </w:r>
      <w:r w:rsidR="009C0520" w:rsidRPr="007D70F4">
        <w:rPr>
          <w:rStyle w:val="Absatz-Standardschriftart"/>
          <w:szCs w:val="24"/>
        </w:rPr>
        <w:t>STW 5</w:t>
      </w:r>
      <w:r w:rsidRPr="007D70F4">
        <w:rPr>
          <w:rStyle w:val="Absatz-Standardschriftart"/>
          <w:szCs w:val="24"/>
        </w:rPr>
        <w:t xml:space="preserve"> consists of a combination of standardized fixed proportions of hydro-alcoholic extracts of the </w:t>
      </w:r>
      <w:r w:rsidR="009C0520" w:rsidRPr="007D70F4">
        <w:rPr>
          <w:rStyle w:val="Absatz-Standardschriftart"/>
          <w:szCs w:val="24"/>
        </w:rPr>
        <w:t xml:space="preserve">following medicinal </w:t>
      </w:r>
      <w:r w:rsidRPr="007D70F4">
        <w:rPr>
          <w:rStyle w:val="Absatz-Standardschriftart"/>
          <w:szCs w:val="24"/>
        </w:rPr>
        <w:t xml:space="preserve">herbs </w:t>
      </w:r>
      <w:r w:rsidRPr="007D70F4">
        <w:rPr>
          <w:rStyle w:val="Absatz-Standardschriftart"/>
          <w:i/>
          <w:szCs w:val="24"/>
        </w:rPr>
        <w:t>Iberis amara</w:t>
      </w:r>
      <w:r w:rsidRPr="007D70F4">
        <w:rPr>
          <w:rStyle w:val="Absatz-Standardschriftart"/>
          <w:szCs w:val="24"/>
        </w:rPr>
        <w:t xml:space="preserve">, </w:t>
      </w:r>
      <w:r w:rsidRPr="007D70F4">
        <w:rPr>
          <w:rStyle w:val="Absatz-Standardschriftart"/>
          <w:i/>
          <w:szCs w:val="24"/>
        </w:rPr>
        <w:t>Melissa officinalis</w:t>
      </w:r>
      <w:r w:rsidRPr="007D70F4">
        <w:rPr>
          <w:rStyle w:val="Absatz-Standardschriftart"/>
          <w:szCs w:val="24"/>
        </w:rPr>
        <w:t xml:space="preserve">, </w:t>
      </w:r>
      <w:r w:rsidRPr="007D70F4">
        <w:rPr>
          <w:rStyle w:val="Absatz-Standardschriftart"/>
          <w:i/>
          <w:szCs w:val="24"/>
        </w:rPr>
        <w:t>Matricaria recutita</w:t>
      </w:r>
      <w:r w:rsidRPr="007D70F4">
        <w:rPr>
          <w:rStyle w:val="Absatz-Standardschriftart"/>
          <w:szCs w:val="24"/>
        </w:rPr>
        <w:t xml:space="preserve">, </w:t>
      </w:r>
      <w:r w:rsidRPr="007D70F4">
        <w:rPr>
          <w:rStyle w:val="Absatz-Standardschriftart"/>
          <w:i/>
          <w:szCs w:val="24"/>
        </w:rPr>
        <w:t>Carum carvi</w:t>
      </w:r>
      <w:r w:rsidRPr="007D70F4">
        <w:rPr>
          <w:rStyle w:val="Absatz-Standardschriftart"/>
          <w:szCs w:val="24"/>
        </w:rPr>
        <w:t xml:space="preserve">, </w:t>
      </w:r>
      <w:r w:rsidRPr="007D70F4">
        <w:rPr>
          <w:rStyle w:val="Absatz-Standardschriftart"/>
          <w:i/>
          <w:szCs w:val="24"/>
        </w:rPr>
        <w:t>Mentha</w:t>
      </w:r>
      <w:r w:rsidRPr="007D70F4">
        <w:rPr>
          <w:rStyle w:val="Absatz-Standardschriftart"/>
          <w:szCs w:val="24"/>
        </w:rPr>
        <w:t xml:space="preserve"> </w:t>
      </w:r>
      <w:r w:rsidRPr="007D70F4">
        <w:rPr>
          <w:rStyle w:val="Absatz-Standardschriftart"/>
          <w:i/>
          <w:szCs w:val="24"/>
        </w:rPr>
        <w:t>piperita</w:t>
      </w:r>
      <w:r w:rsidRPr="007D70F4">
        <w:rPr>
          <w:rStyle w:val="Absatz-Standardschriftart"/>
          <w:szCs w:val="24"/>
        </w:rPr>
        <w:t xml:space="preserve">, </w:t>
      </w:r>
      <w:r w:rsidRPr="007D70F4">
        <w:rPr>
          <w:rStyle w:val="Absatz-Standardschriftart"/>
          <w:i/>
          <w:szCs w:val="24"/>
        </w:rPr>
        <w:t>Angelica archangelica</w:t>
      </w:r>
      <w:r w:rsidRPr="007D70F4">
        <w:rPr>
          <w:rStyle w:val="Absatz-Standardschriftart"/>
          <w:szCs w:val="24"/>
        </w:rPr>
        <w:t xml:space="preserve">, </w:t>
      </w:r>
      <w:r w:rsidRPr="007D70F4">
        <w:rPr>
          <w:rStyle w:val="Absatz-Standardschriftart"/>
          <w:i/>
          <w:szCs w:val="24"/>
        </w:rPr>
        <w:t>Silybum marianum</w:t>
      </w:r>
      <w:r w:rsidRPr="007D70F4">
        <w:rPr>
          <w:rStyle w:val="Absatz-Standardschriftart"/>
          <w:szCs w:val="24"/>
        </w:rPr>
        <w:t xml:space="preserve">, </w:t>
      </w:r>
      <w:r w:rsidRPr="007D70F4">
        <w:rPr>
          <w:rStyle w:val="Absatz-Standardschriftart"/>
          <w:i/>
          <w:szCs w:val="24"/>
        </w:rPr>
        <w:t>Chelidonium majus</w:t>
      </w:r>
      <w:r w:rsidRPr="007D70F4">
        <w:rPr>
          <w:rStyle w:val="Absatz-Standardschriftart"/>
          <w:szCs w:val="24"/>
        </w:rPr>
        <w:t xml:space="preserve"> and </w:t>
      </w:r>
      <w:r w:rsidRPr="007D70F4">
        <w:rPr>
          <w:rStyle w:val="Absatz-Standardschriftart"/>
          <w:i/>
          <w:szCs w:val="24"/>
        </w:rPr>
        <w:t>Glycyrrhiza glabra</w:t>
      </w:r>
      <w:r w:rsidRPr="007D70F4">
        <w:rPr>
          <w:rStyle w:val="Absatz-Standardschriftart"/>
          <w:szCs w:val="24"/>
        </w:rPr>
        <w:t>.</w:t>
      </w:r>
      <w:r w:rsidR="00602AEB">
        <w:rPr>
          <w:rFonts w:eastAsiaTheme="minorEastAsia" w:hint="eastAsia"/>
          <w:szCs w:val="24"/>
          <w:lang w:val="en-GB" w:eastAsia="zh-CN"/>
        </w:rPr>
        <w:t xml:space="preserve"> </w:t>
      </w:r>
      <w:r w:rsidRPr="007D70F4">
        <w:rPr>
          <w:rStyle w:val="Absatz-Standardschriftart"/>
          <w:szCs w:val="24"/>
        </w:rPr>
        <w:t>The other chemicals used were all of analytical grade.</w:t>
      </w:r>
    </w:p>
    <w:p w14:paraId="7A7CD44C" w14:textId="77777777" w:rsidR="002F3972" w:rsidRPr="007D70F4" w:rsidRDefault="002F3972" w:rsidP="008E78B7">
      <w:pPr>
        <w:pStyle w:val="2"/>
        <w:rPr>
          <w:rStyle w:val="Absatz-Standardschriftart"/>
          <w:szCs w:val="24"/>
        </w:rPr>
      </w:pPr>
    </w:p>
    <w:p w14:paraId="4A0821D3" w14:textId="3F4FFBD4" w:rsidR="000A5936" w:rsidRPr="007D70F4" w:rsidRDefault="004A2853" w:rsidP="008E78B7">
      <w:pPr>
        <w:pStyle w:val="2"/>
        <w:rPr>
          <w:szCs w:val="24"/>
          <w:lang w:val="en-GB"/>
        </w:rPr>
      </w:pPr>
      <w:r w:rsidRPr="007D70F4">
        <w:rPr>
          <w:rStyle w:val="Absatz-Standardschriftart"/>
          <w:szCs w:val="24"/>
        </w:rPr>
        <w:t>Experimental design</w:t>
      </w:r>
    </w:p>
    <w:p w14:paraId="35066FCC" w14:textId="77777777" w:rsidR="000A5936" w:rsidRPr="007D70F4" w:rsidRDefault="00B757B3" w:rsidP="008E78B7">
      <w:pPr>
        <w:rPr>
          <w:szCs w:val="24"/>
          <w:lang w:val="en-GB"/>
        </w:rPr>
      </w:pPr>
      <w:r w:rsidRPr="007D70F4">
        <w:rPr>
          <w:rStyle w:val="Absatz-Standardschriftart"/>
          <w:szCs w:val="24"/>
        </w:rPr>
        <w:t xml:space="preserve">Four groups of animals, consisting of 10 rats each, were </w:t>
      </w:r>
      <w:r w:rsidR="001D71AC" w:rsidRPr="007D70F4">
        <w:rPr>
          <w:rStyle w:val="Absatz-Standardschriftart"/>
          <w:szCs w:val="24"/>
        </w:rPr>
        <w:t xml:space="preserve">randomly </w:t>
      </w:r>
      <w:r w:rsidRPr="007D70F4">
        <w:rPr>
          <w:rStyle w:val="Absatz-Standardschriftart"/>
          <w:szCs w:val="24"/>
        </w:rPr>
        <w:t>allocated</w:t>
      </w:r>
      <w:r w:rsidR="00F243D3" w:rsidRPr="007D70F4">
        <w:rPr>
          <w:rStyle w:val="Absatz-Standardschriftart"/>
          <w:szCs w:val="24"/>
        </w:rPr>
        <w:t xml:space="preserve"> as follows:</w:t>
      </w:r>
    </w:p>
    <w:p w14:paraId="4ADFFC85" w14:textId="0E5E6A1A" w:rsidR="000A5936" w:rsidRPr="007D70F4" w:rsidRDefault="00F243D3" w:rsidP="008E78B7">
      <w:pPr>
        <w:rPr>
          <w:szCs w:val="24"/>
          <w:lang w:val="en-GB"/>
        </w:rPr>
      </w:pPr>
      <w:r w:rsidRPr="007D70F4">
        <w:rPr>
          <w:rStyle w:val="Absatz-Standardschriftart"/>
          <w:szCs w:val="24"/>
        </w:rPr>
        <w:t>Group 1: Norma</w:t>
      </w:r>
      <w:r w:rsidR="00B757B3" w:rsidRPr="007D70F4">
        <w:rPr>
          <w:rStyle w:val="Absatz-Standardschriftart"/>
          <w:szCs w:val="24"/>
        </w:rPr>
        <w:t>l untreated control rats</w:t>
      </w:r>
      <w:r w:rsidR="00602AEB">
        <w:rPr>
          <w:rStyle w:val="Absatz-Standardschriftart"/>
          <w:szCs w:val="24"/>
        </w:rPr>
        <w:t xml:space="preserve">; </w:t>
      </w:r>
      <w:r w:rsidR="00B757B3" w:rsidRPr="007D70F4">
        <w:rPr>
          <w:rStyle w:val="Absatz-Standardschriftart"/>
          <w:szCs w:val="24"/>
        </w:rPr>
        <w:t xml:space="preserve"> Group 2: Rats</w:t>
      </w:r>
      <w:r w:rsidR="00B40014" w:rsidRPr="007D70F4">
        <w:rPr>
          <w:rStyle w:val="Absatz-Standardschriftart"/>
          <w:szCs w:val="24"/>
        </w:rPr>
        <w:t xml:space="preserve"> </w:t>
      </w:r>
      <w:r w:rsidR="00F24388" w:rsidRPr="007D70F4">
        <w:rPr>
          <w:rStyle w:val="Absatz-Standardschriftart"/>
          <w:szCs w:val="24"/>
        </w:rPr>
        <w:t>treated with</w:t>
      </w:r>
      <w:r w:rsidRPr="007D70F4">
        <w:rPr>
          <w:rStyle w:val="Absatz-Standardschriftart"/>
          <w:szCs w:val="24"/>
        </w:rPr>
        <w:t xml:space="preserve"> diclof</w:t>
      </w:r>
      <w:r w:rsidR="00B757B3" w:rsidRPr="007D70F4">
        <w:rPr>
          <w:rStyle w:val="Absatz-Standardschriftart"/>
          <w:szCs w:val="24"/>
        </w:rPr>
        <w:t xml:space="preserve">enac </w:t>
      </w:r>
      <w:r w:rsidR="00FE610F" w:rsidRPr="007D70F4">
        <w:rPr>
          <w:rStyle w:val="Absatz-Standardschriftart"/>
          <w:szCs w:val="24"/>
        </w:rPr>
        <w:t xml:space="preserve">orally </w:t>
      </w:r>
      <w:r w:rsidR="00B757B3" w:rsidRPr="007D70F4">
        <w:rPr>
          <w:rStyle w:val="Absatz-Standardschriftart"/>
          <w:szCs w:val="24"/>
        </w:rPr>
        <w:t>in a daily dose of 5 mg/kg for 6 d</w:t>
      </w:r>
      <w:r w:rsidR="00602AEB">
        <w:rPr>
          <w:rStyle w:val="Absatz-Standardschriftart"/>
          <w:szCs w:val="24"/>
        </w:rPr>
        <w:t>;</w:t>
      </w:r>
      <w:r w:rsidR="00602AEB">
        <w:rPr>
          <w:rFonts w:eastAsiaTheme="minorEastAsia" w:hint="eastAsia"/>
          <w:szCs w:val="24"/>
          <w:lang w:val="en-GB" w:eastAsia="zh-CN"/>
        </w:rPr>
        <w:t xml:space="preserve"> </w:t>
      </w:r>
      <w:r w:rsidR="00B757B3" w:rsidRPr="007D70F4">
        <w:rPr>
          <w:rStyle w:val="Absatz-Standardschriftart"/>
          <w:szCs w:val="24"/>
        </w:rPr>
        <w:t>Group 3: Rats</w:t>
      </w:r>
      <w:r w:rsidR="00F24388" w:rsidRPr="007D70F4">
        <w:rPr>
          <w:rStyle w:val="Absatz-Standardschriftart"/>
          <w:szCs w:val="24"/>
        </w:rPr>
        <w:t xml:space="preserve"> treated orally with</w:t>
      </w:r>
      <w:r w:rsidRPr="007D70F4">
        <w:rPr>
          <w:rStyle w:val="Absatz-Standardschriftart"/>
          <w:szCs w:val="24"/>
        </w:rPr>
        <w:t xml:space="preserve"> diclofenac (5 mg/kg) together with omeprazole (20 mg/kg)</w:t>
      </w:r>
      <w:r w:rsidR="00F84C97" w:rsidRPr="007D70F4">
        <w:rPr>
          <w:rStyle w:val="Absatz-Standardschriftart"/>
          <w:szCs w:val="24"/>
        </w:rPr>
        <w:t xml:space="preserve"> </w:t>
      </w:r>
      <w:r w:rsidR="00F24388" w:rsidRPr="007D70F4">
        <w:rPr>
          <w:rStyle w:val="Absatz-Standardschriftart"/>
          <w:szCs w:val="24"/>
        </w:rPr>
        <w:t xml:space="preserve">daily </w:t>
      </w:r>
      <w:r w:rsidR="00F84C97" w:rsidRPr="007D70F4">
        <w:rPr>
          <w:rStyle w:val="Absatz-Standardschriftart"/>
          <w:szCs w:val="24"/>
        </w:rPr>
        <w:t>for 6 d</w:t>
      </w:r>
      <w:r w:rsidRPr="007D70F4">
        <w:rPr>
          <w:rStyle w:val="Absatz-Standardschriftart"/>
          <w:szCs w:val="24"/>
        </w:rPr>
        <w:t>. The dose of omeprazole was formerly reported to be effective for this purpose</w:t>
      </w:r>
      <w:r w:rsidR="00F26604" w:rsidRPr="007D70F4">
        <w:rPr>
          <w:rStyle w:val="Absatz-Standardschriftart"/>
          <w:szCs w:val="24"/>
          <w:vertAlign w:val="superscript"/>
        </w:rPr>
        <w:t>[</w:t>
      </w:r>
      <w:r w:rsidRPr="007D70F4">
        <w:rPr>
          <w:rStyle w:val="Absatz-Standardschriftart"/>
          <w:szCs w:val="24"/>
          <w:vertAlign w:val="superscript"/>
        </w:rPr>
        <w:t>1</w:t>
      </w:r>
      <w:r w:rsidR="007D1C43" w:rsidRPr="007D70F4">
        <w:rPr>
          <w:rStyle w:val="Absatz-Standardschriftart"/>
          <w:szCs w:val="24"/>
          <w:vertAlign w:val="superscript"/>
        </w:rPr>
        <w:t>3</w:t>
      </w:r>
      <w:r w:rsidR="00F26604" w:rsidRPr="007D70F4">
        <w:rPr>
          <w:rStyle w:val="Absatz-Standardschriftart"/>
          <w:szCs w:val="24"/>
          <w:vertAlign w:val="superscript"/>
        </w:rPr>
        <w:t>]</w:t>
      </w:r>
      <w:r w:rsidR="00602AEB">
        <w:rPr>
          <w:rStyle w:val="Absatz-Standardschriftart"/>
          <w:szCs w:val="24"/>
        </w:rPr>
        <w:t xml:space="preserve">; </w:t>
      </w:r>
      <w:r w:rsidR="00F84C97" w:rsidRPr="007D70F4">
        <w:rPr>
          <w:rStyle w:val="Absatz-Standardschriftart"/>
          <w:szCs w:val="24"/>
        </w:rPr>
        <w:t>Group 4: Rats</w:t>
      </w:r>
      <w:r w:rsidRPr="007D70F4">
        <w:rPr>
          <w:rStyle w:val="Absatz-Standardschriftart"/>
          <w:szCs w:val="24"/>
        </w:rPr>
        <w:t xml:space="preserve"> treated </w:t>
      </w:r>
      <w:r w:rsidR="00FE610F" w:rsidRPr="007D70F4">
        <w:rPr>
          <w:rStyle w:val="Absatz-Standardschriftart"/>
          <w:szCs w:val="24"/>
        </w:rPr>
        <w:t>orally</w:t>
      </w:r>
      <w:r w:rsidRPr="007D70F4">
        <w:rPr>
          <w:rStyle w:val="Absatz-Standardschriftart"/>
          <w:szCs w:val="24"/>
        </w:rPr>
        <w:t xml:space="preserve"> with diclofenac (5 mg/kg</w:t>
      </w:r>
      <w:r w:rsidR="00F84C97" w:rsidRPr="007D70F4">
        <w:rPr>
          <w:rStyle w:val="Absatz-Standardschriftart"/>
          <w:szCs w:val="24"/>
        </w:rPr>
        <w:t>) together with STW 5 (5 m</w:t>
      </w:r>
      <w:r w:rsidR="00602AEB" w:rsidRPr="007D70F4">
        <w:rPr>
          <w:rStyle w:val="Absatz-Standardschriftart"/>
          <w:szCs w:val="24"/>
        </w:rPr>
        <w:t>L</w:t>
      </w:r>
      <w:r w:rsidR="00F84C97" w:rsidRPr="007D70F4">
        <w:rPr>
          <w:rStyle w:val="Absatz-Standardschriftart"/>
          <w:szCs w:val="24"/>
        </w:rPr>
        <w:t xml:space="preserve">/kg) </w:t>
      </w:r>
      <w:r w:rsidR="00F24388" w:rsidRPr="007D70F4">
        <w:rPr>
          <w:rStyle w:val="Absatz-Standardschriftart"/>
          <w:szCs w:val="24"/>
        </w:rPr>
        <w:t xml:space="preserve">daily </w:t>
      </w:r>
      <w:r w:rsidR="00F84C97" w:rsidRPr="007D70F4">
        <w:rPr>
          <w:rStyle w:val="Absatz-Standardschriftart"/>
          <w:szCs w:val="24"/>
        </w:rPr>
        <w:t>for 6 d</w:t>
      </w:r>
      <w:r w:rsidR="00B40014" w:rsidRPr="007D70F4">
        <w:rPr>
          <w:rStyle w:val="Absatz-Standardschriftart"/>
          <w:szCs w:val="24"/>
        </w:rPr>
        <w:t>.</w:t>
      </w:r>
    </w:p>
    <w:p w14:paraId="0DE765C4" w14:textId="6D709879" w:rsidR="000A5936" w:rsidRPr="007D70F4" w:rsidRDefault="00F243D3" w:rsidP="00602AEB">
      <w:pPr>
        <w:ind w:firstLineChars="100" w:firstLine="240"/>
        <w:rPr>
          <w:szCs w:val="24"/>
          <w:lang w:val="en-GB"/>
        </w:rPr>
      </w:pPr>
      <w:r w:rsidRPr="007D70F4">
        <w:rPr>
          <w:rStyle w:val="Absatz-Standardschriftart"/>
          <w:szCs w:val="24"/>
        </w:rPr>
        <w:t xml:space="preserve">The dose of diclofenac </w:t>
      </w:r>
      <w:r w:rsidR="00F84C97" w:rsidRPr="007D70F4">
        <w:rPr>
          <w:rStyle w:val="Absatz-Standardschriftart"/>
          <w:szCs w:val="24"/>
        </w:rPr>
        <w:t>and length of period of administration were</w:t>
      </w:r>
      <w:r w:rsidR="00F26604" w:rsidRPr="007D70F4">
        <w:rPr>
          <w:rStyle w:val="Absatz-Standardschriftart"/>
          <w:szCs w:val="24"/>
        </w:rPr>
        <w:t xml:space="preserve"> chosen on the basis </w:t>
      </w:r>
      <w:r w:rsidRPr="007D70F4">
        <w:rPr>
          <w:rStyle w:val="Absatz-Standardschriftart"/>
          <w:szCs w:val="24"/>
        </w:rPr>
        <w:t xml:space="preserve">of preliminary experiments carried out in our lab to determine an appropriate dose of diclofenac to be given for a suitable number of days in order to induce </w:t>
      </w:r>
      <w:r w:rsidRPr="007D70F4">
        <w:rPr>
          <w:rStyle w:val="Absatz-Standardschriftart"/>
          <w:szCs w:val="24"/>
        </w:rPr>
        <w:lastRenderedPageBreak/>
        <w:t>reproducible gastro-duodenal lesions without causing appreciable animal mortalities under our experimental conditions. Accordingly, treatment in the above groups was given for 6 d. This is in agreement with an earlier study which reported that diclofenac was used in a dose of 5 mg/kg for 7 d in rat for evaluation of its gastric tolerability</w:t>
      </w:r>
      <w:r w:rsidR="00F26604" w:rsidRPr="007D70F4">
        <w:rPr>
          <w:rStyle w:val="Absatz-Standardschriftart"/>
          <w:szCs w:val="24"/>
          <w:vertAlign w:val="superscript"/>
        </w:rPr>
        <w:t>[</w:t>
      </w:r>
      <w:r w:rsidRPr="007D70F4">
        <w:rPr>
          <w:rStyle w:val="Absatz-Standardschriftart"/>
          <w:szCs w:val="24"/>
          <w:vertAlign w:val="superscript"/>
        </w:rPr>
        <w:t>1</w:t>
      </w:r>
      <w:r w:rsidR="007D1C43" w:rsidRPr="007D70F4">
        <w:rPr>
          <w:rStyle w:val="Absatz-Standardschriftart"/>
          <w:szCs w:val="24"/>
          <w:vertAlign w:val="superscript"/>
        </w:rPr>
        <w:t>4</w:t>
      </w:r>
      <w:r w:rsidR="00F26604" w:rsidRPr="007D70F4">
        <w:rPr>
          <w:rStyle w:val="Absatz-Standardschriftart"/>
          <w:szCs w:val="24"/>
          <w:vertAlign w:val="superscript"/>
        </w:rPr>
        <w:t>]</w:t>
      </w:r>
      <w:r w:rsidRPr="007D70F4">
        <w:rPr>
          <w:rStyle w:val="Absatz-Standardschriftart"/>
          <w:szCs w:val="24"/>
        </w:rPr>
        <w:t>.</w:t>
      </w:r>
      <w:r w:rsidRPr="007D70F4">
        <w:rPr>
          <w:rStyle w:val="Absatz-Standardschriftart"/>
          <w:b/>
          <w:szCs w:val="24"/>
        </w:rPr>
        <w:t xml:space="preserve"> </w:t>
      </w:r>
      <w:r w:rsidRPr="007D70F4">
        <w:rPr>
          <w:rStyle w:val="Absatz-Standardschriftart"/>
          <w:szCs w:val="24"/>
        </w:rPr>
        <w:t>Furthermore, the dose of STW 5 was based on earlier studies in our lab showing good anti-inflammatory activity and good tolerability in experimental animals</w:t>
      </w:r>
      <w:r w:rsidR="00F26604" w:rsidRPr="007D70F4">
        <w:rPr>
          <w:rStyle w:val="Absatz-Standardschriftart"/>
          <w:szCs w:val="24"/>
          <w:vertAlign w:val="superscript"/>
        </w:rPr>
        <w:t>[</w:t>
      </w:r>
      <w:r w:rsidRPr="007D70F4">
        <w:rPr>
          <w:rStyle w:val="Absatz-Standardschriftart"/>
          <w:szCs w:val="24"/>
          <w:vertAlign w:val="superscript"/>
        </w:rPr>
        <w:t>1</w:t>
      </w:r>
      <w:r w:rsidR="007D1C43" w:rsidRPr="007D70F4">
        <w:rPr>
          <w:rStyle w:val="Absatz-Standardschriftart"/>
          <w:szCs w:val="24"/>
          <w:vertAlign w:val="superscript"/>
        </w:rPr>
        <w:t>5</w:t>
      </w:r>
      <w:r w:rsidR="00F26604" w:rsidRPr="007D70F4">
        <w:rPr>
          <w:rStyle w:val="Absatz-Standardschriftart"/>
          <w:szCs w:val="24"/>
          <w:vertAlign w:val="superscript"/>
        </w:rPr>
        <w:t>]</w:t>
      </w:r>
      <w:r w:rsidRPr="007D70F4">
        <w:rPr>
          <w:rStyle w:val="Absatz-Standardschriftart"/>
          <w:szCs w:val="24"/>
        </w:rPr>
        <w:t>.</w:t>
      </w:r>
    </w:p>
    <w:p w14:paraId="0137D5D1" w14:textId="4E18700A" w:rsidR="000A5936" w:rsidRPr="007D70F4" w:rsidRDefault="00323220" w:rsidP="00DD4EC7">
      <w:pPr>
        <w:ind w:firstLineChars="100" w:firstLine="240"/>
        <w:rPr>
          <w:szCs w:val="24"/>
          <w:lang w:val="en-GB"/>
        </w:rPr>
      </w:pPr>
      <w:r w:rsidRPr="007D70F4">
        <w:rPr>
          <w:rStyle w:val="Absatz-Standardschriftart"/>
          <w:szCs w:val="24"/>
        </w:rPr>
        <w:t xml:space="preserve">The animals were sacrificed </w:t>
      </w:r>
      <w:r w:rsidR="00952671" w:rsidRPr="007D70F4">
        <w:rPr>
          <w:rStyle w:val="Absatz-Standardschriftart"/>
          <w:szCs w:val="24"/>
        </w:rPr>
        <w:t xml:space="preserve">by decapitation under light ether anesthesia </w:t>
      </w:r>
      <w:r w:rsidRPr="007D70F4">
        <w:rPr>
          <w:rStyle w:val="Absatz-Standardschriftart"/>
          <w:szCs w:val="24"/>
        </w:rPr>
        <w:t>on the seventh day</w:t>
      </w:r>
      <w:r w:rsidR="00F243D3" w:rsidRPr="007D70F4">
        <w:rPr>
          <w:rStyle w:val="Absatz-Standardschriftart"/>
          <w:szCs w:val="24"/>
        </w:rPr>
        <w:t xml:space="preserve"> and the stomach and duodenum were isolated and divided into 2 segments. One segment was preserved in 10% formalin for histological examination, while the other was </w:t>
      </w:r>
      <w:r w:rsidR="00017A83" w:rsidRPr="007D70F4">
        <w:rPr>
          <w:rStyle w:val="Absatz-Standardschriftart"/>
          <w:szCs w:val="24"/>
        </w:rPr>
        <w:t xml:space="preserve">homogenized in ice-cold normal saline to obtain </w:t>
      </w:r>
      <w:r w:rsidR="00FE610F" w:rsidRPr="007D70F4">
        <w:rPr>
          <w:rStyle w:val="Absatz-Standardschriftart"/>
          <w:szCs w:val="24"/>
        </w:rPr>
        <w:t xml:space="preserve">a </w:t>
      </w:r>
      <w:r w:rsidR="00017A83" w:rsidRPr="007D70F4">
        <w:rPr>
          <w:rStyle w:val="Absatz-Standardschriftart"/>
          <w:szCs w:val="24"/>
        </w:rPr>
        <w:t>10</w:t>
      </w:r>
      <w:r w:rsidR="00336E7F" w:rsidRPr="007D70F4">
        <w:rPr>
          <w:rStyle w:val="Absatz-Standardschriftart"/>
          <w:szCs w:val="24"/>
        </w:rPr>
        <w:t xml:space="preserve">% homogenate that </w:t>
      </w:r>
      <w:r w:rsidR="00FE610F" w:rsidRPr="007D70F4">
        <w:rPr>
          <w:rStyle w:val="Absatz-Standardschriftart"/>
          <w:szCs w:val="24"/>
        </w:rPr>
        <w:t xml:space="preserve">was </w:t>
      </w:r>
      <w:r w:rsidR="00336E7F" w:rsidRPr="007D70F4">
        <w:rPr>
          <w:rStyle w:val="Absatz-Standardschriftart"/>
          <w:szCs w:val="24"/>
        </w:rPr>
        <w:t xml:space="preserve">stored at </w:t>
      </w:r>
      <w:r w:rsidR="00DD4EC7">
        <w:rPr>
          <w:rStyle w:val="Absatz-Standardschriftart"/>
          <w:szCs w:val="24"/>
        </w:rPr>
        <w:t>-</w:t>
      </w:r>
      <w:r w:rsidR="00336E7F" w:rsidRPr="007D70F4">
        <w:rPr>
          <w:rStyle w:val="Absatz-Standardschriftart"/>
          <w:szCs w:val="24"/>
        </w:rPr>
        <w:t>20 ºC for the assay</w:t>
      </w:r>
      <w:r w:rsidR="00FE610F" w:rsidRPr="007D70F4">
        <w:rPr>
          <w:rStyle w:val="Absatz-Standardschriftart"/>
          <w:szCs w:val="24"/>
        </w:rPr>
        <w:t xml:space="preserve"> </w:t>
      </w:r>
      <w:r w:rsidR="00F24388" w:rsidRPr="007D70F4">
        <w:rPr>
          <w:rStyle w:val="Absatz-Standardschriftart"/>
          <w:szCs w:val="24"/>
        </w:rPr>
        <w:t xml:space="preserve">of different relevant parameters at a </w:t>
      </w:r>
      <w:r w:rsidR="00FE610F" w:rsidRPr="007D70F4">
        <w:rPr>
          <w:rStyle w:val="Absatz-Standardschriftart"/>
          <w:szCs w:val="24"/>
        </w:rPr>
        <w:t>later</w:t>
      </w:r>
      <w:r w:rsidR="00F24388" w:rsidRPr="007D70F4">
        <w:rPr>
          <w:rStyle w:val="Absatz-Standardschriftart"/>
          <w:szCs w:val="24"/>
        </w:rPr>
        <w:t xml:space="preserve"> stage. These comprised</w:t>
      </w:r>
      <w:r w:rsidR="00F243D3" w:rsidRPr="007D70F4">
        <w:rPr>
          <w:rStyle w:val="Absatz-Standardschriftart"/>
          <w:szCs w:val="24"/>
        </w:rPr>
        <w:t xml:space="preserve"> the cytokines involved in inflammation, namely, interleukin 1β (IL-1β), IL-10, tumor necrosis factor-α (TNF-α</w:t>
      </w:r>
      <w:r w:rsidR="00F24388" w:rsidRPr="007D70F4">
        <w:rPr>
          <w:rStyle w:val="Absatz-Standardschriftart"/>
          <w:szCs w:val="24"/>
        </w:rPr>
        <w:t>) as well as the enzyme,</w:t>
      </w:r>
      <w:r w:rsidR="00F243D3" w:rsidRPr="007D70F4">
        <w:rPr>
          <w:rStyle w:val="Absatz-Standardschriftart"/>
          <w:szCs w:val="24"/>
        </w:rPr>
        <w:t xml:space="preserve"> heme oxyge</w:t>
      </w:r>
      <w:r w:rsidR="00F24388" w:rsidRPr="007D70F4">
        <w:rPr>
          <w:rStyle w:val="Absatz-Standardschriftart"/>
          <w:szCs w:val="24"/>
        </w:rPr>
        <w:t xml:space="preserve">nase-1 (HO-1), </w:t>
      </w:r>
      <w:r w:rsidR="00F243D3" w:rsidRPr="007D70F4">
        <w:rPr>
          <w:rStyle w:val="Absatz-Standardschriftart"/>
          <w:szCs w:val="24"/>
        </w:rPr>
        <w:t>as a measure of oxidative stress</w:t>
      </w:r>
      <w:r w:rsidR="002A356E" w:rsidRPr="007D70F4">
        <w:rPr>
          <w:rStyle w:val="Absatz-Standardschriftart"/>
          <w:szCs w:val="24"/>
        </w:rPr>
        <w:t xml:space="preserve"> and </w:t>
      </w:r>
      <w:r w:rsidR="001B2686" w:rsidRPr="007D70F4">
        <w:rPr>
          <w:rStyle w:val="Absatz-Standardschriftart"/>
          <w:szCs w:val="24"/>
        </w:rPr>
        <w:t>B-cell lymphoma 2 (</w:t>
      </w:r>
      <w:r w:rsidR="002A356E" w:rsidRPr="007D70F4">
        <w:rPr>
          <w:rStyle w:val="Absatz-Standardschriftart"/>
          <w:szCs w:val="24"/>
        </w:rPr>
        <w:t>Bcl2</w:t>
      </w:r>
      <w:r w:rsidR="001B2686" w:rsidRPr="007D70F4">
        <w:rPr>
          <w:rStyle w:val="Absatz-Standardschriftart"/>
          <w:szCs w:val="24"/>
        </w:rPr>
        <w:t>)</w:t>
      </w:r>
      <w:r w:rsidR="002A356E" w:rsidRPr="007D70F4">
        <w:rPr>
          <w:rStyle w:val="Absatz-Standardschriftart"/>
          <w:szCs w:val="24"/>
        </w:rPr>
        <w:t xml:space="preserve"> as an indicator of apoptosis</w:t>
      </w:r>
      <w:r w:rsidR="00F243D3" w:rsidRPr="007D70F4">
        <w:rPr>
          <w:rStyle w:val="Absatz-Standardschriftart"/>
          <w:szCs w:val="24"/>
        </w:rPr>
        <w:t>. These</w:t>
      </w:r>
      <w:r w:rsidR="00E24C79" w:rsidRPr="007D70F4">
        <w:rPr>
          <w:rStyle w:val="Absatz-Standardschriftart"/>
          <w:szCs w:val="24"/>
        </w:rPr>
        <w:t xml:space="preserve"> parameters</w:t>
      </w:r>
      <w:r w:rsidR="00F243D3" w:rsidRPr="007D70F4">
        <w:rPr>
          <w:rStyle w:val="Absatz-Standardschriftart"/>
          <w:szCs w:val="24"/>
        </w:rPr>
        <w:t xml:space="preserve"> were determined using </w:t>
      </w:r>
      <w:r w:rsidRPr="007D70F4">
        <w:rPr>
          <w:rStyle w:val="Absatz-Standardschriftart"/>
          <w:szCs w:val="24"/>
        </w:rPr>
        <w:t xml:space="preserve">rat </w:t>
      </w:r>
      <w:r w:rsidR="00F243D3" w:rsidRPr="007D70F4">
        <w:rPr>
          <w:rStyle w:val="Absatz-Standardschriftart"/>
          <w:szCs w:val="24"/>
        </w:rPr>
        <w:t>specific enzyme-linked immunosorbent assay (ELISA) kits (R</w:t>
      </w:r>
      <w:r w:rsidR="00DD4EC7">
        <w:rPr>
          <w:rStyle w:val="Absatz-Standardschriftart"/>
          <w:szCs w:val="24"/>
        </w:rPr>
        <w:t xml:space="preserve"> and </w:t>
      </w:r>
      <w:r w:rsidR="00F243D3" w:rsidRPr="007D70F4">
        <w:rPr>
          <w:rStyle w:val="Absatz-Standardschriftart"/>
          <w:szCs w:val="24"/>
        </w:rPr>
        <w:t>D Systems GmbH, Wiesbaden, Germany) according to manufacturer’s instructions.</w:t>
      </w:r>
    </w:p>
    <w:p w14:paraId="7D261038" w14:textId="77777777" w:rsidR="00DD4EC7" w:rsidRDefault="00DD4EC7" w:rsidP="008E78B7">
      <w:pPr>
        <w:pStyle w:val="1"/>
        <w:rPr>
          <w:rStyle w:val="Absatz-Standardschriftart"/>
          <w:rFonts w:eastAsia="Calibri"/>
          <w:i/>
          <w:szCs w:val="24"/>
          <w:lang w:val="en-US"/>
        </w:rPr>
      </w:pPr>
    </w:p>
    <w:p w14:paraId="56125C96" w14:textId="1A8F0E58" w:rsidR="000A5936" w:rsidRPr="007D70F4" w:rsidRDefault="00F243D3" w:rsidP="008E78B7">
      <w:pPr>
        <w:pStyle w:val="1"/>
        <w:rPr>
          <w:szCs w:val="24"/>
          <w:lang w:val="en-GB"/>
        </w:rPr>
      </w:pPr>
      <w:r w:rsidRPr="007D70F4">
        <w:rPr>
          <w:rStyle w:val="Absatz-Standardschriftart"/>
          <w:rFonts w:eastAsia="Calibri"/>
          <w:i/>
          <w:szCs w:val="24"/>
          <w:lang w:val="en-US"/>
        </w:rPr>
        <w:t xml:space="preserve">Histological </w:t>
      </w:r>
      <w:r w:rsidR="004A2853" w:rsidRPr="007D70F4">
        <w:rPr>
          <w:rStyle w:val="Absatz-Standardschriftart"/>
          <w:rFonts w:eastAsia="Calibri"/>
          <w:i/>
          <w:szCs w:val="24"/>
          <w:lang w:val="en-US"/>
        </w:rPr>
        <w:t>examination</w:t>
      </w:r>
    </w:p>
    <w:p w14:paraId="1976C009" w14:textId="6DA36A1B" w:rsidR="000A5936" w:rsidRPr="007D70F4" w:rsidRDefault="00F243D3" w:rsidP="008E78B7">
      <w:pPr>
        <w:rPr>
          <w:szCs w:val="24"/>
          <w:lang w:val="en-GB"/>
        </w:rPr>
      </w:pPr>
      <w:r w:rsidRPr="007D70F4">
        <w:rPr>
          <w:rStyle w:val="Absatz-Standardschriftart"/>
          <w:szCs w:val="24"/>
        </w:rPr>
        <w:t>The fixed stomach and duodenum segments were processed by paraffin embedded technique and transverse</w:t>
      </w:r>
      <w:r w:rsidR="00323220" w:rsidRPr="007D70F4">
        <w:rPr>
          <w:rStyle w:val="Absatz-Standardschriftart"/>
          <w:szCs w:val="24"/>
        </w:rPr>
        <w:t xml:space="preserve"> 4-5 µm sections</w:t>
      </w:r>
      <w:r w:rsidRPr="007D70F4">
        <w:rPr>
          <w:rStyle w:val="Absatz-Standardschriftart"/>
          <w:szCs w:val="24"/>
        </w:rPr>
        <w:t xml:space="preserve"> were stained with Hematoxylin and Eosin for light microscopic examination. The histological damage in the gastric sections was assessed by examining them for</w:t>
      </w:r>
      <w:r w:rsidR="00503B2D" w:rsidRPr="007D70F4">
        <w:rPr>
          <w:rStyle w:val="Absatz-Standardschriftart"/>
          <w:szCs w:val="24"/>
        </w:rPr>
        <w:t xml:space="preserve"> 5 criteria representing cell damage, namely</w:t>
      </w:r>
      <w:r w:rsidR="00E375EC">
        <w:rPr>
          <w:rStyle w:val="Absatz-Standardschriftart"/>
          <w:szCs w:val="24"/>
        </w:rPr>
        <w:t>:</w:t>
      </w:r>
      <w:r w:rsidRPr="007D70F4">
        <w:rPr>
          <w:rStyle w:val="Absatz-Standardschriftart"/>
          <w:szCs w:val="24"/>
        </w:rPr>
        <w:t xml:space="preserve"> </w:t>
      </w:r>
      <w:r w:rsidR="00503B2D" w:rsidRPr="007D70F4">
        <w:rPr>
          <w:rStyle w:val="Absatz-Standardschriftart"/>
          <w:szCs w:val="24"/>
        </w:rPr>
        <w:t>(</w:t>
      </w:r>
      <w:r w:rsidR="00E375EC">
        <w:rPr>
          <w:rStyle w:val="Absatz-Standardschriftart"/>
          <w:szCs w:val="24"/>
        </w:rPr>
        <w:t>1</w:t>
      </w:r>
      <w:r w:rsidR="00503B2D" w:rsidRPr="007D70F4">
        <w:rPr>
          <w:rStyle w:val="Absatz-Standardschriftart"/>
          <w:szCs w:val="24"/>
        </w:rPr>
        <w:t xml:space="preserve">) </w:t>
      </w:r>
      <w:r w:rsidR="00E375EC" w:rsidRPr="007D70F4">
        <w:rPr>
          <w:rStyle w:val="Absatz-Standardschriftart"/>
          <w:szCs w:val="24"/>
        </w:rPr>
        <w:t>F</w:t>
      </w:r>
      <w:r w:rsidRPr="007D70F4">
        <w:rPr>
          <w:rStyle w:val="Absatz-Standardschriftart"/>
          <w:szCs w:val="24"/>
        </w:rPr>
        <w:t>ocal muco</w:t>
      </w:r>
      <w:r w:rsidR="00503B2D" w:rsidRPr="007D70F4">
        <w:rPr>
          <w:rStyle w:val="Absatz-Standardschriftart"/>
          <w:szCs w:val="24"/>
        </w:rPr>
        <w:t>sal necrosis</w:t>
      </w:r>
      <w:r w:rsidR="00E375EC">
        <w:rPr>
          <w:rStyle w:val="Absatz-Standardschriftart"/>
          <w:szCs w:val="24"/>
        </w:rPr>
        <w:t>;</w:t>
      </w:r>
      <w:r w:rsidR="00503B2D" w:rsidRPr="007D70F4">
        <w:rPr>
          <w:rStyle w:val="Absatz-Standardschriftart"/>
          <w:szCs w:val="24"/>
        </w:rPr>
        <w:t xml:space="preserve"> (</w:t>
      </w:r>
      <w:r w:rsidR="00E375EC">
        <w:rPr>
          <w:rStyle w:val="Absatz-Standardschriftart"/>
          <w:szCs w:val="24"/>
        </w:rPr>
        <w:t>2</w:t>
      </w:r>
      <w:r w:rsidR="00503B2D" w:rsidRPr="007D70F4">
        <w:rPr>
          <w:rStyle w:val="Absatz-Standardschriftart"/>
          <w:szCs w:val="24"/>
        </w:rPr>
        <w:t xml:space="preserve">) </w:t>
      </w:r>
      <w:r w:rsidR="00E375EC" w:rsidRPr="007D70F4">
        <w:rPr>
          <w:rStyle w:val="Absatz-Standardschriftart"/>
          <w:szCs w:val="24"/>
        </w:rPr>
        <w:t>C</w:t>
      </w:r>
      <w:r w:rsidR="00503B2D" w:rsidRPr="007D70F4">
        <w:rPr>
          <w:rStyle w:val="Absatz-Standardschriftart"/>
          <w:szCs w:val="24"/>
        </w:rPr>
        <w:t xml:space="preserve">ongestion of the </w:t>
      </w:r>
      <w:r w:rsidRPr="007D70F4">
        <w:rPr>
          <w:rStyle w:val="Absatz-Standardschriftart"/>
          <w:szCs w:val="24"/>
        </w:rPr>
        <w:t>sub-mucosal blood vessel</w:t>
      </w:r>
      <w:r w:rsidR="00503B2D" w:rsidRPr="007D70F4">
        <w:rPr>
          <w:rStyle w:val="Absatz-Standardschriftart"/>
          <w:szCs w:val="24"/>
        </w:rPr>
        <w:t>s</w:t>
      </w:r>
      <w:r w:rsidR="00E375EC">
        <w:rPr>
          <w:rStyle w:val="Absatz-Standardschriftart"/>
          <w:szCs w:val="24"/>
        </w:rPr>
        <w:t>;</w:t>
      </w:r>
      <w:r w:rsidRPr="007D70F4">
        <w:rPr>
          <w:rStyle w:val="Absatz-Standardschriftart"/>
          <w:szCs w:val="24"/>
        </w:rPr>
        <w:t xml:space="preserve"> </w:t>
      </w:r>
      <w:r w:rsidR="00297679" w:rsidRPr="007D70F4">
        <w:rPr>
          <w:rStyle w:val="Absatz-Standardschriftart"/>
          <w:szCs w:val="24"/>
        </w:rPr>
        <w:t>(</w:t>
      </w:r>
      <w:r w:rsidR="00E375EC">
        <w:rPr>
          <w:rStyle w:val="Absatz-Standardschriftart"/>
          <w:szCs w:val="24"/>
        </w:rPr>
        <w:t>3</w:t>
      </w:r>
      <w:r w:rsidR="00297679" w:rsidRPr="007D70F4">
        <w:rPr>
          <w:rStyle w:val="Absatz-Standardschriftart"/>
          <w:szCs w:val="24"/>
        </w:rPr>
        <w:t>) sub-mucosal edema</w:t>
      </w:r>
      <w:r w:rsidR="00E375EC">
        <w:rPr>
          <w:rStyle w:val="Absatz-Standardschriftart"/>
          <w:szCs w:val="24"/>
        </w:rPr>
        <w:t>;</w:t>
      </w:r>
      <w:r w:rsidR="00297679" w:rsidRPr="007D70F4">
        <w:rPr>
          <w:rStyle w:val="Absatz-Standardschriftart"/>
          <w:szCs w:val="24"/>
        </w:rPr>
        <w:t xml:space="preserve"> (</w:t>
      </w:r>
      <w:r w:rsidR="00E375EC">
        <w:rPr>
          <w:rStyle w:val="Absatz-Standardschriftart"/>
          <w:szCs w:val="24"/>
        </w:rPr>
        <w:t>4 and 5</w:t>
      </w:r>
      <w:r w:rsidR="00297679" w:rsidRPr="007D70F4">
        <w:rPr>
          <w:rStyle w:val="Absatz-Standardschriftart"/>
          <w:szCs w:val="24"/>
        </w:rPr>
        <w:t xml:space="preserve">) </w:t>
      </w:r>
      <w:r w:rsidRPr="007D70F4">
        <w:rPr>
          <w:rStyle w:val="Absatz-Standardschriftart"/>
          <w:szCs w:val="24"/>
        </w:rPr>
        <w:t>inflammatory cell infiltration</w:t>
      </w:r>
      <w:r w:rsidR="00297679" w:rsidRPr="007D70F4">
        <w:rPr>
          <w:rStyle w:val="Absatz-Standardschriftart"/>
          <w:szCs w:val="24"/>
        </w:rPr>
        <w:t xml:space="preserve"> in</w:t>
      </w:r>
      <w:r w:rsidR="00503B2D" w:rsidRPr="007D70F4">
        <w:rPr>
          <w:rStyle w:val="Absatz-Standardschriftart"/>
          <w:szCs w:val="24"/>
        </w:rPr>
        <w:t xml:space="preserve"> the mucosa</w:t>
      </w:r>
      <w:r w:rsidR="00297679" w:rsidRPr="007D70F4">
        <w:rPr>
          <w:rStyle w:val="Absatz-Standardschriftart"/>
          <w:szCs w:val="24"/>
        </w:rPr>
        <w:t xml:space="preserve"> and sub-mucosa</w:t>
      </w:r>
      <w:r w:rsidR="00503B2D" w:rsidRPr="007D70F4">
        <w:rPr>
          <w:rStyle w:val="Absatz-Standardschriftart"/>
          <w:szCs w:val="24"/>
        </w:rPr>
        <w:t>. T</w:t>
      </w:r>
      <w:r w:rsidRPr="007D70F4">
        <w:rPr>
          <w:rStyle w:val="Absatz-Standardschriftart"/>
          <w:szCs w:val="24"/>
        </w:rPr>
        <w:t>he extent of damage for each</w:t>
      </w:r>
      <w:r w:rsidR="00503B2D" w:rsidRPr="007D70F4">
        <w:rPr>
          <w:rStyle w:val="Absatz-Standardschriftart"/>
          <w:szCs w:val="24"/>
        </w:rPr>
        <w:t xml:space="preserve"> of these</w:t>
      </w:r>
      <w:r w:rsidRPr="007D70F4">
        <w:rPr>
          <w:rStyle w:val="Absatz-Standardschriftart"/>
          <w:szCs w:val="24"/>
        </w:rPr>
        <w:t xml:space="preserve"> sign</w:t>
      </w:r>
      <w:r w:rsidR="00503B2D" w:rsidRPr="007D70F4">
        <w:rPr>
          <w:rStyle w:val="Absatz-Standardschriftart"/>
          <w:szCs w:val="24"/>
        </w:rPr>
        <w:t>s</w:t>
      </w:r>
      <w:r w:rsidRPr="007D70F4">
        <w:rPr>
          <w:rStyle w:val="Absatz-Standardschriftart"/>
          <w:szCs w:val="24"/>
        </w:rPr>
        <w:t xml:space="preserve"> was assessed on a score from 0 (normal) to 3 (severe). An overall damage score (ODS) was then computed semi-quantitatively for each examined slide</w:t>
      </w:r>
      <w:r w:rsidR="00F26604" w:rsidRPr="007D70F4">
        <w:rPr>
          <w:rStyle w:val="Absatz-Standardschriftart"/>
          <w:szCs w:val="24"/>
          <w:vertAlign w:val="superscript"/>
        </w:rPr>
        <w:t>[</w:t>
      </w:r>
      <w:r w:rsidRPr="007D70F4">
        <w:rPr>
          <w:rStyle w:val="Absatz-Standardschriftart"/>
          <w:szCs w:val="24"/>
          <w:vertAlign w:val="superscript"/>
        </w:rPr>
        <w:t>1</w:t>
      </w:r>
      <w:r w:rsidR="007D1C43" w:rsidRPr="007D70F4">
        <w:rPr>
          <w:rStyle w:val="Absatz-Standardschriftart"/>
          <w:szCs w:val="24"/>
          <w:vertAlign w:val="superscript"/>
        </w:rPr>
        <w:t>6</w:t>
      </w:r>
      <w:r w:rsidR="00F26604" w:rsidRPr="007D70F4">
        <w:rPr>
          <w:rStyle w:val="Absatz-Standardschriftart"/>
          <w:szCs w:val="24"/>
          <w:vertAlign w:val="superscript"/>
        </w:rPr>
        <w:t>]</w:t>
      </w:r>
      <w:r w:rsidRPr="007D70F4">
        <w:rPr>
          <w:rStyle w:val="Absatz-Standardschriftart"/>
          <w:szCs w:val="24"/>
        </w:rPr>
        <w:t>.</w:t>
      </w:r>
    </w:p>
    <w:p w14:paraId="7BB1DA87" w14:textId="77777777" w:rsidR="000A5936" w:rsidRPr="007D70F4" w:rsidRDefault="00F243D3" w:rsidP="00E375EC">
      <w:pPr>
        <w:ind w:firstLineChars="100" w:firstLine="240"/>
        <w:rPr>
          <w:szCs w:val="24"/>
          <w:lang w:val="en-GB"/>
        </w:rPr>
      </w:pPr>
      <w:r w:rsidRPr="007D70F4">
        <w:rPr>
          <w:rStyle w:val="Absatz-Standardschriftart"/>
          <w:szCs w:val="24"/>
        </w:rPr>
        <w:t xml:space="preserve">For the duodenal sections, six criteria were studied, namely, focal necrosis of the mucosa, infiltration of inflammatory cells in the lamina propria, mucosal edema, congestion of blood vessels, activation of glands and sub-mucosal edema. </w:t>
      </w:r>
      <w:r w:rsidRPr="007D70F4">
        <w:rPr>
          <w:rStyle w:val="Absatz-Standardschriftart"/>
          <w:szCs w:val="24"/>
        </w:rPr>
        <w:lastRenderedPageBreak/>
        <w:t>Accordingly, a maximal ODS for gastric and duodenal sections was computed to be 15 and 18, respectively. T</w:t>
      </w:r>
      <w:r w:rsidR="00297679" w:rsidRPr="007D70F4">
        <w:rPr>
          <w:rStyle w:val="Absatz-Standardschriftart"/>
          <w:szCs w:val="24"/>
        </w:rPr>
        <w:t>he data was then represented as</w:t>
      </w:r>
      <w:r w:rsidRPr="007D70F4">
        <w:rPr>
          <w:rStyle w:val="Absatz-Standardschriftart"/>
          <w:szCs w:val="24"/>
        </w:rPr>
        <w:t xml:space="preserve"> a box plot.</w:t>
      </w:r>
    </w:p>
    <w:p w14:paraId="68D7087D" w14:textId="77777777" w:rsidR="00431A3C" w:rsidRDefault="00431A3C" w:rsidP="008E78B7">
      <w:pPr>
        <w:pStyle w:val="1"/>
        <w:rPr>
          <w:rStyle w:val="Absatz-Standardschriftart"/>
          <w:rFonts w:eastAsia="Calibri"/>
          <w:i/>
          <w:szCs w:val="24"/>
          <w:lang w:val="en-US"/>
        </w:rPr>
      </w:pPr>
    </w:p>
    <w:p w14:paraId="78B46DDE" w14:textId="1316B2D3" w:rsidR="000A5936" w:rsidRPr="007D70F4" w:rsidRDefault="00F243D3" w:rsidP="008E78B7">
      <w:pPr>
        <w:pStyle w:val="1"/>
        <w:rPr>
          <w:szCs w:val="24"/>
          <w:lang w:val="en-GB"/>
        </w:rPr>
      </w:pPr>
      <w:r w:rsidRPr="007D70F4">
        <w:rPr>
          <w:rStyle w:val="Absatz-Standardschriftart"/>
          <w:rFonts w:eastAsia="Calibri"/>
          <w:i/>
          <w:szCs w:val="24"/>
          <w:lang w:val="en-US"/>
        </w:rPr>
        <w:t>Statistical analysis</w:t>
      </w:r>
    </w:p>
    <w:p w14:paraId="3CE7D875" w14:textId="0AC15EA8" w:rsidR="000A5936" w:rsidRPr="007D70F4" w:rsidRDefault="00D878D4" w:rsidP="008E78B7">
      <w:pPr>
        <w:rPr>
          <w:szCs w:val="24"/>
          <w:lang w:val="en-GB"/>
        </w:rPr>
      </w:pPr>
      <w:r w:rsidRPr="007D70F4">
        <w:rPr>
          <w:rStyle w:val="Absatz-Standardschriftart"/>
          <w:szCs w:val="24"/>
          <w:lang w:val="en-GB"/>
        </w:rPr>
        <w:t xml:space="preserve">The </w:t>
      </w:r>
      <w:r w:rsidR="00F243D3" w:rsidRPr="007D70F4">
        <w:rPr>
          <w:rStyle w:val="Absatz-Standardschriftart"/>
          <w:szCs w:val="24"/>
        </w:rPr>
        <w:t>histological scores</w:t>
      </w:r>
      <w:r w:rsidRPr="007D70F4">
        <w:rPr>
          <w:rStyle w:val="Absatz-Standardschriftart"/>
          <w:szCs w:val="24"/>
        </w:rPr>
        <w:t xml:space="preserve"> were represented as a box plot using the medians analyzed by Kuskal-Wallis followed by Dunn’s test. The other </w:t>
      </w:r>
      <w:r w:rsidR="00F243D3" w:rsidRPr="007D70F4">
        <w:rPr>
          <w:rStyle w:val="Absatz-Standardschriftart"/>
          <w:szCs w:val="24"/>
        </w:rPr>
        <w:t>data were expressed as mean</w:t>
      </w:r>
      <w:r w:rsidRPr="007D70F4">
        <w:rPr>
          <w:rStyle w:val="Absatz-Standardschriftart"/>
          <w:szCs w:val="24"/>
        </w:rPr>
        <w:t>s ± standard deviation (SD) and analyzed by o</w:t>
      </w:r>
      <w:r w:rsidR="00F243D3" w:rsidRPr="007D70F4">
        <w:rPr>
          <w:rStyle w:val="Absatz-Standardschriftart"/>
          <w:szCs w:val="24"/>
        </w:rPr>
        <w:t>ne-way-analysis of variance</w:t>
      </w:r>
      <w:r w:rsidRPr="007D70F4">
        <w:rPr>
          <w:rStyle w:val="Absatz-Standardschriftart"/>
          <w:szCs w:val="24"/>
        </w:rPr>
        <w:t xml:space="preserve"> test (ANOVA)</w:t>
      </w:r>
      <w:r w:rsidR="00F243D3" w:rsidRPr="007D70F4">
        <w:rPr>
          <w:rStyle w:val="Absatz-Standardschriftart"/>
          <w:szCs w:val="24"/>
        </w:rPr>
        <w:t xml:space="preserve"> followed by Tukey Kramer multiple comparisons test, setting the level of significance at </w:t>
      </w:r>
      <w:r w:rsidR="00431A3C" w:rsidRPr="00431A3C">
        <w:rPr>
          <w:rStyle w:val="Absatz-Standardschriftart"/>
          <w:i/>
          <w:iCs/>
          <w:szCs w:val="24"/>
        </w:rPr>
        <w:t>P</w:t>
      </w:r>
      <w:r w:rsidR="00F243D3" w:rsidRPr="007D70F4">
        <w:rPr>
          <w:rStyle w:val="Absatz-Standardschriftart"/>
          <w:szCs w:val="24"/>
        </w:rPr>
        <w:t xml:space="preserve"> </w:t>
      </w:r>
      <w:r w:rsidR="00431A3C" w:rsidRPr="00431A3C">
        <w:rPr>
          <w:rStyle w:val="Absatz-Standardschriftart"/>
          <w:szCs w:val="24"/>
        </w:rPr>
        <w:t>≤</w:t>
      </w:r>
      <w:r w:rsidRPr="00431A3C">
        <w:rPr>
          <w:rStyle w:val="Absatz-Standardschriftart"/>
          <w:szCs w:val="24"/>
        </w:rPr>
        <w:t xml:space="preserve"> </w:t>
      </w:r>
      <w:r w:rsidRPr="007D70F4">
        <w:rPr>
          <w:rStyle w:val="Absatz-Standardschriftart"/>
          <w:szCs w:val="24"/>
        </w:rPr>
        <w:t xml:space="preserve">0.05. </w:t>
      </w:r>
    </w:p>
    <w:p w14:paraId="2567CF41" w14:textId="77777777" w:rsidR="00A11BCB" w:rsidRPr="007D70F4" w:rsidRDefault="00A11BCB" w:rsidP="008E78B7">
      <w:pPr>
        <w:pStyle w:val="Standard"/>
        <w:spacing w:line="360" w:lineRule="auto"/>
        <w:jc w:val="both"/>
        <w:rPr>
          <w:rFonts w:ascii="Book Antiqua" w:hAnsi="Book Antiqua"/>
          <w:sz w:val="24"/>
          <w:szCs w:val="24"/>
          <w:lang w:val="en-US"/>
        </w:rPr>
      </w:pPr>
    </w:p>
    <w:p w14:paraId="1A86C6C9" w14:textId="73081E46" w:rsidR="000A5936" w:rsidRPr="007D70F4" w:rsidRDefault="004A2853" w:rsidP="008E78B7">
      <w:pPr>
        <w:pStyle w:val="1"/>
        <w:rPr>
          <w:szCs w:val="24"/>
        </w:rPr>
      </w:pPr>
      <w:r w:rsidRPr="007D70F4">
        <w:rPr>
          <w:rStyle w:val="Absatz-Standardschriftart"/>
          <w:szCs w:val="24"/>
        </w:rPr>
        <w:t>RESULTS</w:t>
      </w:r>
    </w:p>
    <w:p w14:paraId="3F84BC26" w14:textId="77777777" w:rsidR="000A5936" w:rsidRPr="007D70F4" w:rsidRDefault="00F243D3" w:rsidP="008E78B7">
      <w:pPr>
        <w:pStyle w:val="2"/>
        <w:rPr>
          <w:szCs w:val="24"/>
        </w:rPr>
      </w:pPr>
      <w:r w:rsidRPr="007D70F4">
        <w:rPr>
          <w:rStyle w:val="Absatz-Standardschriftart"/>
          <w:szCs w:val="24"/>
        </w:rPr>
        <w:t>Biochemical parameters</w:t>
      </w:r>
    </w:p>
    <w:p w14:paraId="482A5A52" w14:textId="6133962C" w:rsidR="006F5C2E" w:rsidRPr="007D70F4" w:rsidRDefault="00F243D3" w:rsidP="005C6A13">
      <w:pPr>
        <w:rPr>
          <w:rStyle w:val="Absatz-Standardschriftart"/>
          <w:szCs w:val="24"/>
        </w:rPr>
      </w:pPr>
      <w:r w:rsidRPr="007D70F4">
        <w:rPr>
          <w:rStyle w:val="Absatz-Standardschriftart"/>
          <w:szCs w:val="24"/>
        </w:rPr>
        <w:t xml:space="preserve">Diclofenac administration showed a marked 4-fold increase in the level of the pro-inflammatory cytokine, IL-1β, in both stomach and duodenum as compared to </w:t>
      </w:r>
      <w:r w:rsidR="008958ED" w:rsidRPr="007D70F4">
        <w:rPr>
          <w:rStyle w:val="Absatz-Standardschriftart"/>
          <w:szCs w:val="24"/>
        </w:rPr>
        <w:t>untreated control</w:t>
      </w:r>
      <w:r w:rsidRPr="007D70F4">
        <w:rPr>
          <w:rStyle w:val="Absatz-Standardschriftart"/>
          <w:szCs w:val="24"/>
        </w:rPr>
        <w:t>. Treatment with omeprazole and STW 5 tended to protect against this increase nearly to the same extent, such that the increase of the cytokine was reduce</w:t>
      </w:r>
      <w:r w:rsidR="00C41CFF" w:rsidRPr="007D70F4">
        <w:rPr>
          <w:rStyle w:val="Absatz-Standardschriftart"/>
          <w:szCs w:val="24"/>
        </w:rPr>
        <w:t>d only to about two-fold (Fig</w:t>
      </w:r>
      <w:r w:rsidR="00F92EF1">
        <w:rPr>
          <w:rStyle w:val="Absatz-Standardschriftart"/>
          <w:szCs w:val="24"/>
        </w:rPr>
        <w:t>ure</w:t>
      </w:r>
      <w:r w:rsidR="00C41CFF" w:rsidRPr="007D70F4">
        <w:rPr>
          <w:rStyle w:val="Absatz-Standardschriftart"/>
          <w:szCs w:val="24"/>
        </w:rPr>
        <w:t xml:space="preserve"> 1</w:t>
      </w:r>
      <w:r w:rsidR="006270CD">
        <w:rPr>
          <w:rStyle w:val="Absatz-Standardschriftart"/>
          <w:szCs w:val="24"/>
        </w:rPr>
        <w:t>A and B</w:t>
      </w:r>
      <w:r w:rsidRPr="007D70F4">
        <w:rPr>
          <w:rStyle w:val="Absatz-Standardschriftart"/>
          <w:szCs w:val="24"/>
        </w:rPr>
        <w:t>).</w:t>
      </w:r>
      <w:r w:rsidR="006F5C2E" w:rsidRPr="007D70F4">
        <w:rPr>
          <w:rStyle w:val="Absatz-Standardschriftart"/>
          <w:szCs w:val="24"/>
        </w:rPr>
        <w:t xml:space="preserve"> </w:t>
      </w:r>
      <w:r w:rsidRPr="007D70F4">
        <w:rPr>
          <w:rStyle w:val="Absatz-Standardschriftart"/>
          <w:szCs w:val="24"/>
        </w:rPr>
        <w:t>The other pro-inflammatory cytokine, TNF-α, was also markedly increased after diclofenac administration, albeit not as much as IL-1β. Both omeprazole and STW 5 in the doses used tended to prevent this increase in both tissues (Fig</w:t>
      </w:r>
      <w:r w:rsidR="00F92EF1">
        <w:rPr>
          <w:rStyle w:val="Absatz-Standardschriftart"/>
          <w:szCs w:val="24"/>
        </w:rPr>
        <w:t>ure</w:t>
      </w:r>
      <w:r w:rsidRPr="007D70F4">
        <w:rPr>
          <w:rStyle w:val="Absatz-Standardschriftart"/>
          <w:szCs w:val="24"/>
        </w:rPr>
        <w:t xml:space="preserve"> </w:t>
      </w:r>
      <w:r w:rsidR="006270CD">
        <w:rPr>
          <w:rStyle w:val="Absatz-Standardschriftart"/>
          <w:szCs w:val="24"/>
        </w:rPr>
        <w:t>1C and D</w:t>
      </w:r>
      <w:r w:rsidRPr="007D70F4">
        <w:rPr>
          <w:rStyle w:val="Absatz-Standardschriftart"/>
          <w:szCs w:val="24"/>
        </w:rPr>
        <w:t>).</w:t>
      </w:r>
      <w:r w:rsidR="006F5C2E" w:rsidRPr="007D70F4">
        <w:rPr>
          <w:rStyle w:val="Absatz-Standardschriftart"/>
          <w:szCs w:val="24"/>
        </w:rPr>
        <w:t xml:space="preserve"> </w:t>
      </w:r>
      <w:r w:rsidRPr="007D70F4">
        <w:rPr>
          <w:rStyle w:val="Absatz-Standardschriftart"/>
          <w:szCs w:val="24"/>
        </w:rPr>
        <w:t>In parallel with these findings, the anti-inflammatory cytokine, IL-10, was significantly reduced by diclofenac in both stomach and duodenum, an effect that was largely prevented by both omeprazole and STW 5 mainly in the stomach, albeit to a non-statistically significant extent in the duodenum (Fig</w:t>
      </w:r>
      <w:r w:rsidR="00F92EF1">
        <w:rPr>
          <w:rStyle w:val="Absatz-Standardschriftart"/>
          <w:szCs w:val="24"/>
        </w:rPr>
        <w:t>ure</w:t>
      </w:r>
      <w:r w:rsidRPr="007D70F4">
        <w:rPr>
          <w:rStyle w:val="Absatz-Standardschriftart"/>
          <w:szCs w:val="24"/>
        </w:rPr>
        <w:t xml:space="preserve"> </w:t>
      </w:r>
      <w:r w:rsidR="006270CD">
        <w:rPr>
          <w:rStyle w:val="Absatz-Standardschriftart"/>
          <w:szCs w:val="24"/>
        </w:rPr>
        <w:t>1E and F</w:t>
      </w:r>
      <w:r w:rsidRPr="007D70F4">
        <w:rPr>
          <w:rStyle w:val="Absatz-Standardschriftart"/>
          <w:szCs w:val="24"/>
        </w:rPr>
        <w:t>).</w:t>
      </w:r>
    </w:p>
    <w:p w14:paraId="550FA39C" w14:textId="03D34619" w:rsidR="000C6308" w:rsidRPr="007D70F4" w:rsidRDefault="00F243D3" w:rsidP="005C6A13">
      <w:pPr>
        <w:pStyle w:val="Standard"/>
        <w:spacing w:line="360" w:lineRule="auto"/>
        <w:ind w:firstLineChars="100" w:firstLine="240"/>
        <w:jc w:val="both"/>
        <w:rPr>
          <w:rStyle w:val="Absatz-Standardschriftart"/>
          <w:rFonts w:ascii="Book Antiqua" w:eastAsia="Calibri" w:hAnsi="Book Antiqua"/>
          <w:sz w:val="24"/>
          <w:szCs w:val="24"/>
          <w:lang w:val="en-US"/>
        </w:rPr>
      </w:pPr>
      <w:r w:rsidRPr="007D70F4">
        <w:rPr>
          <w:rStyle w:val="Absatz-Standardschriftart"/>
          <w:rFonts w:ascii="Book Antiqua" w:eastAsia="Calibri" w:hAnsi="Book Antiqua"/>
          <w:sz w:val="24"/>
          <w:szCs w:val="24"/>
          <w:lang w:val="en-US"/>
        </w:rPr>
        <w:t>With</w:t>
      </w:r>
      <w:r w:rsidR="00B7672C" w:rsidRPr="007D70F4">
        <w:rPr>
          <w:rStyle w:val="Absatz-Standardschriftart"/>
          <w:rFonts w:ascii="Book Antiqua" w:eastAsia="Calibri" w:hAnsi="Book Antiqua"/>
          <w:sz w:val="24"/>
          <w:szCs w:val="24"/>
          <w:lang w:val="en-US"/>
        </w:rPr>
        <w:t xml:space="preserve"> </w:t>
      </w:r>
      <w:r w:rsidRPr="007D70F4">
        <w:rPr>
          <w:rStyle w:val="Absatz-Standardschriftart"/>
          <w:rFonts w:ascii="Book Antiqua" w:eastAsia="Calibri" w:hAnsi="Book Antiqua"/>
          <w:sz w:val="24"/>
          <w:szCs w:val="24"/>
          <w:lang w:val="en-US"/>
        </w:rPr>
        <w:t>respect to HO-1, an anti-oxidant as well as anti-inflammatory enzyme, diclofenac was shown to induce a marked drop in its gastric and duodenal level. Omeprazole was effective in preventing the changes in both tissues, whereas STW 5 was effective only in ameliorating the diclofenac-induced reduction in the duodenum (Fig</w:t>
      </w:r>
      <w:r w:rsidR="005C6A13">
        <w:rPr>
          <w:rStyle w:val="Absatz-Standardschriftart"/>
          <w:rFonts w:ascii="Book Antiqua" w:eastAsia="Calibri" w:hAnsi="Book Antiqua"/>
          <w:sz w:val="24"/>
          <w:szCs w:val="24"/>
          <w:lang w:val="en-US"/>
        </w:rPr>
        <w:t>ure</w:t>
      </w:r>
      <w:r w:rsidRPr="007D70F4">
        <w:rPr>
          <w:rStyle w:val="Absatz-Standardschriftart"/>
          <w:rFonts w:ascii="Book Antiqua" w:eastAsia="Calibri" w:hAnsi="Book Antiqua"/>
          <w:sz w:val="24"/>
          <w:szCs w:val="24"/>
          <w:lang w:val="en-US"/>
        </w:rPr>
        <w:t xml:space="preserve"> </w:t>
      </w:r>
      <w:r w:rsidR="006270CD">
        <w:rPr>
          <w:rStyle w:val="Absatz-Standardschriftart"/>
          <w:rFonts w:ascii="Book Antiqua" w:eastAsia="Calibri" w:hAnsi="Book Antiqua"/>
          <w:sz w:val="24"/>
          <w:szCs w:val="24"/>
          <w:lang w:val="en-US"/>
        </w:rPr>
        <w:t>1G and H</w:t>
      </w:r>
      <w:r w:rsidRPr="007D70F4">
        <w:rPr>
          <w:rStyle w:val="Absatz-Standardschriftart"/>
          <w:rFonts w:ascii="Book Antiqua" w:eastAsia="Calibri" w:hAnsi="Book Antiqua"/>
          <w:sz w:val="24"/>
          <w:szCs w:val="24"/>
          <w:lang w:val="en-US"/>
        </w:rPr>
        <w:t>).</w:t>
      </w:r>
      <w:r w:rsidR="005C6A13">
        <w:rPr>
          <w:rStyle w:val="Absatz-Standardschriftart"/>
          <w:rFonts w:ascii="Book Antiqua" w:hAnsi="Book Antiqua" w:hint="eastAsia"/>
          <w:sz w:val="24"/>
          <w:szCs w:val="24"/>
          <w:lang w:val="en-US" w:eastAsia="zh-CN"/>
        </w:rPr>
        <w:t xml:space="preserve"> </w:t>
      </w:r>
      <w:r w:rsidR="00EF4A75" w:rsidRPr="007D70F4">
        <w:rPr>
          <w:rStyle w:val="Absatz-Standardschriftart"/>
          <w:rFonts w:ascii="Book Antiqua" w:eastAsia="Calibri" w:hAnsi="Book Antiqua"/>
          <w:sz w:val="24"/>
          <w:szCs w:val="24"/>
          <w:lang w:val="en-US"/>
        </w:rPr>
        <w:t xml:space="preserve">The levels of the apoptotic regulator, Bcl2 were suppressed </w:t>
      </w:r>
      <w:r w:rsidR="000C6308" w:rsidRPr="007D70F4">
        <w:rPr>
          <w:rStyle w:val="Absatz-Standardschriftart"/>
          <w:rFonts w:ascii="Book Antiqua" w:eastAsia="Calibri" w:hAnsi="Book Antiqua"/>
          <w:sz w:val="24"/>
          <w:szCs w:val="24"/>
          <w:lang w:val="en-US"/>
        </w:rPr>
        <w:t xml:space="preserve">by more than half </w:t>
      </w:r>
      <w:r w:rsidR="00EF4A75" w:rsidRPr="007D70F4">
        <w:rPr>
          <w:rStyle w:val="Absatz-Standardschriftart"/>
          <w:rFonts w:ascii="Book Antiqua" w:eastAsia="Calibri" w:hAnsi="Book Antiqua"/>
          <w:sz w:val="24"/>
          <w:szCs w:val="24"/>
          <w:lang w:val="en-US"/>
        </w:rPr>
        <w:t xml:space="preserve">by diclofenac in both </w:t>
      </w:r>
      <w:r w:rsidR="005E2EF2" w:rsidRPr="007D70F4">
        <w:rPr>
          <w:rStyle w:val="Absatz-Standardschriftart"/>
          <w:rFonts w:ascii="Book Antiqua" w:eastAsia="Calibri" w:hAnsi="Book Antiqua"/>
          <w:sz w:val="24"/>
          <w:szCs w:val="24"/>
          <w:lang w:val="en-US"/>
        </w:rPr>
        <w:t xml:space="preserve">the </w:t>
      </w:r>
      <w:r w:rsidR="00EF4A75" w:rsidRPr="007D70F4">
        <w:rPr>
          <w:rStyle w:val="Absatz-Standardschriftart"/>
          <w:rFonts w:ascii="Book Antiqua" w:eastAsia="Calibri" w:hAnsi="Book Antiqua"/>
          <w:sz w:val="24"/>
          <w:szCs w:val="24"/>
          <w:lang w:val="en-US"/>
        </w:rPr>
        <w:t>stomach</w:t>
      </w:r>
      <w:r w:rsidR="005E2EF2" w:rsidRPr="007D70F4">
        <w:rPr>
          <w:rStyle w:val="Absatz-Standardschriftart"/>
          <w:rFonts w:ascii="Book Antiqua" w:eastAsia="Calibri" w:hAnsi="Book Antiqua"/>
          <w:sz w:val="24"/>
          <w:szCs w:val="24"/>
          <w:lang w:val="en-US"/>
        </w:rPr>
        <w:t xml:space="preserve"> and duoden</w:t>
      </w:r>
      <w:r w:rsidR="00EF4A75" w:rsidRPr="007D70F4">
        <w:rPr>
          <w:rStyle w:val="Absatz-Standardschriftart"/>
          <w:rFonts w:ascii="Book Antiqua" w:eastAsia="Calibri" w:hAnsi="Book Antiqua"/>
          <w:sz w:val="24"/>
          <w:szCs w:val="24"/>
          <w:lang w:val="en-US"/>
        </w:rPr>
        <w:t xml:space="preserve">um, an effect which tended to be prevented by treatment with either </w:t>
      </w:r>
      <w:r w:rsidR="00E24C79" w:rsidRPr="007D70F4">
        <w:rPr>
          <w:rStyle w:val="Absatz-Standardschriftart"/>
          <w:rFonts w:ascii="Book Antiqua" w:eastAsia="Calibri" w:hAnsi="Book Antiqua"/>
          <w:sz w:val="24"/>
          <w:szCs w:val="24"/>
          <w:lang w:val="en-US"/>
        </w:rPr>
        <w:t>o</w:t>
      </w:r>
      <w:r w:rsidR="005E2EF2" w:rsidRPr="007D70F4">
        <w:rPr>
          <w:rStyle w:val="Absatz-Standardschriftart"/>
          <w:rFonts w:ascii="Book Antiqua" w:eastAsia="Calibri" w:hAnsi="Book Antiqua"/>
          <w:sz w:val="24"/>
          <w:szCs w:val="24"/>
          <w:lang w:val="en-US"/>
        </w:rPr>
        <w:t xml:space="preserve">meprazole </w:t>
      </w:r>
      <w:r w:rsidR="00EF4A75" w:rsidRPr="007D70F4">
        <w:rPr>
          <w:rStyle w:val="Absatz-Standardschriftart"/>
          <w:rFonts w:ascii="Book Antiqua" w:eastAsia="Calibri" w:hAnsi="Book Antiqua"/>
          <w:sz w:val="24"/>
          <w:szCs w:val="24"/>
          <w:lang w:val="en-US"/>
        </w:rPr>
        <w:t xml:space="preserve">or </w:t>
      </w:r>
      <w:r w:rsidR="005E2EF2" w:rsidRPr="007D70F4">
        <w:rPr>
          <w:rStyle w:val="Absatz-Standardschriftart"/>
          <w:rFonts w:ascii="Book Antiqua" w:eastAsia="Calibri" w:hAnsi="Book Antiqua"/>
          <w:sz w:val="24"/>
          <w:szCs w:val="24"/>
          <w:lang w:val="en-US"/>
        </w:rPr>
        <w:t xml:space="preserve">STW 5 </w:t>
      </w:r>
      <w:r w:rsidR="00EF4A75" w:rsidRPr="007D70F4">
        <w:rPr>
          <w:rStyle w:val="Absatz-Standardschriftart"/>
          <w:rFonts w:ascii="Book Antiqua" w:eastAsia="Calibri" w:hAnsi="Book Antiqua"/>
          <w:sz w:val="24"/>
          <w:szCs w:val="24"/>
          <w:lang w:val="en-US"/>
        </w:rPr>
        <w:t xml:space="preserve">almost to the </w:t>
      </w:r>
      <w:r w:rsidR="000C6308" w:rsidRPr="007D70F4">
        <w:rPr>
          <w:rStyle w:val="Absatz-Standardschriftart"/>
          <w:rFonts w:ascii="Book Antiqua" w:eastAsia="Calibri" w:hAnsi="Book Antiqua"/>
          <w:sz w:val="24"/>
          <w:szCs w:val="24"/>
          <w:lang w:val="en-US"/>
        </w:rPr>
        <w:t xml:space="preserve">same extent. </w:t>
      </w:r>
      <w:r w:rsidR="000C6308" w:rsidRPr="007D70F4">
        <w:rPr>
          <w:rStyle w:val="Absatz-Standardschriftart"/>
          <w:rFonts w:ascii="Book Antiqua" w:eastAsia="Calibri" w:hAnsi="Book Antiqua"/>
          <w:sz w:val="24"/>
          <w:szCs w:val="24"/>
          <w:lang w:val="en-US"/>
        </w:rPr>
        <w:lastRenderedPageBreak/>
        <w:t>(Fig</w:t>
      </w:r>
      <w:r w:rsidR="005C6A13">
        <w:rPr>
          <w:rStyle w:val="Absatz-Standardschriftart"/>
          <w:rFonts w:ascii="Book Antiqua" w:eastAsia="Calibri" w:hAnsi="Book Antiqua"/>
          <w:sz w:val="24"/>
          <w:szCs w:val="24"/>
          <w:lang w:val="en-US"/>
        </w:rPr>
        <w:t>ure</w:t>
      </w:r>
      <w:r w:rsidR="00C41CFF" w:rsidRPr="007D70F4">
        <w:rPr>
          <w:rStyle w:val="Absatz-Standardschriftart"/>
          <w:rFonts w:ascii="Book Antiqua" w:eastAsia="Calibri" w:hAnsi="Book Antiqua"/>
          <w:sz w:val="24"/>
          <w:szCs w:val="24"/>
          <w:lang w:val="en-US"/>
        </w:rPr>
        <w:t xml:space="preserve"> </w:t>
      </w:r>
      <w:r w:rsidR="006270CD">
        <w:rPr>
          <w:rStyle w:val="Absatz-Standardschriftart"/>
          <w:rFonts w:ascii="Book Antiqua" w:eastAsia="Calibri" w:hAnsi="Book Antiqua"/>
          <w:sz w:val="24"/>
          <w:szCs w:val="24"/>
          <w:lang w:val="en-US"/>
        </w:rPr>
        <w:t>1I and J</w:t>
      </w:r>
      <w:r w:rsidR="000C6308" w:rsidRPr="007D70F4">
        <w:rPr>
          <w:rStyle w:val="Absatz-Standardschriftart"/>
          <w:rFonts w:ascii="Book Antiqua" w:eastAsia="Calibri" w:hAnsi="Book Antiqua"/>
          <w:sz w:val="24"/>
          <w:szCs w:val="24"/>
          <w:lang w:val="en-US"/>
        </w:rPr>
        <w:t>).</w:t>
      </w:r>
    </w:p>
    <w:p w14:paraId="7C28890D" w14:textId="77777777" w:rsidR="00192F76" w:rsidRPr="005C6A13" w:rsidRDefault="00192F76" w:rsidP="005C6A13">
      <w:pPr>
        <w:rPr>
          <w:szCs w:val="24"/>
          <w:lang w:val="en-GB" w:bidi="ar-EG"/>
        </w:rPr>
      </w:pPr>
    </w:p>
    <w:p w14:paraId="3A1EC3B0" w14:textId="48615A2F" w:rsidR="000A5936" w:rsidRPr="007D70F4" w:rsidRDefault="00F243D3" w:rsidP="008E78B7">
      <w:pPr>
        <w:pStyle w:val="2"/>
        <w:rPr>
          <w:szCs w:val="24"/>
        </w:rPr>
      </w:pPr>
      <w:r w:rsidRPr="007D70F4">
        <w:rPr>
          <w:rStyle w:val="Absatz-Standardschriftart"/>
          <w:szCs w:val="24"/>
        </w:rPr>
        <w:t xml:space="preserve">Histopathological </w:t>
      </w:r>
      <w:r w:rsidR="00FE610F" w:rsidRPr="007D70F4">
        <w:rPr>
          <w:rStyle w:val="Absatz-Standardschriftart"/>
          <w:szCs w:val="24"/>
        </w:rPr>
        <w:t>examination</w:t>
      </w:r>
    </w:p>
    <w:p w14:paraId="45ABF5B7" w14:textId="4A067A21" w:rsidR="00C41CFF" w:rsidRDefault="00C41CFF" w:rsidP="008E78B7">
      <w:pPr>
        <w:rPr>
          <w:rStyle w:val="Absatz-Standardschriftart"/>
          <w:szCs w:val="24"/>
        </w:rPr>
      </w:pPr>
      <w:r w:rsidRPr="007D70F4">
        <w:rPr>
          <w:rStyle w:val="Absatz-Standardschriftart"/>
          <w:b/>
          <w:szCs w:val="24"/>
        </w:rPr>
        <w:t>Stomach</w:t>
      </w:r>
      <w:r w:rsidR="005C6A13">
        <w:rPr>
          <w:rStyle w:val="Absatz-Standardschriftart"/>
          <w:b/>
          <w:szCs w:val="24"/>
        </w:rPr>
        <w:t>:</w:t>
      </w:r>
      <w:r w:rsidR="005C6A13">
        <w:rPr>
          <w:rStyle w:val="Absatz-Standardschriftart"/>
          <w:rFonts w:eastAsiaTheme="minorEastAsia" w:hint="eastAsia"/>
          <w:b/>
          <w:szCs w:val="24"/>
          <w:lang w:eastAsia="zh-CN"/>
        </w:rPr>
        <w:t xml:space="preserve"> </w:t>
      </w:r>
      <w:r w:rsidR="00F243D3" w:rsidRPr="007D70F4">
        <w:rPr>
          <w:rStyle w:val="Absatz-Standardschriftart"/>
          <w:szCs w:val="24"/>
        </w:rPr>
        <w:t>The stomach of control untreated rats showed a normal histological structure of gastric mucosa, submucos</w:t>
      </w:r>
      <w:r w:rsidR="003B3A47" w:rsidRPr="007D70F4">
        <w:rPr>
          <w:rStyle w:val="Absatz-Standardschriftart"/>
          <w:szCs w:val="24"/>
        </w:rPr>
        <w:t>a and muscularis layers (Fig</w:t>
      </w:r>
      <w:r w:rsidR="005C6A13">
        <w:rPr>
          <w:rStyle w:val="Absatz-Standardschriftart"/>
          <w:szCs w:val="24"/>
        </w:rPr>
        <w:t>ure</w:t>
      </w:r>
      <w:r w:rsidR="003B3A47" w:rsidRPr="007D70F4">
        <w:rPr>
          <w:rStyle w:val="Absatz-Standardschriftart"/>
          <w:szCs w:val="24"/>
        </w:rPr>
        <w:t xml:space="preserve"> </w:t>
      </w:r>
      <w:r w:rsidR="006270CD">
        <w:rPr>
          <w:rStyle w:val="Absatz-Standardschriftart"/>
          <w:szCs w:val="24"/>
        </w:rPr>
        <w:t>2A</w:t>
      </w:r>
      <w:r w:rsidR="00F243D3" w:rsidRPr="007D70F4">
        <w:rPr>
          <w:rStyle w:val="Absatz-Standardschriftart"/>
          <w:szCs w:val="24"/>
        </w:rPr>
        <w:t>). On the other hand, stomach of rats treated with diclofenac showed severe histopathological alterations evidenced as multiple focal necrosis of gastric mucosa associated with mononuclear cells infiltration as well as submucosal edema and inflam</w:t>
      </w:r>
      <w:r w:rsidR="003B3A47" w:rsidRPr="007D70F4">
        <w:rPr>
          <w:rStyle w:val="Absatz-Standardschriftart"/>
          <w:szCs w:val="24"/>
        </w:rPr>
        <w:t>matory cell infiltration (Fig</w:t>
      </w:r>
      <w:r w:rsidR="005C6A13">
        <w:rPr>
          <w:rStyle w:val="Absatz-Standardschriftart"/>
          <w:szCs w:val="24"/>
        </w:rPr>
        <w:t>ure</w:t>
      </w:r>
      <w:r w:rsidR="003B3A47" w:rsidRPr="007D70F4">
        <w:rPr>
          <w:rStyle w:val="Absatz-Standardschriftart"/>
          <w:szCs w:val="24"/>
        </w:rPr>
        <w:t xml:space="preserve"> </w:t>
      </w:r>
      <w:r w:rsidR="006270CD">
        <w:rPr>
          <w:rStyle w:val="Absatz-Standardschriftart"/>
          <w:szCs w:val="24"/>
        </w:rPr>
        <w:t>2</w:t>
      </w:r>
      <w:r w:rsidR="003B3A47" w:rsidRPr="007D70F4">
        <w:rPr>
          <w:rStyle w:val="Absatz-Standardschriftart"/>
          <w:szCs w:val="24"/>
        </w:rPr>
        <w:t>B</w:t>
      </w:r>
      <w:r w:rsidR="00F243D3" w:rsidRPr="007D70F4">
        <w:rPr>
          <w:rStyle w:val="Absatz-Standardschriftart"/>
          <w:szCs w:val="24"/>
        </w:rPr>
        <w:t xml:space="preserve">). Some sections also showed cystic dilatation of the gastric glands. However, the stomach of rats treated with diclofenac/omeprazole showed only mild submucosal edema associated with mononuclear cell infiltration and congested </w:t>
      </w:r>
      <w:r w:rsidR="003B3A47" w:rsidRPr="007D70F4">
        <w:rPr>
          <w:rStyle w:val="Absatz-Standardschriftart"/>
          <w:szCs w:val="24"/>
        </w:rPr>
        <w:t>submucosal blood vessel (Fig</w:t>
      </w:r>
      <w:r w:rsidR="005C6A13">
        <w:rPr>
          <w:rStyle w:val="Absatz-Standardschriftart"/>
          <w:szCs w:val="24"/>
        </w:rPr>
        <w:t>ure</w:t>
      </w:r>
      <w:r w:rsidR="003B3A47" w:rsidRPr="007D70F4">
        <w:rPr>
          <w:rStyle w:val="Absatz-Standardschriftart"/>
          <w:szCs w:val="24"/>
        </w:rPr>
        <w:t xml:space="preserve"> </w:t>
      </w:r>
      <w:r w:rsidR="006270CD">
        <w:rPr>
          <w:rStyle w:val="Absatz-Standardschriftart"/>
          <w:szCs w:val="24"/>
        </w:rPr>
        <w:t>2</w:t>
      </w:r>
      <w:r w:rsidR="003B3A47" w:rsidRPr="007D70F4">
        <w:rPr>
          <w:rStyle w:val="Absatz-Standardschriftart"/>
          <w:szCs w:val="24"/>
        </w:rPr>
        <w:t>C</w:t>
      </w:r>
      <w:r w:rsidR="00F243D3" w:rsidRPr="007D70F4">
        <w:rPr>
          <w:rStyle w:val="Absatz-Standardschriftart"/>
          <w:szCs w:val="24"/>
        </w:rPr>
        <w:t>). A further improvement of the picture was shown in the stomachs of rats treated with diclofenac/STW 5, where only a few sections showed mild submucosal edema with some inflammatory cell infiltration and congested submucosal blood vessels, but most sections showed no histopathological alterations whatsoever (Fig</w:t>
      </w:r>
      <w:r w:rsidR="005C6A13">
        <w:rPr>
          <w:rStyle w:val="Absatz-Standardschriftart"/>
          <w:szCs w:val="24"/>
        </w:rPr>
        <w:t>ure</w:t>
      </w:r>
      <w:r w:rsidR="00F243D3" w:rsidRPr="007D70F4">
        <w:rPr>
          <w:rStyle w:val="Absatz-Standardschriftart"/>
          <w:szCs w:val="24"/>
        </w:rPr>
        <w:t xml:space="preserve"> </w:t>
      </w:r>
      <w:r w:rsidR="006270CD">
        <w:rPr>
          <w:rStyle w:val="Absatz-Standardschriftart"/>
          <w:szCs w:val="24"/>
        </w:rPr>
        <w:t>2</w:t>
      </w:r>
      <w:r w:rsidR="003B3A47" w:rsidRPr="007D70F4">
        <w:rPr>
          <w:rStyle w:val="Absatz-Standardschriftart"/>
          <w:szCs w:val="24"/>
        </w:rPr>
        <w:t>D</w:t>
      </w:r>
      <w:r w:rsidR="00F243D3" w:rsidRPr="007D70F4">
        <w:rPr>
          <w:rStyle w:val="Absatz-Standardschriftart"/>
          <w:szCs w:val="24"/>
        </w:rPr>
        <w:t>).</w:t>
      </w:r>
    </w:p>
    <w:p w14:paraId="2BC900EA" w14:textId="77777777" w:rsidR="005C6A13" w:rsidRPr="005C6A13" w:rsidRDefault="005C6A13" w:rsidP="008E78B7">
      <w:pPr>
        <w:rPr>
          <w:rStyle w:val="Absatz-Standardschriftart"/>
          <w:b/>
          <w:szCs w:val="24"/>
        </w:rPr>
      </w:pPr>
    </w:p>
    <w:p w14:paraId="49461C77" w14:textId="3218A400" w:rsidR="000A5936" w:rsidRPr="007D70F4" w:rsidRDefault="00C41CFF" w:rsidP="008E78B7">
      <w:pPr>
        <w:rPr>
          <w:rStyle w:val="Absatz-Standardschriftart"/>
          <w:szCs w:val="24"/>
        </w:rPr>
      </w:pPr>
      <w:r w:rsidRPr="007D70F4">
        <w:rPr>
          <w:rStyle w:val="Absatz-Standardschriftart"/>
          <w:b/>
          <w:szCs w:val="24"/>
        </w:rPr>
        <w:t>D</w:t>
      </w:r>
      <w:r w:rsidR="00F243D3" w:rsidRPr="007D70F4">
        <w:rPr>
          <w:rStyle w:val="Absatz-Standardschriftart"/>
          <w:b/>
          <w:szCs w:val="24"/>
        </w:rPr>
        <w:t>uodenum</w:t>
      </w:r>
      <w:r w:rsidR="005C6A13">
        <w:rPr>
          <w:rStyle w:val="Absatz-Standardschriftart"/>
          <w:b/>
          <w:szCs w:val="24"/>
        </w:rPr>
        <w:t>:</w:t>
      </w:r>
      <w:r w:rsidR="00F243D3" w:rsidRPr="007D70F4">
        <w:rPr>
          <w:rStyle w:val="Absatz-Standardschriftart"/>
          <w:szCs w:val="24"/>
        </w:rPr>
        <w:t xml:space="preserve"> The duodenum of control </w:t>
      </w:r>
      <w:r w:rsidR="00D9030A" w:rsidRPr="007D70F4">
        <w:rPr>
          <w:rStyle w:val="Absatz-Standardschriftart"/>
          <w:szCs w:val="24"/>
        </w:rPr>
        <w:t xml:space="preserve">untreated </w:t>
      </w:r>
      <w:r w:rsidR="00F243D3" w:rsidRPr="007D70F4">
        <w:rPr>
          <w:rStyle w:val="Absatz-Standardschriftart"/>
          <w:szCs w:val="24"/>
        </w:rPr>
        <w:t>rats showed a normal histological structure of the villi</w:t>
      </w:r>
      <w:r w:rsidR="003B3A47" w:rsidRPr="007D70F4">
        <w:rPr>
          <w:rStyle w:val="Absatz-Standardschriftart"/>
          <w:szCs w:val="24"/>
        </w:rPr>
        <w:t>, crypts and muscularis layer (F</w:t>
      </w:r>
      <w:r w:rsidR="00F243D3" w:rsidRPr="007D70F4">
        <w:rPr>
          <w:rStyle w:val="Absatz-Standardschriftart"/>
          <w:szCs w:val="24"/>
        </w:rPr>
        <w:t>ig</w:t>
      </w:r>
      <w:r w:rsidR="005C6A13">
        <w:rPr>
          <w:rStyle w:val="Absatz-Standardschriftart"/>
          <w:szCs w:val="24"/>
        </w:rPr>
        <w:t xml:space="preserve">ure </w:t>
      </w:r>
      <w:r w:rsidR="006270CD">
        <w:rPr>
          <w:rStyle w:val="Absatz-Standardschriftart"/>
          <w:szCs w:val="24"/>
        </w:rPr>
        <w:t>3</w:t>
      </w:r>
      <w:r w:rsidR="003B3A47" w:rsidRPr="007D70F4">
        <w:rPr>
          <w:rStyle w:val="Absatz-Standardschriftart"/>
          <w:szCs w:val="24"/>
        </w:rPr>
        <w:t>A</w:t>
      </w:r>
      <w:r w:rsidR="00F243D3" w:rsidRPr="007D70F4">
        <w:rPr>
          <w:rStyle w:val="Absatz-Standardschriftart"/>
          <w:szCs w:val="24"/>
        </w:rPr>
        <w:t>). However, the duodenum of rats treated with diclofenac showed focal mucosal necrosis associated with focal inflammatory cell infiltration and edema in the lamina propria, congested mucosal blood vessel and activation of the glands (Fig</w:t>
      </w:r>
      <w:r w:rsidR="005C6A13">
        <w:rPr>
          <w:rStyle w:val="Absatz-Standardschriftart"/>
          <w:szCs w:val="24"/>
        </w:rPr>
        <w:t>ure</w:t>
      </w:r>
      <w:r w:rsidR="00F243D3" w:rsidRPr="007D70F4">
        <w:rPr>
          <w:rStyle w:val="Absatz-Standardschriftart"/>
          <w:szCs w:val="24"/>
        </w:rPr>
        <w:t xml:space="preserve"> </w:t>
      </w:r>
      <w:r w:rsidR="006270CD">
        <w:rPr>
          <w:rStyle w:val="Absatz-Standardschriftart"/>
          <w:szCs w:val="24"/>
        </w:rPr>
        <w:t>3</w:t>
      </w:r>
      <w:r w:rsidR="003B3A47" w:rsidRPr="007D70F4">
        <w:rPr>
          <w:rStyle w:val="Absatz-Standardschriftart"/>
          <w:szCs w:val="24"/>
        </w:rPr>
        <w:t>B</w:t>
      </w:r>
      <w:r w:rsidR="00F243D3" w:rsidRPr="007D70F4">
        <w:rPr>
          <w:rStyle w:val="Absatz-Standardschriftart"/>
          <w:szCs w:val="24"/>
        </w:rPr>
        <w:t>). A marked amelioration of the histological picture was seen after combining diclofenac with either omeprazole or STW 5. Thus, sections from rats treated with diclofenac/omeprazole showed only mild changes in the lamina propria exhibited as a few inflammatory cell infiltration, slight activation of the glands and slight congestion of blood vessels (Fig</w:t>
      </w:r>
      <w:r w:rsidR="005C6A13">
        <w:rPr>
          <w:rStyle w:val="Absatz-Standardschriftart"/>
          <w:szCs w:val="24"/>
        </w:rPr>
        <w:t>ure</w:t>
      </w:r>
      <w:r w:rsidR="00F243D3" w:rsidRPr="007D70F4">
        <w:rPr>
          <w:rStyle w:val="Absatz-Standardschriftart"/>
          <w:szCs w:val="24"/>
        </w:rPr>
        <w:t xml:space="preserve"> </w:t>
      </w:r>
      <w:r w:rsidR="006270CD">
        <w:rPr>
          <w:rStyle w:val="Absatz-Standardschriftart"/>
          <w:szCs w:val="24"/>
        </w:rPr>
        <w:t>3</w:t>
      </w:r>
      <w:r w:rsidR="003B3A47" w:rsidRPr="007D70F4">
        <w:rPr>
          <w:rStyle w:val="Absatz-Standardschriftart"/>
          <w:szCs w:val="24"/>
        </w:rPr>
        <w:t>C</w:t>
      </w:r>
      <w:r w:rsidR="00F243D3" w:rsidRPr="007D70F4">
        <w:rPr>
          <w:rStyle w:val="Absatz-Standardschriftart"/>
          <w:szCs w:val="24"/>
        </w:rPr>
        <w:t>) while sections from rats treated with diclofenac/STW 5 showed hardly any histopathological alterations (Fig</w:t>
      </w:r>
      <w:r w:rsidR="005C6A13">
        <w:rPr>
          <w:rStyle w:val="Absatz-Standardschriftart"/>
          <w:szCs w:val="24"/>
        </w:rPr>
        <w:t>ure</w:t>
      </w:r>
      <w:r w:rsidR="00F243D3" w:rsidRPr="007D70F4">
        <w:rPr>
          <w:rStyle w:val="Absatz-Standardschriftart"/>
          <w:szCs w:val="24"/>
        </w:rPr>
        <w:t xml:space="preserve"> </w:t>
      </w:r>
      <w:r w:rsidR="006270CD">
        <w:rPr>
          <w:rStyle w:val="Absatz-Standardschriftart"/>
          <w:szCs w:val="24"/>
        </w:rPr>
        <w:t>3</w:t>
      </w:r>
      <w:r w:rsidR="003B3A47" w:rsidRPr="007D70F4">
        <w:rPr>
          <w:rStyle w:val="Absatz-Standardschriftart"/>
          <w:szCs w:val="24"/>
        </w:rPr>
        <w:t>D</w:t>
      </w:r>
      <w:r w:rsidR="00F243D3" w:rsidRPr="007D70F4">
        <w:rPr>
          <w:rStyle w:val="Absatz-Standardschriftart"/>
          <w:szCs w:val="24"/>
        </w:rPr>
        <w:t>). The ODS of the lesions in the stomach and duodenum is represented in Fig</w:t>
      </w:r>
      <w:r w:rsidR="005C6A13">
        <w:rPr>
          <w:rStyle w:val="Absatz-Standardschriftart"/>
          <w:szCs w:val="24"/>
        </w:rPr>
        <w:t>ure</w:t>
      </w:r>
      <w:r w:rsidR="00F243D3" w:rsidRPr="007D70F4">
        <w:rPr>
          <w:rStyle w:val="Absatz-Standardschriftart"/>
          <w:szCs w:val="24"/>
        </w:rPr>
        <w:t xml:space="preserve"> </w:t>
      </w:r>
      <w:r w:rsidR="006270CD">
        <w:rPr>
          <w:rStyle w:val="Absatz-Standardschriftart"/>
          <w:szCs w:val="24"/>
        </w:rPr>
        <w:t>4</w:t>
      </w:r>
      <w:r w:rsidR="00F243D3" w:rsidRPr="007D70F4">
        <w:rPr>
          <w:rStyle w:val="Absatz-Standardschriftart"/>
          <w:szCs w:val="24"/>
        </w:rPr>
        <w:t xml:space="preserve">, </w:t>
      </w:r>
      <w:r w:rsidR="00CD11FA" w:rsidRPr="007D70F4">
        <w:rPr>
          <w:rStyle w:val="Absatz-Standardschriftart"/>
          <w:szCs w:val="24"/>
        </w:rPr>
        <w:t>where it becomes</w:t>
      </w:r>
      <w:r w:rsidR="008958ED" w:rsidRPr="007D70F4">
        <w:rPr>
          <w:rStyle w:val="Absatz-Standardschriftart"/>
          <w:szCs w:val="24"/>
        </w:rPr>
        <w:t xml:space="preserve"> evident th</w:t>
      </w:r>
      <w:r w:rsidR="00CD11FA" w:rsidRPr="007D70F4">
        <w:rPr>
          <w:rStyle w:val="Absatz-Standardschriftart"/>
          <w:szCs w:val="24"/>
        </w:rPr>
        <w:t xml:space="preserve">at STW 5 was superior to </w:t>
      </w:r>
      <w:r w:rsidR="00895A49" w:rsidRPr="007D70F4">
        <w:rPr>
          <w:rStyle w:val="Absatz-Standardschriftart"/>
          <w:szCs w:val="24"/>
        </w:rPr>
        <w:t>omeprazole</w:t>
      </w:r>
      <w:r w:rsidR="008958ED" w:rsidRPr="007D70F4">
        <w:rPr>
          <w:rStyle w:val="Absatz-Standardschriftart"/>
          <w:szCs w:val="24"/>
        </w:rPr>
        <w:t xml:space="preserve"> in preventing the </w:t>
      </w:r>
      <w:r w:rsidR="00D9030A" w:rsidRPr="007D70F4">
        <w:rPr>
          <w:rStyle w:val="Absatz-Standardschriftart"/>
          <w:szCs w:val="24"/>
        </w:rPr>
        <w:t xml:space="preserve">histological </w:t>
      </w:r>
      <w:r w:rsidR="008958ED" w:rsidRPr="007D70F4">
        <w:rPr>
          <w:rStyle w:val="Absatz-Standardschriftart"/>
          <w:szCs w:val="24"/>
        </w:rPr>
        <w:t xml:space="preserve">damage </w:t>
      </w:r>
      <w:r w:rsidR="00F243D3" w:rsidRPr="007D70F4">
        <w:rPr>
          <w:rStyle w:val="Absatz-Standardschriftart"/>
          <w:szCs w:val="24"/>
        </w:rPr>
        <w:t>induced by diclofenac in both tissues.</w:t>
      </w:r>
    </w:p>
    <w:p w14:paraId="5CC07783" w14:textId="5EB5B3E1" w:rsidR="003028CF" w:rsidRPr="007D70F4" w:rsidRDefault="003028CF" w:rsidP="008E78B7">
      <w:pPr>
        <w:pStyle w:val="Standard"/>
        <w:spacing w:line="360" w:lineRule="auto"/>
        <w:jc w:val="both"/>
        <w:rPr>
          <w:rStyle w:val="Absatz-Standardschriftart"/>
          <w:rFonts w:ascii="Book Antiqua" w:eastAsia="Calibri" w:hAnsi="Book Antiqua"/>
          <w:sz w:val="24"/>
          <w:szCs w:val="24"/>
          <w:lang w:val="en-US"/>
        </w:rPr>
      </w:pPr>
    </w:p>
    <w:p w14:paraId="7AD64364" w14:textId="34A1EA1A" w:rsidR="000A5936" w:rsidRPr="007D70F4" w:rsidRDefault="00FE610F" w:rsidP="008E78B7">
      <w:pPr>
        <w:pStyle w:val="1"/>
        <w:rPr>
          <w:szCs w:val="24"/>
        </w:rPr>
      </w:pPr>
      <w:r w:rsidRPr="007D70F4">
        <w:rPr>
          <w:rStyle w:val="Absatz-Standardschriftart"/>
          <w:szCs w:val="24"/>
        </w:rPr>
        <w:t>DISCUSSION</w:t>
      </w:r>
    </w:p>
    <w:p w14:paraId="45D92767" w14:textId="403B0188" w:rsidR="00C41CFF" w:rsidRPr="007D70F4" w:rsidRDefault="00F243D3" w:rsidP="008E78B7">
      <w:pPr>
        <w:rPr>
          <w:szCs w:val="24"/>
          <w:lang w:val="en-GB"/>
        </w:rPr>
      </w:pPr>
      <w:r w:rsidRPr="007D70F4">
        <w:rPr>
          <w:rStyle w:val="Absatz-Standardschriftart"/>
          <w:szCs w:val="24"/>
        </w:rPr>
        <w:t>The fact that the frequent use of NSAIDs, including diclofenac, is prone to induce GI lesions has been well documented</w:t>
      </w:r>
      <w:r w:rsidR="00F26604" w:rsidRPr="007D70F4">
        <w:rPr>
          <w:rStyle w:val="Absatz-Standardschriftart"/>
          <w:szCs w:val="24"/>
          <w:vertAlign w:val="superscript"/>
        </w:rPr>
        <w:t>[</w:t>
      </w:r>
      <w:r w:rsidRPr="007D70F4">
        <w:rPr>
          <w:rStyle w:val="Absatz-Standardschriftart"/>
          <w:szCs w:val="24"/>
          <w:vertAlign w:val="superscript"/>
        </w:rPr>
        <w:t>1</w:t>
      </w:r>
      <w:r w:rsidR="007D1C43" w:rsidRPr="007D70F4">
        <w:rPr>
          <w:rStyle w:val="Absatz-Standardschriftart"/>
          <w:szCs w:val="24"/>
          <w:vertAlign w:val="superscript"/>
        </w:rPr>
        <w:t>7</w:t>
      </w:r>
      <w:r w:rsidR="00F26604" w:rsidRPr="007D70F4">
        <w:rPr>
          <w:rStyle w:val="Absatz-Standardschriftart"/>
          <w:szCs w:val="24"/>
          <w:vertAlign w:val="superscript"/>
        </w:rPr>
        <w:t>]</w:t>
      </w:r>
      <w:r w:rsidRPr="007D70F4">
        <w:rPr>
          <w:rStyle w:val="Absatz-Standardschriftart"/>
          <w:szCs w:val="24"/>
        </w:rPr>
        <w:t xml:space="preserve">. In alignment with earlier reports, the administration of diclofenac in the given dose over several days resulted in changes in histological as well as associated biochemical parameters in both the stomach and duodenum. The histological changes were evidenced as gastric and duodenal mucosal necrosis, blood vessel congestion and edema as well as inflammatory cells infiltration into lamina propria and submucosa. Similar findings were reported by Devi </w:t>
      </w:r>
      <w:r w:rsidRPr="005C6A13">
        <w:rPr>
          <w:rStyle w:val="Absatz-Standardschriftart"/>
          <w:i/>
          <w:iCs/>
          <w:szCs w:val="24"/>
        </w:rPr>
        <w:t>et al</w:t>
      </w:r>
      <w:r w:rsidR="005C6A13" w:rsidRPr="007D70F4">
        <w:rPr>
          <w:rStyle w:val="Absatz-Standardschriftart"/>
          <w:szCs w:val="24"/>
          <w:vertAlign w:val="superscript"/>
        </w:rPr>
        <w:t>[18]</w:t>
      </w:r>
      <w:r w:rsidR="005C6A13">
        <w:rPr>
          <w:rStyle w:val="Absatz-Standardschriftart"/>
          <w:szCs w:val="24"/>
        </w:rPr>
        <w:t>.</w:t>
      </w:r>
    </w:p>
    <w:p w14:paraId="64DBFAC8" w14:textId="44BC4330" w:rsidR="000A5936" w:rsidRPr="007D70F4" w:rsidRDefault="00F243D3" w:rsidP="00EB7A6E">
      <w:pPr>
        <w:ind w:firstLineChars="100" w:firstLine="240"/>
        <w:rPr>
          <w:szCs w:val="24"/>
          <w:lang w:val="en-GB"/>
        </w:rPr>
      </w:pPr>
      <w:r w:rsidRPr="007D70F4">
        <w:rPr>
          <w:rStyle w:val="Absatz-Standardschriftart"/>
          <w:szCs w:val="24"/>
        </w:rPr>
        <w:t xml:space="preserve">The </w:t>
      </w:r>
      <w:r w:rsidR="00A310A1">
        <w:rPr>
          <w:rStyle w:val="Absatz-Standardschriftart"/>
          <w:szCs w:val="24"/>
        </w:rPr>
        <w:t>GI</w:t>
      </w:r>
      <w:r w:rsidRPr="007D70F4">
        <w:rPr>
          <w:rStyle w:val="Absatz-Standardschriftart"/>
          <w:szCs w:val="24"/>
        </w:rPr>
        <w:t xml:space="preserve"> histological changes were also reflected on the biochemical findings, where diclofenac induced a marked rise in the gastric and duodenal contents o</w:t>
      </w:r>
      <w:r w:rsidR="00CB016D" w:rsidRPr="007D70F4">
        <w:rPr>
          <w:rStyle w:val="Absatz-Standardschriftart"/>
          <w:szCs w:val="24"/>
        </w:rPr>
        <w:t>f</w:t>
      </w:r>
      <w:r w:rsidRPr="007D70F4">
        <w:rPr>
          <w:rStyle w:val="Absatz-Standardschriftart"/>
          <w:szCs w:val="24"/>
        </w:rPr>
        <w:t xml:space="preserve"> IL-1β and TNF-α, while reducing that o</w:t>
      </w:r>
      <w:r w:rsidR="00CB016D" w:rsidRPr="007D70F4">
        <w:rPr>
          <w:rStyle w:val="Absatz-Standardschriftart"/>
          <w:szCs w:val="24"/>
        </w:rPr>
        <w:t>f</w:t>
      </w:r>
      <w:r w:rsidRPr="007D70F4">
        <w:rPr>
          <w:rStyle w:val="Absatz-Standardschriftart"/>
          <w:szCs w:val="24"/>
        </w:rPr>
        <w:t xml:space="preserve"> IL-10, indicating a disturbed balance between pro-inflammatory and anti-inflammatory cytokines. The role of these cytokines in the inflammatory process is well established. Thus, TNF-α besides contributing towards the induction of neutrophils to the inflamed mucosa</w:t>
      </w:r>
      <w:r w:rsidR="00F26604" w:rsidRPr="007D70F4">
        <w:rPr>
          <w:rStyle w:val="Absatz-Standardschriftart"/>
          <w:szCs w:val="24"/>
          <w:vertAlign w:val="superscript"/>
        </w:rPr>
        <w:t>[</w:t>
      </w:r>
      <w:r w:rsidRPr="007D70F4">
        <w:rPr>
          <w:rStyle w:val="Absatz-Standardschriftart"/>
          <w:szCs w:val="24"/>
          <w:vertAlign w:val="superscript"/>
        </w:rPr>
        <w:t>1</w:t>
      </w:r>
      <w:r w:rsidR="007D1C43" w:rsidRPr="007D70F4">
        <w:rPr>
          <w:rStyle w:val="Absatz-Standardschriftart"/>
          <w:szCs w:val="24"/>
          <w:vertAlign w:val="superscript"/>
        </w:rPr>
        <w:t>9</w:t>
      </w:r>
      <w:r w:rsidR="00F26604" w:rsidRPr="007D70F4">
        <w:rPr>
          <w:rStyle w:val="Absatz-Standardschriftart"/>
          <w:szCs w:val="24"/>
          <w:vertAlign w:val="superscript"/>
        </w:rPr>
        <w:t>]</w:t>
      </w:r>
      <w:r w:rsidR="00CB016D" w:rsidRPr="007D70F4">
        <w:rPr>
          <w:rStyle w:val="Absatz-Standardschriftart"/>
          <w:szCs w:val="24"/>
        </w:rPr>
        <w:t>, activates</w:t>
      </w:r>
      <w:r w:rsidRPr="007D70F4">
        <w:rPr>
          <w:rStyle w:val="Absatz-Standardschriftart"/>
          <w:szCs w:val="24"/>
        </w:rPr>
        <w:t xml:space="preserve"> the transcription factor, NF-κB, thereby </w:t>
      </w:r>
      <w:r w:rsidR="00BA6E2A" w:rsidRPr="007D70F4">
        <w:rPr>
          <w:rStyle w:val="Absatz-Standardschriftart"/>
          <w:szCs w:val="24"/>
        </w:rPr>
        <w:t xml:space="preserve">helping </w:t>
      </w:r>
      <w:r w:rsidRPr="007D70F4">
        <w:rPr>
          <w:rStyle w:val="Absatz-Standardschriftart"/>
          <w:szCs w:val="24"/>
        </w:rPr>
        <w:t>to up-regulate many genes involved in inflammatory and immune responses</w:t>
      </w:r>
      <w:r w:rsidR="00F26604" w:rsidRPr="007D70F4">
        <w:rPr>
          <w:rStyle w:val="Absatz-Standardschriftart"/>
          <w:szCs w:val="24"/>
          <w:vertAlign w:val="superscript"/>
        </w:rPr>
        <w:t>[</w:t>
      </w:r>
      <w:r w:rsidR="007D1C43" w:rsidRPr="007D70F4">
        <w:rPr>
          <w:rStyle w:val="Absatz-Standardschriftart"/>
          <w:szCs w:val="24"/>
          <w:vertAlign w:val="superscript"/>
        </w:rPr>
        <w:t>20</w:t>
      </w:r>
      <w:r w:rsidR="00F26604" w:rsidRPr="007D70F4">
        <w:rPr>
          <w:rStyle w:val="Absatz-Standardschriftart"/>
          <w:szCs w:val="24"/>
          <w:vertAlign w:val="superscript"/>
        </w:rPr>
        <w:t>]</w:t>
      </w:r>
      <w:r w:rsidRPr="007D70F4">
        <w:rPr>
          <w:rStyle w:val="Absatz-Standardschriftart"/>
          <w:szCs w:val="24"/>
        </w:rPr>
        <w:t>. The other pro-inflammatory cytokine, IL-1β</w:t>
      </w:r>
      <w:r w:rsidR="00CB016D" w:rsidRPr="007D70F4">
        <w:rPr>
          <w:rStyle w:val="Absatz-Standardschriftart"/>
          <w:szCs w:val="24"/>
          <w:lang w:val="en-GB"/>
        </w:rPr>
        <w:t>, enhances</w:t>
      </w:r>
      <w:r w:rsidRPr="007D70F4">
        <w:rPr>
          <w:rStyle w:val="Absatz-Standardschriftart"/>
          <w:szCs w:val="24"/>
          <w:lang w:val="en-GB"/>
        </w:rPr>
        <w:t xml:space="preserve"> </w:t>
      </w:r>
      <w:r w:rsidRPr="007D70F4">
        <w:rPr>
          <w:rStyle w:val="Absatz-Standardschriftart"/>
          <w:szCs w:val="24"/>
        </w:rPr>
        <w:t>the production of other pro-inflammatory cytokines in the gut and</w:t>
      </w:r>
      <w:r w:rsidR="000F0BB8" w:rsidRPr="007D70F4">
        <w:rPr>
          <w:rStyle w:val="Absatz-Standardschriftart"/>
          <w:szCs w:val="24"/>
        </w:rPr>
        <w:t xml:space="preserve"> </w:t>
      </w:r>
      <w:r w:rsidRPr="007D70F4">
        <w:rPr>
          <w:rStyle w:val="Absatz-Standardschriftart"/>
          <w:szCs w:val="24"/>
        </w:rPr>
        <w:t>contributes towards the expression of adhesion molecules on the endothelium</w:t>
      </w:r>
      <w:r w:rsidR="00F26604" w:rsidRPr="007D70F4">
        <w:rPr>
          <w:rStyle w:val="Absatz-Standardschriftart"/>
          <w:szCs w:val="24"/>
          <w:vertAlign w:val="superscript"/>
        </w:rPr>
        <w:t>[</w:t>
      </w:r>
      <w:r w:rsidRPr="007D70F4">
        <w:rPr>
          <w:rStyle w:val="Absatz-Standardschriftart"/>
          <w:szCs w:val="24"/>
          <w:vertAlign w:val="superscript"/>
        </w:rPr>
        <w:t>2</w:t>
      </w:r>
      <w:r w:rsidR="007D1C43" w:rsidRPr="007D70F4">
        <w:rPr>
          <w:rStyle w:val="Absatz-Standardschriftart"/>
          <w:szCs w:val="24"/>
          <w:vertAlign w:val="superscript"/>
        </w:rPr>
        <w:t>1</w:t>
      </w:r>
      <w:r w:rsidR="00F26604" w:rsidRPr="007D70F4">
        <w:rPr>
          <w:rStyle w:val="Absatz-Standardschriftart"/>
          <w:szCs w:val="24"/>
          <w:vertAlign w:val="superscript"/>
        </w:rPr>
        <w:t>]</w:t>
      </w:r>
      <w:r w:rsidRPr="007D70F4">
        <w:rPr>
          <w:rStyle w:val="Absatz-Standardschriftart"/>
          <w:szCs w:val="24"/>
        </w:rPr>
        <w:t xml:space="preserve">. </w:t>
      </w:r>
      <w:r w:rsidR="000F0BB8" w:rsidRPr="007D70F4">
        <w:rPr>
          <w:rStyle w:val="Absatz-Standardschriftart"/>
          <w:szCs w:val="24"/>
        </w:rPr>
        <w:t>Among the different cells producing the</w:t>
      </w:r>
      <w:r w:rsidRPr="007D70F4">
        <w:rPr>
          <w:rStyle w:val="Absatz-Standardschriftart"/>
          <w:szCs w:val="24"/>
        </w:rPr>
        <w:t xml:space="preserve"> anti-inflammatory cytokine, IL-1</w:t>
      </w:r>
      <w:r w:rsidR="000F0BB8" w:rsidRPr="007D70F4">
        <w:rPr>
          <w:rStyle w:val="Absatz-Standardschriftart"/>
          <w:szCs w:val="24"/>
        </w:rPr>
        <w:t>0, are the</w:t>
      </w:r>
      <w:r w:rsidRPr="007D70F4">
        <w:rPr>
          <w:rStyle w:val="Absatz-Standardschriftart"/>
          <w:szCs w:val="24"/>
        </w:rPr>
        <w:t xml:space="preserve"> regulatory B and T cells which are</w:t>
      </w:r>
      <w:r w:rsidR="000F0BB8" w:rsidRPr="007D70F4">
        <w:rPr>
          <w:rStyle w:val="Absatz-Standardschriftart"/>
          <w:szCs w:val="24"/>
        </w:rPr>
        <w:t xml:space="preserve"> also</w:t>
      </w:r>
      <w:r w:rsidRPr="007D70F4">
        <w:rPr>
          <w:rStyle w:val="Absatz-Standardschriftart"/>
          <w:szCs w:val="24"/>
        </w:rPr>
        <w:t xml:space="preserve"> involved in inflammat</w:t>
      </w:r>
      <w:r w:rsidR="00981849" w:rsidRPr="007D70F4">
        <w:rPr>
          <w:rStyle w:val="Absatz-Standardschriftart"/>
          <w:szCs w:val="24"/>
        </w:rPr>
        <w:t>ion</w:t>
      </w:r>
      <w:r w:rsidR="00F26604" w:rsidRPr="007D70F4">
        <w:rPr>
          <w:rStyle w:val="Absatz-Standardschriftart"/>
          <w:szCs w:val="24"/>
          <w:vertAlign w:val="superscript"/>
        </w:rPr>
        <w:t>[</w:t>
      </w:r>
      <w:r w:rsidRPr="007D70F4">
        <w:rPr>
          <w:rStyle w:val="Absatz-Standardschriftart"/>
          <w:szCs w:val="24"/>
          <w:vertAlign w:val="superscript"/>
        </w:rPr>
        <w:t>2</w:t>
      </w:r>
      <w:r w:rsidR="007D1C43" w:rsidRPr="007D70F4">
        <w:rPr>
          <w:rStyle w:val="Absatz-Standardschriftart"/>
          <w:szCs w:val="24"/>
          <w:vertAlign w:val="superscript"/>
        </w:rPr>
        <w:t>2</w:t>
      </w:r>
      <w:r w:rsidR="00F26604" w:rsidRPr="007D70F4">
        <w:rPr>
          <w:rStyle w:val="Absatz-Standardschriftart"/>
          <w:szCs w:val="24"/>
          <w:vertAlign w:val="superscript"/>
        </w:rPr>
        <w:t>]</w:t>
      </w:r>
      <w:r w:rsidR="000F0BB8" w:rsidRPr="007D70F4">
        <w:rPr>
          <w:szCs w:val="24"/>
          <w:lang w:val="en-GB"/>
        </w:rPr>
        <w:t>.</w:t>
      </w:r>
      <w:r w:rsidR="00EB7A6E">
        <w:rPr>
          <w:rFonts w:eastAsiaTheme="minorEastAsia" w:hint="eastAsia"/>
          <w:szCs w:val="24"/>
          <w:lang w:val="en-GB" w:eastAsia="zh-CN"/>
        </w:rPr>
        <w:t xml:space="preserve"> </w:t>
      </w:r>
      <w:r w:rsidRPr="007D70F4">
        <w:rPr>
          <w:rStyle w:val="Absatz-Standardschriftart"/>
          <w:szCs w:val="24"/>
        </w:rPr>
        <w:t xml:space="preserve">HO-1 </w:t>
      </w:r>
      <w:r w:rsidR="00981849" w:rsidRPr="007D70F4">
        <w:rPr>
          <w:rStyle w:val="Absatz-Standardschriftart"/>
          <w:szCs w:val="24"/>
        </w:rPr>
        <w:t xml:space="preserve">(also designated as </w:t>
      </w:r>
      <w:r w:rsidRPr="007D70F4">
        <w:rPr>
          <w:rStyle w:val="Absatz-Standardschriftart"/>
          <w:szCs w:val="24"/>
        </w:rPr>
        <w:t>heat shock protein-32</w:t>
      </w:r>
      <w:r w:rsidR="00981849" w:rsidRPr="007D70F4">
        <w:rPr>
          <w:rStyle w:val="Absatz-Standardschriftart"/>
          <w:szCs w:val="24"/>
        </w:rPr>
        <w:t>)</w:t>
      </w:r>
      <w:r w:rsidRPr="007D70F4">
        <w:rPr>
          <w:rStyle w:val="Absatz-Standardschriftart"/>
          <w:szCs w:val="24"/>
        </w:rPr>
        <w:t xml:space="preserve"> is constitutively </w:t>
      </w:r>
      <w:r w:rsidR="00981849" w:rsidRPr="007D70F4">
        <w:rPr>
          <w:rStyle w:val="Absatz-Standardschriftart"/>
          <w:szCs w:val="24"/>
        </w:rPr>
        <w:t xml:space="preserve">found </w:t>
      </w:r>
      <w:r w:rsidRPr="007D70F4">
        <w:rPr>
          <w:rStyle w:val="Absatz-Standardschriftart"/>
          <w:szCs w:val="24"/>
        </w:rPr>
        <w:t xml:space="preserve">in </w:t>
      </w:r>
      <w:r w:rsidR="00981849" w:rsidRPr="007D70F4">
        <w:rPr>
          <w:rStyle w:val="Absatz-Standardschriftart"/>
          <w:szCs w:val="24"/>
        </w:rPr>
        <w:t xml:space="preserve">the </w:t>
      </w:r>
      <w:r w:rsidR="00A310A1">
        <w:rPr>
          <w:rStyle w:val="Absatz-Standardschriftart"/>
          <w:szCs w:val="24"/>
        </w:rPr>
        <w:t>GI</w:t>
      </w:r>
      <w:r w:rsidR="00981849" w:rsidRPr="007D70F4">
        <w:rPr>
          <w:rStyle w:val="Absatz-Standardschriftart"/>
          <w:szCs w:val="24"/>
        </w:rPr>
        <w:t xml:space="preserve"> mucosa</w:t>
      </w:r>
      <w:r w:rsidRPr="007D70F4">
        <w:rPr>
          <w:rStyle w:val="Absatz-Standardschriftart"/>
          <w:szCs w:val="24"/>
        </w:rPr>
        <w:t xml:space="preserve"> and </w:t>
      </w:r>
      <w:r w:rsidR="00981849" w:rsidRPr="007D70F4">
        <w:rPr>
          <w:rStyle w:val="Absatz-Standardschriftart"/>
          <w:szCs w:val="24"/>
        </w:rPr>
        <w:t xml:space="preserve">becomes </w:t>
      </w:r>
      <w:r w:rsidRPr="007D70F4">
        <w:rPr>
          <w:rStyle w:val="Absatz-Standardschriftart"/>
          <w:szCs w:val="24"/>
        </w:rPr>
        <w:t xml:space="preserve">up-regulated </w:t>
      </w:r>
      <w:r w:rsidR="00981849" w:rsidRPr="007D70F4">
        <w:rPr>
          <w:rStyle w:val="Absatz-Standardschriftart"/>
          <w:szCs w:val="24"/>
        </w:rPr>
        <w:t>during inflammation</w:t>
      </w:r>
      <w:r w:rsidR="00F26604" w:rsidRPr="007D70F4">
        <w:rPr>
          <w:rStyle w:val="Absatz-Standardschriftart"/>
          <w:szCs w:val="24"/>
          <w:vertAlign w:val="superscript"/>
        </w:rPr>
        <w:t>[</w:t>
      </w:r>
      <w:r w:rsidR="0090552C" w:rsidRPr="007D70F4">
        <w:rPr>
          <w:rStyle w:val="Absatz-Standardschriftart"/>
          <w:szCs w:val="24"/>
          <w:vertAlign w:val="superscript"/>
        </w:rPr>
        <w:t>2</w:t>
      </w:r>
      <w:r w:rsidR="007D1C43" w:rsidRPr="007D70F4">
        <w:rPr>
          <w:rStyle w:val="Absatz-Standardschriftart"/>
          <w:szCs w:val="24"/>
          <w:vertAlign w:val="superscript"/>
        </w:rPr>
        <w:t>3</w:t>
      </w:r>
      <w:r w:rsidR="00F26604" w:rsidRPr="007D70F4">
        <w:rPr>
          <w:rStyle w:val="Absatz-Standardschriftart"/>
          <w:szCs w:val="24"/>
          <w:vertAlign w:val="superscript"/>
        </w:rPr>
        <w:t>]</w:t>
      </w:r>
      <w:r w:rsidRPr="007D70F4">
        <w:rPr>
          <w:rStyle w:val="Absatz-Standardschriftart"/>
          <w:szCs w:val="24"/>
        </w:rPr>
        <w:t>. It inhibits oxidative damage and reduces inflammatory events in</w:t>
      </w:r>
      <w:r w:rsidR="0090552C" w:rsidRPr="007D70F4">
        <w:rPr>
          <w:rStyle w:val="Absatz-Standardschriftart"/>
          <w:szCs w:val="24"/>
        </w:rPr>
        <w:t>duced by</w:t>
      </w:r>
      <w:r w:rsidRPr="007D70F4">
        <w:rPr>
          <w:rStyle w:val="Absatz-Standardschriftart"/>
          <w:szCs w:val="24"/>
        </w:rPr>
        <w:t xml:space="preserve"> inflammatory cytokines</w:t>
      </w:r>
      <w:r w:rsidR="00F26604" w:rsidRPr="007D70F4">
        <w:rPr>
          <w:rStyle w:val="Absatz-Standardschriftart"/>
          <w:szCs w:val="24"/>
          <w:vertAlign w:val="superscript"/>
        </w:rPr>
        <w:t>[</w:t>
      </w:r>
      <w:r w:rsidR="0090552C" w:rsidRPr="007D70F4">
        <w:rPr>
          <w:rStyle w:val="Absatz-Standardschriftart"/>
          <w:szCs w:val="24"/>
          <w:vertAlign w:val="superscript"/>
        </w:rPr>
        <w:t>2</w:t>
      </w:r>
      <w:r w:rsidR="007D1C43" w:rsidRPr="007D70F4">
        <w:rPr>
          <w:rStyle w:val="Absatz-Standardschriftart"/>
          <w:szCs w:val="24"/>
          <w:vertAlign w:val="superscript"/>
        </w:rPr>
        <w:t>4</w:t>
      </w:r>
      <w:r w:rsidR="00F26604" w:rsidRPr="007D70F4">
        <w:rPr>
          <w:rStyle w:val="Absatz-Standardschriftart"/>
          <w:szCs w:val="24"/>
          <w:vertAlign w:val="superscript"/>
        </w:rPr>
        <w:t>]</w:t>
      </w:r>
      <w:r w:rsidRPr="007D70F4">
        <w:rPr>
          <w:rStyle w:val="Absatz-Standardschriftart"/>
          <w:szCs w:val="24"/>
        </w:rPr>
        <w:t>.</w:t>
      </w:r>
    </w:p>
    <w:p w14:paraId="6630A458" w14:textId="254B14DC" w:rsidR="000A5936" w:rsidRPr="007D70F4" w:rsidRDefault="00F243D3" w:rsidP="00EB7A6E">
      <w:pPr>
        <w:ind w:firstLineChars="100" w:firstLine="240"/>
        <w:rPr>
          <w:szCs w:val="24"/>
          <w:lang w:val="en-GB"/>
        </w:rPr>
      </w:pPr>
      <w:r w:rsidRPr="007D70F4">
        <w:rPr>
          <w:rStyle w:val="Absatz-Standardschriftart"/>
          <w:szCs w:val="24"/>
        </w:rPr>
        <w:t xml:space="preserve">In </w:t>
      </w:r>
      <w:r w:rsidR="0090552C" w:rsidRPr="007D70F4">
        <w:rPr>
          <w:rStyle w:val="Absatz-Standardschriftart"/>
          <w:szCs w:val="24"/>
        </w:rPr>
        <w:t>order</w:t>
      </w:r>
      <w:r w:rsidRPr="007D70F4">
        <w:rPr>
          <w:rStyle w:val="Absatz-Standardschriftart"/>
          <w:szCs w:val="24"/>
        </w:rPr>
        <w:t xml:space="preserve"> to reduce the risk of GI injury induced by NSAIDs, adjuvant therapy has been advocated. Towards this end, PPIs have been reported to be very effective. Omeprazole</w:t>
      </w:r>
      <w:r w:rsidR="004A237D" w:rsidRPr="007D70F4">
        <w:rPr>
          <w:rStyle w:val="Absatz-Standardschriftart"/>
          <w:szCs w:val="24"/>
        </w:rPr>
        <w:t xml:space="preserve"> has been effectively used in patients taking NSAIDs in order to</w:t>
      </w:r>
      <w:r w:rsidRPr="007D70F4">
        <w:rPr>
          <w:rStyle w:val="Absatz-Standardschriftart"/>
          <w:szCs w:val="24"/>
        </w:rPr>
        <w:t xml:space="preserve"> heal</w:t>
      </w:r>
      <w:r w:rsidR="004A237D" w:rsidRPr="007D70F4">
        <w:rPr>
          <w:rStyle w:val="Absatz-Standardschriftart"/>
          <w:szCs w:val="24"/>
        </w:rPr>
        <w:t xml:space="preserve"> and </w:t>
      </w:r>
      <w:r w:rsidRPr="007D70F4">
        <w:rPr>
          <w:rStyle w:val="Absatz-Standardschriftart"/>
          <w:szCs w:val="24"/>
        </w:rPr>
        <w:t>prevent recurrence of gastroduodenal injury</w:t>
      </w:r>
      <w:r w:rsidR="00F26604" w:rsidRPr="007D70F4">
        <w:rPr>
          <w:rStyle w:val="Absatz-Standardschriftart"/>
          <w:szCs w:val="24"/>
          <w:vertAlign w:val="superscript"/>
        </w:rPr>
        <w:t>[</w:t>
      </w:r>
      <w:r w:rsidR="004A237D" w:rsidRPr="007D70F4">
        <w:rPr>
          <w:rStyle w:val="Absatz-Standardschriftart"/>
          <w:szCs w:val="24"/>
          <w:vertAlign w:val="superscript"/>
        </w:rPr>
        <w:t>2</w:t>
      </w:r>
      <w:r w:rsidR="007D1C43" w:rsidRPr="007D70F4">
        <w:rPr>
          <w:rStyle w:val="Absatz-Standardschriftart"/>
          <w:szCs w:val="24"/>
          <w:vertAlign w:val="superscript"/>
        </w:rPr>
        <w:t>5</w:t>
      </w:r>
      <w:r w:rsidR="004A237D" w:rsidRPr="007D70F4">
        <w:rPr>
          <w:rStyle w:val="Absatz-Standardschriftart"/>
          <w:szCs w:val="24"/>
          <w:vertAlign w:val="superscript"/>
        </w:rPr>
        <w:t>,2</w:t>
      </w:r>
      <w:r w:rsidR="007D1C43" w:rsidRPr="007D70F4">
        <w:rPr>
          <w:rStyle w:val="Absatz-Standardschriftart"/>
          <w:szCs w:val="24"/>
          <w:vertAlign w:val="superscript"/>
        </w:rPr>
        <w:t>6</w:t>
      </w:r>
      <w:r w:rsidR="00F26604" w:rsidRPr="007D70F4">
        <w:rPr>
          <w:rStyle w:val="Absatz-Standardschriftart"/>
          <w:szCs w:val="24"/>
          <w:vertAlign w:val="superscript"/>
        </w:rPr>
        <w:t>]</w:t>
      </w:r>
      <w:r w:rsidR="004A237D" w:rsidRPr="00EB7A6E">
        <w:rPr>
          <w:rStyle w:val="Absatz-Standardschriftart"/>
          <w:bCs/>
          <w:szCs w:val="24"/>
        </w:rPr>
        <w:t>.</w:t>
      </w:r>
      <w:r w:rsidR="004A237D" w:rsidRPr="007D70F4">
        <w:rPr>
          <w:rStyle w:val="Absatz-Standardschriftart"/>
          <w:b/>
          <w:szCs w:val="24"/>
        </w:rPr>
        <w:t xml:space="preserve"> </w:t>
      </w:r>
      <w:r w:rsidRPr="007D70F4">
        <w:rPr>
          <w:rStyle w:val="Absatz-Standardschriftart"/>
          <w:szCs w:val="24"/>
        </w:rPr>
        <w:t>In support of this, the present study showed its good protective effect against the diclofenac-induced gastroduodenal lesions with marked improvement in the gastric and duodenal levels of the measured cytokines</w:t>
      </w:r>
      <w:r w:rsidR="00C33021" w:rsidRPr="007D70F4">
        <w:rPr>
          <w:rStyle w:val="Absatz-Standardschriftart"/>
          <w:szCs w:val="24"/>
        </w:rPr>
        <w:t>, antiapoptotic protein</w:t>
      </w:r>
      <w:r w:rsidRPr="007D70F4">
        <w:rPr>
          <w:rStyle w:val="Absatz-Standardschriftart"/>
          <w:szCs w:val="24"/>
        </w:rPr>
        <w:t xml:space="preserve"> as well as HO-1 content</w:t>
      </w:r>
      <w:r w:rsidR="00DB6B88" w:rsidRPr="007D70F4">
        <w:rPr>
          <w:rStyle w:val="Absatz-Standardschriftart"/>
          <w:szCs w:val="24"/>
        </w:rPr>
        <w:t xml:space="preserve">. </w:t>
      </w:r>
      <w:r w:rsidRPr="007D70F4">
        <w:rPr>
          <w:rStyle w:val="Absatz-Standardschriftart"/>
          <w:szCs w:val="24"/>
        </w:rPr>
        <w:t xml:space="preserve">Nevertheless, there is some </w:t>
      </w:r>
      <w:r w:rsidRPr="007D70F4">
        <w:rPr>
          <w:rStyle w:val="Absatz-Standardschriftart"/>
          <w:szCs w:val="24"/>
        </w:rPr>
        <w:lastRenderedPageBreak/>
        <w:t>controversy in the literature in this respect. Some authors could not confirm that the drug is able to heal adequately the diclofenac induced GI lesions</w:t>
      </w:r>
      <w:r w:rsidR="00F26604" w:rsidRPr="007D70F4">
        <w:rPr>
          <w:rStyle w:val="Absatz-Standardschriftart"/>
          <w:szCs w:val="24"/>
          <w:vertAlign w:val="superscript"/>
        </w:rPr>
        <w:t>[</w:t>
      </w:r>
      <w:r w:rsidR="00605E0A" w:rsidRPr="007D70F4">
        <w:rPr>
          <w:rStyle w:val="Absatz-Standardschriftart"/>
          <w:szCs w:val="24"/>
          <w:vertAlign w:val="superscript"/>
        </w:rPr>
        <w:t>3</w:t>
      </w:r>
      <w:r w:rsidR="00F26604" w:rsidRPr="007D70F4">
        <w:rPr>
          <w:rStyle w:val="Absatz-Standardschriftart"/>
          <w:szCs w:val="24"/>
          <w:vertAlign w:val="superscript"/>
        </w:rPr>
        <w:t>]</w:t>
      </w:r>
      <w:r w:rsidR="00605E0A" w:rsidRPr="007D70F4">
        <w:rPr>
          <w:rStyle w:val="Absatz-Standardschriftart"/>
          <w:szCs w:val="24"/>
        </w:rPr>
        <w:t>.</w:t>
      </w:r>
    </w:p>
    <w:p w14:paraId="731DAE10" w14:textId="6D24C0C5" w:rsidR="00605E0A" w:rsidRPr="007D70F4" w:rsidRDefault="00F243D3" w:rsidP="00EB7A6E">
      <w:pPr>
        <w:ind w:firstLineChars="100" w:firstLine="240"/>
        <w:rPr>
          <w:rStyle w:val="Absatz-Standardschriftart"/>
          <w:szCs w:val="24"/>
        </w:rPr>
      </w:pPr>
      <w:r w:rsidRPr="007D70F4">
        <w:rPr>
          <w:rStyle w:val="Absatz-Standardschriftart"/>
          <w:szCs w:val="24"/>
        </w:rPr>
        <w:t>The present study also showed that STW 5 had a better protective effect than omeprazole against the histological changes induced by diclofenac</w:t>
      </w:r>
      <w:r w:rsidR="00605E0A" w:rsidRPr="007D70F4">
        <w:rPr>
          <w:rStyle w:val="Absatz-Standardschriftart"/>
          <w:szCs w:val="24"/>
        </w:rPr>
        <w:t>, as</w:t>
      </w:r>
      <w:r w:rsidRPr="007D70F4">
        <w:rPr>
          <w:rStyle w:val="Absatz-Standardschriftart"/>
          <w:szCs w:val="24"/>
        </w:rPr>
        <w:t xml:space="preserve"> evidenced by a reduction in the diclofenac-induced gastro</w:t>
      </w:r>
      <w:r w:rsidR="00BA6E2A" w:rsidRPr="007D70F4">
        <w:rPr>
          <w:rStyle w:val="Absatz-Standardschriftart"/>
          <w:szCs w:val="24"/>
        </w:rPr>
        <w:t>-</w:t>
      </w:r>
      <w:r w:rsidRPr="007D70F4">
        <w:rPr>
          <w:rStyle w:val="Absatz-Standardschriftart"/>
          <w:szCs w:val="24"/>
        </w:rPr>
        <w:t>duodenal mucosal necrosis, blood vessel</w:t>
      </w:r>
      <w:r w:rsidR="00605E0A" w:rsidRPr="007D70F4">
        <w:rPr>
          <w:rStyle w:val="Absatz-Standardschriftart"/>
          <w:szCs w:val="24"/>
        </w:rPr>
        <w:t xml:space="preserve"> </w:t>
      </w:r>
      <w:r w:rsidRPr="007D70F4">
        <w:rPr>
          <w:rStyle w:val="Absatz-Standardschriftart"/>
          <w:szCs w:val="24"/>
        </w:rPr>
        <w:t xml:space="preserve">congestion, leukocytic infiltration, and edema. The superiority of STW 5 over omeprazole was previously </w:t>
      </w:r>
      <w:r w:rsidR="00605E0A" w:rsidRPr="007D70F4">
        <w:rPr>
          <w:rStyle w:val="Absatz-Standardschriftart"/>
          <w:szCs w:val="24"/>
        </w:rPr>
        <w:t>reported</w:t>
      </w:r>
      <w:r w:rsidRPr="007D70F4">
        <w:rPr>
          <w:rStyle w:val="Absatz-Standardschriftart"/>
          <w:szCs w:val="24"/>
        </w:rPr>
        <w:t xml:space="preserve"> in another experimental model of GI disorders, namely reflux esophagitis</w:t>
      </w:r>
      <w:r w:rsidR="00F26604" w:rsidRPr="007D70F4">
        <w:rPr>
          <w:rStyle w:val="Absatz-Standardschriftart"/>
          <w:szCs w:val="24"/>
          <w:vertAlign w:val="superscript"/>
        </w:rPr>
        <w:t>[</w:t>
      </w:r>
      <w:r w:rsidR="00605E0A" w:rsidRPr="007D70F4">
        <w:rPr>
          <w:rStyle w:val="Absatz-Standardschriftart"/>
          <w:szCs w:val="24"/>
          <w:vertAlign w:val="superscript"/>
        </w:rPr>
        <w:t>9</w:t>
      </w:r>
      <w:r w:rsidR="00F26604" w:rsidRPr="007D70F4">
        <w:rPr>
          <w:rStyle w:val="Absatz-Standardschriftart"/>
          <w:szCs w:val="24"/>
          <w:vertAlign w:val="superscript"/>
        </w:rPr>
        <w:t>]</w:t>
      </w:r>
      <w:r w:rsidR="00605E0A" w:rsidRPr="007D70F4">
        <w:rPr>
          <w:szCs w:val="24"/>
        </w:rPr>
        <w:t xml:space="preserve">, </w:t>
      </w:r>
      <w:r w:rsidR="00605E0A" w:rsidRPr="007D70F4">
        <w:rPr>
          <w:rStyle w:val="Absatz-Standardschriftart"/>
          <w:szCs w:val="24"/>
        </w:rPr>
        <w:t>where the</w:t>
      </w:r>
      <w:r w:rsidRPr="007D70F4">
        <w:rPr>
          <w:rStyle w:val="Absatz-Standardschriftart"/>
          <w:szCs w:val="24"/>
        </w:rPr>
        <w:t xml:space="preserve"> associated changes in the biochemical parameters were also significantly reduced or prevented. </w:t>
      </w:r>
    </w:p>
    <w:p w14:paraId="54ABA3CE" w14:textId="05A97A31" w:rsidR="000A5936" w:rsidRPr="007D70F4" w:rsidRDefault="00605E0A" w:rsidP="00EB7A6E">
      <w:pPr>
        <w:ind w:firstLineChars="100" w:firstLine="240"/>
        <w:rPr>
          <w:szCs w:val="24"/>
          <w:lang w:val="en-GB"/>
        </w:rPr>
      </w:pPr>
      <w:r w:rsidRPr="007D70F4">
        <w:rPr>
          <w:rStyle w:val="Absatz-Standardschriftart"/>
          <w:szCs w:val="24"/>
        </w:rPr>
        <w:t xml:space="preserve">The </w:t>
      </w:r>
      <w:r w:rsidR="00395FF7" w:rsidRPr="007D70F4">
        <w:rPr>
          <w:rStyle w:val="Absatz-Standardschriftart"/>
          <w:szCs w:val="24"/>
        </w:rPr>
        <w:t xml:space="preserve">histological </w:t>
      </w:r>
      <w:r w:rsidRPr="007D70F4">
        <w:rPr>
          <w:rStyle w:val="Absatz-Standardschriftart"/>
          <w:szCs w:val="24"/>
        </w:rPr>
        <w:t>p</w:t>
      </w:r>
      <w:r w:rsidR="00395FF7" w:rsidRPr="007D70F4">
        <w:rPr>
          <w:rStyle w:val="Absatz-Standardschriftart"/>
          <w:szCs w:val="24"/>
        </w:rPr>
        <w:t xml:space="preserve">rotective effect of </w:t>
      </w:r>
      <w:r w:rsidR="00F243D3" w:rsidRPr="007D70F4">
        <w:rPr>
          <w:rStyle w:val="Absatz-Standardschriftart"/>
          <w:szCs w:val="24"/>
        </w:rPr>
        <w:t xml:space="preserve">STW 5 </w:t>
      </w:r>
      <w:r w:rsidR="00395FF7" w:rsidRPr="007D70F4">
        <w:rPr>
          <w:rStyle w:val="Absatz-Standardschriftart"/>
          <w:szCs w:val="24"/>
        </w:rPr>
        <w:t xml:space="preserve">was associated with a reduction of </w:t>
      </w:r>
      <w:r w:rsidR="00F243D3" w:rsidRPr="007D70F4">
        <w:rPr>
          <w:rStyle w:val="Absatz-Standardschriftart"/>
          <w:szCs w:val="24"/>
        </w:rPr>
        <w:t xml:space="preserve">the level of the pro-inflammatory cytokines, TNF-α and IL-1β, while increasing that of IL-10. The herbal preparation was previously shown to have a dose-dependent inhibitory effect on TNF-α and/or IL-1β both </w:t>
      </w:r>
      <w:r w:rsidR="00F243D3" w:rsidRPr="007D70F4">
        <w:rPr>
          <w:rStyle w:val="Absatz-Standardschriftart"/>
          <w:i/>
          <w:szCs w:val="24"/>
        </w:rPr>
        <w:t>in</w:t>
      </w:r>
      <w:r w:rsidR="00EB7A6E">
        <w:rPr>
          <w:rStyle w:val="Absatz-Standardschriftart"/>
          <w:i/>
          <w:szCs w:val="24"/>
        </w:rPr>
        <w:t xml:space="preserve"> </w:t>
      </w:r>
      <w:r w:rsidR="00F243D3" w:rsidRPr="007D70F4">
        <w:rPr>
          <w:rStyle w:val="Absatz-Standardschriftart"/>
          <w:i/>
          <w:szCs w:val="24"/>
        </w:rPr>
        <w:t>vitro</w:t>
      </w:r>
      <w:r w:rsidR="00F26604" w:rsidRPr="007D70F4">
        <w:rPr>
          <w:rStyle w:val="Absatz-Standardschriftart"/>
          <w:i/>
          <w:szCs w:val="24"/>
          <w:vertAlign w:val="superscript"/>
        </w:rPr>
        <w:t>[</w:t>
      </w:r>
      <w:r w:rsidR="009D3465" w:rsidRPr="007D70F4">
        <w:rPr>
          <w:rStyle w:val="Absatz-Standardschriftart"/>
          <w:szCs w:val="24"/>
          <w:vertAlign w:val="superscript"/>
        </w:rPr>
        <w:t>2</w:t>
      </w:r>
      <w:r w:rsidR="007D1C43" w:rsidRPr="007D70F4">
        <w:rPr>
          <w:rStyle w:val="Absatz-Standardschriftart"/>
          <w:szCs w:val="24"/>
          <w:vertAlign w:val="superscript"/>
        </w:rPr>
        <w:t>7</w:t>
      </w:r>
      <w:r w:rsidR="00F26604" w:rsidRPr="007D70F4">
        <w:rPr>
          <w:rStyle w:val="Absatz-Standardschriftart"/>
          <w:szCs w:val="24"/>
          <w:vertAlign w:val="superscript"/>
        </w:rPr>
        <w:t>]</w:t>
      </w:r>
      <w:r w:rsidR="00F243D3" w:rsidRPr="007D70F4">
        <w:rPr>
          <w:rStyle w:val="Absatz-Standardschriftart"/>
          <w:b/>
          <w:szCs w:val="24"/>
        </w:rPr>
        <w:t xml:space="preserve"> </w:t>
      </w:r>
      <w:r w:rsidR="00F243D3" w:rsidRPr="007D70F4">
        <w:rPr>
          <w:rStyle w:val="Absatz-Standardschriftart"/>
          <w:szCs w:val="24"/>
        </w:rPr>
        <w:t xml:space="preserve">and </w:t>
      </w:r>
      <w:r w:rsidR="00F243D3" w:rsidRPr="007D70F4">
        <w:rPr>
          <w:rStyle w:val="Absatz-Standardschriftart"/>
          <w:i/>
          <w:szCs w:val="24"/>
        </w:rPr>
        <w:t>in</w:t>
      </w:r>
      <w:r w:rsidR="00EB7A6E">
        <w:rPr>
          <w:rStyle w:val="Absatz-Standardschriftart"/>
          <w:i/>
          <w:szCs w:val="24"/>
        </w:rPr>
        <w:t xml:space="preserve"> </w:t>
      </w:r>
      <w:r w:rsidR="00F243D3" w:rsidRPr="007D70F4">
        <w:rPr>
          <w:rStyle w:val="Absatz-Standardschriftart"/>
          <w:i/>
          <w:szCs w:val="24"/>
        </w:rPr>
        <w:t>vivo</w:t>
      </w:r>
      <w:r w:rsidR="00F243D3" w:rsidRPr="007D70F4">
        <w:rPr>
          <w:rStyle w:val="Absatz-Standardschriftart"/>
          <w:szCs w:val="24"/>
        </w:rPr>
        <w:t xml:space="preserve"> using rat models of reflux esophagitis</w:t>
      </w:r>
      <w:r w:rsidR="00F26604" w:rsidRPr="007D70F4">
        <w:rPr>
          <w:rStyle w:val="Absatz-Standardschriftart"/>
          <w:szCs w:val="24"/>
          <w:vertAlign w:val="superscript"/>
        </w:rPr>
        <w:t>[</w:t>
      </w:r>
      <w:r w:rsidR="009D3465" w:rsidRPr="007D70F4">
        <w:rPr>
          <w:rStyle w:val="Absatz-Standardschriftart"/>
          <w:szCs w:val="24"/>
          <w:vertAlign w:val="superscript"/>
        </w:rPr>
        <w:t>9</w:t>
      </w:r>
      <w:r w:rsidR="00F26604" w:rsidRPr="007D70F4">
        <w:rPr>
          <w:rStyle w:val="Absatz-Standardschriftart"/>
          <w:szCs w:val="24"/>
          <w:vertAlign w:val="superscript"/>
        </w:rPr>
        <w:t>]</w:t>
      </w:r>
      <w:r w:rsidR="00F243D3" w:rsidRPr="007D70F4">
        <w:rPr>
          <w:rStyle w:val="Absatz-Standardschriftart"/>
          <w:b/>
          <w:szCs w:val="24"/>
        </w:rPr>
        <w:t xml:space="preserve"> </w:t>
      </w:r>
      <w:r w:rsidR="00F243D3" w:rsidRPr="007D70F4">
        <w:rPr>
          <w:rStyle w:val="Absatz-Standardschriftart"/>
          <w:szCs w:val="24"/>
        </w:rPr>
        <w:t>and</w:t>
      </w:r>
      <w:r w:rsidR="00F243D3" w:rsidRPr="007D70F4">
        <w:rPr>
          <w:rStyle w:val="Absatz-Standardschriftart"/>
          <w:b/>
          <w:szCs w:val="24"/>
        </w:rPr>
        <w:t xml:space="preserve"> </w:t>
      </w:r>
      <w:r w:rsidR="00F243D3" w:rsidRPr="007D70F4">
        <w:rPr>
          <w:rStyle w:val="Absatz-Standardschriftart"/>
          <w:szCs w:val="24"/>
        </w:rPr>
        <w:t>colitis</w:t>
      </w:r>
      <w:r w:rsidR="009D3465" w:rsidRPr="007D70F4">
        <w:rPr>
          <w:rStyle w:val="Absatz-Standardschriftart"/>
          <w:szCs w:val="24"/>
          <w:vertAlign w:val="superscript"/>
        </w:rPr>
        <w:t>11</w:t>
      </w:r>
      <w:r w:rsidR="00F243D3" w:rsidRPr="007D70F4">
        <w:rPr>
          <w:rStyle w:val="Absatz-Standardschriftart"/>
          <w:b/>
          <w:szCs w:val="24"/>
        </w:rPr>
        <w:t xml:space="preserve">. </w:t>
      </w:r>
      <w:r w:rsidR="009D3465" w:rsidRPr="007D70F4">
        <w:rPr>
          <w:rStyle w:val="Absatz-Standardschriftart"/>
          <w:szCs w:val="24"/>
        </w:rPr>
        <w:t xml:space="preserve">Furthermore, STW 5 was </w:t>
      </w:r>
      <w:r w:rsidR="00F243D3" w:rsidRPr="007D70F4">
        <w:rPr>
          <w:rStyle w:val="Absatz-Standardschriftart"/>
          <w:szCs w:val="24"/>
        </w:rPr>
        <w:t xml:space="preserve">reported </w:t>
      </w:r>
      <w:r w:rsidR="009D3465" w:rsidRPr="007D70F4">
        <w:rPr>
          <w:rStyle w:val="Absatz-Standardschriftart"/>
          <w:szCs w:val="24"/>
        </w:rPr>
        <w:t>to have</w:t>
      </w:r>
      <w:r w:rsidR="00F243D3" w:rsidRPr="007D70F4">
        <w:rPr>
          <w:rStyle w:val="Absatz-Standardschriftart"/>
          <w:szCs w:val="24"/>
        </w:rPr>
        <w:t xml:space="preserve"> anti-ulcerogenic and mucosal protective effects against indomethacin-induced gastric ulcers in rats</w:t>
      </w:r>
      <w:r w:rsidR="00F26604" w:rsidRPr="007D70F4">
        <w:rPr>
          <w:rStyle w:val="Absatz-Standardschriftart"/>
          <w:szCs w:val="24"/>
          <w:vertAlign w:val="superscript"/>
        </w:rPr>
        <w:t>[</w:t>
      </w:r>
      <w:r w:rsidR="009D3465" w:rsidRPr="007D70F4">
        <w:rPr>
          <w:rStyle w:val="Absatz-Standardschriftart"/>
          <w:szCs w:val="24"/>
          <w:vertAlign w:val="superscript"/>
        </w:rPr>
        <w:t>10</w:t>
      </w:r>
      <w:r w:rsidR="00F26604" w:rsidRPr="007D70F4">
        <w:rPr>
          <w:rStyle w:val="Absatz-Standardschriftart"/>
          <w:szCs w:val="24"/>
          <w:vertAlign w:val="superscript"/>
        </w:rPr>
        <w:t>]</w:t>
      </w:r>
      <w:r w:rsidR="00F243D3" w:rsidRPr="007D70F4">
        <w:rPr>
          <w:rStyle w:val="Absatz-Standardschriftart"/>
          <w:szCs w:val="24"/>
        </w:rPr>
        <w:t>. STW 5 has been reported to be clinically effective in functional dyspepsia and irritable bowel syndrome</w:t>
      </w:r>
      <w:r w:rsidR="00F26604" w:rsidRPr="007D70F4">
        <w:rPr>
          <w:rStyle w:val="Absatz-Standardschriftart"/>
          <w:szCs w:val="24"/>
          <w:vertAlign w:val="superscript"/>
        </w:rPr>
        <w:t>[</w:t>
      </w:r>
      <w:r w:rsidR="009D3465" w:rsidRPr="007D70F4">
        <w:rPr>
          <w:rStyle w:val="Absatz-Standardschriftart"/>
          <w:szCs w:val="24"/>
          <w:vertAlign w:val="superscript"/>
        </w:rPr>
        <w:t>5</w:t>
      </w:r>
      <w:r w:rsidR="00F26604" w:rsidRPr="007D70F4">
        <w:rPr>
          <w:rStyle w:val="Absatz-Standardschriftart"/>
          <w:szCs w:val="24"/>
          <w:vertAlign w:val="superscript"/>
        </w:rPr>
        <w:t>]</w:t>
      </w:r>
      <w:r w:rsidR="009D3465" w:rsidRPr="007D70F4">
        <w:rPr>
          <w:rStyle w:val="Absatz-Standardschriftart"/>
          <w:szCs w:val="24"/>
        </w:rPr>
        <w:t xml:space="preserve">, conditions </w:t>
      </w:r>
      <w:r w:rsidR="00F243D3" w:rsidRPr="007D70F4">
        <w:rPr>
          <w:rStyle w:val="Absatz-Standardschriftart"/>
          <w:szCs w:val="24"/>
        </w:rPr>
        <w:t xml:space="preserve">that are often </w:t>
      </w:r>
      <w:r w:rsidR="009D3465" w:rsidRPr="007D70F4">
        <w:rPr>
          <w:rStyle w:val="Absatz-Standardschriftart"/>
          <w:szCs w:val="24"/>
        </w:rPr>
        <w:t>associated with</w:t>
      </w:r>
      <w:r w:rsidR="00F243D3" w:rsidRPr="007D70F4">
        <w:rPr>
          <w:rStyle w:val="Absatz-Standardschriftart"/>
          <w:szCs w:val="24"/>
        </w:rPr>
        <w:t xml:space="preserve"> inflammatory processes</w:t>
      </w:r>
      <w:r w:rsidR="00F243D3" w:rsidRPr="007D70F4">
        <w:rPr>
          <w:rStyle w:val="Absatz-Standardschriftart"/>
          <w:b/>
          <w:szCs w:val="24"/>
        </w:rPr>
        <w:t>.</w:t>
      </w:r>
      <w:r w:rsidR="00F243D3" w:rsidRPr="007D70F4">
        <w:rPr>
          <w:rStyle w:val="Absatz-Standardschriftart"/>
          <w:szCs w:val="24"/>
        </w:rPr>
        <w:t xml:space="preserve"> The </w:t>
      </w:r>
      <w:r w:rsidR="00485887" w:rsidRPr="007D70F4">
        <w:rPr>
          <w:rStyle w:val="Absatz-Standardschriftart"/>
          <w:szCs w:val="24"/>
        </w:rPr>
        <w:t xml:space="preserve">fact that STW 5 </w:t>
      </w:r>
      <w:r w:rsidR="00F243D3" w:rsidRPr="007D70F4">
        <w:rPr>
          <w:rStyle w:val="Absatz-Standardschriftart"/>
          <w:szCs w:val="24"/>
        </w:rPr>
        <w:t>reduc</w:t>
      </w:r>
      <w:r w:rsidR="00485887" w:rsidRPr="007D70F4">
        <w:rPr>
          <w:rStyle w:val="Absatz-Standardschriftart"/>
          <w:szCs w:val="24"/>
        </w:rPr>
        <w:t>es</w:t>
      </w:r>
      <w:r w:rsidR="00F243D3" w:rsidRPr="007D70F4">
        <w:rPr>
          <w:rStyle w:val="Absatz-Standardschriftart"/>
          <w:szCs w:val="24"/>
        </w:rPr>
        <w:t xml:space="preserve"> the level of pro-inflammatory cytokines may</w:t>
      </w:r>
      <w:r w:rsidR="00485887" w:rsidRPr="007D70F4">
        <w:rPr>
          <w:rStyle w:val="Absatz-Standardschriftart"/>
          <w:szCs w:val="24"/>
        </w:rPr>
        <w:t xml:space="preserve"> at least partly</w:t>
      </w:r>
      <w:r w:rsidR="00F243D3" w:rsidRPr="007D70F4">
        <w:rPr>
          <w:rStyle w:val="Absatz-Standardschriftart"/>
          <w:szCs w:val="24"/>
        </w:rPr>
        <w:t xml:space="preserve"> be explained by</w:t>
      </w:r>
      <w:r w:rsidR="00485887" w:rsidRPr="007D70F4">
        <w:rPr>
          <w:rStyle w:val="Absatz-Standardschriftart"/>
          <w:szCs w:val="24"/>
        </w:rPr>
        <w:t xml:space="preserve"> its potential to </w:t>
      </w:r>
      <w:r w:rsidR="00F243D3" w:rsidRPr="007D70F4">
        <w:rPr>
          <w:rStyle w:val="Absatz-Standardschriftart"/>
          <w:szCs w:val="24"/>
        </w:rPr>
        <w:t>inhibit</w:t>
      </w:r>
      <w:r w:rsidR="00485887" w:rsidRPr="007D70F4">
        <w:rPr>
          <w:rStyle w:val="Absatz-Standardschriftart"/>
          <w:szCs w:val="24"/>
        </w:rPr>
        <w:t xml:space="preserve"> </w:t>
      </w:r>
      <w:r w:rsidR="00F243D3" w:rsidRPr="007D70F4">
        <w:rPr>
          <w:rStyle w:val="Absatz-Standardschriftart"/>
          <w:szCs w:val="24"/>
        </w:rPr>
        <w:t>the translocation of nuclear factor-kappa B</w:t>
      </w:r>
      <w:r w:rsidR="00A70F84" w:rsidRPr="007D70F4">
        <w:rPr>
          <w:rStyle w:val="Absatz-Standardschriftart"/>
          <w:szCs w:val="24"/>
        </w:rPr>
        <w:t>,</w:t>
      </w:r>
      <w:r w:rsidR="00F243D3" w:rsidRPr="007D70F4">
        <w:rPr>
          <w:rStyle w:val="Absatz-Standardschriftart"/>
          <w:szCs w:val="24"/>
        </w:rPr>
        <w:t xml:space="preserve"> which play</w:t>
      </w:r>
      <w:r w:rsidR="00A70F84" w:rsidRPr="007D70F4">
        <w:rPr>
          <w:rStyle w:val="Absatz-Standardschriftart"/>
          <w:szCs w:val="24"/>
        </w:rPr>
        <w:t>s</w:t>
      </w:r>
      <w:r w:rsidR="00F243D3" w:rsidRPr="007D70F4">
        <w:rPr>
          <w:rStyle w:val="Absatz-Standardschriftart"/>
          <w:szCs w:val="24"/>
        </w:rPr>
        <w:t xml:space="preserve"> a</w:t>
      </w:r>
      <w:r w:rsidR="00A70F84" w:rsidRPr="007D70F4">
        <w:rPr>
          <w:rStyle w:val="Absatz-Standardschriftart"/>
          <w:szCs w:val="24"/>
        </w:rPr>
        <w:t>n important</w:t>
      </w:r>
      <w:r w:rsidR="00F243D3" w:rsidRPr="007D70F4">
        <w:rPr>
          <w:rStyle w:val="Absatz-Standardschriftart"/>
          <w:szCs w:val="24"/>
        </w:rPr>
        <w:t xml:space="preserve"> role </w:t>
      </w:r>
      <w:r w:rsidR="00A70F84" w:rsidRPr="007D70F4">
        <w:rPr>
          <w:rStyle w:val="Absatz-Standardschriftart"/>
          <w:szCs w:val="24"/>
        </w:rPr>
        <w:t>in</w:t>
      </w:r>
      <w:r w:rsidR="00F243D3" w:rsidRPr="007D70F4">
        <w:rPr>
          <w:rStyle w:val="Absatz-Standardschriftart"/>
          <w:szCs w:val="24"/>
        </w:rPr>
        <w:t xml:space="preserve"> regulat</w:t>
      </w:r>
      <w:r w:rsidR="00A70F84" w:rsidRPr="007D70F4">
        <w:rPr>
          <w:rStyle w:val="Absatz-Standardschriftart"/>
          <w:szCs w:val="24"/>
        </w:rPr>
        <w:t>ing</w:t>
      </w:r>
      <w:r w:rsidR="00F243D3" w:rsidRPr="007D70F4">
        <w:rPr>
          <w:rStyle w:val="Absatz-Standardschriftart"/>
          <w:szCs w:val="24"/>
        </w:rPr>
        <w:t xml:space="preserve"> pro-inflammatory gene transcription</w:t>
      </w:r>
      <w:r w:rsidR="00F26604" w:rsidRPr="007D70F4">
        <w:rPr>
          <w:rStyle w:val="Absatz-Standardschriftart"/>
          <w:szCs w:val="24"/>
          <w:vertAlign w:val="superscript"/>
        </w:rPr>
        <w:t>[</w:t>
      </w:r>
      <w:r w:rsidR="00A70F84" w:rsidRPr="007D70F4">
        <w:rPr>
          <w:rStyle w:val="Absatz-Standardschriftart"/>
          <w:szCs w:val="24"/>
          <w:vertAlign w:val="superscript"/>
        </w:rPr>
        <w:t>2</w:t>
      </w:r>
      <w:r w:rsidR="00BC7B0A" w:rsidRPr="007D70F4">
        <w:rPr>
          <w:rStyle w:val="Absatz-Standardschriftart"/>
          <w:szCs w:val="24"/>
          <w:vertAlign w:val="superscript"/>
        </w:rPr>
        <w:t>8</w:t>
      </w:r>
      <w:r w:rsidR="00F26604" w:rsidRPr="007D70F4">
        <w:rPr>
          <w:rStyle w:val="Absatz-Standardschriftart"/>
          <w:szCs w:val="24"/>
          <w:vertAlign w:val="superscript"/>
        </w:rPr>
        <w:t>]</w:t>
      </w:r>
      <w:r w:rsidR="00F243D3" w:rsidRPr="007D70F4">
        <w:rPr>
          <w:rStyle w:val="Absatz-Standardschriftart"/>
          <w:szCs w:val="24"/>
        </w:rPr>
        <w:t xml:space="preserve">. This reasoning is further supported by the work of Bertalot </w:t>
      </w:r>
      <w:r w:rsidR="00F243D3" w:rsidRPr="00EB7A6E">
        <w:rPr>
          <w:rStyle w:val="Absatz-Standardschriftart"/>
          <w:i/>
          <w:iCs/>
          <w:szCs w:val="24"/>
        </w:rPr>
        <w:t>et al</w:t>
      </w:r>
      <w:r w:rsidR="00EB7A6E" w:rsidRPr="007D70F4">
        <w:rPr>
          <w:rStyle w:val="Absatz-Standardschriftart"/>
          <w:szCs w:val="24"/>
          <w:vertAlign w:val="superscript"/>
        </w:rPr>
        <w:t>[29]</w:t>
      </w:r>
      <w:r w:rsidR="00EB7A6E">
        <w:rPr>
          <w:rStyle w:val="Absatz-Standardschriftart"/>
          <w:szCs w:val="24"/>
        </w:rPr>
        <w:t xml:space="preserve"> </w:t>
      </w:r>
      <w:r w:rsidR="00F243D3" w:rsidRPr="007D70F4">
        <w:rPr>
          <w:rStyle w:val="Absatz-Standardschriftart"/>
          <w:szCs w:val="24"/>
        </w:rPr>
        <w:t xml:space="preserve">who showed that activation of Wnt pathway by STW 5 in a zebra fish model </w:t>
      </w:r>
      <w:r w:rsidR="00A70F84" w:rsidRPr="007D70F4">
        <w:rPr>
          <w:rStyle w:val="Absatz-Standardschriftart"/>
          <w:szCs w:val="24"/>
        </w:rPr>
        <w:t>has</w:t>
      </w:r>
      <w:r w:rsidR="00F243D3" w:rsidRPr="007D70F4">
        <w:rPr>
          <w:rStyle w:val="Absatz-Standardschriftart"/>
          <w:szCs w:val="24"/>
        </w:rPr>
        <w:t xml:space="preserve"> a negative </w:t>
      </w:r>
      <w:r w:rsidR="00A70F84" w:rsidRPr="007D70F4">
        <w:rPr>
          <w:rStyle w:val="Absatz-Standardschriftart"/>
          <w:szCs w:val="24"/>
        </w:rPr>
        <w:t>impact on</w:t>
      </w:r>
      <w:r w:rsidR="00F243D3" w:rsidRPr="007D70F4">
        <w:rPr>
          <w:rStyle w:val="Absatz-Standardschriftart"/>
          <w:szCs w:val="24"/>
        </w:rPr>
        <w:t xml:space="preserve"> </w:t>
      </w:r>
      <w:r w:rsidR="00A70F84" w:rsidRPr="007D70F4">
        <w:rPr>
          <w:rStyle w:val="Absatz-Standardschriftart"/>
          <w:szCs w:val="24"/>
        </w:rPr>
        <w:t>NF-κB</w:t>
      </w:r>
      <w:r w:rsidR="00F243D3" w:rsidRPr="007D70F4">
        <w:rPr>
          <w:rStyle w:val="Absatz-Standardschriftart"/>
          <w:szCs w:val="24"/>
        </w:rPr>
        <w:t xml:space="preserve"> signaling in enteric epithelial </w:t>
      </w:r>
      <w:r w:rsidR="00CB6277" w:rsidRPr="007D70F4">
        <w:rPr>
          <w:rStyle w:val="Absatz-Standardschriftart"/>
          <w:szCs w:val="24"/>
        </w:rPr>
        <w:t xml:space="preserve">cells and on the enteric nervous system </w:t>
      </w:r>
      <w:r w:rsidR="00395FF7" w:rsidRPr="007D70F4">
        <w:rPr>
          <w:rStyle w:val="Absatz-Standardschriftart"/>
          <w:szCs w:val="24"/>
        </w:rPr>
        <w:t>in general</w:t>
      </w:r>
      <w:r w:rsidR="00CB6277" w:rsidRPr="007D70F4">
        <w:rPr>
          <w:rStyle w:val="Absatz-Standardschriftart"/>
          <w:szCs w:val="24"/>
        </w:rPr>
        <w:t>.</w:t>
      </w:r>
    </w:p>
    <w:p w14:paraId="57B809C0" w14:textId="644B79ED" w:rsidR="000A5936" w:rsidRPr="007D70F4" w:rsidRDefault="00F243D3" w:rsidP="00EB7A6E">
      <w:pPr>
        <w:ind w:firstLineChars="100" w:firstLine="240"/>
        <w:rPr>
          <w:rStyle w:val="Absatz-Standardschriftart"/>
          <w:szCs w:val="24"/>
        </w:rPr>
      </w:pPr>
      <w:r w:rsidRPr="007D70F4">
        <w:rPr>
          <w:rStyle w:val="Absatz-Standardschriftart"/>
          <w:szCs w:val="24"/>
        </w:rPr>
        <w:t xml:space="preserve">The relevance of gastric and/or duodenal HO-1 inflammatory lesions of these tissues is controversial in the literature. The </w:t>
      </w:r>
      <w:r w:rsidR="00CB6277" w:rsidRPr="007D70F4">
        <w:rPr>
          <w:rStyle w:val="Absatz-Standardschriftart"/>
          <w:szCs w:val="24"/>
        </w:rPr>
        <w:t>intensity</w:t>
      </w:r>
      <w:r w:rsidRPr="007D70F4">
        <w:rPr>
          <w:rStyle w:val="Absatz-Standardschriftart"/>
          <w:szCs w:val="24"/>
        </w:rPr>
        <w:t xml:space="preserve"> of colitis induced by dextran sulfate sodium was found to be associated with a decreased expression of HO-1</w:t>
      </w:r>
      <w:r w:rsidR="00F26604" w:rsidRPr="007D70F4">
        <w:rPr>
          <w:rStyle w:val="Absatz-Standardschriftart"/>
          <w:szCs w:val="24"/>
          <w:vertAlign w:val="superscript"/>
        </w:rPr>
        <w:t>[</w:t>
      </w:r>
      <w:r w:rsidR="00CB6277" w:rsidRPr="007D70F4">
        <w:rPr>
          <w:rStyle w:val="Absatz-Standardschriftart"/>
          <w:szCs w:val="24"/>
          <w:vertAlign w:val="superscript"/>
        </w:rPr>
        <w:t>3</w:t>
      </w:r>
      <w:r w:rsidR="00BC7B0A" w:rsidRPr="007D70F4">
        <w:rPr>
          <w:rStyle w:val="Absatz-Standardschriftart"/>
          <w:szCs w:val="24"/>
          <w:vertAlign w:val="superscript"/>
        </w:rPr>
        <w:t>0</w:t>
      </w:r>
      <w:r w:rsidR="00F26604" w:rsidRPr="007D70F4">
        <w:rPr>
          <w:rStyle w:val="Absatz-Standardschriftart"/>
          <w:szCs w:val="24"/>
          <w:vertAlign w:val="superscript"/>
        </w:rPr>
        <w:t>]</w:t>
      </w:r>
      <w:r w:rsidR="00CB6277" w:rsidRPr="007D70F4">
        <w:rPr>
          <w:rStyle w:val="Absatz-Standardschriftart"/>
          <w:szCs w:val="24"/>
        </w:rPr>
        <w:t xml:space="preserve"> </w:t>
      </w:r>
      <w:r w:rsidRPr="007D70F4">
        <w:rPr>
          <w:rStyle w:val="Absatz-Standardschriftart"/>
          <w:szCs w:val="24"/>
        </w:rPr>
        <w:t>while</w:t>
      </w:r>
      <w:r w:rsidR="00CB6277" w:rsidRPr="007D70F4">
        <w:rPr>
          <w:rStyle w:val="Absatz-Standardschriftart"/>
          <w:szCs w:val="24"/>
        </w:rPr>
        <w:t xml:space="preserve"> </w:t>
      </w:r>
      <w:r w:rsidRPr="007D70F4">
        <w:rPr>
          <w:rStyle w:val="Absatz-Standardschriftart"/>
          <w:szCs w:val="24"/>
        </w:rPr>
        <w:t xml:space="preserve">an increased expression </w:t>
      </w:r>
      <w:r w:rsidR="00CB6277" w:rsidRPr="007D70F4">
        <w:rPr>
          <w:rStyle w:val="Absatz-Standardschriftart"/>
          <w:szCs w:val="24"/>
        </w:rPr>
        <w:t xml:space="preserve">was shown </w:t>
      </w:r>
      <w:r w:rsidRPr="007D70F4">
        <w:rPr>
          <w:rStyle w:val="Absatz-Standardschriftart"/>
          <w:szCs w:val="24"/>
        </w:rPr>
        <w:t>in many GI inflammatory conditions, including gastric ulcer</w:t>
      </w:r>
      <w:r w:rsidR="00CB6277" w:rsidRPr="007D70F4">
        <w:rPr>
          <w:rStyle w:val="Absatz-Standardschriftart"/>
          <w:szCs w:val="24"/>
        </w:rPr>
        <w:t>s</w:t>
      </w:r>
      <w:r w:rsidR="00F26604" w:rsidRPr="007D70F4">
        <w:rPr>
          <w:rStyle w:val="Absatz-Standardschriftart"/>
          <w:szCs w:val="24"/>
          <w:vertAlign w:val="superscript"/>
        </w:rPr>
        <w:t>[</w:t>
      </w:r>
      <w:r w:rsidR="00CB6277" w:rsidRPr="007D70F4">
        <w:rPr>
          <w:rStyle w:val="Absatz-Standardschriftart"/>
          <w:szCs w:val="24"/>
          <w:vertAlign w:val="superscript"/>
        </w:rPr>
        <w:t>3</w:t>
      </w:r>
      <w:r w:rsidR="00BC7B0A" w:rsidRPr="007D70F4">
        <w:rPr>
          <w:rStyle w:val="Absatz-Standardschriftart"/>
          <w:szCs w:val="24"/>
          <w:vertAlign w:val="superscript"/>
        </w:rPr>
        <w:t>1</w:t>
      </w:r>
      <w:r w:rsidR="00F26604" w:rsidRPr="007D70F4">
        <w:rPr>
          <w:rStyle w:val="Absatz-Standardschriftart"/>
          <w:szCs w:val="24"/>
          <w:vertAlign w:val="superscript"/>
        </w:rPr>
        <w:t>]</w:t>
      </w:r>
      <w:r w:rsidRPr="007D70F4">
        <w:rPr>
          <w:rStyle w:val="Absatz-Standardschriftart"/>
          <w:b/>
          <w:szCs w:val="24"/>
        </w:rPr>
        <w:t xml:space="preserve">, </w:t>
      </w:r>
      <w:r w:rsidRPr="007D70F4">
        <w:rPr>
          <w:rStyle w:val="Absatz-Standardschriftart"/>
          <w:szCs w:val="24"/>
        </w:rPr>
        <w:t>colitis</w:t>
      </w:r>
      <w:r w:rsidR="00F26604" w:rsidRPr="007D70F4">
        <w:rPr>
          <w:rStyle w:val="Absatz-Standardschriftart"/>
          <w:szCs w:val="24"/>
          <w:vertAlign w:val="superscript"/>
        </w:rPr>
        <w:t>[</w:t>
      </w:r>
      <w:r w:rsidR="00CB6277" w:rsidRPr="007D70F4">
        <w:rPr>
          <w:rStyle w:val="Absatz-Standardschriftart"/>
          <w:szCs w:val="24"/>
          <w:vertAlign w:val="superscript"/>
        </w:rPr>
        <w:t>3</w:t>
      </w:r>
      <w:r w:rsidR="00BC7B0A" w:rsidRPr="007D70F4">
        <w:rPr>
          <w:rStyle w:val="Absatz-Standardschriftart"/>
          <w:szCs w:val="24"/>
          <w:vertAlign w:val="superscript"/>
        </w:rPr>
        <w:t>2</w:t>
      </w:r>
      <w:r w:rsidR="00F26604" w:rsidRPr="007D70F4">
        <w:rPr>
          <w:rStyle w:val="Absatz-Standardschriftart"/>
          <w:szCs w:val="24"/>
          <w:vertAlign w:val="superscript"/>
        </w:rPr>
        <w:t>]</w:t>
      </w:r>
      <w:r w:rsidRPr="007D70F4">
        <w:rPr>
          <w:rStyle w:val="Absatz-Standardschriftart"/>
          <w:szCs w:val="24"/>
        </w:rPr>
        <w:t xml:space="preserve"> and radiation enteritis</w:t>
      </w:r>
      <w:r w:rsidR="00F26604" w:rsidRPr="007D70F4">
        <w:rPr>
          <w:rStyle w:val="Absatz-Standardschriftart"/>
          <w:szCs w:val="24"/>
          <w:vertAlign w:val="superscript"/>
        </w:rPr>
        <w:t>[</w:t>
      </w:r>
      <w:r w:rsidR="00CB6277" w:rsidRPr="007D70F4">
        <w:rPr>
          <w:rStyle w:val="Absatz-Standardschriftart"/>
          <w:szCs w:val="24"/>
          <w:vertAlign w:val="superscript"/>
        </w:rPr>
        <w:t>3</w:t>
      </w:r>
      <w:r w:rsidR="00BC7B0A" w:rsidRPr="007D70F4">
        <w:rPr>
          <w:rStyle w:val="Absatz-Standardschriftart"/>
          <w:szCs w:val="24"/>
          <w:vertAlign w:val="superscript"/>
        </w:rPr>
        <w:t>3</w:t>
      </w:r>
      <w:r w:rsidR="00F26604" w:rsidRPr="007D70F4">
        <w:rPr>
          <w:rStyle w:val="Absatz-Standardschriftart"/>
          <w:szCs w:val="24"/>
          <w:vertAlign w:val="superscript"/>
        </w:rPr>
        <w:t>]</w:t>
      </w:r>
      <w:r w:rsidR="00CB6277" w:rsidRPr="00EB7A6E">
        <w:rPr>
          <w:rStyle w:val="Absatz-Standardschriftart"/>
          <w:bCs/>
          <w:szCs w:val="24"/>
        </w:rPr>
        <w:t>.</w:t>
      </w:r>
      <w:r w:rsidR="00CB6277" w:rsidRPr="007D70F4">
        <w:rPr>
          <w:rStyle w:val="Absatz-Standardschriftart"/>
          <w:b/>
          <w:szCs w:val="24"/>
        </w:rPr>
        <w:t xml:space="preserve"> </w:t>
      </w:r>
      <w:r w:rsidRPr="007D70F4">
        <w:rPr>
          <w:rStyle w:val="Absatz-Standardschriftart"/>
          <w:szCs w:val="24"/>
        </w:rPr>
        <w:t>In the present study, diclofenac led to a marked decline in the gastric and duodenal HO-1 contents, an effect which was largely prevented by</w:t>
      </w:r>
      <w:r w:rsidRPr="007D70F4">
        <w:rPr>
          <w:rStyle w:val="Absatz-Standardschriftart"/>
          <w:b/>
          <w:szCs w:val="24"/>
        </w:rPr>
        <w:t xml:space="preserve"> </w:t>
      </w:r>
      <w:r w:rsidRPr="007D70F4">
        <w:rPr>
          <w:rStyle w:val="Absatz-Standardschriftart"/>
          <w:szCs w:val="24"/>
        </w:rPr>
        <w:t xml:space="preserve">omeprazole. STW 5, however, was mainly effective in the duodenum. Induction of HO-1 was previously reported to have a good protective </w:t>
      </w:r>
      <w:r w:rsidRPr="007D70F4">
        <w:rPr>
          <w:rStyle w:val="Absatz-Standardschriftart"/>
          <w:szCs w:val="24"/>
        </w:rPr>
        <w:lastRenderedPageBreak/>
        <w:t>effect against NSAIDs-induced gastric ulcers. It reduced gastric inflammation, tissue neutrophil activation, and pro-inflammatory cytokine expression caused by indomethacin</w:t>
      </w:r>
      <w:r w:rsidR="00F26604" w:rsidRPr="007D70F4">
        <w:rPr>
          <w:rStyle w:val="Absatz-Standardschriftart"/>
          <w:szCs w:val="24"/>
          <w:vertAlign w:val="superscript"/>
        </w:rPr>
        <w:t>[</w:t>
      </w:r>
      <w:r w:rsidR="00CB6277" w:rsidRPr="007D70F4">
        <w:rPr>
          <w:rStyle w:val="Absatz-Standardschriftart"/>
          <w:szCs w:val="24"/>
          <w:vertAlign w:val="superscript"/>
        </w:rPr>
        <w:t>3</w:t>
      </w:r>
      <w:r w:rsidR="00BC7B0A" w:rsidRPr="007D70F4">
        <w:rPr>
          <w:rStyle w:val="Absatz-Standardschriftart"/>
          <w:szCs w:val="24"/>
          <w:vertAlign w:val="superscript"/>
        </w:rPr>
        <w:t>4</w:t>
      </w:r>
      <w:r w:rsidR="00F26604" w:rsidRPr="007D70F4">
        <w:rPr>
          <w:rStyle w:val="Absatz-Standardschriftart"/>
          <w:szCs w:val="24"/>
          <w:vertAlign w:val="superscript"/>
        </w:rPr>
        <w:t>]</w:t>
      </w:r>
      <w:r w:rsidRPr="007D70F4">
        <w:rPr>
          <w:rStyle w:val="Absatz-Standardschriftart"/>
          <w:szCs w:val="24"/>
        </w:rPr>
        <w:t>.</w:t>
      </w:r>
    </w:p>
    <w:p w14:paraId="4A5AE484" w14:textId="3F92B64D" w:rsidR="001B2686" w:rsidRPr="007D70F4" w:rsidRDefault="00BA6E2A" w:rsidP="00EB7A6E">
      <w:pPr>
        <w:ind w:firstLineChars="100" w:firstLine="240"/>
        <w:rPr>
          <w:rStyle w:val="Absatz-Standardschriftart"/>
          <w:szCs w:val="24"/>
          <w:lang w:val="en-GB"/>
        </w:rPr>
      </w:pPr>
      <w:r w:rsidRPr="007D70F4">
        <w:rPr>
          <w:rStyle w:val="Absatz-Standardschriftart"/>
          <w:szCs w:val="24"/>
        </w:rPr>
        <w:t xml:space="preserve">Since </w:t>
      </w:r>
      <w:r w:rsidR="004D4807" w:rsidRPr="007D70F4">
        <w:rPr>
          <w:rStyle w:val="Absatz-Standardschriftart"/>
          <w:szCs w:val="24"/>
        </w:rPr>
        <w:t>many of the observed histological changes involve apoptotic mechanisms, and since the Bcl2</w:t>
      </w:r>
      <w:r w:rsidR="004D4807" w:rsidRPr="007D70F4">
        <w:rPr>
          <w:szCs w:val="24"/>
          <w:lang w:val="en-GB"/>
        </w:rPr>
        <w:t xml:space="preserve"> </w:t>
      </w:r>
      <w:r w:rsidR="009D6F09" w:rsidRPr="007D70F4">
        <w:rPr>
          <w:rStyle w:val="Absatz-Standardschriftart"/>
          <w:szCs w:val="24"/>
        </w:rPr>
        <w:t>family</w:t>
      </w:r>
      <w:r w:rsidR="004D4807" w:rsidRPr="007D70F4">
        <w:rPr>
          <w:rStyle w:val="Absatz-Standardschriftart"/>
          <w:szCs w:val="24"/>
        </w:rPr>
        <w:t xml:space="preserve"> of</w:t>
      </w:r>
      <w:r w:rsidR="009D6F09" w:rsidRPr="007D70F4">
        <w:rPr>
          <w:rStyle w:val="Absatz-Standardschriftart"/>
          <w:szCs w:val="24"/>
        </w:rPr>
        <w:t xml:space="preserve"> protein</w:t>
      </w:r>
      <w:r w:rsidR="004D4807" w:rsidRPr="007D70F4">
        <w:rPr>
          <w:rStyle w:val="Absatz-Standardschriftart"/>
          <w:szCs w:val="24"/>
        </w:rPr>
        <w:t>s</w:t>
      </w:r>
      <w:r w:rsidR="009D6F09" w:rsidRPr="007D70F4">
        <w:rPr>
          <w:rStyle w:val="Absatz-Standardschriftart"/>
          <w:szCs w:val="24"/>
        </w:rPr>
        <w:t xml:space="preserve"> are critical regulators of the mitochondria</w:t>
      </w:r>
      <w:r w:rsidR="00E7693A" w:rsidRPr="007D70F4">
        <w:rPr>
          <w:rStyle w:val="Absatz-Standardschriftart"/>
          <w:szCs w:val="24"/>
        </w:rPr>
        <w:t>l pathway of apoptosis, it was important to study the involvement of Bcl2 in our experiments. D</w:t>
      </w:r>
      <w:r w:rsidR="009D6F09" w:rsidRPr="007D70F4">
        <w:rPr>
          <w:rStyle w:val="Absatz-Standardschriftart"/>
          <w:szCs w:val="24"/>
        </w:rPr>
        <w:t xml:space="preserve">iclofenac led to a marked decline in the gastric and duodenal </w:t>
      </w:r>
      <w:r w:rsidR="003755AD" w:rsidRPr="007D70F4">
        <w:rPr>
          <w:rStyle w:val="Absatz-Standardschriftart"/>
          <w:szCs w:val="24"/>
        </w:rPr>
        <w:t>Bcl2</w:t>
      </w:r>
      <w:r w:rsidR="00E7693A" w:rsidRPr="007D70F4">
        <w:rPr>
          <w:rStyle w:val="Absatz-Standardschriftart"/>
          <w:szCs w:val="24"/>
        </w:rPr>
        <w:t xml:space="preserve"> contents, thereby enhancing the apoptotic mechanisms. The effect </w:t>
      </w:r>
      <w:r w:rsidR="009D6F09" w:rsidRPr="007D70F4">
        <w:rPr>
          <w:rStyle w:val="Absatz-Standardschriftart"/>
          <w:szCs w:val="24"/>
        </w:rPr>
        <w:t xml:space="preserve">was largely prevented </w:t>
      </w:r>
      <w:r w:rsidR="00E7693A" w:rsidRPr="007D70F4">
        <w:rPr>
          <w:rStyle w:val="Absatz-Standardschriftart"/>
          <w:szCs w:val="24"/>
        </w:rPr>
        <w:t xml:space="preserve">to the same extent </w:t>
      </w:r>
      <w:r w:rsidR="009D6F09" w:rsidRPr="007D70F4">
        <w:rPr>
          <w:rStyle w:val="Absatz-Standardschriftart"/>
          <w:szCs w:val="24"/>
        </w:rPr>
        <w:t>by</w:t>
      </w:r>
      <w:r w:rsidR="009D6F09" w:rsidRPr="007D70F4">
        <w:rPr>
          <w:rStyle w:val="Absatz-Standardschriftart"/>
          <w:b/>
          <w:szCs w:val="24"/>
        </w:rPr>
        <w:t xml:space="preserve"> </w:t>
      </w:r>
      <w:r w:rsidR="00E7693A" w:rsidRPr="007D70F4">
        <w:rPr>
          <w:rStyle w:val="Absatz-Standardschriftart"/>
          <w:szCs w:val="24"/>
        </w:rPr>
        <w:t>both STW 5 omeprazole, pointing to their similar</w:t>
      </w:r>
      <w:r w:rsidR="009D6F09" w:rsidRPr="007D70F4">
        <w:rPr>
          <w:rStyle w:val="Absatz-Standardschriftart"/>
          <w:szCs w:val="24"/>
        </w:rPr>
        <w:t xml:space="preserve"> anti</w:t>
      </w:r>
      <w:r w:rsidR="00E7693A" w:rsidRPr="007D70F4">
        <w:rPr>
          <w:rStyle w:val="Absatz-Standardschriftart"/>
          <w:szCs w:val="24"/>
        </w:rPr>
        <w:t>-</w:t>
      </w:r>
      <w:r w:rsidR="009D6F09" w:rsidRPr="007D70F4">
        <w:rPr>
          <w:rStyle w:val="Absatz-Standardschriftart"/>
          <w:szCs w:val="24"/>
        </w:rPr>
        <w:t>apoptotic activity</w:t>
      </w:r>
      <w:r w:rsidR="006F1865" w:rsidRPr="007D70F4">
        <w:rPr>
          <w:rStyle w:val="Absatz-Standardschriftart"/>
          <w:szCs w:val="24"/>
        </w:rPr>
        <w:t>. The anti-apoptotic property of STW 5 was</w:t>
      </w:r>
      <w:r w:rsidR="009D6F09" w:rsidRPr="007D70F4">
        <w:rPr>
          <w:rStyle w:val="Absatz-Standardschriftart"/>
          <w:szCs w:val="24"/>
        </w:rPr>
        <w:t xml:space="preserve"> p</w:t>
      </w:r>
      <w:r w:rsidR="00567243" w:rsidRPr="007D70F4">
        <w:rPr>
          <w:rStyle w:val="Absatz-Standardschriftart"/>
          <w:szCs w:val="24"/>
        </w:rPr>
        <w:t>reviously reported</w:t>
      </w:r>
      <w:r w:rsidR="006F1865" w:rsidRPr="007D70F4">
        <w:rPr>
          <w:rStyle w:val="Absatz-Standardschriftart"/>
          <w:szCs w:val="24"/>
        </w:rPr>
        <w:t xml:space="preserve"> in detail</w:t>
      </w:r>
      <w:r w:rsidR="00567243" w:rsidRPr="007D70F4">
        <w:rPr>
          <w:rStyle w:val="Absatz-Standardschriftart"/>
          <w:szCs w:val="24"/>
        </w:rPr>
        <w:t xml:space="preserve"> by </w:t>
      </w:r>
      <w:r w:rsidR="00446596" w:rsidRPr="007D70F4">
        <w:rPr>
          <w:rStyle w:val="Absatz-Standardschriftart"/>
          <w:szCs w:val="24"/>
        </w:rPr>
        <w:t xml:space="preserve">Khayyal </w:t>
      </w:r>
      <w:r w:rsidR="009D6F09" w:rsidRPr="00EB7A6E">
        <w:rPr>
          <w:rStyle w:val="Absatz-Standardschriftart"/>
          <w:i/>
          <w:iCs/>
          <w:szCs w:val="24"/>
        </w:rPr>
        <w:t>et al</w:t>
      </w:r>
      <w:r w:rsidR="00EB7A6E" w:rsidRPr="007D70F4">
        <w:rPr>
          <w:rStyle w:val="Absatz-Standardschriftart"/>
          <w:szCs w:val="24"/>
          <w:vertAlign w:val="superscript"/>
        </w:rPr>
        <w:t>[15]</w:t>
      </w:r>
      <w:r w:rsidR="00EB7A6E">
        <w:rPr>
          <w:rStyle w:val="Absatz-Standardschriftart"/>
          <w:szCs w:val="24"/>
        </w:rPr>
        <w:t>.</w:t>
      </w:r>
    </w:p>
    <w:p w14:paraId="1BFD66A9" w14:textId="172ECFE4" w:rsidR="00A11BCB" w:rsidRPr="007D70F4" w:rsidRDefault="00F243D3" w:rsidP="00EB7A6E">
      <w:pPr>
        <w:ind w:firstLineChars="100" w:firstLine="240"/>
        <w:rPr>
          <w:rStyle w:val="Absatz-Standardschriftart"/>
          <w:szCs w:val="24"/>
        </w:rPr>
      </w:pPr>
      <w:r w:rsidRPr="007D70F4">
        <w:rPr>
          <w:rStyle w:val="Absatz-Standardschriftart"/>
          <w:szCs w:val="24"/>
        </w:rPr>
        <w:t>Collectively,</w:t>
      </w:r>
      <w:r w:rsidR="00092E29" w:rsidRPr="007D70F4">
        <w:rPr>
          <w:rStyle w:val="Absatz-Standardschriftart"/>
          <w:szCs w:val="24"/>
        </w:rPr>
        <w:t xml:space="preserve"> the present findings show that both </w:t>
      </w:r>
      <w:r w:rsidR="00A22CCC" w:rsidRPr="007D70F4">
        <w:rPr>
          <w:rStyle w:val="Absatz-Standardschriftart"/>
          <w:szCs w:val="24"/>
        </w:rPr>
        <w:t>STW 5</w:t>
      </w:r>
      <w:r w:rsidR="00092E29" w:rsidRPr="007D70F4">
        <w:rPr>
          <w:rStyle w:val="Absatz-Standardschriftart"/>
          <w:szCs w:val="24"/>
        </w:rPr>
        <w:t xml:space="preserve"> and </w:t>
      </w:r>
      <w:r w:rsidR="00A22CCC" w:rsidRPr="007D70F4">
        <w:rPr>
          <w:rStyle w:val="Absatz-Standardschriftart"/>
          <w:szCs w:val="24"/>
        </w:rPr>
        <w:t>omeprazole</w:t>
      </w:r>
      <w:r w:rsidR="00092E29" w:rsidRPr="007D70F4">
        <w:rPr>
          <w:rStyle w:val="Absatz-Standardschriftart"/>
          <w:szCs w:val="24"/>
        </w:rPr>
        <w:t xml:space="preserve"> are effective nearly to the same extent in preventing the changes in biochemical parameters associated with the inflammatory response in both the stomach and duodenum of diclofenac treated rats. However, STW 5 </w:t>
      </w:r>
      <w:r w:rsidR="00BA4B3E" w:rsidRPr="007D70F4">
        <w:rPr>
          <w:rStyle w:val="Absatz-Standardschriftart"/>
          <w:szCs w:val="24"/>
        </w:rPr>
        <w:t>was more effective than</w:t>
      </w:r>
      <w:r w:rsidR="00092E29" w:rsidRPr="007D70F4">
        <w:rPr>
          <w:rStyle w:val="Absatz-Standardschriftart"/>
          <w:szCs w:val="24"/>
        </w:rPr>
        <w:t xml:space="preserve"> omeprazole in preventing the histological changes induced by the NSAID, particularly in the duodenum. Furthermore, the study</w:t>
      </w:r>
      <w:r w:rsidRPr="007D70F4">
        <w:rPr>
          <w:rStyle w:val="Absatz-Standardschriftart"/>
          <w:szCs w:val="24"/>
        </w:rPr>
        <w:t xml:space="preserve"> provide</w:t>
      </w:r>
      <w:r w:rsidR="00092E29" w:rsidRPr="007D70F4">
        <w:rPr>
          <w:rStyle w:val="Absatz-Standardschriftart"/>
          <w:szCs w:val="24"/>
        </w:rPr>
        <w:t>s</w:t>
      </w:r>
      <w:r w:rsidRPr="007D70F4">
        <w:rPr>
          <w:rStyle w:val="Absatz-Standardschriftart"/>
          <w:szCs w:val="24"/>
        </w:rPr>
        <w:t xml:space="preserve"> pharmacological evidence underlying the clinical usefulness of STW 5 in patients suffering from diclofenac and other NSAID induced gastro-intestinal disorders in placebo-controlled clinical trials</w:t>
      </w:r>
      <w:r w:rsidR="00EB7A6E" w:rsidRPr="00EB7A6E">
        <w:rPr>
          <w:rStyle w:val="Absatz-Standardschriftart"/>
          <w:szCs w:val="24"/>
          <w:vertAlign w:val="superscript"/>
        </w:rPr>
        <w:t>[</w:t>
      </w:r>
      <w:r w:rsidR="001436BE" w:rsidRPr="007D70F4">
        <w:rPr>
          <w:rStyle w:val="Absatz-Standardschriftart"/>
          <w:szCs w:val="24"/>
          <w:vertAlign w:val="superscript"/>
        </w:rPr>
        <w:t>6</w:t>
      </w:r>
      <w:r w:rsidR="00EB7A6E">
        <w:rPr>
          <w:rStyle w:val="Absatz-Standardschriftart"/>
          <w:szCs w:val="24"/>
          <w:vertAlign w:val="superscript"/>
        </w:rPr>
        <w:t>]</w:t>
      </w:r>
      <w:r w:rsidR="00BA4B3E" w:rsidRPr="007D70F4">
        <w:rPr>
          <w:rStyle w:val="Absatz-Standardschriftart"/>
          <w:szCs w:val="24"/>
        </w:rPr>
        <w:t xml:space="preserve">. </w:t>
      </w:r>
      <w:r w:rsidRPr="007D70F4">
        <w:rPr>
          <w:rStyle w:val="Absatz-Standardschriftart"/>
          <w:szCs w:val="24"/>
        </w:rPr>
        <w:t>The findings further support more recent clinical and pre-clinical studies showing the efficacy and good tolerability of the herbal preparation</w:t>
      </w:r>
      <w:r w:rsidR="00F26604" w:rsidRPr="007D70F4">
        <w:rPr>
          <w:rStyle w:val="Absatz-Standardschriftart"/>
          <w:szCs w:val="24"/>
          <w:vertAlign w:val="superscript"/>
        </w:rPr>
        <w:t>[</w:t>
      </w:r>
      <w:bookmarkStart w:id="52" w:name="_GoBack"/>
      <w:r w:rsidR="00092E29" w:rsidRPr="007D70F4">
        <w:rPr>
          <w:rStyle w:val="Absatz-Standardschriftart"/>
          <w:szCs w:val="24"/>
          <w:vertAlign w:val="superscript"/>
        </w:rPr>
        <w:t>3</w:t>
      </w:r>
      <w:r w:rsidR="00BC7B0A" w:rsidRPr="007D70F4">
        <w:rPr>
          <w:rStyle w:val="Absatz-Standardschriftart"/>
          <w:szCs w:val="24"/>
          <w:vertAlign w:val="superscript"/>
        </w:rPr>
        <w:t>5</w:t>
      </w:r>
      <w:r w:rsidR="00F26604" w:rsidRPr="007D70F4">
        <w:rPr>
          <w:rStyle w:val="Absatz-Standardschriftart"/>
          <w:szCs w:val="24"/>
          <w:vertAlign w:val="superscript"/>
        </w:rPr>
        <w:t>]</w:t>
      </w:r>
      <w:bookmarkEnd w:id="52"/>
      <w:r w:rsidRPr="007D70F4">
        <w:rPr>
          <w:rStyle w:val="Absatz-Standardschriftart"/>
          <w:szCs w:val="24"/>
        </w:rPr>
        <w:t>. STW 5 may thus represent an effective and safe adjuvant therapy for use in patients taking NSAIDs to guard against the possible occurrence of gastro-duodenal lesions.</w:t>
      </w:r>
    </w:p>
    <w:p w14:paraId="23554DA0" w14:textId="79EA2096" w:rsidR="0011673C" w:rsidRDefault="0011673C" w:rsidP="008E78B7">
      <w:pPr>
        <w:rPr>
          <w:rStyle w:val="Absatz-Standardschriftart"/>
          <w:szCs w:val="24"/>
        </w:rPr>
      </w:pPr>
    </w:p>
    <w:p w14:paraId="6F28158B" w14:textId="77777777" w:rsidR="00EB7A6E" w:rsidRPr="00EB7A6E" w:rsidRDefault="00EB7A6E" w:rsidP="00EB7A6E">
      <w:pPr>
        <w:widowControl/>
        <w:suppressAutoHyphens w:val="0"/>
        <w:overflowPunct/>
        <w:autoSpaceDE/>
        <w:autoSpaceDN/>
        <w:adjustRightInd w:val="0"/>
        <w:snapToGrid w:val="0"/>
        <w:textAlignment w:val="auto"/>
        <w:rPr>
          <w:rFonts w:eastAsia="宋体"/>
          <w:b/>
          <w:color w:val="000000"/>
          <w:kern w:val="0"/>
          <w:szCs w:val="24"/>
          <w:lang w:val="hu-HU" w:eastAsia="en-US"/>
        </w:rPr>
      </w:pPr>
      <w:r w:rsidRPr="00EB7A6E">
        <w:rPr>
          <w:rFonts w:eastAsia="宋体"/>
          <w:b/>
          <w:color w:val="000000"/>
          <w:kern w:val="0"/>
          <w:szCs w:val="24"/>
          <w:lang w:val="hu-HU" w:eastAsia="en-US"/>
        </w:rPr>
        <w:t xml:space="preserve">ARTICLE HIGHLIGHTS </w:t>
      </w:r>
    </w:p>
    <w:p w14:paraId="2F92B4F3" w14:textId="48A6203C" w:rsidR="00EB7A6E" w:rsidRPr="00EB7A6E" w:rsidRDefault="00EB7A6E" w:rsidP="00EB7A6E">
      <w:pPr>
        <w:widowControl/>
        <w:suppressAutoHyphens w:val="0"/>
        <w:overflowPunct/>
        <w:autoSpaceDE/>
        <w:autoSpaceDN/>
        <w:textAlignment w:val="auto"/>
        <w:rPr>
          <w:b/>
          <w:i/>
          <w:iCs/>
          <w:szCs w:val="24"/>
        </w:rPr>
      </w:pPr>
      <w:r w:rsidRPr="00EB7A6E">
        <w:rPr>
          <w:b/>
          <w:i/>
          <w:iCs/>
          <w:szCs w:val="24"/>
        </w:rPr>
        <w:t>Research background</w:t>
      </w:r>
    </w:p>
    <w:p w14:paraId="2A349D1B" w14:textId="12088837" w:rsidR="00EB7A6E" w:rsidRDefault="00EB7A6E" w:rsidP="00EB7A6E">
      <w:pPr>
        <w:rPr>
          <w:szCs w:val="24"/>
        </w:rPr>
      </w:pPr>
      <w:r w:rsidRPr="007D70F4">
        <w:rPr>
          <w:rStyle w:val="Absatz-Standardschriftart"/>
          <w:szCs w:val="24"/>
        </w:rPr>
        <w:t xml:space="preserve">Nonsteroidal anti-inflammatory drugs </w:t>
      </w:r>
      <w:r>
        <w:rPr>
          <w:rStyle w:val="Absatz-Standardschriftart"/>
          <w:szCs w:val="24"/>
        </w:rPr>
        <w:t>(</w:t>
      </w:r>
      <w:r w:rsidRPr="00497343">
        <w:rPr>
          <w:szCs w:val="24"/>
        </w:rPr>
        <w:t>NSAIDs</w:t>
      </w:r>
      <w:r>
        <w:rPr>
          <w:szCs w:val="24"/>
        </w:rPr>
        <w:t>)</w:t>
      </w:r>
      <w:r w:rsidRPr="00497343">
        <w:rPr>
          <w:szCs w:val="24"/>
        </w:rPr>
        <w:t>, like diclofenac, are prone to induce gastro-duodenal injury on prolonged use</w:t>
      </w:r>
      <w:r>
        <w:rPr>
          <w:szCs w:val="24"/>
        </w:rPr>
        <w:t>, a fact that compromises their clinical usefulness</w:t>
      </w:r>
      <w:r w:rsidRPr="00497343">
        <w:rPr>
          <w:szCs w:val="24"/>
        </w:rPr>
        <w:t>.</w:t>
      </w:r>
      <w:r>
        <w:rPr>
          <w:szCs w:val="24"/>
        </w:rPr>
        <w:t xml:space="preserve"> Continued efforts are being exerted to find agents that could be given alongside the NSAIDs to guard against such injury.</w:t>
      </w:r>
    </w:p>
    <w:p w14:paraId="3FBCFD82" w14:textId="77777777" w:rsidR="00EB7A6E" w:rsidRDefault="00EB7A6E" w:rsidP="00EB7A6E">
      <w:pPr>
        <w:rPr>
          <w:szCs w:val="24"/>
        </w:rPr>
      </w:pPr>
    </w:p>
    <w:p w14:paraId="3F7BCB95" w14:textId="6B586798" w:rsidR="00EB7A6E" w:rsidRPr="00EB7A6E" w:rsidRDefault="00EB7A6E" w:rsidP="00EB7A6E">
      <w:pPr>
        <w:widowControl/>
        <w:suppressAutoHyphens w:val="0"/>
        <w:overflowPunct/>
        <w:autoSpaceDE/>
        <w:autoSpaceDN/>
        <w:textAlignment w:val="auto"/>
        <w:rPr>
          <w:b/>
          <w:i/>
          <w:iCs/>
          <w:szCs w:val="24"/>
        </w:rPr>
      </w:pPr>
      <w:r w:rsidRPr="00EB7A6E">
        <w:rPr>
          <w:b/>
          <w:i/>
          <w:iCs/>
          <w:szCs w:val="24"/>
        </w:rPr>
        <w:t xml:space="preserve">Research motivation </w:t>
      </w:r>
    </w:p>
    <w:p w14:paraId="0B3DE481" w14:textId="6C5E6285" w:rsidR="00EB7A6E" w:rsidRDefault="00EB7A6E" w:rsidP="00EB7A6E">
      <w:pPr>
        <w:rPr>
          <w:szCs w:val="24"/>
        </w:rPr>
      </w:pPr>
      <w:r>
        <w:rPr>
          <w:szCs w:val="24"/>
        </w:rPr>
        <w:lastRenderedPageBreak/>
        <w:t>Whereas p</w:t>
      </w:r>
      <w:r w:rsidRPr="00497343">
        <w:rPr>
          <w:szCs w:val="24"/>
        </w:rPr>
        <w:t xml:space="preserve">roton pump inhibitors (PPIs), like omeprazole, are often used to </w:t>
      </w:r>
      <w:r>
        <w:rPr>
          <w:szCs w:val="24"/>
        </w:rPr>
        <w:t>protect against such injury, they</w:t>
      </w:r>
      <w:r w:rsidRPr="00497343">
        <w:rPr>
          <w:szCs w:val="24"/>
        </w:rPr>
        <w:t xml:space="preserve"> are not always effective </w:t>
      </w:r>
      <w:r>
        <w:rPr>
          <w:szCs w:val="24"/>
        </w:rPr>
        <w:t xml:space="preserve">in protecting </w:t>
      </w:r>
      <w:r w:rsidRPr="00497343">
        <w:rPr>
          <w:szCs w:val="24"/>
        </w:rPr>
        <w:t>against both gastric and duodenal lesions</w:t>
      </w:r>
      <w:r>
        <w:rPr>
          <w:szCs w:val="24"/>
        </w:rPr>
        <w:t>. Moreover, they often</w:t>
      </w:r>
      <w:r w:rsidRPr="00497343">
        <w:rPr>
          <w:szCs w:val="24"/>
        </w:rPr>
        <w:t xml:space="preserve"> exert side effects on their own.</w:t>
      </w:r>
      <w:r>
        <w:rPr>
          <w:szCs w:val="24"/>
        </w:rPr>
        <w:t xml:space="preserve"> Accordingly, the search continues to find agents, such as natural products, that could be safer than PPIs and prove effective against both gastric and duodenal lesions induced by NSAIDs. The herbal preparation, STW 5, has been the focus of our studies for many years, particularly in the field of gastro-intestinal ailments. The preparation has proved to be clinically effective in functional dyspepsia and irritable bowel syndrome, as well as experimentally effective against gastric ulcers, ulcerative colitis, and other gastro-intestinal disorders. STW 5 has a wide safety profile. We were therefore highly motivated to test its efficacy in protecting against the gastro-duodenal lesions induced by diclofenac, as an example of a widely used NSAID.</w:t>
      </w:r>
    </w:p>
    <w:p w14:paraId="7BF67F86" w14:textId="77777777" w:rsidR="00EB7A6E" w:rsidRDefault="00EB7A6E" w:rsidP="00EB7A6E">
      <w:pPr>
        <w:rPr>
          <w:szCs w:val="24"/>
        </w:rPr>
      </w:pPr>
    </w:p>
    <w:p w14:paraId="6073E661" w14:textId="0B9B812D" w:rsidR="00EB7A6E" w:rsidRPr="00EB7A6E" w:rsidRDefault="00EB7A6E" w:rsidP="00EB7A6E">
      <w:pPr>
        <w:widowControl/>
        <w:suppressAutoHyphens w:val="0"/>
        <w:overflowPunct/>
        <w:autoSpaceDE/>
        <w:autoSpaceDN/>
        <w:textAlignment w:val="auto"/>
        <w:rPr>
          <w:b/>
          <w:i/>
          <w:iCs/>
          <w:szCs w:val="24"/>
        </w:rPr>
      </w:pPr>
      <w:r w:rsidRPr="00EB7A6E">
        <w:rPr>
          <w:b/>
          <w:i/>
          <w:iCs/>
          <w:szCs w:val="24"/>
        </w:rPr>
        <w:t>Research objectives</w:t>
      </w:r>
    </w:p>
    <w:p w14:paraId="5959F5F2" w14:textId="67B74D9F" w:rsidR="00EB7A6E" w:rsidRDefault="00EB7A6E" w:rsidP="00EB7A6E">
      <w:pPr>
        <w:rPr>
          <w:szCs w:val="24"/>
        </w:rPr>
      </w:pPr>
      <w:r>
        <w:rPr>
          <w:szCs w:val="24"/>
        </w:rPr>
        <w:t>It was important not only to show the efficacy of the herbal preparation in protecting against diclofenac induced lesions, but also to compare its efficacy with that of omeprazole, as an example of a widely used PPI. This would then lead to its clinical trial and possible application as adjuvant therapy for patients who may be sensitive to the use of NSAIDs. STW 5 could then become a valuable and much safer substitute for PPIs.</w:t>
      </w:r>
    </w:p>
    <w:p w14:paraId="7E29C864" w14:textId="77777777" w:rsidR="00EB7A6E" w:rsidRDefault="00EB7A6E" w:rsidP="00EB7A6E">
      <w:pPr>
        <w:rPr>
          <w:szCs w:val="24"/>
        </w:rPr>
      </w:pPr>
    </w:p>
    <w:p w14:paraId="6B3D3587" w14:textId="09C84545" w:rsidR="00EB7A6E" w:rsidRPr="00EB7A6E" w:rsidRDefault="00EB7A6E" w:rsidP="00EB7A6E">
      <w:pPr>
        <w:widowControl/>
        <w:suppressAutoHyphens w:val="0"/>
        <w:overflowPunct/>
        <w:autoSpaceDE/>
        <w:autoSpaceDN/>
        <w:textAlignment w:val="auto"/>
        <w:rPr>
          <w:b/>
          <w:i/>
          <w:iCs/>
          <w:szCs w:val="24"/>
        </w:rPr>
      </w:pPr>
      <w:r w:rsidRPr="00EB7A6E">
        <w:rPr>
          <w:b/>
          <w:i/>
          <w:iCs/>
          <w:szCs w:val="24"/>
        </w:rPr>
        <w:t>Research methods</w:t>
      </w:r>
    </w:p>
    <w:p w14:paraId="263B7C79" w14:textId="29BA842C" w:rsidR="00EB7A6E" w:rsidRDefault="00EB7A6E" w:rsidP="00EB7A6E">
      <w:pPr>
        <w:rPr>
          <w:szCs w:val="24"/>
        </w:rPr>
      </w:pPr>
      <w:r>
        <w:rPr>
          <w:szCs w:val="24"/>
        </w:rPr>
        <w:t>To achieve these aims experiments were designed to induce gastro-duodenal lesions in rats by feeding them orally with diclofenac for 6 d. The rats were allocated into groups, some receiving concomitantly omeprazole, and others receiving STW 5. At the end of the experimental period, the animals were sacrificed, samples of blood were taken to determine levels of relevant mediators of inflammation, oxidative stress, and apoptosis using ELISA techniques. Sections of gastric and duodenal tissue were prepared for histological examination. All the chosen parameters were considered relevant to the study in question.</w:t>
      </w:r>
    </w:p>
    <w:p w14:paraId="736D666C" w14:textId="77777777" w:rsidR="00EB7A6E" w:rsidRDefault="00EB7A6E" w:rsidP="00EB7A6E">
      <w:pPr>
        <w:rPr>
          <w:szCs w:val="24"/>
        </w:rPr>
      </w:pPr>
    </w:p>
    <w:p w14:paraId="5322EE52" w14:textId="2065FBCE" w:rsidR="00EB7A6E" w:rsidRPr="00EB7A6E" w:rsidRDefault="00EB7A6E" w:rsidP="00EB7A6E">
      <w:pPr>
        <w:widowControl/>
        <w:suppressAutoHyphens w:val="0"/>
        <w:overflowPunct/>
        <w:autoSpaceDE/>
        <w:autoSpaceDN/>
        <w:textAlignment w:val="auto"/>
        <w:rPr>
          <w:b/>
          <w:i/>
          <w:iCs/>
          <w:szCs w:val="24"/>
        </w:rPr>
      </w:pPr>
      <w:r w:rsidRPr="00EB7A6E">
        <w:rPr>
          <w:b/>
          <w:i/>
          <w:iCs/>
          <w:szCs w:val="24"/>
        </w:rPr>
        <w:lastRenderedPageBreak/>
        <w:t>Research results</w:t>
      </w:r>
    </w:p>
    <w:p w14:paraId="7E1D9AC0" w14:textId="6FDC9E27" w:rsidR="00EB7A6E" w:rsidRDefault="00EB7A6E" w:rsidP="00EB7A6E">
      <w:pPr>
        <w:rPr>
          <w:szCs w:val="24"/>
        </w:rPr>
      </w:pPr>
      <w:r>
        <w:rPr>
          <w:szCs w:val="24"/>
        </w:rPr>
        <w:t>Diclofenac led to marked histological changes in both the stomach and duodenum, associated with significant changes in inflammatory cytokines (</w:t>
      </w:r>
      <w:r w:rsidRPr="007D70F4">
        <w:rPr>
          <w:szCs w:val="24"/>
          <w:lang w:val="en-GB"/>
        </w:rPr>
        <w:t>tumor necrosis factor α</w:t>
      </w:r>
      <w:r>
        <w:rPr>
          <w:szCs w:val="24"/>
          <w:lang w:val="en-GB"/>
        </w:rPr>
        <w:t>,</w:t>
      </w:r>
      <w:r w:rsidRPr="007D70F4">
        <w:rPr>
          <w:szCs w:val="24"/>
          <w:lang w:val="en-GB"/>
        </w:rPr>
        <w:t xml:space="preserve"> interleukins-1β and 10</w:t>
      </w:r>
      <w:r>
        <w:rPr>
          <w:szCs w:val="24"/>
        </w:rPr>
        <w:t xml:space="preserve">), in the oxidative stress enzyme, heme oxygenase 1, and in the apoptotic regulator, </w:t>
      </w:r>
      <w:r w:rsidRPr="007D70F4">
        <w:rPr>
          <w:rStyle w:val="Absatz-Standardschriftart"/>
          <w:szCs w:val="24"/>
        </w:rPr>
        <w:t>B-cell lymphoma 2</w:t>
      </w:r>
      <w:r>
        <w:rPr>
          <w:szCs w:val="24"/>
        </w:rPr>
        <w:t>. Both omeprazole and STW 5 in the given doses were comparable in their effects in counteracting the changes in all the biochemical parameters, but STW 5 was much more effective in preventing the histological changes in both the stomach and duodenum. The present results lend further support to the beneficial use of STW 5 in gastro-intestinal disorders. It would be of value to extend the study to other NSAIDs and to further prolong the administration of the NSAID for more than one week. In the present study, giving diclofenac for longer than 6 d led to animal mortality.</w:t>
      </w:r>
    </w:p>
    <w:p w14:paraId="5F44EABF" w14:textId="77777777" w:rsidR="00EB7A6E" w:rsidRPr="00EB7A6E" w:rsidRDefault="00EB7A6E" w:rsidP="00EB7A6E">
      <w:pPr>
        <w:rPr>
          <w:szCs w:val="24"/>
        </w:rPr>
      </w:pPr>
    </w:p>
    <w:p w14:paraId="50C6A538" w14:textId="4CE6BED4" w:rsidR="00EB7A6E" w:rsidRPr="00EB7A6E" w:rsidRDefault="00EB7A6E" w:rsidP="00EB7A6E">
      <w:pPr>
        <w:widowControl/>
        <w:suppressAutoHyphens w:val="0"/>
        <w:overflowPunct/>
        <w:autoSpaceDE/>
        <w:autoSpaceDN/>
        <w:textAlignment w:val="auto"/>
        <w:rPr>
          <w:b/>
          <w:i/>
          <w:iCs/>
          <w:szCs w:val="24"/>
        </w:rPr>
      </w:pPr>
      <w:r w:rsidRPr="00EB7A6E">
        <w:rPr>
          <w:b/>
          <w:i/>
          <w:iCs/>
          <w:szCs w:val="24"/>
        </w:rPr>
        <w:t>Research conclusions</w:t>
      </w:r>
    </w:p>
    <w:p w14:paraId="6FBD3DB7" w14:textId="4B33AB26" w:rsidR="00EB7A6E" w:rsidRDefault="00EB7A6E" w:rsidP="00EB7A6E">
      <w:pPr>
        <w:rPr>
          <w:szCs w:val="24"/>
        </w:rPr>
      </w:pPr>
      <w:r w:rsidRPr="00BC40D2">
        <w:rPr>
          <w:szCs w:val="24"/>
        </w:rPr>
        <w:t xml:space="preserve">STW 5 may offer a much safer alternative to PPIs </w:t>
      </w:r>
      <w:r>
        <w:rPr>
          <w:szCs w:val="24"/>
        </w:rPr>
        <w:t xml:space="preserve">to help protect the stomach and </w:t>
      </w:r>
      <w:r w:rsidRPr="00BC40D2">
        <w:rPr>
          <w:szCs w:val="24"/>
        </w:rPr>
        <w:t>duodenum from damage in patients under prolonged treatment with NSAIDs</w:t>
      </w:r>
      <w:r>
        <w:rPr>
          <w:szCs w:val="24"/>
        </w:rPr>
        <w:t>. The good clinical tolerability of the herbal preparation which has already been well established in functional dyspepsia and irritable bowel syndrome may pave the way to introducing it in preliminary clinical trials as adjuvant therapy in patients undergoing therapy with NSAIDs.</w:t>
      </w:r>
    </w:p>
    <w:p w14:paraId="1839AC5F" w14:textId="77777777" w:rsidR="00EB7A6E" w:rsidRDefault="00EB7A6E" w:rsidP="00EB7A6E">
      <w:pPr>
        <w:rPr>
          <w:szCs w:val="24"/>
        </w:rPr>
      </w:pPr>
    </w:p>
    <w:p w14:paraId="49F596A8" w14:textId="203CA12D" w:rsidR="00EB7A6E" w:rsidRPr="00EB7A6E" w:rsidRDefault="00EB7A6E" w:rsidP="00EB7A6E">
      <w:pPr>
        <w:widowControl/>
        <w:suppressAutoHyphens w:val="0"/>
        <w:overflowPunct/>
        <w:autoSpaceDE/>
        <w:autoSpaceDN/>
        <w:textAlignment w:val="auto"/>
        <w:rPr>
          <w:b/>
          <w:i/>
          <w:iCs/>
          <w:szCs w:val="24"/>
        </w:rPr>
      </w:pPr>
      <w:r w:rsidRPr="00EB7A6E">
        <w:rPr>
          <w:b/>
          <w:i/>
          <w:iCs/>
          <w:szCs w:val="24"/>
        </w:rPr>
        <w:t>Research perspectives</w:t>
      </w:r>
    </w:p>
    <w:p w14:paraId="6358188A" w14:textId="50FFF38B" w:rsidR="00F4075D" w:rsidRPr="00EB7A6E" w:rsidRDefault="00EB7A6E" w:rsidP="00EB7A6E">
      <w:pPr>
        <w:rPr>
          <w:rStyle w:val="Absatz-Standardschriftart"/>
        </w:rPr>
      </w:pPr>
      <w:r w:rsidRPr="006E736A">
        <w:rPr>
          <w:szCs w:val="24"/>
        </w:rPr>
        <w:t>The study is a good example of developing new therapeutic indications for drugs already established on the market, based on well-designed experiments to show their potential efficacy in a new domain. The results obtained warrant further investigations and placebo</w:t>
      </w:r>
      <w:r>
        <w:rPr>
          <w:szCs w:val="24"/>
        </w:rPr>
        <w:t>-</w:t>
      </w:r>
      <w:r w:rsidRPr="006E736A">
        <w:rPr>
          <w:szCs w:val="24"/>
        </w:rPr>
        <w:t xml:space="preserve">controlled studies before </w:t>
      </w:r>
      <w:r>
        <w:rPr>
          <w:szCs w:val="24"/>
        </w:rPr>
        <w:t>being clinically introduced as adjuvant therapy in patients under treatment with drugs that could potentially injure the gastro-intestinal tract.</w:t>
      </w:r>
    </w:p>
    <w:p w14:paraId="331ACDEF" w14:textId="77777777" w:rsidR="00F4075D" w:rsidRPr="007D70F4" w:rsidRDefault="00F4075D" w:rsidP="008E78B7">
      <w:pPr>
        <w:rPr>
          <w:rStyle w:val="Absatz-Standardschriftart"/>
          <w:rFonts w:cs="TimesNewRomanPSMT"/>
          <w:kern w:val="0"/>
          <w:szCs w:val="24"/>
          <w:lang w:val="en-GB"/>
        </w:rPr>
      </w:pPr>
      <w:r w:rsidRPr="007D70F4">
        <w:rPr>
          <w:rStyle w:val="Absatz-Standardschriftart"/>
          <w:rFonts w:cs="TimesNewRomanPSMT"/>
          <w:kern w:val="0"/>
          <w:szCs w:val="24"/>
          <w:lang w:val="en-GB"/>
        </w:rPr>
        <w:br w:type="page"/>
      </w:r>
    </w:p>
    <w:p w14:paraId="46BB9611" w14:textId="1298A935" w:rsidR="0041435A" w:rsidRPr="007D70F4" w:rsidRDefault="0041435A" w:rsidP="008E78B7">
      <w:pPr>
        <w:pStyle w:val="1"/>
        <w:rPr>
          <w:rStyle w:val="Absatz-Standardschriftart"/>
          <w:szCs w:val="24"/>
        </w:rPr>
      </w:pPr>
      <w:r w:rsidRPr="007D70F4">
        <w:rPr>
          <w:rStyle w:val="Absatz-Standardschriftart"/>
          <w:szCs w:val="24"/>
        </w:rPr>
        <w:lastRenderedPageBreak/>
        <w:t xml:space="preserve">REFERENCES </w:t>
      </w:r>
    </w:p>
    <w:p w14:paraId="763F18C9"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1 </w:t>
      </w:r>
      <w:r w:rsidRPr="00E7347D">
        <w:rPr>
          <w:rFonts w:eastAsia="等线"/>
          <w:b/>
          <w:kern w:val="2"/>
          <w:szCs w:val="24"/>
          <w:lang w:eastAsia="zh-CN"/>
        </w:rPr>
        <w:t>Chan FK</w:t>
      </w:r>
      <w:r w:rsidRPr="00E7347D">
        <w:rPr>
          <w:rFonts w:eastAsia="等线"/>
          <w:kern w:val="2"/>
          <w:szCs w:val="24"/>
          <w:lang w:eastAsia="zh-CN"/>
        </w:rPr>
        <w:t xml:space="preserve">, Lanas A, Scheiman J, Berger MF, Nguyen H, Goldstein JL. Celecoxib versus omeprazole and diclofenac in patients with osteoarthritis and rheumatoid arthritis (CONDOR): a randomised trial. </w:t>
      </w:r>
      <w:r w:rsidRPr="00E7347D">
        <w:rPr>
          <w:rFonts w:eastAsia="等线"/>
          <w:i/>
          <w:kern w:val="2"/>
          <w:szCs w:val="24"/>
          <w:lang w:eastAsia="zh-CN"/>
        </w:rPr>
        <w:t>Lancet</w:t>
      </w:r>
      <w:r w:rsidRPr="00E7347D">
        <w:rPr>
          <w:rFonts w:eastAsia="等线"/>
          <w:kern w:val="2"/>
          <w:szCs w:val="24"/>
          <w:lang w:eastAsia="zh-CN"/>
        </w:rPr>
        <w:t xml:space="preserve"> 2010; </w:t>
      </w:r>
      <w:r w:rsidRPr="00E7347D">
        <w:rPr>
          <w:rFonts w:eastAsia="等线"/>
          <w:b/>
          <w:kern w:val="2"/>
          <w:szCs w:val="24"/>
          <w:lang w:eastAsia="zh-CN"/>
        </w:rPr>
        <w:t>376</w:t>
      </w:r>
      <w:r w:rsidRPr="00E7347D">
        <w:rPr>
          <w:rFonts w:eastAsia="等线"/>
          <w:kern w:val="2"/>
          <w:szCs w:val="24"/>
          <w:lang w:eastAsia="zh-CN"/>
        </w:rPr>
        <w:t>: 173-179 [PMID: 20638563 DOI: 10.1016/S0140-6736(10)60673-3]</w:t>
      </w:r>
    </w:p>
    <w:p w14:paraId="6DA6D7F8"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2 </w:t>
      </w:r>
      <w:r w:rsidRPr="00E7347D">
        <w:rPr>
          <w:rFonts w:eastAsia="等线"/>
          <w:b/>
          <w:kern w:val="2"/>
          <w:szCs w:val="24"/>
          <w:lang w:eastAsia="zh-CN"/>
        </w:rPr>
        <w:t>Musumba C</w:t>
      </w:r>
      <w:r w:rsidRPr="00E7347D">
        <w:rPr>
          <w:rFonts w:eastAsia="等线"/>
          <w:kern w:val="2"/>
          <w:szCs w:val="24"/>
          <w:lang w:eastAsia="zh-CN"/>
        </w:rPr>
        <w:t xml:space="preserve">, Pritchard DM, Pirmohamed M. Review article: cellular and molecular mechanisms of NSAID-induced peptic ulcers. </w:t>
      </w:r>
      <w:r w:rsidRPr="00E7347D">
        <w:rPr>
          <w:rFonts w:eastAsia="等线"/>
          <w:i/>
          <w:kern w:val="2"/>
          <w:szCs w:val="24"/>
          <w:lang w:eastAsia="zh-CN"/>
        </w:rPr>
        <w:t>Aliment Pharmacol Ther</w:t>
      </w:r>
      <w:r w:rsidRPr="00E7347D">
        <w:rPr>
          <w:rFonts w:eastAsia="等线"/>
          <w:kern w:val="2"/>
          <w:szCs w:val="24"/>
          <w:lang w:eastAsia="zh-CN"/>
        </w:rPr>
        <w:t xml:space="preserve"> 2009; </w:t>
      </w:r>
      <w:r w:rsidRPr="00E7347D">
        <w:rPr>
          <w:rFonts w:eastAsia="等线"/>
          <w:b/>
          <w:kern w:val="2"/>
          <w:szCs w:val="24"/>
          <w:lang w:eastAsia="zh-CN"/>
        </w:rPr>
        <w:t>30</w:t>
      </w:r>
      <w:r w:rsidRPr="00E7347D">
        <w:rPr>
          <w:rFonts w:eastAsia="等线"/>
          <w:kern w:val="2"/>
          <w:szCs w:val="24"/>
          <w:lang w:eastAsia="zh-CN"/>
        </w:rPr>
        <w:t>: 517-531 [PMID: 19575764 DOI: 10.1111/j.1365-2036.2009.04086.x]</w:t>
      </w:r>
    </w:p>
    <w:p w14:paraId="34B83629"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3 </w:t>
      </w:r>
      <w:r w:rsidRPr="00E7347D">
        <w:rPr>
          <w:rFonts w:eastAsia="等线"/>
          <w:b/>
          <w:kern w:val="2"/>
          <w:szCs w:val="24"/>
          <w:lang w:eastAsia="zh-CN"/>
        </w:rPr>
        <w:t>Dorta G</w:t>
      </w:r>
      <w:r w:rsidRPr="00E7347D">
        <w:rPr>
          <w:rFonts w:eastAsia="等线"/>
          <w:kern w:val="2"/>
          <w:szCs w:val="24"/>
          <w:lang w:eastAsia="zh-CN"/>
        </w:rPr>
        <w:t xml:space="preserve">, Nicolet M, Vouillamoz D, Margalith D, Saraga E, Bouzourene H, Häcki WH, Stolte M, Blum AL, Armstrong D. The effects of omeprazole on healing and appearance of small gastric and duodenal lesions during dosing with diclofenac in healthy subjects. </w:t>
      </w:r>
      <w:r w:rsidRPr="00E7347D">
        <w:rPr>
          <w:rFonts w:eastAsia="等线"/>
          <w:i/>
          <w:kern w:val="2"/>
          <w:szCs w:val="24"/>
          <w:lang w:eastAsia="zh-CN"/>
        </w:rPr>
        <w:t>Aliment Pharmacol Ther</w:t>
      </w:r>
      <w:r w:rsidRPr="00E7347D">
        <w:rPr>
          <w:rFonts w:eastAsia="等线"/>
          <w:kern w:val="2"/>
          <w:szCs w:val="24"/>
          <w:lang w:eastAsia="zh-CN"/>
        </w:rPr>
        <w:t xml:space="preserve"> 2000; </w:t>
      </w:r>
      <w:r w:rsidRPr="00E7347D">
        <w:rPr>
          <w:rFonts w:eastAsia="等线"/>
          <w:b/>
          <w:kern w:val="2"/>
          <w:szCs w:val="24"/>
          <w:lang w:eastAsia="zh-CN"/>
        </w:rPr>
        <w:t>14</w:t>
      </w:r>
      <w:r w:rsidRPr="00E7347D">
        <w:rPr>
          <w:rFonts w:eastAsia="等线"/>
          <w:kern w:val="2"/>
          <w:szCs w:val="24"/>
          <w:lang w:eastAsia="zh-CN"/>
        </w:rPr>
        <w:t>: 535-541 [PMID: 10792115 DOI: 10.1046/j.1365-2036.2000.00737.x]</w:t>
      </w:r>
    </w:p>
    <w:p w14:paraId="1A02A07C"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4 </w:t>
      </w:r>
      <w:r w:rsidRPr="00E7347D">
        <w:rPr>
          <w:rFonts w:eastAsia="等线"/>
          <w:b/>
          <w:kern w:val="2"/>
          <w:szCs w:val="24"/>
          <w:lang w:eastAsia="zh-CN"/>
        </w:rPr>
        <w:t>Simon JP</w:t>
      </w:r>
      <w:r w:rsidRPr="00E7347D">
        <w:rPr>
          <w:rFonts w:eastAsia="等线"/>
          <w:kern w:val="2"/>
          <w:szCs w:val="24"/>
          <w:lang w:eastAsia="zh-CN"/>
        </w:rPr>
        <w:t xml:space="preserve">, Evan Prince S. Natural remedies for non-steroidal anti-inflammatory drug-induced toxicity. </w:t>
      </w:r>
      <w:r w:rsidRPr="00E7347D">
        <w:rPr>
          <w:rFonts w:eastAsia="等线"/>
          <w:i/>
          <w:kern w:val="2"/>
          <w:szCs w:val="24"/>
          <w:lang w:eastAsia="zh-CN"/>
        </w:rPr>
        <w:t>J Appl Toxicol</w:t>
      </w:r>
      <w:r w:rsidRPr="00E7347D">
        <w:rPr>
          <w:rFonts w:eastAsia="等线"/>
          <w:kern w:val="2"/>
          <w:szCs w:val="24"/>
          <w:lang w:eastAsia="zh-CN"/>
        </w:rPr>
        <w:t xml:space="preserve"> 2017; </w:t>
      </w:r>
      <w:r w:rsidRPr="00E7347D">
        <w:rPr>
          <w:rFonts w:eastAsia="等线"/>
          <w:b/>
          <w:kern w:val="2"/>
          <w:szCs w:val="24"/>
          <w:lang w:eastAsia="zh-CN"/>
        </w:rPr>
        <w:t>37</w:t>
      </w:r>
      <w:r w:rsidRPr="00E7347D">
        <w:rPr>
          <w:rFonts w:eastAsia="等线"/>
          <w:kern w:val="2"/>
          <w:szCs w:val="24"/>
          <w:lang w:eastAsia="zh-CN"/>
        </w:rPr>
        <w:t>: 71-83 [PMID: 27652576 DOI: 10.1002/jat.3391]</w:t>
      </w:r>
    </w:p>
    <w:p w14:paraId="71D36380"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5 </w:t>
      </w:r>
      <w:r w:rsidRPr="00E7347D">
        <w:rPr>
          <w:rFonts w:eastAsia="等线"/>
          <w:b/>
          <w:kern w:val="2"/>
          <w:szCs w:val="24"/>
          <w:lang w:eastAsia="zh-CN"/>
        </w:rPr>
        <w:t>Malfertheiner P</w:t>
      </w:r>
      <w:r w:rsidRPr="00E7347D">
        <w:rPr>
          <w:rFonts w:eastAsia="等线"/>
          <w:kern w:val="2"/>
          <w:szCs w:val="24"/>
          <w:lang w:eastAsia="zh-CN"/>
        </w:rPr>
        <w:t xml:space="preserve">. STW 5 (Iberogast) Therapy in Gastrointestinal Functional Disorders. </w:t>
      </w:r>
      <w:r w:rsidRPr="00E7347D">
        <w:rPr>
          <w:rFonts w:eastAsia="等线"/>
          <w:i/>
          <w:kern w:val="2"/>
          <w:szCs w:val="24"/>
          <w:lang w:eastAsia="zh-CN"/>
        </w:rPr>
        <w:t>Dig Dis</w:t>
      </w:r>
      <w:r w:rsidRPr="00E7347D">
        <w:rPr>
          <w:rFonts w:eastAsia="等线"/>
          <w:kern w:val="2"/>
          <w:szCs w:val="24"/>
          <w:lang w:eastAsia="zh-CN"/>
        </w:rPr>
        <w:t xml:space="preserve"> 2017; </w:t>
      </w:r>
      <w:r w:rsidRPr="00E7347D">
        <w:rPr>
          <w:rFonts w:eastAsia="等线"/>
          <w:b/>
          <w:kern w:val="2"/>
          <w:szCs w:val="24"/>
          <w:lang w:eastAsia="zh-CN"/>
        </w:rPr>
        <w:t>35 Suppl 1</w:t>
      </w:r>
      <w:r w:rsidRPr="00E7347D">
        <w:rPr>
          <w:rFonts w:eastAsia="等线"/>
          <w:kern w:val="2"/>
          <w:szCs w:val="24"/>
          <w:lang w:eastAsia="zh-CN"/>
        </w:rPr>
        <w:t>: 25-29 [PMID: 29421817 DOI: 10.1159/000485410]</w:t>
      </w:r>
    </w:p>
    <w:p w14:paraId="559D1704"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6 </w:t>
      </w:r>
      <w:r w:rsidRPr="00E7347D">
        <w:rPr>
          <w:rFonts w:eastAsia="等线"/>
          <w:b/>
          <w:kern w:val="2"/>
          <w:szCs w:val="24"/>
          <w:lang w:eastAsia="zh-CN"/>
        </w:rPr>
        <w:t>Mac Lean N</w:t>
      </w:r>
      <w:r w:rsidRPr="00E7347D">
        <w:rPr>
          <w:rFonts w:eastAsia="等线"/>
          <w:kern w:val="2"/>
          <w:szCs w:val="24"/>
          <w:lang w:eastAsia="zh-CN"/>
        </w:rPr>
        <w:t xml:space="preserve">, Hübner-Steiner U. [Treatment of drug-induced gastrointestinal disorders. Double-blind study of the effectiveness of Iberogast compared to placebo]. </w:t>
      </w:r>
      <w:r w:rsidRPr="00E7347D">
        <w:rPr>
          <w:rFonts w:eastAsia="等线"/>
          <w:i/>
          <w:kern w:val="2"/>
          <w:szCs w:val="24"/>
          <w:lang w:eastAsia="zh-CN"/>
        </w:rPr>
        <w:t>Fortschr Med</w:t>
      </w:r>
      <w:r w:rsidRPr="00E7347D">
        <w:rPr>
          <w:rFonts w:eastAsia="等线"/>
          <w:kern w:val="2"/>
          <w:szCs w:val="24"/>
          <w:lang w:eastAsia="zh-CN"/>
        </w:rPr>
        <w:t xml:space="preserve"> 1987; </w:t>
      </w:r>
      <w:r w:rsidRPr="00E7347D">
        <w:rPr>
          <w:rFonts w:eastAsia="等线"/>
          <w:b/>
          <w:kern w:val="2"/>
          <w:szCs w:val="24"/>
          <w:lang w:eastAsia="zh-CN"/>
        </w:rPr>
        <w:t>105</w:t>
      </w:r>
      <w:r w:rsidRPr="00E7347D">
        <w:rPr>
          <w:rFonts w:eastAsia="等线"/>
          <w:kern w:val="2"/>
          <w:szCs w:val="24"/>
          <w:lang w:eastAsia="zh-CN"/>
        </w:rPr>
        <w:t>: 239-242 [PMID: 3297957]</w:t>
      </w:r>
    </w:p>
    <w:p w14:paraId="0688D57D"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7 </w:t>
      </w:r>
      <w:r w:rsidRPr="00E7347D">
        <w:rPr>
          <w:rFonts w:eastAsia="等线"/>
          <w:b/>
          <w:kern w:val="2"/>
          <w:szCs w:val="24"/>
          <w:lang w:eastAsia="zh-CN"/>
        </w:rPr>
        <w:t>Rösch W</w:t>
      </w:r>
      <w:r w:rsidRPr="00E7347D">
        <w:rPr>
          <w:rFonts w:eastAsia="等线"/>
          <w:kern w:val="2"/>
          <w:szCs w:val="24"/>
          <w:lang w:eastAsia="zh-CN"/>
        </w:rPr>
        <w:t xml:space="preserve">, Liebregts T, Gundermann KJ, Vinson B, Holtmann G. Phytotherapy for functional dyspepsia: a review of the clinical evidence for the herbal preparation STW 5. </w:t>
      </w:r>
      <w:r w:rsidRPr="00E7347D">
        <w:rPr>
          <w:rFonts w:eastAsia="等线"/>
          <w:i/>
          <w:kern w:val="2"/>
          <w:szCs w:val="24"/>
          <w:lang w:eastAsia="zh-CN"/>
        </w:rPr>
        <w:t>Phytomedicine</w:t>
      </w:r>
      <w:r w:rsidRPr="00E7347D">
        <w:rPr>
          <w:rFonts w:eastAsia="等线"/>
          <w:kern w:val="2"/>
          <w:szCs w:val="24"/>
          <w:lang w:eastAsia="zh-CN"/>
        </w:rPr>
        <w:t xml:space="preserve"> 2006; </w:t>
      </w:r>
      <w:r w:rsidRPr="00E7347D">
        <w:rPr>
          <w:rFonts w:eastAsia="等线"/>
          <w:b/>
          <w:kern w:val="2"/>
          <w:szCs w:val="24"/>
          <w:lang w:eastAsia="zh-CN"/>
        </w:rPr>
        <w:t>13 Suppl 5</w:t>
      </w:r>
      <w:r w:rsidRPr="00E7347D">
        <w:rPr>
          <w:rFonts w:eastAsia="等线"/>
          <w:kern w:val="2"/>
          <w:szCs w:val="24"/>
          <w:lang w:eastAsia="zh-CN"/>
        </w:rPr>
        <w:t>: 114-121 [PMID: 16978851 DOI: 10.1016]</w:t>
      </w:r>
    </w:p>
    <w:p w14:paraId="4A72D881"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8 </w:t>
      </w:r>
      <w:r w:rsidRPr="00E7347D">
        <w:rPr>
          <w:rFonts w:eastAsia="等线"/>
          <w:b/>
          <w:kern w:val="2"/>
          <w:szCs w:val="24"/>
          <w:lang w:eastAsia="zh-CN"/>
        </w:rPr>
        <w:t>Stanghellini V</w:t>
      </w:r>
      <w:r w:rsidRPr="00E7347D">
        <w:rPr>
          <w:rFonts w:eastAsia="等线"/>
          <w:kern w:val="2"/>
          <w:szCs w:val="24"/>
          <w:lang w:eastAsia="zh-CN"/>
        </w:rPr>
        <w:t xml:space="preserve">, Chan FK, Hasler WL, Malagelada JR, Suzuki H, Tack J, Talley NJ. Gastroduodenal Disorders. </w:t>
      </w:r>
      <w:r w:rsidRPr="00E7347D">
        <w:rPr>
          <w:rFonts w:eastAsia="等线"/>
          <w:i/>
          <w:kern w:val="2"/>
          <w:szCs w:val="24"/>
          <w:lang w:eastAsia="zh-CN"/>
        </w:rPr>
        <w:t>Gastroenterology</w:t>
      </w:r>
      <w:r w:rsidRPr="00E7347D">
        <w:rPr>
          <w:rFonts w:eastAsia="等线"/>
          <w:kern w:val="2"/>
          <w:szCs w:val="24"/>
          <w:lang w:eastAsia="zh-CN"/>
        </w:rPr>
        <w:t xml:space="preserve"> 2016; </w:t>
      </w:r>
      <w:r w:rsidRPr="00E7347D">
        <w:rPr>
          <w:rFonts w:eastAsia="等线"/>
          <w:b/>
          <w:kern w:val="2"/>
          <w:szCs w:val="24"/>
          <w:lang w:eastAsia="zh-CN"/>
        </w:rPr>
        <w:t>150</w:t>
      </w:r>
      <w:r w:rsidRPr="00E7347D">
        <w:rPr>
          <w:rFonts w:eastAsia="等线"/>
          <w:kern w:val="2"/>
          <w:szCs w:val="24"/>
          <w:lang w:eastAsia="zh-CN"/>
        </w:rPr>
        <w:t>: 1380-1392 [PMID: 27147122 DOI: 10.1053/j.gastro.2016.02.011]</w:t>
      </w:r>
    </w:p>
    <w:p w14:paraId="32E89A44"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9 </w:t>
      </w:r>
      <w:r w:rsidRPr="00E7347D">
        <w:rPr>
          <w:rFonts w:eastAsia="等线"/>
          <w:b/>
          <w:kern w:val="2"/>
          <w:szCs w:val="24"/>
          <w:lang w:eastAsia="zh-CN"/>
        </w:rPr>
        <w:t>Abdel-Aziz H</w:t>
      </w:r>
      <w:r w:rsidRPr="00E7347D">
        <w:rPr>
          <w:rFonts w:eastAsia="等线"/>
          <w:kern w:val="2"/>
          <w:szCs w:val="24"/>
          <w:lang w:eastAsia="zh-CN"/>
        </w:rPr>
        <w:t xml:space="preserve">, Zaki HF, Neuhuber W, Kelber O, Weiser D, Khayyal MT. Effect of an herbal preparation, STW 5, in an acute model of reflux oesophagitis in rats. </w:t>
      </w:r>
      <w:r w:rsidRPr="00E7347D">
        <w:rPr>
          <w:rFonts w:eastAsia="等线"/>
          <w:i/>
          <w:kern w:val="2"/>
          <w:szCs w:val="24"/>
          <w:lang w:eastAsia="zh-CN"/>
        </w:rPr>
        <w:t>J Pharmacol Sci</w:t>
      </w:r>
      <w:r w:rsidRPr="00E7347D">
        <w:rPr>
          <w:rFonts w:eastAsia="等线"/>
          <w:kern w:val="2"/>
          <w:szCs w:val="24"/>
          <w:lang w:eastAsia="zh-CN"/>
        </w:rPr>
        <w:t xml:space="preserve"> 2010; </w:t>
      </w:r>
      <w:r w:rsidRPr="00E7347D">
        <w:rPr>
          <w:rFonts w:eastAsia="等线"/>
          <w:b/>
          <w:kern w:val="2"/>
          <w:szCs w:val="24"/>
          <w:lang w:eastAsia="zh-CN"/>
        </w:rPr>
        <w:t>113</w:t>
      </w:r>
      <w:r w:rsidRPr="00E7347D">
        <w:rPr>
          <w:rFonts w:eastAsia="等线"/>
          <w:kern w:val="2"/>
          <w:szCs w:val="24"/>
          <w:lang w:eastAsia="zh-CN"/>
        </w:rPr>
        <w:t>: 134-142 [PMID: 20484868 DOI: 10.1254/jphs.09355FP]</w:t>
      </w:r>
    </w:p>
    <w:p w14:paraId="2072EE88"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10 </w:t>
      </w:r>
      <w:r w:rsidRPr="00E7347D">
        <w:rPr>
          <w:rFonts w:eastAsia="等线"/>
          <w:b/>
          <w:kern w:val="2"/>
          <w:szCs w:val="24"/>
          <w:lang w:eastAsia="zh-CN"/>
        </w:rPr>
        <w:t>Khayyal MT</w:t>
      </w:r>
      <w:r w:rsidRPr="00E7347D">
        <w:rPr>
          <w:rFonts w:eastAsia="等线"/>
          <w:kern w:val="2"/>
          <w:szCs w:val="24"/>
          <w:lang w:eastAsia="zh-CN"/>
        </w:rPr>
        <w:t xml:space="preserve">, Seif-El-Nasr M, El-Ghazaly MA, Okpanyi SN, Kelber O, Weiser D. </w:t>
      </w:r>
      <w:r w:rsidRPr="00E7347D">
        <w:rPr>
          <w:rFonts w:eastAsia="等线"/>
          <w:kern w:val="2"/>
          <w:szCs w:val="24"/>
          <w:lang w:eastAsia="zh-CN"/>
        </w:rPr>
        <w:lastRenderedPageBreak/>
        <w:t xml:space="preserve">Mechanisms involved in the gastro-protective effect of STW 5 (Iberogast) and its components against ulcers and rebound acidity. </w:t>
      </w:r>
      <w:r w:rsidRPr="00E7347D">
        <w:rPr>
          <w:rFonts w:eastAsia="等线"/>
          <w:i/>
          <w:kern w:val="2"/>
          <w:szCs w:val="24"/>
          <w:lang w:eastAsia="zh-CN"/>
        </w:rPr>
        <w:t>Phytomedicine</w:t>
      </w:r>
      <w:r w:rsidRPr="00E7347D">
        <w:rPr>
          <w:rFonts w:eastAsia="等线"/>
          <w:kern w:val="2"/>
          <w:szCs w:val="24"/>
          <w:lang w:eastAsia="zh-CN"/>
        </w:rPr>
        <w:t xml:space="preserve"> 2006; </w:t>
      </w:r>
      <w:r w:rsidRPr="00E7347D">
        <w:rPr>
          <w:rFonts w:eastAsia="等线"/>
          <w:b/>
          <w:kern w:val="2"/>
          <w:szCs w:val="24"/>
          <w:lang w:eastAsia="zh-CN"/>
        </w:rPr>
        <w:t>13 Suppl 5</w:t>
      </w:r>
      <w:r w:rsidRPr="00E7347D">
        <w:rPr>
          <w:rFonts w:eastAsia="等线"/>
          <w:kern w:val="2"/>
          <w:szCs w:val="24"/>
          <w:lang w:eastAsia="zh-CN"/>
        </w:rPr>
        <w:t>: 56-66 [PMID: 16963243 DOI: 10.1016/j.phymed.2006.03.019]</w:t>
      </w:r>
    </w:p>
    <w:p w14:paraId="7435AA59"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11 </w:t>
      </w:r>
      <w:r w:rsidRPr="00E7347D">
        <w:rPr>
          <w:rFonts w:eastAsia="等线"/>
          <w:b/>
          <w:kern w:val="2"/>
          <w:szCs w:val="24"/>
          <w:lang w:eastAsia="zh-CN"/>
        </w:rPr>
        <w:t>Wadie W</w:t>
      </w:r>
      <w:r w:rsidRPr="00E7347D">
        <w:rPr>
          <w:rFonts w:eastAsia="等线"/>
          <w:kern w:val="2"/>
          <w:szCs w:val="24"/>
          <w:lang w:eastAsia="zh-CN"/>
        </w:rPr>
        <w:t xml:space="preserve">, Abdel-Aziz H, Zaki HF, Kelber O, Weiser D, Khayyal MT. STW 5 is effective in dextran sulfate sodium-induced colitis in rats. </w:t>
      </w:r>
      <w:r w:rsidRPr="00E7347D">
        <w:rPr>
          <w:rFonts w:eastAsia="等线"/>
          <w:i/>
          <w:kern w:val="2"/>
          <w:szCs w:val="24"/>
          <w:lang w:eastAsia="zh-CN"/>
        </w:rPr>
        <w:t>Int J Colorectal Dis</w:t>
      </w:r>
      <w:r w:rsidRPr="00E7347D">
        <w:rPr>
          <w:rFonts w:eastAsia="等线"/>
          <w:kern w:val="2"/>
          <w:szCs w:val="24"/>
          <w:lang w:eastAsia="zh-CN"/>
        </w:rPr>
        <w:t xml:space="preserve"> 2012; </w:t>
      </w:r>
      <w:r w:rsidRPr="00E7347D">
        <w:rPr>
          <w:rFonts w:eastAsia="等线"/>
          <w:b/>
          <w:kern w:val="2"/>
          <w:szCs w:val="24"/>
          <w:lang w:eastAsia="zh-CN"/>
        </w:rPr>
        <w:t>27</w:t>
      </w:r>
      <w:r w:rsidRPr="00E7347D">
        <w:rPr>
          <w:rFonts w:eastAsia="等线"/>
          <w:kern w:val="2"/>
          <w:szCs w:val="24"/>
          <w:lang w:eastAsia="zh-CN"/>
        </w:rPr>
        <w:t>: 1445-1453 [PMID: 22562255 DOI: 10.1007/s00384-012-1473-z]</w:t>
      </w:r>
    </w:p>
    <w:p w14:paraId="49D51B75"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12 </w:t>
      </w:r>
      <w:r w:rsidRPr="00E7347D">
        <w:rPr>
          <w:rFonts w:eastAsia="等线"/>
          <w:b/>
          <w:kern w:val="2"/>
          <w:szCs w:val="24"/>
          <w:lang w:eastAsia="zh-CN"/>
        </w:rPr>
        <w:t>Scicchitano P</w:t>
      </w:r>
      <w:r w:rsidRPr="00E7347D">
        <w:rPr>
          <w:rFonts w:eastAsia="等线"/>
          <w:bCs/>
          <w:kern w:val="2"/>
          <w:szCs w:val="24"/>
          <w:lang w:eastAsia="zh-CN"/>
        </w:rPr>
        <w:t>,</w:t>
      </w:r>
      <w:r w:rsidRPr="00E7347D">
        <w:rPr>
          <w:rFonts w:eastAsia="等线"/>
          <w:kern w:val="2"/>
          <w:szCs w:val="24"/>
          <w:lang w:eastAsia="zh-CN"/>
        </w:rPr>
        <w:t xml:space="preserve"> Cameli M, Maiello M, Modesti PA, Muiesane ML, Novo S, Palmieroc P, Sabag PS, Pedrinellih R, Cicconea MM. Nutraceuticals and dyslipidaemia: Beyond the common therapeutics. </w:t>
      </w:r>
      <w:r w:rsidRPr="00E7347D">
        <w:rPr>
          <w:rFonts w:eastAsia="等线"/>
          <w:i/>
          <w:iCs/>
          <w:kern w:val="2"/>
          <w:szCs w:val="24"/>
          <w:lang w:eastAsia="zh-CN"/>
        </w:rPr>
        <w:t>J Funct Foods</w:t>
      </w:r>
      <w:r w:rsidRPr="00E7347D">
        <w:rPr>
          <w:rFonts w:eastAsia="等线"/>
          <w:kern w:val="2"/>
          <w:szCs w:val="24"/>
          <w:lang w:eastAsia="zh-CN"/>
        </w:rPr>
        <w:t xml:space="preserve"> 2014; </w:t>
      </w:r>
      <w:r w:rsidRPr="00E7347D">
        <w:rPr>
          <w:rFonts w:eastAsia="等线"/>
          <w:b/>
          <w:kern w:val="2"/>
          <w:szCs w:val="24"/>
          <w:lang w:eastAsia="zh-CN"/>
        </w:rPr>
        <w:t>6</w:t>
      </w:r>
      <w:r w:rsidRPr="00E7347D">
        <w:rPr>
          <w:rFonts w:eastAsia="等线"/>
          <w:kern w:val="2"/>
          <w:szCs w:val="24"/>
          <w:lang w:eastAsia="zh-CN"/>
        </w:rPr>
        <w:t>: 11-32 [DOI: 10.1016/j.jff.2013.12.006]</w:t>
      </w:r>
    </w:p>
    <w:p w14:paraId="0F8B2C8D"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13 </w:t>
      </w:r>
      <w:r w:rsidRPr="00E7347D">
        <w:rPr>
          <w:rFonts w:eastAsia="等线"/>
          <w:b/>
          <w:kern w:val="2"/>
          <w:szCs w:val="24"/>
          <w:lang w:eastAsia="zh-CN"/>
        </w:rPr>
        <w:t>Segawa K</w:t>
      </w:r>
      <w:r w:rsidRPr="00E7347D">
        <w:rPr>
          <w:rFonts w:eastAsia="等线"/>
          <w:kern w:val="2"/>
          <w:szCs w:val="24"/>
          <w:lang w:eastAsia="zh-CN"/>
        </w:rPr>
        <w:t xml:space="preserve">, Nakazawa S, Tsukamoto Y, Chujoh C, Yamao K, Hase S. Effect of omeprazole on gastric acid secretion in rat: evaluation of dose, duration of effect, and route of administration. </w:t>
      </w:r>
      <w:r w:rsidRPr="00E7347D">
        <w:rPr>
          <w:rFonts w:eastAsia="等线"/>
          <w:i/>
          <w:kern w:val="2"/>
          <w:szCs w:val="24"/>
          <w:lang w:eastAsia="zh-CN"/>
        </w:rPr>
        <w:t>Gastroenterol Jpn</w:t>
      </w:r>
      <w:r w:rsidRPr="00E7347D">
        <w:rPr>
          <w:rFonts w:eastAsia="等线"/>
          <w:kern w:val="2"/>
          <w:szCs w:val="24"/>
          <w:lang w:eastAsia="zh-CN"/>
        </w:rPr>
        <w:t xml:space="preserve"> 1987; </w:t>
      </w:r>
      <w:r w:rsidRPr="00E7347D">
        <w:rPr>
          <w:rFonts w:eastAsia="等线"/>
          <w:b/>
          <w:kern w:val="2"/>
          <w:szCs w:val="24"/>
          <w:lang w:eastAsia="zh-CN"/>
        </w:rPr>
        <w:t>22</w:t>
      </w:r>
      <w:r w:rsidRPr="00E7347D">
        <w:rPr>
          <w:rFonts w:eastAsia="等线"/>
          <w:kern w:val="2"/>
          <w:szCs w:val="24"/>
          <w:lang w:eastAsia="zh-CN"/>
        </w:rPr>
        <w:t>: 413-418 [PMID: 3666382 DOI: 10.1007/bf02773807]</w:t>
      </w:r>
    </w:p>
    <w:p w14:paraId="6938D6EA"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14 </w:t>
      </w:r>
      <w:r w:rsidRPr="00E7347D">
        <w:rPr>
          <w:rFonts w:eastAsia="等线"/>
          <w:b/>
          <w:kern w:val="2"/>
          <w:szCs w:val="24"/>
          <w:lang w:eastAsia="zh-CN"/>
        </w:rPr>
        <w:t>Kalra BS</w:t>
      </w:r>
      <w:r w:rsidRPr="00E7347D">
        <w:rPr>
          <w:rFonts w:eastAsia="等线"/>
          <w:kern w:val="2"/>
          <w:szCs w:val="24"/>
          <w:lang w:eastAsia="zh-CN"/>
        </w:rPr>
        <w:t xml:space="preserve">; Shalini, Chaturvedi S, Tayal V, Gupta U. Evaluation of gastric tolerability, antinociceptive and antiinflammatory activity of combination NSAIDs in rats. </w:t>
      </w:r>
      <w:r w:rsidRPr="00E7347D">
        <w:rPr>
          <w:rFonts w:eastAsia="等线"/>
          <w:i/>
          <w:kern w:val="2"/>
          <w:szCs w:val="24"/>
          <w:lang w:eastAsia="zh-CN"/>
        </w:rPr>
        <w:t>Indian J Dent Res</w:t>
      </w:r>
      <w:r w:rsidRPr="00E7347D">
        <w:rPr>
          <w:rFonts w:eastAsia="等线"/>
          <w:kern w:val="2"/>
          <w:szCs w:val="24"/>
          <w:lang w:eastAsia="zh-CN"/>
        </w:rPr>
        <w:t xml:space="preserve"> 2009; </w:t>
      </w:r>
      <w:r w:rsidRPr="00E7347D">
        <w:rPr>
          <w:rFonts w:eastAsia="等线"/>
          <w:b/>
          <w:kern w:val="2"/>
          <w:szCs w:val="24"/>
          <w:lang w:eastAsia="zh-CN"/>
        </w:rPr>
        <w:t>20</w:t>
      </w:r>
      <w:r w:rsidRPr="00E7347D">
        <w:rPr>
          <w:rFonts w:eastAsia="等线"/>
          <w:kern w:val="2"/>
          <w:szCs w:val="24"/>
          <w:lang w:eastAsia="zh-CN"/>
        </w:rPr>
        <w:t>: 418-422 [PMID: 20139563 DOI: 10.4103/0970-9290.59439]</w:t>
      </w:r>
    </w:p>
    <w:p w14:paraId="4499C9F7"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15 </w:t>
      </w:r>
      <w:r w:rsidRPr="00E7347D">
        <w:rPr>
          <w:rFonts w:eastAsia="等线"/>
          <w:b/>
          <w:kern w:val="2"/>
          <w:szCs w:val="24"/>
          <w:lang w:eastAsia="zh-CN"/>
        </w:rPr>
        <w:t>Khayyal MT</w:t>
      </w:r>
      <w:r w:rsidRPr="00E7347D">
        <w:rPr>
          <w:rFonts w:eastAsia="等线"/>
          <w:kern w:val="2"/>
          <w:szCs w:val="24"/>
          <w:lang w:eastAsia="zh-CN"/>
        </w:rPr>
        <w:t xml:space="preserve">, Abdel-Naby DH, Abdel-Aziz H, El-Ghazaly MA. A multi-component herbal preparation, STW 5, shows anti-apoptotic effects in radiation induced intestinal mucositis in rats. </w:t>
      </w:r>
      <w:r w:rsidRPr="00E7347D">
        <w:rPr>
          <w:rFonts w:eastAsia="等线"/>
          <w:i/>
          <w:kern w:val="2"/>
          <w:szCs w:val="24"/>
          <w:lang w:eastAsia="zh-CN"/>
        </w:rPr>
        <w:t>Phytomedicine</w:t>
      </w:r>
      <w:r w:rsidRPr="00E7347D">
        <w:rPr>
          <w:rFonts w:eastAsia="等线"/>
          <w:kern w:val="2"/>
          <w:szCs w:val="24"/>
          <w:lang w:eastAsia="zh-CN"/>
        </w:rPr>
        <w:t xml:space="preserve"> 2014; </w:t>
      </w:r>
      <w:r w:rsidRPr="00E7347D">
        <w:rPr>
          <w:rFonts w:eastAsia="等线"/>
          <w:b/>
          <w:kern w:val="2"/>
          <w:szCs w:val="24"/>
          <w:lang w:eastAsia="zh-CN"/>
        </w:rPr>
        <w:t>21</w:t>
      </w:r>
      <w:r w:rsidRPr="00E7347D">
        <w:rPr>
          <w:rFonts w:eastAsia="等线"/>
          <w:kern w:val="2"/>
          <w:szCs w:val="24"/>
          <w:lang w:eastAsia="zh-CN"/>
        </w:rPr>
        <w:t>: 1390-1399 [PMID: 25022208 DOI: 10.1016/j.phymed.2014.04.030]</w:t>
      </w:r>
    </w:p>
    <w:p w14:paraId="5AE5E557"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16 </w:t>
      </w:r>
      <w:r w:rsidRPr="00E7347D">
        <w:rPr>
          <w:rFonts w:eastAsia="等线"/>
          <w:b/>
          <w:kern w:val="2"/>
          <w:szCs w:val="24"/>
          <w:lang w:eastAsia="zh-CN"/>
        </w:rPr>
        <w:t>Howarth GS</w:t>
      </w:r>
      <w:r w:rsidRPr="00E7347D">
        <w:rPr>
          <w:rFonts w:eastAsia="等线"/>
          <w:kern w:val="2"/>
          <w:szCs w:val="24"/>
          <w:lang w:eastAsia="zh-CN"/>
        </w:rPr>
        <w:t xml:space="preserve">, Francis GL, Cool JC, Xu X, Byard RW, Read LC. Milk growth factors enriched from cheese whey ameliorate intestinal damage by methotrexate when administered orally to rats. </w:t>
      </w:r>
      <w:r w:rsidRPr="00E7347D">
        <w:rPr>
          <w:rFonts w:eastAsia="等线"/>
          <w:i/>
          <w:kern w:val="2"/>
          <w:szCs w:val="24"/>
          <w:lang w:eastAsia="zh-CN"/>
        </w:rPr>
        <w:t>J Nutr</w:t>
      </w:r>
      <w:r w:rsidRPr="00E7347D">
        <w:rPr>
          <w:rFonts w:eastAsia="等线"/>
          <w:kern w:val="2"/>
          <w:szCs w:val="24"/>
          <w:lang w:eastAsia="zh-CN"/>
        </w:rPr>
        <w:t xml:space="preserve"> 1996; </w:t>
      </w:r>
      <w:r w:rsidRPr="00E7347D">
        <w:rPr>
          <w:rFonts w:eastAsia="等线"/>
          <w:b/>
          <w:kern w:val="2"/>
          <w:szCs w:val="24"/>
          <w:lang w:eastAsia="zh-CN"/>
        </w:rPr>
        <w:t>126</w:t>
      </w:r>
      <w:r w:rsidRPr="00E7347D">
        <w:rPr>
          <w:rFonts w:eastAsia="等线"/>
          <w:kern w:val="2"/>
          <w:szCs w:val="24"/>
          <w:lang w:eastAsia="zh-CN"/>
        </w:rPr>
        <w:t>: 2519-2530 [PMID: 8857513 DOI: 10.1093/jn/126.10.2519]</w:t>
      </w:r>
    </w:p>
    <w:p w14:paraId="409C27ED"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17 </w:t>
      </w:r>
      <w:r w:rsidRPr="00E7347D">
        <w:rPr>
          <w:rFonts w:eastAsia="等线"/>
          <w:b/>
          <w:kern w:val="2"/>
          <w:szCs w:val="24"/>
          <w:lang w:eastAsia="zh-CN"/>
        </w:rPr>
        <w:t>Drini M</w:t>
      </w:r>
      <w:r w:rsidRPr="00E7347D">
        <w:rPr>
          <w:rFonts w:eastAsia="等线"/>
          <w:kern w:val="2"/>
          <w:szCs w:val="24"/>
          <w:lang w:eastAsia="zh-CN"/>
        </w:rPr>
        <w:t xml:space="preserve">. Peptic ulcer disease and non-steroidal anti-inflammatory drugs. </w:t>
      </w:r>
      <w:r w:rsidRPr="00E7347D">
        <w:rPr>
          <w:rFonts w:eastAsia="等线"/>
          <w:i/>
          <w:kern w:val="2"/>
          <w:szCs w:val="24"/>
          <w:lang w:eastAsia="zh-CN"/>
        </w:rPr>
        <w:t>Aust Prescr</w:t>
      </w:r>
      <w:r w:rsidRPr="00E7347D">
        <w:rPr>
          <w:rFonts w:eastAsia="等线"/>
          <w:kern w:val="2"/>
          <w:szCs w:val="24"/>
          <w:lang w:eastAsia="zh-CN"/>
        </w:rPr>
        <w:t xml:space="preserve"> 2017; </w:t>
      </w:r>
      <w:r w:rsidRPr="00E7347D">
        <w:rPr>
          <w:rFonts w:eastAsia="等线"/>
          <w:b/>
          <w:kern w:val="2"/>
          <w:szCs w:val="24"/>
          <w:lang w:eastAsia="zh-CN"/>
        </w:rPr>
        <w:t>40</w:t>
      </w:r>
      <w:r w:rsidRPr="00E7347D">
        <w:rPr>
          <w:rFonts w:eastAsia="等线"/>
          <w:kern w:val="2"/>
          <w:szCs w:val="24"/>
          <w:lang w:eastAsia="zh-CN"/>
        </w:rPr>
        <w:t>: 91-93 [PMID: 28798512 DOI: 10.18773/austprescr.2017.037]</w:t>
      </w:r>
    </w:p>
    <w:p w14:paraId="41B48976"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18 </w:t>
      </w:r>
      <w:r w:rsidRPr="00E7347D">
        <w:rPr>
          <w:rFonts w:eastAsia="等线"/>
          <w:b/>
          <w:kern w:val="2"/>
          <w:szCs w:val="24"/>
          <w:lang w:eastAsia="zh-CN"/>
        </w:rPr>
        <w:t>Devi RS</w:t>
      </w:r>
      <w:r w:rsidRPr="00E7347D">
        <w:rPr>
          <w:rFonts w:eastAsia="等线"/>
          <w:kern w:val="2"/>
          <w:szCs w:val="24"/>
          <w:lang w:eastAsia="zh-CN"/>
        </w:rPr>
        <w:t xml:space="preserve">, Narayan S, Vani G, Shyamala Devi CS. Gastroprotective effect of Terminalia arjuna bark on diclofenac sodium induced gastric ulcer. </w:t>
      </w:r>
      <w:r w:rsidRPr="00E7347D">
        <w:rPr>
          <w:rFonts w:eastAsia="等线"/>
          <w:i/>
          <w:kern w:val="2"/>
          <w:szCs w:val="24"/>
          <w:lang w:eastAsia="zh-CN"/>
        </w:rPr>
        <w:t>Chem Biol Interact</w:t>
      </w:r>
      <w:r w:rsidRPr="00E7347D">
        <w:rPr>
          <w:rFonts w:eastAsia="等线"/>
          <w:kern w:val="2"/>
          <w:szCs w:val="24"/>
          <w:lang w:eastAsia="zh-CN"/>
        </w:rPr>
        <w:t xml:space="preserve"> 2007; </w:t>
      </w:r>
      <w:r w:rsidRPr="00E7347D">
        <w:rPr>
          <w:rFonts w:eastAsia="等线"/>
          <w:b/>
          <w:kern w:val="2"/>
          <w:szCs w:val="24"/>
          <w:lang w:eastAsia="zh-CN"/>
        </w:rPr>
        <w:t>167</w:t>
      </w:r>
      <w:r w:rsidRPr="00E7347D">
        <w:rPr>
          <w:rFonts w:eastAsia="等线"/>
          <w:kern w:val="2"/>
          <w:szCs w:val="24"/>
          <w:lang w:eastAsia="zh-CN"/>
        </w:rPr>
        <w:t>: 71-83 [PMID: 17327128 DOI: 10.1016/j.cbi.2007.01.011]</w:t>
      </w:r>
    </w:p>
    <w:p w14:paraId="460A4FF4"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19 </w:t>
      </w:r>
      <w:r w:rsidRPr="00E7347D">
        <w:rPr>
          <w:rFonts w:eastAsia="等线"/>
          <w:b/>
          <w:kern w:val="2"/>
          <w:szCs w:val="24"/>
          <w:lang w:eastAsia="zh-CN"/>
        </w:rPr>
        <w:t>Stallmach A</w:t>
      </w:r>
      <w:r w:rsidRPr="00E7347D">
        <w:rPr>
          <w:rFonts w:eastAsia="等线"/>
          <w:kern w:val="2"/>
          <w:szCs w:val="24"/>
          <w:lang w:eastAsia="zh-CN"/>
        </w:rPr>
        <w:t xml:space="preserve">, Giese T, Schmidt C, Ludwig B, Mueller-Molaian I, Meuer SC. Cytokine/chemokine transcript profiles reflect mucosal inflammation in Crohn's disease. </w:t>
      </w:r>
      <w:r w:rsidRPr="00E7347D">
        <w:rPr>
          <w:rFonts w:eastAsia="等线"/>
          <w:i/>
          <w:kern w:val="2"/>
          <w:szCs w:val="24"/>
          <w:lang w:eastAsia="zh-CN"/>
        </w:rPr>
        <w:lastRenderedPageBreak/>
        <w:t>Int J Colorectal Dis</w:t>
      </w:r>
      <w:r w:rsidRPr="00E7347D">
        <w:rPr>
          <w:rFonts w:eastAsia="等线"/>
          <w:kern w:val="2"/>
          <w:szCs w:val="24"/>
          <w:lang w:eastAsia="zh-CN"/>
        </w:rPr>
        <w:t xml:space="preserve"> 2004; </w:t>
      </w:r>
      <w:r w:rsidRPr="00E7347D">
        <w:rPr>
          <w:rFonts w:eastAsia="等线"/>
          <w:b/>
          <w:kern w:val="2"/>
          <w:szCs w:val="24"/>
          <w:lang w:eastAsia="zh-CN"/>
        </w:rPr>
        <w:t>19</w:t>
      </w:r>
      <w:r w:rsidRPr="00E7347D">
        <w:rPr>
          <w:rFonts w:eastAsia="等线"/>
          <w:kern w:val="2"/>
          <w:szCs w:val="24"/>
          <w:lang w:eastAsia="zh-CN"/>
        </w:rPr>
        <w:t>: 308-315 [PMID: 14605835 DOI: 10.1007/s00384-003-0554-4]</w:t>
      </w:r>
    </w:p>
    <w:p w14:paraId="14AA268D"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20 </w:t>
      </w:r>
      <w:r w:rsidRPr="00E7347D">
        <w:rPr>
          <w:rFonts w:eastAsia="等线"/>
          <w:b/>
          <w:kern w:val="2"/>
          <w:szCs w:val="24"/>
          <w:lang w:eastAsia="zh-CN"/>
        </w:rPr>
        <w:t>Papadakis KA</w:t>
      </w:r>
      <w:r w:rsidRPr="00E7347D">
        <w:rPr>
          <w:rFonts w:eastAsia="等线"/>
          <w:kern w:val="2"/>
          <w:szCs w:val="24"/>
          <w:lang w:eastAsia="zh-CN"/>
        </w:rPr>
        <w:t xml:space="preserve">, Targan SR. Role of cytokines in the pathogenesis of inflammatory bowel disease. </w:t>
      </w:r>
      <w:r w:rsidRPr="00E7347D">
        <w:rPr>
          <w:rFonts w:eastAsia="等线"/>
          <w:i/>
          <w:kern w:val="2"/>
          <w:szCs w:val="24"/>
          <w:lang w:eastAsia="zh-CN"/>
        </w:rPr>
        <w:t>Annu Rev Med</w:t>
      </w:r>
      <w:r w:rsidRPr="00E7347D">
        <w:rPr>
          <w:rFonts w:eastAsia="等线"/>
          <w:kern w:val="2"/>
          <w:szCs w:val="24"/>
          <w:lang w:eastAsia="zh-CN"/>
        </w:rPr>
        <w:t xml:space="preserve"> 2000; </w:t>
      </w:r>
      <w:r w:rsidRPr="00E7347D">
        <w:rPr>
          <w:rFonts w:eastAsia="等线"/>
          <w:b/>
          <w:kern w:val="2"/>
          <w:szCs w:val="24"/>
          <w:lang w:eastAsia="zh-CN"/>
        </w:rPr>
        <w:t>51</w:t>
      </w:r>
      <w:r w:rsidRPr="00E7347D">
        <w:rPr>
          <w:rFonts w:eastAsia="等线"/>
          <w:kern w:val="2"/>
          <w:szCs w:val="24"/>
          <w:lang w:eastAsia="zh-CN"/>
        </w:rPr>
        <w:t>: 289-298 [PMID: 10774465 DOI: 10.1146/annurev.med.51.1.289]</w:t>
      </w:r>
    </w:p>
    <w:p w14:paraId="5E9599B5"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21 </w:t>
      </w:r>
      <w:r w:rsidRPr="00E7347D">
        <w:rPr>
          <w:rFonts w:eastAsia="等线"/>
          <w:b/>
          <w:kern w:val="2"/>
          <w:szCs w:val="24"/>
          <w:lang w:eastAsia="zh-CN"/>
        </w:rPr>
        <w:t>Dinarello CA</w:t>
      </w:r>
      <w:r w:rsidRPr="00E7347D">
        <w:rPr>
          <w:rFonts w:eastAsia="等线"/>
          <w:kern w:val="2"/>
          <w:szCs w:val="24"/>
          <w:lang w:eastAsia="zh-CN"/>
        </w:rPr>
        <w:t xml:space="preserve">, Wolff SM. The role of interleukin-1 in disease. </w:t>
      </w:r>
      <w:r w:rsidRPr="00E7347D">
        <w:rPr>
          <w:rFonts w:eastAsia="等线"/>
          <w:i/>
          <w:kern w:val="2"/>
          <w:szCs w:val="24"/>
          <w:lang w:eastAsia="zh-CN"/>
        </w:rPr>
        <w:t>N Engl J Med</w:t>
      </w:r>
      <w:r w:rsidRPr="00E7347D">
        <w:rPr>
          <w:rFonts w:eastAsia="等线"/>
          <w:kern w:val="2"/>
          <w:szCs w:val="24"/>
          <w:lang w:eastAsia="zh-CN"/>
        </w:rPr>
        <w:t xml:space="preserve"> 1993; </w:t>
      </w:r>
      <w:r w:rsidRPr="00E7347D">
        <w:rPr>
          <w:rFonts w:eastAsia="等线"/>
          <w:b/>
          <w:kern w:val="2"/>
          <w:szCs w:val="24"/>
          <w:lang w:eastAsia="zh-CN"/>
        </w:rPr>
        <w:t>328</w:t>
      </w:r>
      <w:r w:rsidRPr="00E7347D">
        <w:rPr>
          <w:rFonts w:eastAsia="等线"/>
          <w:kern w:val="2"/>
          <w:szCs w:val="24"/>
          <w:lang w:eastAsia="zh-CN"/>
        </w:rPr>
        <w:t>: 106-113 [PMID: 8439348 DOI: 10.1056/NEJM199301143280207]</w:t>
      </w:r>
    </w:p>
    <w:p w14:paraId="2C368E38"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22 </w:t>
      </w:r>
      <w:r w:rsidRPr="00E7347D">
        <w:rPr>
          <w:rFonts w:eastAsia="等线"/>
          <w:b/>
          <w:kern w:val="2"/>
          <w:szCs w:val="24"/>
          <w:lang w:eastAsia="zh-CN"/>
        </w:rPr>
        <w:t>Barada KA</w:t>
      </w:r>
      <w:r w:rsidRPr="00E7347D">
        <w:rPr>
          <w:rFonts w:eastAsia="等线"/>
          <w:kern w:val="2"/>
          <w:szCs w:val="24"/>
          <w:lang w:eastAsia="zh-CN"/>
        </w:rPr>
        <w:t xml:space="preserve">, Mourad FH, Sawah SI, Khoury C, Safieh-Garabedian B, Nassar CF, Tawil A, Jurjus A, Saadé NE. Up-regulation of nerve growth factor and interleukin-10 in inflamed and non-inflamed intestinal segments in rats with experimental colitis. </w:t>
      </w:r>
      <w:r w:rsidRPr="00E7347D">
        <w:rPr>
          <w:rFonts w:eastAsia="等线"/>
          <w:i/>
          <w:kern w:val="2"/>
          <w:szCs w:val="24"/>
          <w:lang w:eastAsia="zh-CN"/>
        </w:rPr>
        <w:t>Cytokine</w:t>
      </w:r>
      <w:r w:rsidRPr="00E7347D">
        <w:rPr>
          <w:rFonts w:eastAsia="等线"/>
          <w:kern w:val="2"/>
          <w:szCs w:val="24"/>
          <w:lang w:eastAsia="zh-CN"/>
        </w:rPr>
        <w:t xml:space="preserve"> 2007; </w:t>
      </w:r>
      <w:r w:rsidRPr="00E7347D">
        <w:rPr>
          <w:rFonts w:eastAsia="等线"/>
          <w:b/>
          <w:kern w:val="2"/>
          <w:szCs w:val="24"/>
          <w:lang w:eastAsia="zh-CN"/>
        </w:rPr>
        <w:t>37</w:t>
      </w:r>
      <w:r w:rsidRPr="00E7347D">
        <w:rPr>
          <w:rFonts w:eastAsia="等线"/>
          <w:kern w:val="2"/>
          <w:szCs w:val="24"/>
          <w:lang w:eastAsia="zh-CN"/>
        </w:rPr>
        <w:t>: 236-245 [PMID: 17517520 DOI: 10.1016/j.cyto.2007.04.005]</w:t>
      </w:r>
    </w:p>
    <w:p w14:paraId="43FACF8A"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23 </w:t>
      </w:r>
      <w:r w:rsidRPr="00E7347D">
        <w:rPr>
          <w:rFonts w:eastAsia="等线"/>
          <w:b/>
          <w:kern w:val="2"/>
          <w:szCs w:val="24"/>
          <w:lang w:eastAsia="zh-CN"/>
        </w:rPr>
        <w:t>Barton SG</w:t>
      </w:r>
      <w:r w:rsidRPr="00E7347D">
        <w:rPr>
          <w:rFonts w:eastAsia="等线"/>
          <w:kern w:val="2"/>
          <w:szCs w:val="24"/>
          <w:lang w:eastAsia="zh-CN"/>
        </w:rPr>
        <w:t xml:space="preserve">, Rampton DS, Winrow VR, Domizio P, Feakins RM. Expression of heat shock protein 32 (hemoxygenase-1) in the normal and inflamed human stomach and colon: an immunohistochemical study. </w:t>
      </w:r>
      <w:r w:rsidRPr="00E7347D">
        <w:rPr>
          <w:rFonts w:eastAsia="等线"/>
          <w:i/>
          <w:kern w:val="2"/>
          <w:szCs w:val="24"/>
          <w:lang w:eastAsia="zh-CN"/>
        </w:rPr>
        <w:t>Cell Stress Chaperones</w:t>
      </w:r>
      <w:r w:rsidRPr="00E7347D">
        <w:rPr>
          <w:rFonts w:eastAsia="等线"/>
          <w:kern w:val="2"/>
          <w:szCs w:val="24"/>
          <w:lang w:eastAsia="zh-CN"/>
        </w:rPr>
        <w:t xml:space="preserve"> 2003; </w:t>
      </w:r>
      <w:r w:rsidRPr="00E7347D">
        <w:rPr>
          <w:rFonts w:eastAsia="等线"/>
          <w:b/>
          <w:kern w:val="2"/>
          <w:szCs w:val="24"/>
          <w:lang w:eastAsia="zh-CN"/>
        </w:rPr>
        <w:t>8</w:t>
      </w:r>
      <w:r w:rsidRPr="00E7347D">
        <w:rPr>
          <w:rFonts w:eastAsia="等线"/>
          <w:kern w:val="2"/>
          <w:szCs w:val="24"/>
          <w:lang w:eastAsia="zh-CN"/>
        </w:rPr>
        <w:t>: 329-334 [PMID: 15115285 DOI: 10.1379/1466-1268(2003)008&lt;0329:eohsph&gt;2.0.co;2]</w:t>
      </w:r>
    </w:p>
    <w:p w14:paraId="07F8A8C5"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24 </w:t>
      </w:r>
      <w:r w:rsidRPr="00E7347D">
        <w:rPr>
          <w:rFonts w:eastAsia="等线"/>
          <w:b/>
          <w:kern w:val="2"/>
          <w:szCs w:val="24"/>
          <w:lang w:eastAsia="zh-CN"/>
        </w:rPr>
        <w:t>Alcaraz MJ</w:t>
      </w:r>
      <w:r w:rsidRPr="00E7347D">
        <w:rPr>
          <w:rFonts w:eastAsia="等线"/>
          <w:kern w:val="2"/>
          <w:szCs w:val="24"/>
          <w:lang w:eastAsia="zh-CN"/>
        </w:rPr>
        <w:t xml:space="preserve">, Fernández P, Guillén MI. Anti-inflammatory actions of the heme oxygenase-1 pathway. </w:t>
      </w:r>
      <w:r w:rsidRPr="00E7347D">
        <w:rPr>
          <w:rFonts w:eastAsia="等线"/>
          <w:i/>
          <w:kern w:val="2"/>
          <w:szCs w:val="24"/>
          <w:lang w:eastAsia="zh-CN"/>
        </w:rPr>
        <w:t>Curr Pharm Des</w:t>
      </w:r>
      <w:r w:rsidRPr="00E7347D">
        <w:rPr>
          <w:rFonts w:eastAsia="等线"/>
          <w:kern w:val="2"/>
          <w:szCs w:val="24"/>
          <w:lang w:eastAsia="zh-CN"/>
        </w:rPr>
        <w:t xml:space="preserve"> 2003; </w:t>
      </w:r>
      <w:r w:rsidRPr="00E7347D">
        <w:rPr>
          <w:rFonts w:eastAsia="等线"/>
          <w:b/>
          <w:kern w:val="2"/>
          <w:szCs w:val="24"/>
          <w:lang w:eastAsia="zh-CN"/>
        </w:rPr>
        <w:t>9</w:t>
      </w:r>
      <w:r w:rsidRPr="00E7347D">
        <w:rPr>
          <w:rFonts w:eastAsia="等线"/>
          <w:kern w:val="2"/>
          <w:szCs w:val="24"/>
          <w:lang w:eastAsia="zh-CN"/>
        </w:rPr>
        <w:t>: 2541-2551 [PMID: 14529552 DOI: 10.2174/1381612033453749]</w:t>
      </w:r>
    </w:p>
    <w:p w14:paraId="696F338E"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25 </w:t>
      </w:r>
      <w:r w:rsidRPr="00E7347D">
        <w:rPr>
          <w:rFonts w:eastAsia="等线"/>
          <w:b/>
          <w:kern w:val="2"/>
          <w:szCs w:val="24"/>
          <w:lang w:eastAsia="zh-CN"/>
        </w:rPr>
        <w:t>Hawkey CJ</w:t>
      </w:r>
      <w:r w:rsidRPr="00E7347D">
        <w:rPr>
          <w:rFonts w:eastAsia="等线"/>
          <w:kern w:val="2"/>
          <w:szCs w:val="24"/>
          <w:lang w:eastAsia="zh-CN"/>
        </w:rPr>
        <w:t xml:space="preserve">, Karrasch JA, Szczepañski L, Walker DG, Barkun A, Swannell AJ, Yeomans ND. Omeprazole compared with misoprostol for ulcers associated with nonsteroidal antiinflammatory drugs. Omeprazole versus Misoprostol for NSAID-induced Ulcer Management (OMNIUM) Study Group. </w:t>
      </w:r>
      <w:r w:rsidRPr="00E7347D">
        <w:rPr>
          <w:rFonts w:eastAsia="等线"/>
          <w:i/>
          <w:kern w:val="2"/>
          <w:szCs w:val="24"/>
          <w:lang w:eastAsia="zh-CN"/>
        </w:rPr>
        <w:t>N Engl J Med</w:t>
      </w:r>
      <w:r w:rsidRPr="00E7347D">
        <w:rPr>
          <w:rFonts w:eastAsia="等线"/>
          <w:kern w:val="2"/>
          <w:szCs w:val="24"/>
          <w:lang w:eastAsia="zh-CN"/>
        </w:rPr>
        <w:t xml:space="preserve"> 1998; </w:t>
      </w:r>
      <w:r w:rsidRPr="00E7347D">
        <w:rPr>
          <w:rFonts w:eastAsia="等线"/>
          <w:b/>
          <w:kern w:val="2"/>
          <w:szCs w:val="24"/>
          <w:lang w:eastAsia="zh-CN"/>
        </w:rPr>
        <w:t>338</w:t>
      </w:r>
      <w:r w:rsidRPr="00E7347D">
        <w:rPr>
          <w:rFonts w:eastAsia="等线"/>
          <w:kern w:val="2"/>
          <w:szCs w:val="24"/>
          <w:lang w:eastAsia="zh-CN"/>
        </w:rPr>
        <w:t>: 727-734 [PMID: 9494149 DOI: 10.1056/NEJM199803123381105]</w:t>
      </w:r>
    </w:p>
    <w:p w14:paraId="6A19ABF2"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26 </w:t>
      </w:r>
      <w:r w:rsidRPr="00E7347D">
        <w:rPr>
          <w:rFonts w:eastAsia="等线"/>
          <w:b/>
          <w:kern w:val="2"/>
          <w:szCs w:val="24"/>
          <w:lang w:eastAsia="zh-CN"/>
        </w:rPr>
        <w:t>Cullen D</w:t>
      </w:r>
      <w:r w:rsidRPr="00E7347D">
        <w:rPr>
          <w:rFonts w:eastAsia="等线"/>
          <w:kern w:val="2"/>
          <w:szCs w:val="24"/>
          <w:lang w:eastAsia="zh-CN"/>
        </w:rPr>
        <w:t xml:space="preserve">, Bardhan KD, Eisner M, Kogut DG, Peacock RA, Thomson JM, Hawkey CJ. Primary gastroduodenal prophylaxis with omeprazole for non-steroidal anti-inflammatory drug users. </w:t>
      </w:r>
      <w:r w:rsidRPr="00E7347D">
        <w:rPr>
          <w:rFonts w:eastAsia="等线"/>
          <w:i/>
          <w:kern w:val="2"/>
          <w:szCs w:val="24"/>
          <w:lang w:eastAsia="zh-CN"/>
        </w:rPr>
        <w:t>Aliment Pharmacol Ther</w:t>
      </w:r>
      <w:r w:rsidRPr="00E7347D">
        <w:rPr>
          <w:rFonts w:eastAsia="等线"/>
          <w:kern w:val="2"/>
          <w:szCs w:val="24"/>
          <w:lang w:eastAsia="zh-CN"/>
        </w:rPr>
        <w:t xml:space="preserve"> 1998; </w:t>
      </w:r>
      <w:r w:rsidRPr="00E7347D">
        <w:rPr>
          <w:rFonts w:eastAsia="等线"/>
          <w:b/>
          <w:kern w:val="2"/>
          <w:szCs w:val="24"/>
          <w:lang w:eastAsia="zh-CN"/>
        </w:rPr>
        <w:t>12</w:t>
      </w:r>
      <w:r w:rsidRPr="00E7347D">
        <w:rPr>
          <w:rFonts w:eastAsia="等线"/>
          <w:kern w:val="2"/>
          <w:szCs w:val="24"/>
          <w:lang w:eastAsia="zh-CN"/>
        </w:rPr>
        <w:t>: 135-140 [PMID: 9692687 DOI: 10.1046/j.1365-2036.1998.00288.x]</w:t>
      </w:r>
    </w:p>
    <w:p w14:paraId="75E64930"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27 </w:t>
      </w:r>
      <w:r w:rsidRPr="00E7347D">
        <w:rPr>
          <w:rFonts w:eastAsia="等线"/>
          <w:b/>
          <w:kern w:val="2"/>
          <w:szCs w:val="24"/>
          <w:lang w:eastAsia="zh-CN"/>
        </w:rPr>
        <w:t>Schneider M</w:t>
      </w:r>
      <w:r w:rsidRPr="00E7347D">
        <w:rPr>
          <w:rFonts w:eastAsia="等线"/>
          <w:kern w:val="2"/>
          <w:szCs w:val="24"/>
          <w:lang w:eastAsia="zh-CN"/>
        </w:rPr>
        <w:t xml:space="preserve">, Efferth T, Abdel-Aziz H. Anti-inflammatory Effects of Herbal Preparations STW5 and STW5-II in Cytokine-Challenged Normal Human Colon Cells. </w:t>
      </w:r>
      <w:r w:rsidRPr="00E7347D">
        <w:rPr>
          <w:rFonts w:eastAsia="等线"/>
          <w:i/>
          <w:kern w:val="2"/>
          <w:szCs w:val="24"/>
          <w:lang w:eastAsia="zh-CN"/>
        </w:rPr>
        <w:t>Front Pharmacol</w:t>
      </w:r>
      <w:r w:rsidRPr="00E7347D">
        <w:rPr>
          <w:rFonts w:eastAsia="等线"/>
          <w:kern w:val="2"/>
          <w:szCs w:val="24"/>
          <w:lang w:eastAsia="zh-CN"/>
        </w:rPr>
        <w:t xml:space="preserve"> 2016; </w:t>
      </w:r>
      <w:r w:rsidRPr="00E7347D">
        <w:rPr>
          <w:rFonts w:eastAsia="等线"/>
          <w:b/>
          <w:kern w:val="2"/>
          <w:szCs w:val="24"/>
          <w:lang w:eastAsia="zh-CN"/>
        </w:rPr>
        <w:t>7</w:t>
      </w:r>
      <w:r w:rsidRPr="00E7347D">
        <w:rPr>
          <w:rFonts w:eastAsia="等线"/>
          <w:kern w:val="2"/>
          <w:szCs w:val="24"/>
          <w:lang w:eastAsia="zh-CN"/>
        </w:rPr>
        <w:t>: 393 [PMID: 27833553 DOI: 10.3389/fphar.2016.00393]</w:t>
      </w:r>
    </w:p>
    <w:p w14:paraId="1E92B452"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28 </w:t>
      </w:r>
      <w:r w:rsidRPr="00E7347D">
        <w:rPr>
          <w:rFonts w:eastAsia="等线"/>
          <w:b/>
          <w:kern w:val="2"/>
          <w:szCs w:val="24"/>
          <w:lang w:eastAsia="zh-CN"/>
        </w:rPr>
        <w:t>Ghosh S</w:t>
      </w:r>
      <w:r w:rsidRPr="00E7347D">
        <w:rPr>
          <w:rFonts w:eastAsia="等线"/>
          <w:kern w:val="2"/>
          <w:szCs w:val="24"/>
          <w:lang w:eastAsia="zh-CN"/>
        </w:rPr>
        <w:t xml:space="preserve">, Hayden MS. New regulators of NF-kappaB in inflammation. </w:t>
      </w:r>
      <w:r w:rsidRPr="00E7347D">
        <w:rPr>
          <w:rFonts w:eastAsia="等线"/>
          <w:i/>
          <w:kern w:val="2"/>
          <w:szCs w:val="24"/>
          <w:lang w:eastAsia="zh-CN"/>
        </w:rPr>
        <w:t>Nat Rev Immunol</w:t>
      </w:r>
      <w:r w:rsidRPr="00E7347D">
        <w:rPr>
          <w:rFonts w:eastAsia="等线"/>
          <w:kern w:val="2"/>
          <w:szCs w:val="24"/>
          <w:lang w:eastAsia="zh-CN"/>
        </w:rPr>
        <w:t xml:space="preserve"> 2008; </w:t>
      </w:r>
      <w:r w:rsidRPr="00E7347D">
        <w:rPr>
          <w:rFonts w:eastAsia="等线"/>
          <w:b/>
          <w:kern w:val="2"/>
          <w:szCs w:val="24"/>
          <w:lang w:eastAsia="zh-CN"/>
        </w:rPr>
        <w:t>8</w:t>
      </w:r>
      <w:r w:rsidRPr="00E7347D">
        <w:rPr>
          <w:rFonts w:eastAsia="等线"/>
          <w:kern w:val="2"/>
          <w:szCs w:val="24"/>
          <w:lang w:eastAsia="zh-CN"/>
        </w:rPr>
        <w:t>: 837-848 [PMID: 18927578 DOI: 10.1038/nri2423]</w:t>
      </w:r>
    </w:p>
    <w:p w14:paraId="7D1C6741"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highlight w:val="yellow"/>
          <w:lang w:eastAsia="zh-CN"/>
        </w:rPr>
        <w:lastRenderedPageBreak/>
        <w:t xml:space="preserve">29 </w:t>
      </w:r>
      <w:r w:rsidRPr="00E7347D">
        <w:rPr>
          <w:rFonts w:eastAsia="等线"/>
          <w:b/>
          <w:kern w:val="2"/>
          <w:szCs w:val="24"/>
          <w:highlight w:val="yellow"/>
          <w:lang w:eastAsia="zh-CN"/>
        </w:rPr>
        <w:t>Bertalot T</w:t>
      </w:r>
      <w:r w:rsidRPr="00D101B7">
        <w:rPr>
          <w:rFonts w:eastAsia="等线"/>
          <w:bCs/>
          <w:kern w:val="2"/>
          <w:szCs w:val="24"/>
          <w:highlight w:val="yellow"/>
          <w:lang w:eastAsia="zh-CN"/>
        </w:rPr>
        <w:t xml:space="preserve">, </w:t>
      </w:r>
      <w:r w:rsidRPr="00E7347D">
        <w:rPr>
          <w:rFonts w:eastAsia="等线"/>
          <w:kern w:val="2"/>
          <w:szCs w:val="24"/>
          <w:highlight w:val="yellow"/>
          <w:lang w:eastAsia="zh-CN"/>
        </w:rPr>
        <w:t>Schrenk S, Facchinello N, Skobo T, Cenzi C, Dalla Valle L, Abdel-Aziz H, Di Liddo R. WNT signaling activation in the inflammatory process driven by the herbal preparation STW 5. United European Gastroenterology Week Conference; 2016 October 15-19; Vienna, Austria. 2016: P0512</w:t>
      </w:r>
    </w:p>
    <w:p w14:paraId="45B23507"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30 </w:t>
      </w:r>
      <w:r w:rsidRPr="00E7347D">
        <w:rPr>
          <w:rFonts w:eastAsia="等线"/>
          <w:b/>
          <w:kern w:val="2"/>
          <w:szCs w:val="24"/>
          <w:lang w:eastAsia="zh-CN"/>
        </w:rPr>
        <w:t>Khor TO</w:t>
      </w:r>
      <w:r w:rsidRPr="00E7347D">
        <w:rPr>
          <w:rFonts w:eastAsia="等线"/>
          <w:kern w:val="2"/>
          <w:szCs w:val="24"/>
          <w:lang w:eastAsia="zh-CN"/>
        </w:rPr>
        <w:t xml:space="preserve">, Huang MT, Kwon KH, Chan JY, Reddy BS, Kong AN. Nrf2-deficient mice have an increased susceptibility to dextran sulfate sodium-induced colitis. </w:t>
      </w:r>
      <w:r w:rsidRPr="00E7347D">
        <w:rPr>
          <w:rFonts w:eastAsia="等线"/>
          <w:i/>
          <w:kern w:val="2"/>
          <w:szCs w:val="24"/>
          <w:lang w:eastAsia="zh-CN"/>
        </w:rPr>
        <w:t>Cancer Res</w:t>
      </w:r>
      <w:r w:rsidRPr="00E7347D">
        <w:rPr>
          <w:rFonts w:eastAsia="等线"/>
          <w:kern w:val="2"/>
          <w:szCs w:val="24"/>
          <w:lang w:eastAsia="zh-CN"/>
        </w:rPr>
        <w:t xml:space="preserve"> 2006; </w:t>
      </w:r>
      <w:r w:rsidRPr="00E7347D">
        <w:rPr>
          <w:rFonts w:eastAsia="等线"/>
          <w:b/>
          <w:kern w:val="2"/>
          <w:szCs w:val="24"/>
          <w:lang w:eastAsia="zh-CN"/>
        </w:rPr>
        <w:t>66</w:t>
      </w:r>
      <w:r w:rsidRPr="00E7347D">
        <w:rPr>
          <w:rFonts w:eastAsia="等线"/>
          <w:kern w:val="2"/>
          <w:szCs w:val="24"/>
          <w:lang w:eastAsia="zh-CN"/>
        </w:rPr>
        <w:t>: 11580-11584 [PMID: 17178849 DOI: 10.1158/0008-5472.CAN-06-3562]</w:t>
      </w:r>
    </w:p>
    <w:p w14:paraId="60A936AA"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31 </w:t>
      </w:r>
      <w:r w:rsidRPr="00E7347D">
        <w:rPr>
          <w:rFonts w:eastAsia="等线"/>
          <w:b/>
          <w:kern w:val="2"/>
          <w:szCs w:val="24"/>
          <w:lang w:eastAsia="zh-CN"/>
        </w:rPr>
        <w:t>Luo C</w:t>
      </w:r>
      <w:r w:rsidRPr="00E7347D">
        <w:rPr>
          <w:rFonts w:eastAsia="等线"/>
          <w:kern w:val="2"/>
          <w:szCs w:val="24"/>
          <w:lang w:eastAsia="zh-CN"/>
        </w:rPr>
        <w:t xml:space="preserve">, Chen H, Wang Y, Lin G, Li C, Tan L, Su Z, Lai X, Xie J, Zeng H. Protective effect of coptisine free base on indomethacin-induced gastric ulcers in rats: Characterization of potential molecular mechanisms. </w:t>
      </w:r>
      <w:r w:rsidRPr="00E7347D">
        <w:rPr>
          <w:rFonts w:eastAsia="等线"/>
          <w:i/>
          <w:kern w:val="2"/>
          <w:szCs w:val="24"/>
          <w:lang w:eastAsia="zh-CN"/>
        </w:rPr>
        <w:t>Life Sci</w:t>
      </w:r>
      <w:r w:rsidRPr="00E7347D">
        <w:rPr>
          <w:rFonts w:eastAsia="等线"/>
          <w:kern w:val="2"/>
          <w:szCs w:val="24"/>
          <w:lang w:eastAsia="zh-CN"/>
        </w:rPr>
        <w:t xml:space="preserve"> 2018; </w:t>
      </w:r>
      <w:r w:rsidRPr="00E7347D">
        <w:rPr>
          <w:rFonts w:eastAsia="等线"/>
          <w:b/>
          <w:kern w:val="2"/>
          <w:szCs w:val="24"/>
          <w:lang w:eastAsia="zh-CN"/>
        </w:rPr>
        <w:t>193</w:t>
      </w:r>
      <w:r w:rsidRPr="00E7347D">
        <w:rPr>
          <w:rFonts w:eastAsia="等线"/>
          <w:kern w:val="2"/>
          <w:szCs w:val="24"/>
          <w:lang w:eastAsia="zh-CN"/>
        </w:rPr>
        <w:t>: 47-56 [PMID: 29223540 DOI: 10.1016/j.lfs.2017.12.004]</w:t>
      </w:r>
    </w:p>
    <w:p w14:paraId="56A311E4"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32 </w:t>
      </w:r>
      <w:r w:rsidRPr="00E7347D">
        <w:rPr>
          <w:rFonts w:eastAsia="等线"/>
          <w:b/>
          <w:kern w:val="2"/>
          <w:szCs w:val="24"/>
          <w:lang w:eastAsia="zh-CN"/>
        </w:rPr>
        <w:t>Zhu X</w:t>
      </w:r>
      <w:r w:rsidRPr="00E7347D">
        <w:rPr>
          <w:rFonts w:eastAsia="等线"/>
          <w:kern w:val="2"/>
          <w:szCs w:val="24"/>
          <w:lang w:eastAsia="zh-CN"/>
        </w:rPr>
        <w:t xml:space="preserve">, Fan WG, Li DP, Kung H, Lin MC. Heme oxygenase-1 system and gastrointestinal inflammation: a short review. </w:t>
      </w:r>
      <w:r w:rsidRPr="00E7347D">
        <w:rPr>
          <w:rFonts w:eastAsia="等线"/>
          <w:i/>
          <w:kern w:val="2"/>
          <w:szCs w:val="24"/>
          <w:lang w:eastAsia="zh-CN"/>
        </w:rPr>
        <w:t>World J Gastroenterol</w:t>
      </w:r>
      <w:r w:rsidRPr="00E7347D">
        <w:rPr>
          <w:rFonts w:eastAsia="等线"/>
          <w:kern w:val="2"/>
          <w:szCs w:val="24"/>
          <w:lang w:eastAsia="zh-CN"/>
        </w:rPr>
        <w:t xml:space="preserve"> 2011; </w:t>
      </w:r>
      <w:r w:rsidRPr="00E7347D">
        <w:rPr>
          <w:rFonts w:eastAsia="等线"/>
          <w:b/>
          <w:kern w:val="2"/>
          <w:szCs w:val="24"/>
          <w:lang w:eastAsia="zh-CN"/>
        </w:rPr>
        <w:t>17</w:t>
      </w:r>
      <w:r w:rsidRPr="00E7347D">
        <w:rPr>
          <w:rFonts w:eastAsia="等线"/>
          <w:kern w:val="2"/>
          <w:szCs w:val="24"/>
          <w:lang w:eastAsia="zh-CN"/>
        </w:rPr>
        <w:t>: 4283-4288 [PMID: 22090784 DOI: 10.3748/wjg.v17.i38.4283]</w:t>
      </w:r>
    </w:p>
    <w:p w14:paraId="48F23484"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33 </w:t>
      </w:r>
      <w:r w:rsidRPr="00E7347D">
        <w:rPr>
          <w:rFonts w:eastAsia="等线"/>
          <w:b/>
          <w:kern w:val="2"/>
          <w:szCs w:val="24"/>
          <w:lang w:eastAsia="zh-CN"/>
        </w:rPr>
        <w:t>Giriş M</w:t>
      </w:r>
      <w:r w:rsidRPr="00E7347D">
        <w:rPr>
          <w:rFonts w:eastAsia="等线"/>
          <w:kern w:val="2"/>
          <w:szCs w:val="24"/>
          <w:lang w:eastAsia="zh-CN"/>
        </w:rPr>
        <w:t xml:space="preserve">, Erbil Y, Doğru-Abbasoğlu S, Yanik BT, Aliş H, Olgaç V, Toker GA. The effect of heme oxygenase-1 induction by glutamine on TNBS-induced colitis. The effect of glutamine on TNBS colitis. </w:t>
      </w:r>
      <w:r w:rsidRPr="00E7347D">
        <w:rPr>
          <w:rFonts w:eastAsia="等线"/>
          <w:i/>
          <w:kern w:val="2"/>
          <w:szCs w:val="24"/>
          <w:lang w:eastAsia="zh-CN"/>
        </w:rPr>
        <w:t>Int J Colorectal Dis</w:t>
      </w:r>
      <w:r w:rsidRPr="00E7347D">
        <w:rPr>
          <w:rFonts w:eastAsia="等线"/>
          <w:kern w:val="2"/>
          <w:szCs w:val="24"/>
          <w:lang w:eastAsia="zh-CN"/>
        </w:rPr>
        <w:t xml:space="preserve"> 2007; </w:t>
      </w:r>
      <w:r w:rsidRPr="00E7347D">
        <w:rPr>
          <w:rFonts w:eastAsia="等线"/>
          <w:b/>
          <w:kern w:val="2"/>
          <w:szCs w:val="24"/>
          <w:lang w:eastAsia="zh-CN"/>
        </w:rPr>
        <w:t>22</w:t>
      </w:r>
      <w:r w:rsidRPr="00E7347D">
        <w:rPr>
          <w:rFonts w:eastAsia="等线"/>
          <w:kern w:val="2"/>
          <w:szCs w:val="24"/>
          <w:lang w:eastAsia="zh-CN"/>
        </w:rPr>
        <w:t>: 591-599 [PMID: 17124609 DOI: 10.1007/s00384-006-0238-y]</w:t>
      </w:r>
    </w:p>
    <w:p w14:paraId="0ED579E2"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34 </w:t>
      </w:r>
      <w:r w:rsidRPr="00E7347D">
        <w:rPr>
          <w:rFonts w:eastAsia="等线"/>
          <w:b/>
          <w:kern w:val="2"/>
          <w:szCs w:val="24"/>
          <w:lang w:eastAsia="zh-CN"/>
        </w:rPr>
        <w:t>Uc A</w:t>
      </w:r>
      <w:r w:rsidRPr="00E7347D">
        <w:rPr>
          <w:rFonts w:eastAsia="等线"/>
          <w:kern w:val="2"/>
          <w:szCs w:val="24"/>
          <w:lang w:eastAsia="zh-CN"/>
        </w:rPr>
        <w:t xml:space="preserve">, Zhu X, Wagner BA, Buettner GR, Berg DJ. Heme oxygenase-1 is protective against nonsteroidal anti-inflammatory drug-induced gastric ulcers. </w:t>
      </w:r>
      <w:r w:rsidRPr="00E7347D">
        <w:rPr>
          <w:rFonts w:eastAsia="等线"/>
          <w:i/>
          <w:kern w:val="2"/>
          <w:szCs w:val="24"/>
          <w:lang w:eastAsia="zh-CN"/>
        </w:rPr>
        <w:t>J Pediatr Gastroenterol Nutr</w:t>
      </w:r>
      <w:r w:rsidRPr="00E7347D">
        <w:rPr>
          <w:rFonts w:eastAsia="等线"/>
          <w:kern w:val="2"/>
          <w:szCs w:val="24"/>
          <w:lang w:eastAsia="zh-CN"/>
        </w:rPr>
        <w:t xml:space="preserve"> 2012; </w:t>
      </w:r>
      <w:r w:rsidRPr="00E7347D">
        <w:rPr>
          <w:rFonts w:eastAsia="等线"/>
          <w:b/>
          <w:kern w:val="2"/>
          <w:szCs w:val="24"/>
          <w:lang w:eastAsia="zh-CN"/>
        </w:rPr>
        <w:t>54</w:t>
      </w:r>
      <w:r w:rsidRPr="00E7347D">
        <w:rPr>
          <w:rFonts w:eastAsia="等线"/>
          <w:kern w:val="2"/>
          <w:szCs w:val="24"/>
          <w:lang w:eastAsia="zh-CN"/>
        </w:rPr>
        <w:t>: 471-476 [PMID: 21873894 DOI: 10.1097/MPG.0b013e3182334fdf]</w:t>
      </w:r>
    </w:p>
    <w:p w14:paraId="2EB182FB" w14:textId="77777777" w:rsidR="00E7347D" w:rsidRPr="00E7347D" w:rsidRDefault="00E7347D" w:rsidP="00E7347D">
      <w:pPr>
        <w:suppressAutoHyphens w:val="0"/>
        <w:overflowPunct/>
        <w:autoSpaceDE/>
        <w:autoSpaceDN/>
        <w:textAlignment w:val="auto"/>
        <w:rPr>
          <w:rFonts w:eastAsia="等线"/>
          <w:kern w:val="2"/>
          <w:szCs w:val="24"/>
          <w:lang w:eastAsia="zh-CN"/>
        </w:rPr>
      </w:pPr>
      <w:r w:rsidRPr="00E7347D">
        <w:rPr>
          <w:rFonts w:eastAsia="等线"/>
          <w:kern w:val="2"/>
          <w:szCs w:val="24"/>
          <w:lang w:eastAsia="zh-CN"/>
        </w:rPr>
        <w:t xml:space="preserve">35 </w:t>
      </w:r>
      <w:r w:rsidRPr="00E7347D">
        <w:rPr>
          <w:rFonts w:eastAsia="等线"/>
          <w:b/>
          <w:kern w:val="2"/>
          <w:szCs w:val="24"/>
          <w:lang w:eastAsia="zh-CN"/>
        </w:rPr>
        <w:t>Cremonini F</w:t>
      </w:r>
      <w:r w:rsidRPr="00E7347D">
        <w:rPr>
          <w:rFonts w:eastAsia="等线"/>
          <w:kern w:val="2"/>
          <w:szCs w:val="24"/>
          <w:lang w:eastAsia="zh-CN"/>
        </w:rPr>
        <w:t xml:space="preserve">. Standardized herbal treatments on functional bowel disorders: moving from putative mechanisms of action to controlled clinical trials. </w:t>
      </w:r>
      <w:r w:rsidRPr="00E7347D">
        <w:rPr>
          <w:rFonts w:eastAsia="等线"/>
          <w:i/>
          <w:kern w:val="2"/>
          <w:szCs w:val="24"/>
          <w:lang w:eastAsia="zh-CN"/>
        </w:rPr>
        <w:t>Neurogastroenterol Motil</w:t>
      </w:r>
      <w:r w:rsidRPr="00E7347D">
        <w:rPr>
          <w:rFonts w:eastAsia="等线"/>
          <w:kern w:val="2"/>
          <w:szCs w:val="24"/>
          <w:lang w:eastAsia="zh-CN"/>
        </w:rPr>
        <w:t xml:space="preserve"> 2014; </w:t>
      </w:r>
      <w:r w:rsidRPr="00E7347D">
        <w:rPr>
          <w:rFonts w:eastAsia="等线"/>
          <w:b/>
          <w:kern w:val="2"/>
          <w:szCs w:val="24"/>
          <w:lang w:eastAsia="zh-CN"/>
        </w:rPr>
        <w:t>26</w:t>
      </w:r>
      <w:r w:rsidRPr="00E7347D">
        <w:rPr>
          <w:rFonts w:eastAsia="等线"/>
          <w:kern w:val="2"/>
          <w:szCs w:val="24"/>
          <w:lang w:eastAsia="zh-CN"/>
        </w:rPr>
        <w:t>: 893-900 [PMID: 24965903 DOI: 10.1111/nmo.12384]</w:t>
      </w:r>
    </w:p>
    <w:p w14:paraId="68B84E9B" w14:textId="18BAF041" w:rsidR="00E7347D" w:rsidRPr="00E7347D" w:rsidRDefault="00E7347D" w:rsidP="00E7347D">
      <w:pPr>
        <w:suppressAutoHyphens w:val="0"/>
        <w:overflowPunct/>
        <w:autoSpaceDE/>
        <w:autoSpaceDN/>
        <w:adjustRightInd w:val="0"/>
        <w:snapToGrid w:val="0"/>
        <w:jc w:val="right"/>
        <w:textAlignment w:val="auto"/>
        <w:rPr>
          <w:rFonts w:eastAsia="宋体"/>
          <w:color w:val="000000"/>
          <w:kern w:val="2"/>
          <w:szCs w:val="24"/>
          <w:lang w:eastAsia="zh-CN"/>
        </w:rPr>
      </w:pPr>
      <w:bookmarkStart w:id="53" w:name="OLE_LINK139"/>
      <w:bookmarkStart w:id="54" w:name="OLE_LINK140"/>
      <w:bookmarkStart w:id="55" w:name="OLE_LINK287"/>
      <w:bookmarkStart w:id="56" w:name="OLE_LINK70"/>
      <w:bookmarkStart w:id="57" w:name="OLE_LINK110"/>
      <w:bookmarkStart w:id="58" w:name="OLE_LINK109"/>
      <w:bookmarkStart w:id="59" w:name="OLE_LINK138"/>
      <w:bookmarkStart w:id="60" w:name="OLE_LINK72"/>
      <w:bookmarkStart w:id="61" w:name="OLE_LINK116"/>
      <w:bookmarkStart w:id="62" w:name="OLE_LINK95"/>
      <w:bookmarkStart w:id="63" w:name="OLE_LINK118"/>
      <w:bookmarkStart w:id="64" w:name="OLE_LINK198"/>
      <w:bookmarkStart w:id="65" w:name="OLE_LINK154"/>
      <w:bookmarkStart w:id="66" w:name="OLE_LINK251"/>
      <w:bookmarkStart w:id="67" w:name="OLE_LINK167"/>
      <w:bookmarkStart w:id="68" w:name="OLE_LINK126"/>
      <w:bookmarkStart w:id="69" w:name="OLE_LINK234"/>
      <w:bookmarkStart w:id="70" w:name="OLE_LINK157"/>
      <w:bookmarkStart w:id="71" w:name="OLE_LINK187"/>
      <w:bookmarkStart w:id="72" w:name="OLE_LINK204"/>
      <w:bookmarkStart w:id="73" w:name="OLE_LINK255"/>
      <w:bookmarkStart w:id="74" w:name="OLE_LINK229"/>
      <w:bookmarkStart w:id="75" w:name="OLE_LINK268"/>
      <w:bookmarkStart w:id="76" w:name="OLE_LINK310"/>
      <w:bookmarkStart w:id="77" w:name="OLE_LINK338"/>
      <w:bookmarkStart w:id="78" w:name="OLE_LINK340"/>
      <w:bookmarkStart w:id="79" w:name="OLE_LINK264"/>
      <w:bookmarkStart w:id="80" w:name="OLE_LINK345"/>
      <w:bookmarkStart w:id="81" w:name="OLE_LINK256"/>
      <w:bookmarkStart w:id="82" w:name="OLE_LINK299"/>
      <w:bookmarkStart w:id="83" w:name="OLE_LINK265"/>
      <w:bookmarkStart w:id="84" w:name="OLE_LINK254"/>
      <w:bookmarkStart w:id="85" w:name="OLE_LINK357"/>
      <w:bookmarkStart w:id="86" w:name="OLE_LINK333"/>
      <w:bookmarkStart w:id="87" w:name="OLE_LINK334"/>
      <w:bookmarkStart w:id="88" w:name="OLE_LINK400"/>
      <w:bookmarkStart w:id="89" w:name="OLE_LINK365"/>
      <w:bookmarkStart w:id="90" w:name="OLE_LINK467"/>
      <w:bookmarkStart w:id="91" w:name="OLE_LINK399"/>
      <w:bookmarkStart w:id="92" w:name="OLE_LINK443"/>
      <w:bookmarkStart w:id="93" w:name="OLE_LINK372"/>
      <w:bookmarkStart w:id="94" w:name="OLE_LINK425"/>
      <w:bookmarkStart w:id="95" w:name="OLE_LINK450"/>
      <w:bookmarkStart w:id="96" w:name="OLE_LINK402"/>
      <w:bookmarkStart w:id="97" w:name="OLE_LINK385"/>
      <w:bookmarkStart w:id="98" w:name="OLE_LINK396"/>
      <w:bookmarkStart w:id="99" w:name="OLE_LINK436"/>
      <w:bookmarkStart w:id="100" w:name="OLE_LINK421"/>
      <w:bookmarkStart w:id="101" w:name="OLE_LINK426"/>
      <w:bookmarkStart w:id="102" w:name="OLE_LINK456"/>
      <w:bookmarkStart w:id="103" w:name="OLE_LINK505"/>
      <w:bookmarkStart w:id="104" w:name="OLE_LINK490"/>
      <w:bookmarkStart w:id="105" w:name="OLE_LINK531"/>
      <w:bookmarkStart w:id="106" w:name="OLE_LINK460"/>
      <w:bookmarkStart w:id="107" w:name="OLE_LINK463"/>
      <w:bookmarkStart w:id="108" w:name="OLE_LINK487"/>
      <w:bookmarkStart w:id="109" w:name="OLE_LINK515"/>
      <w:bookmarkStart w:id="110" w:name="OLE_LINK509"/>
      <w:bookmarkStart w:id="111" w:name="OLE_LINK538"/>
      <w:bookmarkStart w:id="112" w:name="OLE_LINK606"/>
      <w:bookmarkStart w:id="113" w:name="OLE_LINK662"/>
      <w:bookmarkStart w:id="114" w:name="OLE_LINK663"/>
      <w:bookmarkStart w:id="115" w:name="OLE_LINK738"/>
      <w:bookmarkStart w:id="116" w:name="OLE_LINK666"/>
      <w:bookmarkStart w:id="117" w:name="OLE_LINK667"/>
      <w:bookmarkStart w:id="118" w:name="OLE_LINK672"/>
      <w:bookmarkStart w:id="119" w:name="OLE_LINK727"/>
      <w:bookmarkStart w:id="120" w:name="OLE_LINK703"/>
      <w:bookmarkStart w:id="121" w:name="OLE_LINK765"/>
      <w:bookmarkStart w:id="122" w:name="OLE_LINK724"/>
      <w:bookmarkStart w:id="123" w:name="OLE_LINK771"/>
      <w:bookmarkStart w:id="124" w:name="OLE_LINK879"/>
      <w:bookmarkStart w:id="125" w:name="OLE_LINK903"/>
      <w:bookmarkStart w:id="126" w:name="OLE_LINK880"/>
      <w:bookmarkStart w:id="127" w:name="OLE_LINK944"/>
      <w:bookmarkStart w:id="128" w:name="OLE_LINK881"/>
      <w:bookmarkStart w:id="129" w:name="OLE_LINK882"/>
      <w:bookmarkStart w:id="130" w:name="OLE_LINK883"/>
      <w:bookmarkStart w:id="131" w:name="OLE_LINK884"/>
      <w:bookmarkStart w:id="132" w:name="OLE_LINK907"/>
      <w:bookmarkStart w:id="133" w:name="OLE_LINK941"/>
      <w:bookmarkStart w:id="134" w:name="OLE_LINK886"/>
      <w:bookmarkStart w:id="135" w:name="OLE_LINK887"/>
      <w:bookmarkStart w:id="136" w:name="OLE_LINK918"/>
      <w:bookmarkStart w:id="137" w:name="OLE_LINK894"/>
      <w:bookmarkStart w:id="138" w:name="OLE_LINK899"/>
      <w:bookmarkStart w:id="139" w:name="OLE_LINK953"/>
      <w:bookmarkStart w:id="140" w:name="OLE_LINK954"/>
      <w:bookmarkStart w:id="141" w:name="OLE_LINK977"/>
      <w:bookmarkStart w:id="142" w:name="OLE_LINK978"/>
      <w:bookmarkStart w:id="143" w:name="OLE_LINK1034"/>
      <w:bookmarkStart w:id="144" w:name="OLE_LINK991"/>
      <w:bookmarkStart w:id="145" w:name="OLE_LINK1013"/>
      <w:bookmarkStart w:id="146" w:name="OLE_LINK1022"/>
      <w:bookmarkStart w:id="147" w:name="OLE_LINK1030"/>
      <w:bookmarkStart w:id="148" w:name="OLE_LINK1063"/>
      <w:bookmarkStart w:id="149" w:name="OLE_LINK1009"/>
      <w:bookmarkStart w:id="150" w:name="OLE_LINK1064"/>
      <w:bookmarkStart w:id="151" w:name="OLE_LINK1035"/>
      <w:bookmarkStart w:id="152" w:name="OLE_LINK1012"/>
      <w:r w:rsidRPr="00E7347D">
        <w:rPr>
          <w:rFonts w:eastAsia="宋体"/>
          <w:b/>
          <w:bCs/>
          <w:color w:val="000000"/>
          <w:kern w:val="2"/>
          <w:szCs w:val="24"/>
          <w:lang w:eastAsia="zh-CN"/>
        </w:rPr>
        <w:t>P-Reviewer:</w:t>
      </w:r>
      <w:r w:rsidRPr="00E7347D">
        <w:rPr>
          <w:rFonts w:eastAsia="宋体"/>
          <w:bCs/>
          <w:color w:val="000000"/>
          <w:kern w:val="2"/>
          <w:szCs w:val="24"/>
          <w:lang w:eastAsia="zh-CN"/>
        </w:rPr>
        <w:t xml:space="preserve"> Ciccone</w:t>
      </w:r>
      <w:r>
        <w:rPr>
          <w:rFonts w:eastAsia="宋体"/>
          <w:bCs/>
          <w:color w:val="000000"/>
          <w:kern w:val="2"/>
          <w:szCs w:val="24"/>
          <w:lang w:eastAsia="zh-CN"/>
        </w:rPr>
        <w:t xml:space="preserve"> MM, </w:t>
      </w:r>
      <w:r w:rsidRPr="00E7347D">
        <w:rPr>
          <w:rFonts w:eastAsia="宋体"/>
          <w:bCs/>
          <w:color w:val="000000"/>
          <w:kern w:val="2"/>
          <w:szCs w:val="24"/>
          <w:lang w:eastAsia="zh-CN"/>
        </w:rPr>
        <w:t>Li</w:t>
      </w:r>
      <w:r>
        <w:rPr>
          <w:rFonts w:eastAsia="宋体"/>
          <w:bCs/>
          <w:color w:val="000000"/>
          <w:kern w:val="2"/>
          <w:szCs w:val="24"/>
          <w:lang w:eastAsia="zh-CN"/>
        </w:rPr>
        <w:t xml:space="preserve"> FY, </w:t>
      </w:r>
      <w:r w:rsidRPr="00E7347D">
        <w:rPr>
          <w:rFonts w:eastAsia="宋体"/>
          <w:bCs/>
          <w:color w:val="000000"/>
          <w:kern w:val="2"/>
          <w:szCs w:val="24"/>
          <w:lang w:eastAsia="zh-CN"/>
        </w:rPr>
        <w:t>Serafino</w:t>
      </w:r>
      <w:r>
        <w:rPr>
          <w:rFonts w:eastAsia="宋体"/>
          <w:bCs/>
          <w:color w:val="000000"/>
          <w:kern w:val="2"/>
          <w:szCs w:val="24"/>
          <w:lang w:eastAsia="zh-CN"/>
        </w:rPr>
        <w:t xml:space="preserve"> A, </w:t>
      </w:r>
      <w:r w:rsidRPr="00E7347D">
        <w:rPr>
          <w:rFonts w:eastAsia="宋体"/>
          <w:bCs/>
          <w:color w:val="000000"/>
          <w:kern w:val="2"/>
          <w:szCs w:val="24"/>
          <w:lang w:eastAsia="zh-CN"/>
        </w:rPr>
        <w:t>Tang</w:t>
      </w:r>
      <w:r>
        <w:rPr>
          <w:rFonts w:eastAsia="宋体"/>
          <w:bCs/>
          <w:color w:val="000000"/>
          <w:kern w:val="2"/>
          <w:szCs w:val="24"/>
          <w:lang w:eastAsia="zh-CN"/>
        </w:rPr>
        <w:t xml:space="preserve"> ZP </w:t>
      </w:r>
      <w:r w:rsidRPr="00E7347D">
        <w:rPr>
          <w:rFonts w:eastAsia="宋体"/>
          <w:b/>
          <w:bCs/>
          <w:color w:val="000000"/>
          <w:kern w:val="2"/>
          <w:szCs w:val="24"/>
          <w:lang w:eastAsia="zh-CN"/>
        </w:rPr>
        <w:t>S-Editor:</w:t>
      </w:r>
      <w:r w:rsidRPr="00E7347D">
        <w:rPr>
          <w:rFonts w:eastAsia="宋体"/>
          <w:color w:val="000000"/>
          <w:kern w:val="2"/>
          <w:szCs w:val="24"/>
          <w:lang w:eastAsia="zh-CN"/>
        </w:rPr>
        <w:t xml:space="preserve"> Yan JP</w:t>
      </w:r>
    </w:p>
    <w:p w14:paraId="01AC741E" w14:textId="77777777" w:rsidR="00E7347D" w:rsidRPr="00E7347D" w:rsidRDefault="00E7347D" w:rsidP="00E7347D">
      <w:pPr>
        <w:suppressAutoHyphens w:val="0"/>
        <w:overflowPunct/>
        <w:autoSpaceDE/>
        <w:autoSpaceDN/>
        <w:adjustRightInd w:val="0"/>
        <w:snapToGrid w:val="0"/>
        <w:jc w:val="right"/>
        <w:textAlignment w:val="auto"/>
        <w:rPr>
          <w:rFonts w:eastAsia="宋体"/>
          <w:b/>
          <w:bCs/>
          <w:color w:val="000000"/>
          <w:kern w:val="2"/>
          <w:szCs w:val="24"/>
          <w:lang w:eastAsia="zh-CN"/>
        </w:rPr>
      </w:pPr>
      <w:r w:rsidRPr="00E7347D">
        <w:rPr>
          <w:rFonts w:eastAsia="宋体"/>
          <w:b/>
          <w:bCs/>
          <w:color w:val="000000"/>
          <w:kern w:val="2"/>
          <w:szCs w:val="24"/>
          <w:lang w:eastAsia="zh-CN"/>
        </w:rPr>
        <w:t>L-Editor:</w:t>
      </w:r>
      <w:r w:rsidRPr="00E7347D">
        <w:rPr>
          <w:rFonts w:eastAsia="宋体"/>
          <w:color w:val="000000"/>
          <w:kern w:val="2"/>
          <w:szCs w:val="24"/>
          <w:lang w:eastAsia="zh-CN"/>
        </w:rPr>
        <w:t xml:space="preserve"> </w:t>
      </w:r>
      <w:r w:rsidRPr="00E7347D">
        <w:rPr>
          <w:rFonts w:eastAsia="宋体"/>
          <w:b/>
          <w:bCs/>
          <w:color w:val="000000"/>
          <w:kern w:val="2"/>
          <w:szCs w:val="24"/>
          <w:lang w:eastAsia="zh-CN"/>
        </w:rPr>
        <w:t>E-Editor:</w:t>
      </w:r>
    </w:p>
    <w:bookmarkEnd w:id="53"/>
    <w:bookmarkEnd w:id="54"/>
    <w:p w14:paraId="2B80F62C" w14:textId="09A79C09" w:rsidR="00E7347D" w:rsidRPr="00E7347D" w:rsidRDefault="00E7347D" w:rsidP="00E7347D">
      <w:pPr>
        <w:widowControl/>
        <w:suppressAutoHyphens w:val="0"/>
        <w:overflowPunct/>
        <w:autoSpaceDE/>
        <w:autoSpaceDN/>
        <w:jc w:val="left"/>
        <w:textAlignment w:val="auto"/>
        <w:rPr>
          <w:rFonts w:eastAsia="宋体" w:cs="宋体"/>
          <w:kern w:val="0"/>
          <w:szCs w:val="24"/>
          <w:lang w:eastAsia="zh-CN"/>
        </w:rPr>
      </w:pPr>
      <w:r w:rsidRPr="00E7347D">
        <w:rPr>
          <w:rFonts w:eastAsia="宋体" w:cs="宋体"/>
          <w:b/>
          <w:kern w:val="0"/>
          <w:szCs w:val="24"/>
          <w:lang w:eastAsia="zh-CN"/>
        </w:rPr>
        <w:t xml:space="preserve">Specialty type: </w:t>
      </w:r>
      <w:r w:rsidRPr="00E7347D">
        <w:rPr>
          <w:rFonts w:eastAsia="微软雅黑" w:cs="宋体"/>
          <w:kern w:val="0"/>
          <w:szCs w:val="24"/>
          <w:lang w:eastAsia="zh-CN"/>
        </w:rPr>
        <w:t>Gastroenterology and hepatology</w:t>
      </w:r>
      <w:r w:rsidRPr="00E7347D">
        <w:rPr>
          <w:rFonts w:eastAsia="宋体" w:cs="宋体"/>
          <w:kern w:val="0"/>
          <w:szCs w:val="24"/>
          <w:lang w:eastAsia="zh-CN"/>
        </w:rPr>
        <w:t xml:space="preserve"> </w:t>
      </w:r>
      <w:r w:rsidRPr="00E7347D">
        <w:rPr>
          <w:rFonts w:eastAsia="宋体" w:cs="宋体"/>
          <w:kern w:val="0"/>
          <w:szCs w:val="24"/>
          <w:lang w:eastAsia="zh-CN"/>
        </w:rPr>
        <w:br/>
      </w:r>
      <w:r w:rsidRPr="00E7347D">
        <w:rPr>
          <w:rFonts w:eastAsia="宋体" w:cs="宋体"/>
          <w:b/>
          <w:kern w:val="0"/>
          <w:szCs w:val="24"/>
          <w:lang w:eastAsia="zh-CN"/>
        </w:rPr>
        <w:t xml:space="preserve">Country of origin: </w:t>
      </w:r>
      <w:r w:rsidRPr="00E7347D">
        <w:rPr>
          <w:rFonts w:eastAsia="宋体" w:cs="宋体"/>
          <w:kern w:val="0"/>
          <w:szCs w:val="24"/>
          <w:lang w:eastAsia="zh-CN"/>
        </w:rPr>
        <w:t>Egypt</w:t>
      </w:r>
      <w:r w:rsidRPr="00E7347D">
        <w:rPr>
          <w:rFonts w:eastAsia="宋体" w:cs="宋体"/>
          <w:kern w:val="0"/>
          <w:szCs w:val="24"/>
          <w:lang w:eastAsia="zh-CN"/>
        </w:rPr>
        <w:br/>
      </w:r>
      <w:r w:rsidRPr="00E7347D">
        <w:rPr>
          <w:rFonts w:eastAsia="宋体" w:cs="宋体"/>
          <w:b/>
          <w:kern w:val="0"/>
          <w:szCs w:val="24"/>
          <w:lang w:eastAsia="zh-CN"/>
        </w:rPr>
        <w:t>Peer-review report classification</w:t>
      </w:r>
      <w:r w:rsidRPr="00E7347D">
        <w:rPr>
          <w:rFonts w:eastAsia="宋体" w:cs="宋体"/>
          <w:kern w:val="0"/>
          <w:szCs w:val="24"/>
          <w:lang w:eastAsia="zh-CN"/>
        </w:rPr>
        <w:br/>
      </w:r>
      <w:r w:rsidRPr="00E7347D">
        <w:rPr>
          <w:rFonts w:eastAsia="宋体" w:cs="宋体"/>
          <w:b/>
          <w:kern w:val="0"/>
          <w:szCs w:val="24"/>
          <w:lang w:eastAsia="zh-CN"/>
        </w:rPr>
        <w:t xml:space="preserve">Grade A (Excellent): </w:t>
      </w:r>
      <w:r w:rsidRPr="00E7347D">
        <w:rPr>
          <w:rFonts w:eastAsia="宋体" w:cs="宋体"/>
          <w:kern w:val="0"/>
          <w:szCs w:val="24"/>
          <w:lang w:eastAsia="zh-CN"/>
        </w:rPr>
        <w:t>A</w:t>
      </w:r>
      <w:r w:rsidRPr="00E7347D">
        <w:rPr>
          <w:rFonts w:eastAsia="宋体" w:cs="宋体"/>
          <w:kern w:val="0"/>
          <w:szCs w:val="24"/>
          <w:lang w:eastAsia="zh-CN"/>
        </w:rPr>
        <w:br/>
      </w:r>
      <w:r w:rsidRPr="00E7347D">
        <w:rPr>
          <w:rFonts w:eastAsia="宋体" w:cs="宋体"/>
          <w:b/>
          <w:kern w:val="0"/>
          <w:szCs w:val="24"/>
          <w:lang w:eastAsia="zh-CN"/>
        </w:rPr>
        <w:t xml:space="preserve">Grade B (Very good): </w:t>
      </w:r>
      <w:r>
        <w:rPr>
          <w:rFonts w:eastAsia="宋体" w:cs="宋体"/>
          <w:kern w:val="0"/>
          <w:szCs w:val="24"/>
          <w:lang w:eastAsia="zh-CN"/>
        </w:rPr>
        <w:t>0</w:t>
      </w:r>
      <w:r w:rsidRPr="00E7347D">
        <w:rPr>
          <w:rFonts w:eastAsia="宋体" w:cs="宋体"/>
          <w:kern w:val="0"/>
          <w:szCs w:val="24"/>
          <w:lang w:eastAsia="zh-CN"/>
        </w:rPr>
        <w:br/>
      </w:r>
      <w:r w:rsidRPr="00E7347D">
        <w:rPr>
          <w:rFonts w:eastAsia="宋体" w:cs="宋体"/>
          <w:b/>
          <w:kern w:val="0"/>
          <w:szCs w:val="24"/>
          <w:lang w:eastAsia="zh-CN"/>
        </w:rPr>
        <w:lastRenderedPageBreak/>
        <w:t xml:space="preserve">Grade C (Good): </w:t>
      </w:r>
      <w:r>
        <w:rPr>
          <w:rFonts w:eastAsia="宋体" w:cs="宋体"/>
          <w:kern w:val="0"/>
          <w:szCs w:val="24"/>
          <w:lang w:eastAsia="zh-CN"/>
        </w:rPr>
        <w:t>C, C, C</w:t>
      </w:r>
      <w:r w:rsidRPr="00E7347D">
        <w:rPr>
          <w:rFonts w:eastAsia="宋体" w:cs="宋体"/>
          <w:kern w:val="0"/>
          <w:szCs w:val="24"/>
          <w:lang w:eastAsia="zh-CN"/>
        </w:rPr>
        <w:br/>
      </w:r>
      <w:r w:rsidRPr="00E7347D">
        <w:rPr>
          <w:rFonts w:eastAsia="宋体" w:cs="宋体"/>
          <w:b/>
          <w:kern w:val="0"/>
          <w:szCs w:val="24"/>
          <w:lang w:eastAsia="zh-CN"/>
        </w:rPr>
        <w:t xml:space="preserve">Grade D (Fair): </w:t>
      </w:r>
      <w:r w:rsidRPr="00E7347D">
        <w:rPr>
          <w:rFonts w:eastAsia="宋体" w:cs="宋体"/>
          <w:kern w:val="0"/>
          <w:szCs w:val="24"/>
          <w:lang w:eastAsia="zh-CN"/>
        </w:rPr>
        <w:t>0</w:t>
      </w:r>
      <w:r w:rsidRPr="00E7347D">
        <w:rPr>
          <w:rFonts w:eastAsia="宋体" w:cs="宋体"/>
          <w:b/>
          <w:kern w:val="0"/>
          <w:szCs w:val="24"/>
          <w:lang w:eastAsia="zh-CN"/>
        </w:rPr>
        <w:br/>
        <w:t xml:space="preserve">Grade E (Poor): </w:t>
      </w:r>
      <w:r w:rsidRPr="00E7347D">
        <w:rPr>
          <w:rFonts w:eastAsia="宋体" w:cs="宋体"/>
          <w:kern w:val="0"/>
          <w:szCs w:val="24"/>
          <w:lang w:eastAsia="zh-CN"/>
        </w:rPr>
        <w:t>0</w:t>
      </w:r>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14:paraId="08D19814" w14:textId="77777777" w:rsidR="0041435A" w:rsidRPr="007D70F4" w:rsidRDefault="0041435A" w:rsidP="00E7347D">
      <w:pPr>
        <w:pStyle w:val="Standard"/>
        <w:tabs>
          <w:tab w:val="right" w:pos="540"/>
          <w:tab w:val="left" w:pos="720"/>
        </w:tabs>
        <w:spacing w:line="360" w:lineRule="auto"/>
        <w:jc w:val="both"/>
        <w:rPr>
          <w:rFonts w:ascii="Book Antiqua" w:hAnsi="Book Antiqua"/>
          <w:sz w:val="24"/>
          <w:szCs w:val="24"/>
          <w:lang w:val="en-GB"/>
        </w:rPr>
      </w:pPr>
    </w:p>
    <w:p w14:paraId="3ABD9505" w14:textId="6A986979" w:rsidR="00234273" w:rsidRPr="00064658" w:rsidRDefault="00A65F27" w:rsidP="00064658">
      <w:pPr>
        <w:suppressAutoHyphens w:val="0"/>
        <w:spacing w:line="240" w:lineRule="auto"/>
        <w:jc w:val="left"/>
        <w:rPr>
          <w:rFonts w:eastAsiaTheme="minorEastAsia"/>
          <w:szCs w:val="24"/>
          <w:lang w:val="en-GB"/>
        </w:rPr>
      </w:pPr>
      <w:r>
        <w:rPr>
          <w:szCs w:val="24"/>
          <w:lang w:val="en-GB"/>
        </w:rPr>
        <w:br w:type="page"/>
      </w:r>
    </w:p>
    <w:p w14:paraId="53A9EAFB" w14:textId="67654241" w:rsidR="00064658" w:rsidRDefault="00064658" w:rsidP="00CE1AEB">
      <w:pPr>
        <w:pStyle w:val="Standard"/>
        <w:spacing w:line="360" w:lineRule="auto"/>
        <w:jc w:val="both"/>
        <w:rPr>
          <w:rFonts w:ascii="Book Antiqua" w:eastAsia="等线" w:hAnsi="Book Antiqua"/>
          <w:b/>
          <w:bCs/>
          <w:sz w:val="24"/>
          <w:szCs w:val="24"/>
          <w:lang w:val="en-US"/>
        </w:rPr>
      </w:pPr>
      <w:r>
        <w:rPr>
          <w:rFonts w:ascii="Book Antiqua" w:eastAsia="等线" w:hAnsi="Book Antiqua"/>
          <w:b/>
          <w:bCs/>
          <w:noProof/>
          <w:sz w:val="24"/>
          <w:szCs w:val="24"/>
          <w:lang w:val="en-US" w:eastAsia="zh-CN"/>
        </w:rPr>
        <w:lastRenderedPageBreak/>
        <w:drawing>
          <wp:inline distT="0" distB="0" distL="0" distR="0" wp14:anchorId="58B34282" wp14:editId="2747DBD5">
            <wp:extent cx="2600219" cy="18685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4947" cy="1893513"/>
                    </a:xfrm>
                    <a:prstGeom prst="rect">
                      <a:avLst/>
                    </a:prstGeom>
                    <a:noFill/>
                    <a:ln>
                      <a:noFill/>
                    </a:ln>
                  </pic:spPr>
                </pic:pic>
              </a:graphicData>
            </a:graphic>
          </wp:inline>
        </w:drawing>
      </w:r>
      <w:r w:rsidR="00251910">
        <w:rPr>
          <w:rFonts w:ascii="Book Antiqua" w:eastAsia="等线" w:hAnsi="Book Antiqua"/>
          <w:b/>
          <w:bCs/>
          <w:noProof/>
          <w:sz w:val="24"/>
          <w:szCs w:val="24"/>
          <w:lang w:val="en-US" w:eastAsia="zh-CN"/>
        </w:rPr>
        <w:drawing>
          <wp:inline distT="0" distB="0" distL="0" distR="0" wp14:anchorId="32AB9B58" wp14:editId="49D5CEDC">
            <wp:extent cx="2587365" cy="1971924"/>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2508" cy="1998708"/>
                    </a:xfrm>
                    <a:prstGeom prst="rect">
                      <a:avLst/>
                    </a:prstGeom>
                    <a:noFill/>
                    <a:ln>
                      <a:noFill/>
                    </a:ln>
                  </pic:spPr>
                </pic:pic>
              </a:graphicData>
            </a:graphic>
          </wp:inline>
        </w:drawing>
      </w:r>
    </w:p>
    <w:p w14:paraId="68064E16" w14:textId="268C3623" w:rsidR="00064658" w:rsidRDefault="00064658" w:rsidP="00CE1AEB">
      <w:pPr>
        <w:pStyle w:val="Standard"/>
        <w:spacing w:line="360" w:lineRule="auto"/>
        <w:jc w:val="both"/>
        <w:rPr>
          <w:rFonts w:ascii="Book Antiqua" w:eastAsia="等线" w:hAnsi="Book Antiqua"/>
          <w:b/>
          <w:bCs/>
          <w:sz w:val="24"/>
          <w:szCs w:val="24"/>
          <w:lang w:val="en-US"/>
        </w:rPr>
      </w:pPr>
      <w:r>
        <w:rPr>
          <w:rFonts w:ascii="Book Antiqua" w:eastAsia="等线" w:hAnsi="Book Antiqua"/>
          <w:b/>
          <w:bCs/>
          <w:noProof/>
          <w:sz w:val="24"/>
          <w:szCs w:val="24"/>
          <w:lang w:val="en-US" w:eastAsia="zh-CN"/>
        </w:rPr>
        <w:drawing>
          <wp:inline distT="0" distB="0" distL="0" distR="0" wp14:anchorId="56B7EA80" wp14:editId="15790AA3">
            <wp:extent cx="2600077" cy="1976736"/>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5831" cy="2003918"/>
                    </a:xfrm>
                    <a:prstGeom prst="rect">
                      <a:avLst/>
                    </a:prstGeom>
                    <a:noFill/>
                    <a:ln>
                      <a:noFill/>
                    </a:ln>
                  </pic:spPr>
                </pic:pic>
              </a:graphicData>
            </a:graphic>
          </wp:inline>
        </w:drawing>
      </w:r>
      <w:r w:rsidR="00251910">
        <w:rPr>
          <w:rFonts w:ascii="Book Antiqua" w:eastAsia="等线" w:hAnsi="Book Antiqua"/>
          <w:b/>
          <w:bCs/>
          <w:noProof/>
          <w:sz w:val="24"/>
          <w:szCs w:val="24"/>
          <w:lang w:val="en-US" w:eastAsia="zh-CN"/>
        </w:rPr>
        <w:drawing>
          <wp:inline distT="0" distB="0" distL="0" distR="0" wp14:anchorId="6C05A4A5" wp14:editId="24167DDE">
            <wp:extent cx="2514315" cy="1979874"/>
            <wp:effectExtent l="0" t="0" r="63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2718" cy="2002240"/>
                    </a:xfrm>
                    <a:prstGeom prst="rect">
                      <a:avLst/>
                    </a:prstGeom>
                    <a:noFill/>
                    <a:ln>
                      <a:noFill/>
                    </a:ln>
                  </pic:spPr>
                </pic:pic>
              </a:graphicData>
            </a:graphic>
          </wp:inline>
        </w:drawing>
      </w:r>
    </w:p>
    <w:p w14:paraId="79875B2F" w14:textId="7F999535" w:rsidR="00064658" w:rsidRDefault="00064658" w:rsidP="00CE1AEB">
      <w:pPr>
        <w:pStyle w:val="Standard"/>
        <w:spacing w:line="360" w:lineRule="auto"/>
        <w:jc w:val="both"/>
        <w:rPr>
          <w:rFonts w:ascii="Book Antiqua" w:eastAsia="等线" w:hAnsi="Book Antiqua"/>
          <w:b/>
          <w:bCs/>
          <w:sz w:val="24"/>
          <w:szCs w:val="24"/>
          <w:lang w:val="en-US"/>
        </w:rPr>
      </w:pPr>
      <w:r>
        <w:rPr>
          <w:rFonts w:ascii="Book Antiqua" w:eastAsia="等线" w:hAnsi="Book Antiqua"/>
          <w:b/>
          <w:bCs/>
          <w:noProof/>
          <w:sz w:val="24"/>
          <w:szCs w:val="24"/>
          <w:lang w:val="en-US" w:eastAsia="zh-CN"/>
        </w:rPr>
        <w:drawing>
          <wp:inline distT="0" distB="0" distL="0" distR="0" wp14:anchorId="5EB9029E" wp14:editId="25C9FA8C">
            <wp:extent cx="2592631" cy="190831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2547" cy="1937693"/>
                    </a:xfrm>
                    <a:prstGeom prst="rect">
                      <a:avLst/>
                    </a:prstGeom>
                    <a:noFill/>
                    <a:ln>
                      <a:noFill/>
                    </a:ln>
                  </pic:spPr>
                </pic:pic>
              </a:graphicData>
            </a:graphic>
          </wp:inline>
        </w:drawing>
      </w:r>
      <w:r w:rsidR="00251910">
        <w:rPr>
          <w:rFonts w:ascii="Book Antiqua" w:eastAsia="等线" w:hAnsi="Book Antiqua"/>
          <w:b/>
          <w:bCs/>
          <w:noProof/>
          <w:sz w:val="24"/>
          <w:szCs w:val="24"/>
          <w:lang w:val="en-US" w:eastAsia="zh-CN"/>
        </w:rPr>
        <w:drawing>
          <wp:inline distT="0" distB="0" distL="0" distR="0" wp14:anchorId="41FE1887" wp14:editId="1CB14497">
            <wp:extent cx="2522300" cy="2067339"/>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46549" cy="2087214"/>
                    </a:xfrm>
                    <a:prstGeom prst="rect">
                      <a:avLst/>
                    </a:prstGeom>
                    <a:noFill/>
                    <a:ln>
                      <a:noFill/>
                    </a:ln>
                  </pic:spPr>
                </pic:pic>
              </a:graphicData>
            </a:graphic>
          </wp:inline>
        </w:drawing>
      </w:r>
    </w:p>
    <w:p w14:paraId="0C765E34" w14:textId="46966BFC" w:rsidR="00064658" w:rsidRDefault="00064658" w:rsidP="00CE1AEB">
      <w:pPr>
        <w:pStyle w:val="Standard"/>
        <w:spacing w:line="360" w:lineRule="auto"/>
        <w:jc w:val="both"/>
        <w:rPr>
          <w:rFonts w:ascii="Book Antiqua" w:eastAsia="等线" w:hAnsi="Book Antiqua"/>
          <w:b/>
          <w:bCs/>
          <w:sz w:val="24"/>
          <w:szCs w:val="24"/>
          <w:lang w:val="en-US"/>
        </w:rPr>
      </w:pPr>
      <w:r>
        <w:rPr>
          <w:rFonts w:ascii="Book Antiqua" w:eastAsia="等线" w:hAnsi="Book Antiqua"/>
          <w:b/>
          <w:bCs/>
          <w:noProof/>
          <w:sz w:val="24"/>
          <w:szCs w:val="24"/>
          <w:lang w:val="en-US" w:eastAsia="zh-CN"/>
        </w:rPr>
        <w:drawing>
          <wp:inline distT="0" distB="0" distL="0" distR="0" wp14:anchorId="2FE5F30B" wp14:editId="423E90CF">
            <wp:extent cx="2603201" cy="1932167"/>
            <wp:effectExtent l="0" t="0" r="698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41159" cy="1960340"/>
                    </a:xfrm>
                    <a:prstGeom prst="rect">
                      <a:avLst/>
                    </a:prstGeom>
                    <a:noFill/>
                    <a:ln>
                      <a:noFill/>
                    </a:ln>
                  </pic:spPr>
                </pic:pic>
              </a:graphicData>
            </a:graphic>
          </wp:inline>
        </w:drawing>
      </w:r>
      <w:r w:rsidR="00251910">
        <w:rPr>
          <w:rFonts w:ascii="Book Antiqua" w:eastAsia="等线" w:hAnsi="Book Antiqua"/>
          <w:b/>
          <w:bCs/>
          <w:noProof/>
          <w:sz w:val="24"/>
          <w:szCs w:val="24"/>
          <w:lang w:val="en-US" w:eastAsia="zh-CN"/>
        </w:rPr>
        <w:drawing>
          <wp:inline distT="0" distB="0" distL="0" distR="0" wp14:anchorId="13B98767" wp14:editId="31098C65">
            <wp:extent cx="2561709" cy="204348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03503" cy="2076824"/>
                    </a:xfrm>
                    <a:prstGeom prst="rect">
                      <a:avLst/>
                    </a:prstGeom>
                    <a:noFill/>
                    <a:ln>
                      <a:noFill/>
                    </a:ln>
                  </pic:spPr>
                </pic:pic>
              </a:graphicData>
            </a:graphic>
          </wp:inline>
        </w:drawing>
      </w:r>
    </w:p>
    <w:p w14:paraId="71AD7882" w14:textId="7668A7EA" w:rsidR="00064658" w:rsidRDefault="00064658" w:rsidP="00CE1AEB">
      <w:pPr>
        <w:pStyle w:val="Standard"/>
        <w:spacing w:line="360" w:lineRule="auto"/>
        <w:jc w:val="both"/>
        <w:rPr>
          <w:rFonts w:ascii="Book Antiqua" w:eastAsia="等线" w:hAnsi="Book Antiqua"/>
          <w:b/>
          <w:bCs/>
          <w:sz w:val="24"/>
          <w:szCs w:val="24"/>
          <w:lang w:val="en-US"/>
        </w:rPr>
      </w:pPr>
    </w:p>
    <w:p w14:paraId="5BED6B16" w14:textId="71D68B88" w:rsidR="00064658" w:rsidRDefault="00064658" w:rsidP="00CE1AEB">
      <w:pPr>
        <w:pStyle w:val="Standard"/>
        <w:spacing w:line="360" w:lineRule="auto"/>
        <w:jc w:val="both"/>
        <w:rPr>
          <w:rFonts w:ascii="Book Antiqua" w:eastAsia="等线" w:hAnsi="Book Antiqua"/>
          <w:b/>
          <w:bCs/>
          <w:sz w:val="24"/>
          <w:szCs w:val="24"/>
          <w:lang w:val="en-US"/>
        </w:rPr>
      </w:pPr>
      <w:r>
        <w:rPr>
          <w:rFonts w:ascii="Book Antiqua" w:eastAsia="等线" w:hAnsi="Book Antiqua"/>
          <w:b/>
          <w:bCs/>
          <w:noProof/>
          <w:sz w:val="24"/>
          <w:szCs w:val="24"/>
          <w:lang w:val="en-US" w:eastAsia="zh-CN"/>
        </w:rPr>
        <w:lastRenderedPageBreak/>
        <w:drawing>
          <wp:inline distT="0" distB="0" distL="0" distR="0" wp14:anchorId="7788BFC1" wp14:editId="25716B79">
            <wp:extent cx="2594778" cy="200372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3428" cy="2025852"/>
                    </a:xfrm>
                    <a:prstGeom prst="rect">
                      <a:avLst/>
                    </a:prstGeom>
                    <a:noFill/>
                    <a:ln>
                      <a:noFill/>
                    </a:ln>
                  </pic:spPr>
                </pic:pic>
              </a:graphicData>
            </a:graphic>
          </wp:inline>
        </w:drawing>
      </w:r>
      <w:r w:rsidR="0086063C">
        <w:rPr>
          <w:rFonts w:ascii="Book Antiqua" w:eastAsia="等线" w:hAnsi="Book Antiqua"/>
          <w:b/>
          <w:bCs/>
          <w:noProof/>
          <w:sz w:val="24"/>
          <w:szCs w:val="24"/>
          <w:lang w:val="en-US" w:eastAsia="zh-CN"/>
        </w:rPr>
        <w:drawing>
          <wp:inline distT="0" distB="0" distL="0" distR="0" wp14:anchorId="4EB3E1CF" wp14:editId="4F5BC7C0">
            <wp:extent cx="2616562" cy="1979875"/>
            <wp:effectExtent l="0" t="0" r="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58204" cy="2011384"/>
                    </a:xfrm>
                    <a:prstGeom prst="rect">
                      <a:avLst/>
                    </a:prstGeom>
                    <a:noFill/>
                    <a:ln>
                      <a:noFill/>
                    </a:ln>
                  </pic:spPr>
                </pic:pic>
              </a:graphicData>
            </a:graphic>
          </wp:inline>
        </w:drawing>
      </w:r>
    </w:p>
    <w:p w14:paraId="42E89CD3" w14:textId="12445C21" w:rsidR="006A7CC6" w:rsidRPr="009134A3" w:rsidRDefault="00064658" w:rsidP="008E78B7">
      <w:pPr>
        <w:pStyle w:val="Standard"/>
        <w:spacing w:line="360" w:lineRule="auto"/>
        <w:jc w:val="both"/>
        <w:rPr>
          <w:rFonts w:ascii="Book Antiqua" w:eastAsia="等线" w:hAnsi="Book Antiqua"/>
          <w:sz w:val="24"/>
          <w:szCs w:val="24"/>
          <w:lang w:val="en-GB" w:bidi="ar-EG"/>
        </w:rPr>
      </w:pPr>
      <w:r w:rsidRPr="00064658">
        <w:rPr>
          <w:rFonts w:ascii="Book Antiqua" w:eastAsia="等线" w:hAnsi="Book Antiqua"/>
          <w:b/>
          <w:bCs/>
          <w:sz w:val="24"/>
          <w:szCs w:val="24"/>
          <w:lang w:val="en-US"/>
        </w:rPr>
        <w:t xml:space="preserve">Figure 1 Changes in </w:t>
      </w:r>
      <w:r w:rsidRPr="00064658">
        <w:rPr>
          <w:rStyle w:val="Absatz-Standardschriftart"/>
          <w:rFonts w:ascii="Book Antiqua" w:hAnsi="Book Antiqua"/>
          <w:b/>
          <w:bCs/>
          <w:sz w:val="24"/>
          <w:szCs w:val="24"/>
        </w:rPr>
        <w:t>interleukin 1β,</w:t>
      </w:r>
      <w:r w:rsidRPr="00064658">
        <w:rPr>
          <w:rStyle w:val="Absatz-Standardschriftart"/>
          <w:b/>
          <w:bCs/>
          <w:szCs w:val="24"/>
        </w:rPr>
        <w:t xml:space="preserve"> </w:t>
      </w:r>
      <w:bookmarkStart w:id="153" w:name="_Hlk18926511"/>
      <w:r w:rsidRPr="00064658">
        <w:rPr>
          <w:rFonts w:ascii="Book Antiqua" w:hAnsi="Book Antiqua"/>
          <w:b/>
          <w:bCs/>
          <w:sz w:val="24"/>
          <w:szCs w:val="24"/>
          <w:lang w:val="en-US"/>
        </w:rPr>
        <w:t>tumor necrosis factor-α</w:t>
      </w:r>
      <w:bookmarkEnd w:id="153"/>
      <w:r w:rsidRPr="00064658">
        <w:rPr>
          <w:rFonts w:ascii="Book Antiqua" w:hAnsi="Book Antiqua"/>
          <w:b/>
          <w:bCs/>
          <w:sz w:val="24"/>
          <w:szCs w:val="24"/>
          <w:lang w:val="en-US"/>
        </w:rPr>
        <w:t>,</w:t>
      </w:r>
      <w:r w:rsidRPr="00064658">
        <w:rPr>
          <w:b/>
          <w:bCs/>
          <w:szCs w:val="24"/>
          <w:lang w:val="en-US"/>
        </w:rPr>
        <w:t xml:space="preserve"> </w:t>
      </w:r>
      <w:r w:rsidRPr="00064658">
        <w:rPr>
          <w:rStyle w:val="Absatz-Standardschriftart"/>
          <w:rFonts w:ascii="Book Antiqua" w:hAnsi="Book Antiqua"/>
          <w:b/>
          <w:bCs/>
          <w:sz w:val="24"/>
          <w:szCs w:val="24"/>
        </w:rPr>
        <w:t>interleukin</w:t>
      </w:r>
      <w:r w:rsidRPr="00064658">
        <w:rPr>
          <w:rFonts w:ascii="Book Antiqua" w:eastAsia="等线" w:hAnsi="Book Antiqua"/>
          <w:b/>
          <w:bCs/>
          <w:sz w:val="24"/>
          <w:szCs w:val="24"/>
          <w:lang w:val="en-US"/>
        </w:rPr>
        <w:t xml:space="preserve"> 10, heme oxygenase-1, and B-cell lymphoma 2 concentration in gastro-intestinal lesions induced by diclofenac in rats after treatment with omeprazole (20 mg/kg) or STW 5 (5 mL/kg).</w:t>
      </w:r>
      <w:r w:rsidRPr="00064658">
        <w:rPr>
          <w:rFonts w:ascii="Book Antiqua" w:eastAsia="等线" w:hAnsi="Book Antiqua"/>
          <w:sz w:val="24"/>
          <w:szCs w:val="24"/>
          <w:lang w:val="en-US"/>
        </w:rPr>
        <w:t xml:space="preserve"> A: Changes</w:t>
      </w:r>
      <w:r w:rsidRPr="00064658">
        <w:rPr>
          <w:rStyle w:val="Absatz-Standardschriftart"/>
          <w:rFonts w:ascii="Book Antiqua" w:hAnsi="Book Antiqua"/>
          <w:sz w:val="24"/>
          <w:szCs w:val="24"/>
        </w:rPr>
        <w:t xml:space="preserve"> </w:t>
      </w:r>
      <w:r>
        <w:rPr>
          <w:rStyle w:val="Absatz-Standardschriftart"/>
          <w:rFonts w:ascii="Book Antiqua" w:hAnsi="Book Antiqua"/>
          <w:sz w:val="24"/>
          <w:szCs w:val="24"/>
        </w:rPr>
        <w:t xml:space="preserve">in </w:t>
      </w:r>
      <w:r w:rsidRPr="00064658">
        <w:rPr>
          <w:rStyle w:val="Absatz-Standardschriftart"/>
          <w:rFonts w:ascii="Book Antiqua" w:hAnsi="Book Antiqua"/>
          <w:sz w:val="24"/>
          <w:szCs w:val="24"/>
        </w:rPr>
        <w:t>interleukin 1β</w:t>
      </w:r>
      <w:r>
        <w:rPr>
          <w:rStyle w:val="Absatz-Standardschriftart"/>
          <w:rFonts w:ascii="Book Antiqua" w:hAnsi="Book Antiqua"/>
          <w:sz w:val="24"/>
          <w:szCs w:val="24"/>
        </w:rPr>
        <w:t xml:space="preserve"> </w:t>
      </w:r>
      <w:r w:rsidRPr="00064658">
        <w:rPr>
          <w:rFonts w:ascii="Book Antiqua" w:eastAsia="等线" w:hAnsi="Book Antiqua"/>
          <w:sz w:val="24"/>
          <w:szCs w:val="24"/>
          <w:lang w:val="en-US"/>
        </w:rPr>
        <w:t>concentration</w:t>
      </w:r>
      <w:r w:rsidRPr="00064658">
        <w:rPr>
          <w:rStyle w:val="Absatz-Standardschriftart"/>
          <w:rFonts w:ascii="Book Antiqua" w:hAnsi="Book Antiqua"/>
          <w:sz w:val="24"/>
          <w:szCs w:val="24"/>
        </w:rPr>
        <w:t xml:space="preserve"> in </w:t>
      </w:r>
      <w:r w:rsidRPr="00064658">
        <w:rPr>
          <w:rFonts w:ascii="Book Antiqua" w:eastAsia="等线" w:hAnsi="Book Antiqua"/>
          <w:sz w:val="24"/>
          <w:szCs w:val="24"/>
          <w:lang w:val="en-US"/>
        </w:rPr>
        <w:t xml:space="preserve">gastric lesions; </w:t>
      </w:r>
      <w:r>
        <w:rPr>
          <w:rFonts w:ascii="Book Antiqua" w:eastAsia="等线" w:hAnsi="Book Antiqua"/>
          <w:sz w:val="24"/>
          <w:szCs w:val="24"/>
          <w:lang w:val="en-US"/>
        </w:rPr>
        <w:t xml:space="preserve">B: </w:t>
      </w:r>
      <w:r w:rsidRPr="00064658">
        <w:rPr>
          <w:rFonts w:ascii="Book Antiqua" w:eastAsia="等线" w:hAnsi="Book Antiqua"/>
          <w:sz w:val="24"/>
          <w:szCs w:val="24"/>
          <w:lang w:val="en-US"/>
        </w:rPr>
        <w:t>Changes</w:t>
      </w:r>
      <w:r w:rsidRPr="00064658">
        <w:rPr>
          <w:rStyle w:val="Absatz-Standardschriftart"/>
          <w:rFonts w:ascii="Book Antiqua" w:hAnsi="Book Antiqua"/>
          <w:sz w:val="24"/>
          <w:szCs w:val="24"/>
        </w:rPr>
        <w:t xml:space="preserve"> </w:t>
      </w:r>
      <w:r>
        <w:rPr>
          <w:rStyle w:val="Absatz-Standardschriftart"/>
          <w:rFonts w:ascii="Book Antiqua" w:hAnsi="Book Antiqua"/>
          <w:sz w:val="24"/>
          <w:szCs w:val="24"/>
        </w:rPr>
        <w:t xml:space="preserve">in </w:t>
      </w:r>
      <w:r w:rsidRPr="00064658">
        <w:rPr>
          <w:rStyle w:val="Absatz-Standardschriftart"/>
          <w:rFonts w:ascii="Book Antiqua" w:hAnsi="Book Antiqua"/>
          <w:sz w:val="24"/>
          <w:szCs w:val="24"/>
        </w:rPr>
        <w:t xml:space="preserve">interleukin 1β </w:t>
      </w:r>
      <w:r w:rsidRPr="00064658">
        <w:rPr>
          <w:rFonts w:ascii="Book Antiqua" w:eastAsia="等线" w:hAnsi="Book Antiqua"/>
          <w:sz w:val="24"/>
          <w:szCs w:val="24"/>
          <w:lang w:val="en-US"/>
        </w:rPr>
        <w:t>concentration</w:t>
      </w:r>
      <w:r w:rsidRPr="00064658">
        <w:rPr>
          <w:rStyle w:val="Absatz-Standardschriftart"/>
          <w:rFonts w:ascii="Book Antiqua" w:hAnsi="Book Antiqua"/>
          <w:sz w:val="24"/>
          <w:szCs w:val="24"/>
        </w:rPr>
        <w:t xml:space="preserve"> in </w:t>
      </w:r>
      <w:r w:rsidRPr="00064658">
        <w:rPr>
          <w:rFonts w:ascii="Book Antiqua" w:eastAsia="等线" w:hAnsi="Book Antiqua"/>
          <w:sz w:val="24"/>
          <w:szCs w:val="24"/>
          <w:lang w:val="en-US"/>
        </w:rPr>
        <w:t xml:space="preserve">duodenal lesions; </w:t>
      </w:r>
      <w:r>
        <w:rPr>
          <w:rFonts w:ascii="Book Antiqua" w:eastAsia="等线" w:hAnsi="Book Antiqua"/>
          <w:sz w:val="24"/>
          <w:szCs w:val="24"/>
          <w:lang w:val="en-US"/>
        </w:rPr>
        <w:t xml:space="preserve">C: </w:t>
      </w:r>
      <w:r w:rsidRPr="00064658">
        <w:rPr>
          <w:rFonts w:ascii="Book Antiqua" w:eastAsia="等线" w:hAnsi="Book Antiqua"/>
          <w:sz w:val="24"/>
          <w:szCs w:val="24"/>
          <w:lang w:val="en-US"/>
        </w:rPr>
        <w:t>Changes</w:t>
      </w:r>
      <w:r w:rsidRPr="00064658">
        <w:rPr>
          <w:rStyle w:val="Absatz-Standardschriftart"/>
          <w:rFonts w:ascii="Book Antiqua" w:hAnsi="Book Antiqua"/>
          <w:sz w:val="24"/>
          <w:szCs w:val="24"/>
        </w:rPr>
        <w:t xml:space="preserve"> </w:t>
      </w:r>
      <w:r>
        <w:rPr>
          <w:rStyle w:val="Absatz-Standardschriftart"/>
          <w:rFonts w:ascii="Book Antiqua" w:hAnsi="Book Antiqua"/>
          <w:sz w:val="24"/>
          <w:szCs w:val="24"/>
        </w:rPr>
        <w:t xml:space="preserve">in </w:t>
      </w:r>
      <w:r w:rsidRPr="00064658">
        <w:rPr>
          <w:rFonts w:ascii="Book Antiqua" w:hAnsi="Book Antiqua"/>
          <w:sz w:val="24"/>
          <w:szCs w:val="24"/>
          <w:lang w:val="en-US"/>
        </w:rPr>
        <w:t>tumor necrosis factor-α</w:t>
      </w:r>
      <w:r>
        <w:rPr>
          <w:rFonts w:ascii="Book Antiqua" w:hAnsi="Book Antiqua"/>
          <w:b/>
          <w:bCs/>
          <w:sz w:val="24"/>
          <w:szCs w:val="24"/>
          <w:lang w:val="en-US"/>
        </w:rPr>
        <w:t xml:space="preserve"> </w:t>
      </w:r>
      <w:r w:rsidRPr="00064658">
        <w:rPr>
          <w:rFonts w:ascii="Book Antiqua" w:eastAsia="等线" w:hAnsi="Book Antiqua"/>
          <w:sz w:val="24"/>
          <w:szCs w:val="24"/>
          <w:lang w:val="en-US"/>
        </w:rPr>
        <w:t>concentration</w:t>
      </w:r>
      <w:r w:rsidRPr="00064658">
        <w:rPr>
          <w:rStyle w:val="Absatz-Standardschriftart"/>
          <w:rFonts w:ascii="Book Antiqua" w:hAnsi="Book Antiqua"/>
          <w:sz w:val="24"/>
          <w:szCs w:val="24"/>
        </w:rPr>
        <w:t xml:space="preserve"> in </w:t>
      </w:r>
      <w:r w:rsidRPr="00064658">
        <w:rPr>
          <w:rFonts w:ascii="Book Antiqua" w:eastAsia="等线" w:hAnsi="Book Antiqua"/>
          <w:sz w:val="24"/>
          <w:szCs w:val="24"/>
          <w:lang w:val="en-US"/>
        </w:rPr>
        <w:t xml:space="preserve">gastric lesions; </w:t>
      </w:r>
      <w:r>
        <w:rPr>
          <w:rFonts w:ascii="Book Antiqua" w:eastAsia="等线" w:hAnsi="Book Antiqua"/>
          <w:sz w:val="24"/>
          <w:szCs w:val="24"/>
          <w:lang w:val="en-US"/>
        </w:rPr>
        <w:t xml:space="preserve">D: </w:t>
      </w:r>
      <w:r w:rsidRPr="00064658">
        <w:rPr>
          <w:rFonts w:ascii="Book Antiqua" w:eastAsia="等线" w:hAnsi="Book Antiqua"/>
          <w:sz w:val="24"/>
          <w:szCs w:val="24"/>
          <w:lang w:val="en-US"/>
        </w:rPr>
        <w:t>Changes</w:t>
      </w:r>
      <w:r w:rsidRPr="00064658">
        <w:rPr>
          <w:rStyle w:val="Absatz-Standardschriftart"/>
          <w:rFonts w:ascii="Book Antiqua" w:hAnsi="Book Antiqua"/>
          <w:sz w:val="24"/>
          <w:szCs w:val="24"/>
        </w:rPr>
        <w:t xml:space="preserve"> </w:t>
      </w:r>
      <w:r>
        <w:rPr>
          <w:rStyle w:val="Absatz-Standardschriftart"/>
          <w:rFonts w:ascii="Book Antiqua" w:hAnsi="Book Antiqua"/>
          <w:sz w:val="24"/>
          <w:szCs w:val="24"/>
        </w:rPr>
        <w:t xml:space="preserve">in </w:t>
      </w:r>
      <w:r w:rsidRPr="00064658">
        <w:rPr>
          <w:rFonts w:ascii="Book Antiqua" w:hAnsi="Book Antiqua"/>
          <w:sz w:val="24"/>
          <w:szCs w:val="24"/>
          <w:lang w:val="en-US"/>
        </w:rPr>
        <w:t>tumor necrosis factor-α</w:t>
      </w:r>
      <w:r>
        <w:rPr>
          <w:rFonts w:ascii="Book Antiqua" w:hAnsi="Book Antiqua"/>
          <w:b/>
          <w:bCs/>
          <w:sz w:val="24"/>
          <w:szCs w:val="24"/>
          <w:lang w:val="en-US"/>
        </w:rPr>
        <w:t xml:space="preserve"> </w:t>
      </w:r>
      <w:r w:rsidRPr="00064658">
        <w:rPr>
          <w:rFonts w:ascii="Book Antiqua" w:eastAsia="等线" w:hAnsi="Book Antiqua"/>
          <w:sz w:val="24"/>
          <w:szCs w:val="24"/>
          <w:lang w:val="en-US"/>
        </w:rPr>
        <w:t>concentration</w:t>
      </w:r>
      <w:r w:rsidRPr="00064658">
        <w:rPr>
          <w:rStyle w:val="Absatz-Standardschriftart"/>
          <w:rFonts w:ascii="Book Antiqua" w:hAnsi="Book Antiqua"/>
          <w:sz w:val="24"/>
          <w:szCs w:val="24"/>
        </w:rPr>
        <w:t xml:space="preserve"> in </w:t>
      </w:r>
      <w:r w:rsidRPr="00064658">
        <w:rPr>
          <w:rFonts w:ascii="Book Antiqua" w:eastAsia="等线" w:hAnsi="Book Antiqua"/>
          <w:sz w:val="24"/>
          <w:szCs w:val="24"/>
          <w:lang w:val="en-US"/>
        </w:rPr>
        <w:t>duodenal lesions;</w:t>
      </w:r>
      <w:r>
        <w:rPr>
          <w:rFonts w:ascii="Book Antiqua" w:eastAsia="等线" w:hAnsi="Book Antiqua"/>
          <w:sz w:val="24"/>
          <w:szCs w:val="24"/>
          <w:lang w:val="en-US"/>
        </w:rPr>
        <w:t xml:space="preserve"> E: </w:t>
      </w:r>
      <w:r w:rsidRPr="00064658">
        <w:rPr>
          <w:rFonts w:ascii="Book Antiqua" w:eastAsia="等线" w:hAnsi="Book Antiqua"/>
          <w:sz w:val="24"/>
          <w:szCs w:val="24"/>
          <w:lang w:val="en-US"/>
        </w:rPr>
        <w:t>Changes</w:t>
      </w:r>
      <w:r w:rsidRPr="00064658">
        <w:rPr>
          <w:rStyle w:val="Absatz-Standardschriftart"/>
          <w:rFonts w:ascii="Book Antiqua" w:hAnsi="Book Antiqua"/>
          <w:sz w:val="24"/>
          <w:szCs w:val="24"/>
        </w:rPr>
        <w:t xml:space="preserve"> </w:t>
      </w:r>
      <w:r>
        <w:rPr>
          <w:rStyle w:val="Absatz-Standardschriftart"/>
          <w:rFonts w:ascii="Book Antiqua" w:hAnsi="Book Antiqua"/>
          <w:sz w:val="24"/>
          <w:szCs w:val="24"/>
        </w:rPr>
        <w:t>in</w:t>
      </w:r>
      <w:r w:rsidRPr="00064658">
        <w:rPr>
          <w:rFonts w:ascii="Book Antiqua" w:eastAsia="Calibri" w:hAnsi="Book Antiqua"/>
          <w:b/>
          <w:bCs/>
          <w:sz w:val="24"/>
          <w:szCs w:val="24"/>
          <w:lang w:val="en-US"/>
        </w:rPr>
        <w:t xml:space="preserve"> </w:t>
      </w:r>
      <w:r w:rsidRPr="00064658">
        <w:rPr>
          <w:rFonts w:ascii="Book Antiqua" w:hAnsi="Book Antiqua"/>
          <w:sz w:val="24"/>
          <w:szCs w:val="24"/>
          <w:lang w:val="en-US"/>
        </w:rPr>
        <w:t>interleukin 10</w:t>
      </w:r>
      <w:r>
        <w:rPr>
          <w:rStyle w:val="Absatz-Standardschriftart"/>
          <w:rFonts w:ascii="Book Antiqua" w:hAnsi="Book Antiqua"/>
          <w:sz w:val="24"/>
          <w:szCs w:val="24"/>
        </w:rPr>
        <w:t xml:space="preserve"> </w:t>
      </w:r>
      <w:r w:rsidRPr="00064658">
        <w:rPr>
          <w:rFonts w:ascii="Book Antiqua" w:eastAsia="等线" w:hAnsi="Book Antiqua"/>
          <w:sz w:val="24"/>
          <w:szCs w:val="24"/>
          <w:lang w:val="en-US"/>
        </w:rPr>
        <w:t>concentration</w:t>
      </w:r>
      <w:r w:rsidRPr="00064658">
        <w:rPr>
          <w:rStyle w:val="Absatz-Standardschriftart"/>
          <w:rFonts w:ascii="Book Antiqua" w:hAnsi="Book Antiqua"/>
          <w:sz w:val="24"/>
          <w:szCs w:val="24"/>
        </w:rPr>
        <w:t xml:space="preserve"> in </w:t>
      </w:r>
      <w:r w:rsidRPr="00064658">
        <w:rPr>
          <w:rFonts w:ascii="Book Antiqua" w:eastAsia="等线" w:hAnsi="Book Antiqua"/>
          <w:sz w:val="24"/>
          <w:szCs w:val="24"/>
          <w:lang w:val="en-US"/>
        </w:rPr>
        <w:t xml:space="preserve">gastric lesions; </w:t>
      </w:r>
      <w:r>
        <w:rPr>
          <w:rFonts w:ascii="Book Antiqua" w:eastAsia="等线" w:hAnsi="Book Antiqua"/>
          <w:sz w:val="24"/>
          <w:szCs w:val="24"/>
          <w:lang w:val="en-US"/>
        </w:rPr>
        <w:t xml:space="preserve">F: </w:t>
      </w:r>
      <w:r w:rsidRPr="00064658">
        <w:rPr>
          <w:rFonts w:ascii="Book Antiqua" w:eastAsia="等线" w:hAnsi="Book Antiqua"/>
          <w:sz w:val="24"/>
          <w:szCs w:val="24"/>
          <w:lang w:val="en-US"/>
        </w:rPr>
        <w:t>Changes</w:t>
      </w:r>
      <w:r w:rsidRPr="00064658">
        <w:rPr>
          <w:rStyle w:val="Absatz-Standardschriftart"/>
          <w:rFonts w:ascii="Book Antiqua" w:hAnsi="Book Antiqua"/>
          <w:sz w:val="24"/>
          <w:szCs w:val="24"/>
        </w:rPr>
        <w:t xml:space="preserve"> </w:t>
      </w:r>
      <w:r>
        <w:rPr>
          <w:rStyle w:val="Absatz-Standardschriftart"/>
          <w:rFonts w:ascii="Book Antiqua" w:hAnsi="Book Antiqua"/>
          <w:sz w:val="24"/>
          <w:szCs w:val="24"/>
        </w:rPr>
        <w:t xml:space="preserve">in </w:t>
      </w:r>
      <w:r w:rsidRPr="00064658">
        <w:rPr>
          <w:rFonts w:ascii="Book Antiqua" w:hAnsi="Book Antiqua"/>
          <w:sz w:val="24"/>
          <w:szCs w:val="24"/>
          <w:lang w:val="en-US"/>
        </w:rPr>
        <w:t>interleukin 10</w:t>
      </w:r>
      <w:r>
        <w:rPr>
          <w:rFonts w:ascii="Book Antiqua" w:hAnsi="Book Antiqua"/>
          <w:b/>
          <w:bCs/>
          <w:sz w:val="24"/>
          <w:szCs w:val="24"/>
          <w:lang w:val="en-US"/>
        </w:rPr>
        <w:t xml:space="preserve"> </w:t>
      </w:r>
      <w:r w:rsidRPr="00064658">
        <w:rPr>
          <w:rFonts w:ascii="Book Antiqua" w:eastAsia="等线" w:hAnsi="Book Antiqua"/>
          <w:sz w:val="24"/>
          <w:szCs w:val="24"/>
          <w:lang w:val="en-US"/>
        </w:rPr>
        <w:t>concentration</w:t>
      </w:r>
      <w:r w:rsidRPr="00064658">
        <w:rPr>
          <w:rStyle w:val="Absatz-Standardschriftart"/>
          <w:rFonts w:ascii="Book Antiqua" w:hAnsi="Book Antiqua"/>
          <w:sz w:val="24"/>
          <w:szCs w:val="24"/>
        </w:rPr>
        <w:t xml:space="preserve"> in </w:t>
      </w:r>
      <w:r w:rsidRPr="00064658">
        <w:rPr>
          <w:rFonts w:ascii="Book Antiqua" w:eastAsia="等线" w:hAnsi="Book Antiqua"/>
          <w:sz w:val="24"/>
          <w:szCs w:val="24"/>
          <w:lang w:val="en-US"/>
        </w:rPr>
        <w:t>duodenal lesions; G: Changes</w:t>
      </w:r>
      <w:r w:rsidRPr="00064658">
        <w:rPr>
          <w:rStyle w:val="Absatz-Standardschriftart"/>
          <w:rFonts w:ascii="Book Antiqua" w:hAnsi="Book Antiqua"/>
          <w:sz w:val="24"/>
          <w:szCs w:val="24"/>
        </w:rPr>
        <w:t xml:space="preserve"> in</w:t>
      </w:r>
      <w:r w:rsidRPr="00064658">
        <w:rPr>
          <w:rFonts w:ascii="Book Antiqua" w:eastAsia="Calibri" w:hAnsi="Book Antiqua"/>
          <w:sz w:val="24"/>
          <w:szCs w:val="24"/>
          <w:lang w:val="en-US"/>
        </w:rPr>
        <w:t xml:space="preserve"> </w:t>
      </w:r>
      <w:r w:rsidRPr="00064658">
        <w:rPr>
          <w:rFonts w:ascii="Book Antiqua" w:hAnsi="Book Antiqua"/>
          <w:sz w:val="24"/>
          <w:szCs w:val="24"/>
          <w:lang w:val="en-US"/>
        </w:rPr>
        <w:t xml:space="preserve">heme oxygenase-1 </w:t>
      </w:r>
      <w:r w:rsidRPr="00064658">
        <w:rPr>
          <w:rFonts w:ascii="Book Antiqua" w:eastAsia="等线" w:hAnsi="Book Antiqua"/>
          <w:sz w:val="24"/>
          <w:szCs w:val="24"/>
          <w:lang w:val="en-US"/>
        </w:rPr>
        <w:t>concentration</w:t>
      </w:r>
      <w:r w:rsidRPr="00064658">
        <w:rPr>
          <w:rStyle w:val="Absatz-Standardschriftart"/>
          <w:rFonts w:ascii="Book Antiqua" w:hAnsi="Book Antiqua"/>
          <w:sz w:val="24"/>
          <w:szCs w:val="24"/>
        </w:rPr>
        <w:t xml:space="preserve"> in </w:t>
      </w:r>
      <w:r w:rsidRPr="00064658">
        <w:rPr>
          <w:rFonts w:ascii="Book Antiqua" w:eastAsia="等线" w:hAnsi="Book Antiqua"/>
          <w:sz w:val="24"/>
          <w:szCs w:val="24"/>
          <w:lang w:val="en-US"/>
        </w:rPr>
        <w:t>gastric lesions; H: Changes</w:t>
      </w:r>
      <w:r w:rsidRPr="00064658">
        <w:rPr>
          <w:rStyle w:val="Absatz-Standardschriftart"/>
          <w:rFonts w:ascii="Book Antiqua" w:hAnsi="Book Antiqua"/>
          <w:sz w:val="24"/>
          <w:szCs w:val="24"/>
        </w:rPr>
        <w:t xml:space="preserve"> in </w:t>
      </w:r>
      <w:r w:rsidRPr="00064658">
        <w:rPr>
          <w:rFonts w:ascii="Book Antiqua" w:hAnsi="Book Antiqua"/>
          <w:sz w:val="24"/>
          <w:szCs w:val="24"/>
          <w:lang w:val="en-US"/>
        </w:rPr>
        <w:t xml:space="preserve">heme oxygenase-1 </w:t>
      </w:r>
      <w:r w:rsidRPr="00064658">
        <w:rPr>
          <w:rFonts w:ascii="Book Antiqua" w:eastAsia="等线" w:hAnsi="Book Antiqua"/>
          <w:sz w:val="24"/>
          <w:szCs w:val="24"/>
          <w:lang w:val="en-US"/>
        </w:rPr>
        <w:t>concentration</w:t>
      </w:r>
      <w:r w:rsidRPr="00064658">
        <w:rPr>
          <w:rStyle w:val="Absatz-Standardschriftart"/>
          <w:rFonts w:ascii="Book Antiqua" w:hAnsi="Book Antiqua"/>
          <w:sz w:val="24"/>
          <w:szCs w:val="24"/>
        </w:rPr>
        <w:t xml:space="preserve"> in </w:t>
      </w:r>
      <w:r w:rsidRPr="00064658">
        <w:rPr>
          <w:rFonts w:ascii="Book Antiqua" w:eastAsia="等线" w:hAnsi="Book Antiqua"/>
          <w:sz w:val="24"/>
          <w:szCs w:val="24"/>
          <w:lang w:val="en-US"/>
        </w:rPr>
        <w:t>duodenal lesions; I: Changes</w:t>
      </w:r>
      <w:r w:rsidRPr="00064658">
        <w:rPr>
          <w:rStyle w:val="Absatz-Standardschriftart"/>
          <w:rFonts w:ascii="Book Antiqua" w:hAnsi="Book Antiqua"/>
          <w:sz w:val="24"/>
          <w:szCs w:val="24"/>
        </w:rPr>
        <w:t xml:space="preserve"> in</w:t>
      </w:r>
      <w:r w:rsidRPr="00064658">
        <w:rPr>
          <w:rFonts w:ascii="Book Antiqua" w:eastAsia="Calibri" w:hAnsi="Book Antiqua"/>
          <w:sz w:val="24"/>
          <w:szCs w:val="24"/>
          <w:lang w:val="en-US"/>
        </w:rPr>
        <w:t xml:space="preserve"> </w:t>
      </w:r>
      <w:r w:rsidRPr="00064658">
        <w:rPr>
          <w:rFonts w:ascii="Book Antiqua" w:hAnsi="Book Antiqua"/>
          <w:sz w:val="24"/>
          <w:szCs w:val="24"/>
          <w:lang w:val="en-US"/>
        </w:rPr>
        <w:t xml:space="preserve">B-cell lymphoma 2 </w:t>
      </w:r>
      <w:r w:rsidRPr="00064658">
        <w:rPr>
          <w:rFonts w:ascii="Book Antiqua" w:eastAsia="等线" w:hAnsi="Book Antiqua"/>
          <w:sz w:val="24"/>
          <w:szCs w:val="24"/>
          <w:lang w:val="en-US"/>
        </w:rPr>
        <w:t>concentration</w:t>
      </w:r>
      <w:r w:rsidRPr="00064658">
        <w:rPr>
          <w:rStyle w:val="Absatz-Standardschriftart"/>
          <w:rFonts w:ascii="Book Antiqua" w:hAnsi="Book Antiqua"/>
          <w:sz w:val="24"/>
          <w:szCs w:val="24"/>
        </w:rPr>
        <w:t xml:space="preserve"> in </w:t>
      </w:r>
      <w:r w:rsidRPr="00064658">
        <w:rPr>
          <w:rFonts w:ascii="Book Antiqua" w:eastAsia="等线" w:hAnsi="Book Antiqua"/>
          <w:sz w:val="24"/>
          <w:szCs w:val="24"/>
          <w:lang w:val="en-US"/>
        </w:rPr>
        <w:t>gastric lesions; J: Changes</w:t>
      </w:r>
      <w:r w:rsidRPr="00064658">
        <w:rPr>
          <w:rStyle w:val="Absatz-Standardschriftart"/>
          <w:rFonts w:ascii="Book Antiqua" w:hAnsi="Book Antiqua"/>
          <w:sz w:val="24"/>
          <w:szCs w:val="24"/>
        </w:rPr>
        <w:t xml:space="preserve"> in </w:t>
      </w:r>
      <w:r w:rsidRPr="00064658">
        <w:rPr>
          <w:rFonts w:ascii="Book Antiqua" w:hAnsi="Book Antiqua"/>
          <w:sz w:val="24"/>
          <w:szCs w:val="24"/>
          <w:lang w:val="en-US"/>
        </w:rPr>
        <w:t xml:space="preserve">B-cell lymphoma 2 </w:t>
      </w:r>
      <w:r w:rsidRPr="00064658">
        <w:rPr>
          <w:rFonts w:ascii="Book Antiqua" w:eastAsia="等线" w:hAnsi="Book Antiqua"/>
          <w:sz w:val="24"/>
          <w:szCs w:val="24"/>
          <w:lang w:val="en-US"/>
        </w:rPr>
        <w:t>concentration</w:t>
      </w:r>
      <w:r w:rsidRPr="00064658">
        <w:rPr>
          <w:rStyle w:val="Absatz-Standardschriftart"/>
          <w:rFonts w:ascii="Book Antiqua" w:hAnsi="Book Antiqua"/>
          <w:sz w:val="24"/>
          <w:szCs w:val="24"/>
        </w:rPr>
        <w:t xml:space="preserve"> in </w:t>
      </w:r>
      <w:r w:rsidRPr="00064658">
        <w:rPr>
          <w:rFonts w:ascii="Book Antiqua" w:eastAsia="等线" w:hAnsi="Book Antiqua"/>
          <w:sz w:val="24"/>
          <w:szCs w:val="24"/>
          <w:lang w:val="en-US"/>
        </w:rPr>
        <w:t>duodenal lesions</w:t>
      </w:r>
      <w:r>
        <w:rPr>
          <w:rFonts w:ascii="Book Antiqua" w:eastAsia="等线" w:hAnsi="Book Antiqua"/>
          <w:sz w:val="24"/>
          <w:szCs w:val="24"/>
          <w:lang w:val="en-US"/>
        </w:rPr>
        <w:t>.</w:t>
      </w:r>
      <w:r>
        <w:rPr>
          <w:rFonts w:ascii="Book Antiqua" w:eastAsia="等线" w:hAnsi="Book Antiqua" w:hint="eastAsia"/>
          <w:sz w:val="24"/>
          <w:szCs w:val="24"/>
          <w:lang w:val="en-US" w:eastAsia="zh-CN"/>
        </w:rPr>
        <w:t xml:space="preserve"> </w:t>
      </w:r>
      <w:r w:rsidR="00395EB3" w:rsidRPr="007D70F4">
        <w:rPr>
          <w:rFonts w:ascii="Book Antiqua" w:eastAsia="等线" w:hAnsi="Book Antiqua"/>
          <w:sz w:val="24"/>
          <w:szCs w:val="24"/>
          <w:lang w:val="en-GB" w:bidi="ar-EG"/>
        </w:rPr>
        <w:t>Data are expressed as means ± SD. The significance of the difference between means was tested by ANOVA followed by Tukey Kramer multiple comparisons test</w:t>
      </w:r>
      <w:r w:rsidR="00395EB3" w:rsidRPr="007D70F4">
        <w:rPr>
          <w:rFonts w:ascii="Book Antiqua" w:hAnsi="Book Antiqua" w:cstheme="majorBidi"/>
          <w:sz w:val="24"/>
          <w:szCs w:val="24"/>
          <w:lang w:val="en-GB" w:bidi="ar-EG"/>
        </w:rPr>
        <w:t xml:space="preserve">. </w:t>
      </w:r>
      <w:r w:rsidR="00395EB3" w:rsidRPr="007D70F4">
        <w:rPr>
          <w:rFonts w:ascii="Book Antiqua" w:hAnsi="Book Antiqua" w:cstheme="majorBidi"/>
          <w:sz w:val="24"/>
          <w:szCs w:val="24"/>
          <w:vertAlign w:val="superscript"/>
          <w:lang w:val="en-GB" w:bidi="ar-EG"/>
        </w:rPr>
        <w:t>a</w:t>
      </w:r>
      <w:r w:rsidR="00395EB3" w:rsidRPr="00064658">
        <w:rPr>
          <w:rFonts w:ascii="Book Antiqua" w:hAnsi="Book Antiqua" w:cstheme="majorBidi"/>
          <w:i/>
          <w:iCs/>
          <w:sz w:val="24"/>
          <w:szCs w:val="24"/>
          <w:lang w:val="en-GB" w:bidi="ar-EG"/>
        </w:rPr>
        <w:t>P</w:t>
      </w:r>
      <w:r w:rsidR="00395EB3" w:rsidRPr="007D70F4">
        <w:rPr>
          <w:rFonts w:ascii="Book Antiqua" w:hAnsi="Book Antiqua" w:cstheme="majorBidi"/>
          <w:sz w:val="24"/>
          <w:szCs w:val="24"/>
          <w:lang w:val="en-GB" w:bidi="ar-EG"/>
        </w:rPr>
        <w:t xml:space="preserve"> &lt; 0.05 </w:t>
      </w:r>
      <w:r w:rsidR="00395EB3" w:rsidRPr="00064658">
        <w:rPr>
          <w:rFonts w:ascii="Book Antiqua" w:hAnsi="Book Antiqua" w:cstheme="majorBidi"/>
          <w:i/>
          <w:iCs/>
          <w:sz w:val="24"/>
          <w:szCs w:val="24"/>
          <w:lang w:val="en-GB" w:bidi="ar-EG"/>
        </w:rPr>
        <w:t>vs</w:t>
      </w:r>
      <w:r w:rsidR="00395EB3" w:rsidRPr="007D70F4">
        <w:rPr>
          <w:rFonts w:ascii="Book Antiqua" w:hAnsi="Book Antiqua" w:cstheme="majorBidi"/>
          <w:sz w:val="24"/>
          <w:szCs w:val="24"/>
          <w:lang w:val="en-GB" w:bidi="ar-EG"/>
        </w:rPr>
        <w:t xml:space="preserve"> normal; </w:t>
      </w:r>
      <w:r w:rsidR="00395EB3" w:rsidRPr="007D70F4">
        <w:rPr>
          <w:rFonts w:ascii="Book Antiqua" w:hAnsi="Book Antiqua" w:cstheme="majorBidi"/>
          <w:sz w:val="24"/>
          <w:szCs w:val="24"/>
          <w:vertAlign w:val="superscript"/>
          <w:lang w:val="en-GB" w:bidi="ar-EG"/>
        </w:rPr>
        <w:t>b</w:t>
      </w:r>
      <w:r w:rsidR="00395EB3" w:rsidRPr="00064658">
        <w:rPr>
          <w:rFonts w:ascii="Book Antiqua" w:hAnsi="Book Antiqua" w:cstheme="majorBidi"/>
          <w:i/>
          <w:iCs/>
          <w:sz w:val="24"/>
          <w:szCs w:val="24"/>
          <w:lang w:val="en-GB" w:bidi="ar-EG"/>
        </w:rPr>
        <w:t>P</w:t>
      </w:r>
      <w:r w:rsidR="00395EB3" w:rsidRPr="007D70F4">
        <w:rPr>
          <w:rFonts w:ascii="Book Antiqua" w:hAnsi="Book Antiqua" w:cstheme="majorBidi"/>
          <w:sz w:val="24"/>
          <w:szCs w:val="24"/>
          <w:lang w:val="en-GB" w:bidi="ar-EG"/>
        </w:rPr>
        <w:t xml:space="preserve"> &lt; 0.0</w:t>
      </w:r>
      <w:r>
        <w:rPr>
          <w:rFonts w:ascii="Book Antiqua" w:hAnsi="Book Antiqua" w:cstheme="majorBidi"/>
          <w:sz w:val="24"/>
          <w:szCs w:val="24"/>
          <w:lang w:val="en-GB" w:bidi="ar-EG"/>
        </w:rPr>
        <w:t>1</w:t>
      </w:r>
      <w:r w:rsidR="00395EB3" w:rsidRPr="007D70F4">
        <w:rPr>
          <w:rFonts w:ascii="Book Antiqua" w:hAnsi="Book Antiqua" w:cstheme="majorBidi"/>
          <w:sz w:val="24"/>
          <w:szCs w:val="24"/>
          <w:lang w:val="en-GB" w:bidi="ar-EG"/>
        </w:rPr>
        <w:t xml:space="preserve"> </w:t>
      </w:r>
      <w:r w:rsidR="00395EB3" w:rsidRPr="00064658">
        <w:rPr>
          <w:rFonts w:ascii="Book Antiqua" w:hAnsi="Book Antiqua" w:cstheme="majorBidi"/>
          <w:i/>
          <w:iCs/>
          <w:sz w:val="24"/>
          <w:szCs w:val="24"/>
          <w:lang w:val="en-GB" w:bidi="ar-EG"/>
        </w:rPr>
        <w:t>vs</w:t>
      </w:r>
      <w:r w:rsidR="00395EB3" w:rsidRPr="007D70F4">
        <w:rPr>
          <w:rFonts w:ascii="Book Antiqua" w:hAnsi="Book Antiqua" w:cstheme="majorBidi"/>
          <w:sz w:val="24"/>
          <w:szCs w:val="24"/>
          <w:lang w:val="en-GB" w:bidi="ar-EG"/>
        </w:rPr>
        <w:t xml:space="preserve"> diclofenac-treated group</w:t>
      </w:r>
      <w:r>
        <w:rPr>
          <w:rFonts w:ascii="Book Antiqua" w:hAnsi="Book Antiqua" w:cstheme="majorBidi"/>
          <w:sz w:val="24"/>
          <w:szCs w:val="24"/>
          <w:lang w:val="en-GB" w:bidi="ar-EG"/>
        </w:rPr>
        <w:t>,</w:t>
      </w:r>
      <w:r w:rsidR="00395EB3" w:rsidRPr="007D70F4">
        <w:rPr>
          <w:rFonts w:ascii="Book Antiqua" w:hAnsi="Book Antiqua" w:cstheme="majorBidi"/>
          <w:sz w:val="24"/>
          <w:szCs w:val="24"/>
          <w:lang w:val="en-GB" w:bidi="ar-EG"/>
        </w:rPr>
        <w:t xml:space="preserve"> </w:t>
      </w:r>
      <w:r w:rsidR="00395EB3" w:rsidRPr="00064658">
        <w:rPr>
          <w:rFonts w:ascii="Book Antiqua" w:eastAsia="等线" w:hAnsi="Book Antiqua"/>
          <w:i/>
          <w:iCs/>
          <w:sz w:val="24"/>
          <w:szCs w:val="24"/>
          <w:lang w:val="en-GB" w:bidi="ar-EG"/>
        </w:rPr>
        <w:t>n</w:t>
      </w:r>
      <w:r w:rsidR="00395EB3" w:rsidRPr="007D70F4">
        <w:rPr>
          <w:rFonts w:ascii="Book Antiqua" w:eastAsia="等线" w:hAnsi="Book Antiqua"/>
          <w:sz w:val="24"/>
          <w:szCs w:val="24"/>
          <w:lang w:val="en-GB" w:bidi="ar-EG"/>
        </w:rPr>
        <w:t xml:space="preserve"> = 7</w:t>
      </w:r>
      <w:r>
        <w:rPr>
          <w:rFonts w:ascii="Book Antiqua" w:eastAsia="等线" w:hAnsi="Book Antiqua"/>
          <w:sz w:val="24"/>
          <w:szCs w:val="24"/>
          <w:lang w:val="en-GB" w:bidi="ar-EG"/>
        </w:rPr>
        <w:t>.</w:t>
      </w:r>
      <w:r w:rsidR="00395EB3" w:rsidRPr="007D70F4">
        <w:rPr>
          <w:rFonts w:ascii="Book Antiqua" w:eastAsia="等线" w:hAnsi="Book Antiqua"/>
          <w:sz w:val="24"/>
          <w:szCs w:val="24"/>
          <w:lang w:val="en-GB" w:bidi="ar-EG"/>
        </w:rPr>
        <w:t xml:space="preserve"> </w:t>
      </w:r>
      <w:r w:rsidRPr="00064658">
        <w:rPr>
          <w:rFonts w:ascii="Book Antiqua" w:eastAsia="等线" w:hAnsi="Book Antiqua"/>
          <w:sz w:val="24"/>
          <w:szCs w:val="24"/>
          <w:lang w:val="en-US" w:bidi="ar-EG"/>
        </w:rPr>
        <w:t>IL-1β</w:t>
      </w:r>
      <w:r>
        <w:rPr>
          <w:rFonts w:ascii="Book Antiqua" w:eastAsia="等线" w:hAnsi="Book Antiqua"/>
          <w:sz w:val="24"/>
          <w:szCs w:val="24"/>
          <w:lang w:val="en-US" w:bidi="ar-EG"/>
        </w:rPr>
        <w:t xml:space="preserve">: </w:t>
      </w:r>
      <w:r w:rsidRPr="00064658">
        <w:rPr>
          <w:rFonts w:ascii="Book Antiqua" w:eastAsia="等线" w:hAnsi="Book Antiqua"/>
          <w:sz w:val="24"/>
          <w:szCs w:val="24"/>
          <w:lang w:val="en-US" w:bidi="ar-EG"/>
        </w:rPr>
        <w:t>Interleukin 1β</w:t>
      </w:r>
      <w:r>
        <w:rPr>
          <w:rFonts w:ascii="Book Antiqua" w:eastAsia="等线" w:hAnsi="Book Antiqua"/>
          <w:sz w:val="24"/>
          <w:szCs w:val="24"/>
          <w:lang w:val="en-US" w:bidi="ar-EG"/>
        </w:rPr>
        <w:t xml:space="preserve">; </w:t>
      </w:r>
      <w:r w:rsidRPr="00064658">
        <w:rPr>
          <w:rFonts w:ascii="Book Antiqua" w:eastAsia="等线" w:hAnsi="Book Antiqua"/>
          <w:sz w:val="24"/>
          <w:szCs w:val="24"/>
          <w:lang w:val="en-US" w:bidi="ar-EG"/>
        </w:rPr>
        <w:t>IL-10</w:t>
      </w:r>
      <w:r>
        <w:rPr>
          <w:rFonts w:ascii="Book Antiqua" w:eastAsia="等线" w:hAnsi="Book Antiqua"/>
          <w:sz w:val="24"/>
          <w:szCs w:val="24"/>
          <w:lang w:val="en-US" w:bidi="ar-EG"/>
        </w:rPr>
        <w:t xml:space="preserve">: </w:t>
      </w:r>
      <w:r w:rsidRPr="00064658">
        <w:rPr>
          <w:rFonts w:ascii="Book Antiqua" w:eastAsia="等线" w:hAnsi="Book Antiqua"/>
          <w:sz w:val="24"/>
          <w:szCs w:val="24"/>
          <w:lang w:val="en-US" w:bidi="ar-EG"/>
        </w:rPr>
        <w:t>Interleukin</w:t>
      </w:r>
      <w:r>
        <w:rPr>
          <w:rFonts w:ascii="Book Antiqua" w:eastAsia="等线" w:hAnsi="Book Antiqua"/>
          <w:sz w:val="24"/>
          <w:szCs w:val="24"/>
          <w:lang w:val="en-US" w:bidi="ar-EG"/>
        </w:rPr>
        <w:t xml:space="preserve"> 10;</w:t>
      </w:r>
      <w:r w:rsidRPr="00064658">
        <w:rPr>
          <w:rFonts w:ascii="Book Antiqua" w:eastAsia="Calibri" w:hAnsi="Book Antiqua"/>
          <w:sz w:val="24"/>
          <w:szCs w:val="24"/>
          <w:lang w:val="en-US"/>
        </w:rPr>
        <w:t xml:space="preserve"> </w:t>
      </w:r>
      <w:r w:rsidRPr="00064658">
        <w:rPr>
          <w:rFonts w:ascii="Book Antiqua" w:eastAsia="等线" w:hAnsi="Book Antiqua"/>
          <w:sz w:val="24"/>
          <w:szCs w:val="24"/>
          <w:lang w:val="en-US" w:bidi="ar-EG"/>
        </w:rPr>
        <w:t>TNF-α</w:t>
      </w:r>
      <w:r>
        <w:rPr>
          <w:rFonts w:ascii="Book Antiqua" w:eastAsia="等线" w:hAnsi="Book Antiqua"/>
          <w:sz w:val="24"/>
          <w:szCs w:val="24"/>
          <w:lang w:val="en-US" w:bidi="ar-EG"/>
        </w:rPr>
        <w:t xml:space="preserve">: </w:t>
      </w:r>
      <w:r w:rsidRPr="00064658">
        <w:rPr>
          <w:rFonts w:ascii="Book Antiqua" w:eastAsia="等线" w:hAnsi="Book Antiqua"/>
          <w:sz w:val="24"/>
          <w:szCs w:val="24"/>
          <w:lang w:val="en-US" w:bidi="ar-EG"/>
        </w:rPr>
        <w:t>Tumor necrosis factor-α</w:t>
      </w:r>
      <w:r>
        <w:rPr>
          <w:rFonts w:ascii="Book Antiqua" w:eastAsia="等线" w:hAnsi="Book Antiqua"/>
          <w:sz w:val="24"/>
          <w:szCs w:val="24"/>
          <w:lang w:val="en-US" w:bidi="ar-EG"/>
        </w:rPr>
        <w:t xml:space="preserve">; </w:t>
      </w:r>
      <w:r w:rsidRPr="00064658">
        <w:rPr>
          <w:rStyle w:val="Absatz-Standardschriftart"/>
          <w:rFonts w:ascii="Book Antiqua" w:hAnsi="Book Antiqua"/>
          <w:sz w:val="24"/>
          <w:szCs w:val="24"/>
        </w:rPr>
        <w:t>HO-1</w:t>
      </w:r>
      <w:r>
        <w:rPr>
          <w:rStyle w:val="Absatz-Standardschriftart"/>
          <w:rFonts w:ascii="Book Antiqua" w:hAnsi="Book Antiqua"/>
          <w:sz w:val="24"/>
          <w:szCs w:val="24"/>
        </w:rPr>
        <w:t xml:space="preserve">: </w:t>
      </w:r>
      <w:r w:rsidRPr="00064658">
        <w:rPr>
          <w:rStyle w:val="Absatz-Standardschriftart"/>
          <w:rFonts w:ascii="Book Antiqua" w:hAnsi="Book Antiqua"/>
          <w:sz w:val="24"/>
          <w:szCs w:val="24"/>
        </w:rPr>
        <w:t>Heme oxygenase-1</w:t>
      </w:r>
      <w:r>
        <w:rPr>
          <w:rStyle w:val="Absatz-Standardschriftart"/>
          <w:rFonts w:ascii="Book Antiqua" w:hAnsi="Book Antiqua"/>
          <w:sz w:val="24"/>
          <w:szCs w:val="24"/>
        </w:rPr>
        <w:t xml:space="preserve">; </w:t>
      </w:r>
      <w:r w:rsidRPr="00064658">
        <w:rPr>
          <w:rStyle w:val="Absatz-Standardschriftart"/>
          <w:rFonts w:ascii="Book Antiqua" w:hAnsi="Book Antiqua"/>
          <w:sz w:val="24"/>
          <w:szCs w:val="24"/>
        </w:rPr>
        <w:t>Bcl2</w:t>
      </w:r>
      <w:r>
        <w:rPr>
          <w:rStyle w:val="Absatz-Standardschriftart"/>
          <w:rFonts w:ascii="Book Antiqua" w:hAnsi="Book Antiqua"/>
          <w:sz w:val="24"/>
          <w:szCs w:val="24"/>
        </w:rPr>
        <w:t xml:space="preserve">: </w:t>
      </w:r>
      <w:r w:rsidRPr="00064658">
        <w:rPr>
          <w:rStyle w:val="Absatz-Standardschriftart"/>
          <w:rFonts w:ascii="Book Antiqua" w:hAnsi="Book Antiqua"/>
          <w:sz w:val="24"/>
          <w:szCs w:val="24"/>
        </w:rPr>
        <w:t>B-cell lymphoma 2</w:t>
      </w:r>
      <w:r>
        <w:rPr>
          <w:rStyle w:val="Absatz-Standardschriftart"/>
          <w:rFonts w:ascii="Book Antiqua" w:hAnsi="Book Antiqua"/>
          <w:sz w:val="24"/>
          <w:szCs w:val="24"/>
        </w:rPr>
        <w:t>.</w:t>
      </w:r>
    </w:p>
    <w:p w14:paraId="6479F7FA" w14:textId="78FA7BC5" w:rsidR="00064658" w:rsidRDefault="00064658">
      <w:pPr>
        <w:suppressAutoHyphens w:val="0"/>
        <w:spacing w:line="240" w:lineRule="auto"/>
        <w:jc w:val="left"/>
        <w:rPr>
          <w:rFonts w:eastAsiaTheme="minorEastAsia"/>
          <w:noProof/>
          <w:szCs w:val="24"/>
        </w:rPr>
      </w:pPr>
      <w:r>
        <w:rPr>
          <w:noProof/>
          <w:szCs w:val="24"/>
        </w:rPr>
        <w:br w:type="page"/>
      </w:r>
    </w:p>
    <w:p w14:paraId="51666163" w14:textId="58FC7BEC" w:rsidR="00064658" w:rsidRDefault="00064658" w:rsidP="00CE1AEB">
      <w:pPr>
        <w:pStyle w:val="Standard"/>
        <w:spacing w:line="360" w:lineRule="auto"/>
        <w:jc w:val="both"/>
        <w:rPr>
          <w:rFonts w:ascii="Book Antiqua" w:hAnsi="Book Antiqua"/>
          <w:noProof/>
          <w:sz w:val="24"/>
          <w:szCs w:val="24"/>
          <w:lang w:val="en-US"/>
        </w:rPr>
      </w:pPr>
      <w:r>
        <w:rPr>
          <w:rFonts w:ascii="Book Antiqua" w:hAnsi="Book Antiqua"/>
          <w:noProof/>
          <w:sz w:val="24"/>
          <w:szCs w:val="24"/>
          <w:lang w:val="en-US" w:eastAsia="zh-CN"/>
        </w:rPr>
        <w:lastRenderedPageBreak/>
        <w:drawing>
          <wp:inline distT="0" distB="0" distL="0" distR="0" wp14:anchorId="010EA7B7" wp14:editId="5C6C532C">
            <wp:extent cx="4295234" cy="2957886"/>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09660" cy="2967821"/>
                    </a:xfrm>
                    <a:prstGeom prst="rect">
                      <a:avLst/>
                    </a:prstGeom>
                    <a:noFill/>
                    <a:ln>
                      <a:noFill/>
                    </a:ln>
                  </pic:spPr>
                </pic:pic>
              </a:graphicData>
            </a:graphic>
          </wp:inline>
        </w:drawing>
      </w:r>
    </w:p>
    <w:p w14:paraId="31F30CE3" w14:textId="33D81E9B" w:rsidR="00395EB3" w:rsidRPr="00064658" w:rsidRDefault="00395EB3" w:rsidP="00064658">
      <w:pPr>
        <w:pStyle w:val="Standard"/>
        <w:spacing w:line="360" w:lineRule="auto"/>
        <w:jc w:val="both"/>
        <w:rPr>
          <w:rFonts w:ascii="Book Antiqua" w:eastAsia="Calibri" w:hAnsi="Book Antiqua"/>
          <w:sz w:val="24"/>
          <w:szCs w:val="24"/>
          <w:lang w:val="en-US"/>
        </w:rPr>
      </w:pPr>
      <w:r w:rsidRPr="007D70F4">
        <w:rPr>
          <w:rFonts w:ascii="Book Antiqua" w:hAnsi="Book Antiqua" w:cstheme="majorBidi"/>
          <w:b/>
          <w:bCs/>
          <w:sz w:val="24"/>
          <w:szCs w:val="24"/>
          <w:lang w:val="en-US"/>
        </w:rPr>
        <w:t xml:space="preserve">Figure </w:t>
      </w:r>
      <w:r w:rsidR="00064658">
        <w:rPr>
          <w:rFonts w:ascii="Book Antiqua" w:hAnsi="Book Antiqua" w:cstheme="majorBidi"/>
          <w:b/>
          <w:bCs/>
          <w:sz w:val="24"/>
          <w:szCs w:val="24"/>
          <w:lang w:val="en-US"/>
        </w:rPr>
        <w:t>2</w:t>
      </w:r>
      <w:r w:rsidRPr="007D70F4">
        <w:rPr>
          <w:rFonts w:ascii="Book Antiqua" w:hAnsi="Book Antiqua" w:cstheme="majorBidi"/>
          <w:sz w:val="24"/>
          <w:szCs w:val="24"/>
          <w:lang w:val="en-US"/>
        </w:rPr>
        <w:t xml:space="preserve"> </w:t>
      </w:r>
      <w:bookmarkStart w:id="154" w:name="OLE_LINK1"/>
      <w:r w:rsidRPr="007D70F4">
        <w:rPr>
          <w:rFonts w:ascii="Book Antiqua" w:hAnsi="Book Antiqua" w:cstheme="majorBidi"/>
          <w:b/>
          <w:sz w:val="24"/>
          <w:szCs w:val="24"/>
          <w:lang w:val="en-US"/>
        </w:rPr>
        <w:t>Histopathological changes in rat stomach</w:t>
      </w:r>
      <w:bookmarkEnd w:id="154"/>
      <w:r w:rsidRPr="007D70F4">
        <w:rPr>
          <w:rFonts w:ascii="Book Antiqua" w:hAnsi="Book Antiqua" w:cstheme="majorBidi"/>
          <w:sz w:val="24"/>
          <w:szCs w:val="24"/>
          <w:lang w:val="en-US"/>
        </w:rPr>
        <w:t xml:space="preserve">. </w:t>
      </w:r>
      <w:r w:rsidRPr="00064658">
        <w:rPr>
          <w:rFonts w:ascii="Book Antiqua" w:hAnsi="Book Antiqua" w:cstheme="majorBidi"/>
          <w:sz w:val="24"/>
          <w:szCs w:val="24"/>
          <w:lang w:val="en-US"/>
        </w:rPr>
        <w:t xml:space="preserve">A: </w:t>
      </w:r>
      <w:r w:rsidR="00064658" w:rsidRPr="00064658">
        <w:rPr>
          <w:rFonts w:ascii="Book Antiqua" w:hAnsi="Book Antiqua" w:cstheme="majorBidi"/>
          <w:sz w:val="24"/>
          <w:szCs w:val="24"/>
          <w:lang w:val="en-US"/>
        </w:rPr>
        <w:t>U</w:t>
      </w:r>
      <w:r w:rsidRPr="00064658">
        <w:rPr>
          <w:rFonts w:ascii="Book Antiqua" w:hAnsi="Book Antiqua" w:cstheme="majorBidi"/>
          <w:sz w:val="24"/>
          <w:szCs w:val="24"/>
          <w:lang w:val="en-US"/>
        </w:rPr>
        <w:t xml:space="preserve">ntreated controls showing a normal histological structure of gastric layers (mucosa, submucosa and musculosa); B: </w:t>
      </w:r>
      <w:r w:rsidR="00064658" w:rsidRPr="00064658">
        <w:rPr>
          <w:rFonts w:ascii="Book Antiqua" w:hAnsi="Book Antiqua" w:cstheme="majorBidi"/>
          <w:sz w:val="24"/>
          <w:szCs w:val="24"/>
          <w:lang w:val="en-US"/>
        </w:rPr>
        <w:t>D</w:t>
      </w:r>
      <w:r w:rsidRPr="00064658">
        <w:rPr>
          <w:rFonts w:ascii="Book Antiqua" w:hAnsi="Book Antiqua" w:cstheme="majorBidi"/>
          <w:sz w:val="24"/>
          <w:szCs w:val="24"/>
          <w:lang w:val="en-US"/>
        </w:rPr>
        <w:t xml:space="preserve">iclofenac treated rats, showing multiple focal necrosis of gastric mucosa associated with mononuclear cell infiltration (black arrows), sub-mucosal edema and inflammatory cells infiltration (red arrow); C: </w:t>
      </w:r>
      <w:r w:rsidR="00064658" w:rsidRPr="00064658">
        <w:rPr>
          <w:rFonts w:ascii="Book Antiqua" w:hAnsi="Book Antiqua" w:cstheme="majorBidi"/>
          <w:sz w:val="24"/>
          <w:szCs w:val="24"/>
          <w:lang w:val="en-US"/>
        </w:rPr>
        <w:t>D</w:t>
      </w:r>
      <w:r w:rsidRPr="00064658">
        <w:rPr>
          <w:rFonts w:ascii="Book Antiqua" w:hAnsi="Book Antiqua" w:cstheme="majorBidi"/>
          <w:sz w:val="24"/>
          <w:szCs w:val="24"/>
          <w:lang w:val="en-US"/>
        </w:rPr>
        <w:t xml:space="preserve">iclofenac together with omeprazole treated rats, showing sub-mucosal edema (black arrow) and congested sub-mucosal blood vessel (red arrow); D: </w:t>
      </w:r>
      <w:r w:rsidR="00064658" w:rsidRPr="00064658">
        <w:rPr>
          <w:rFonts w:ascii="Book Antiqua" w:hAnsi="Book Antiqua" w:cstheme="majorBidi"/>
          <w:sz w:val="24"/>
          <w:szCs w:val="24"/>
          <w:lang w:val="en-US"/>
        </w:rPr>
        <w:t>D</w:t>
      </w:r>
      <w:r w:rsidRPr="00064658">
        <w:rPr>
          <w:rFonts w:ascii="Book Antiqua" w:hAnsi="Book Antiqua" w:cstheme="majorBidi"/>
          <w:sz w:val="24"/>
          <w:szCs w:val="24"/>
          <w:lang w:val="en-US"/>
        </w:rPr>
        <w:t>iclofenac together with STW 5 treated rats showing no histopathological alterations.</w:t>
      </w:r>
    </w:p>
    <w:p w14:paraId="54422A6B" w14:textId="5AFF2257" w:rsidR="00395EB3" w:rsidRPr="007D70F4" w:rsidRDefault="00395EB3" w:rsidP="008E78B7">
      <w:pPr>
        <w:rPr>
          <w:szCs w:val="24"/>
        </w:rPr>
      </w:pPr>
      <w:r w:rsidRPr="007D70F4">
        <w:rPr>
          <w:szCs w:val="24"/>
        </w:rPr>
        <w:br w:type="page"/>
      </w:r>
    </w:p>
    <w:p w14:paraId="167FA72D" w14:textId="0617E31C" w:rsidR="004B117F" w:rsidRPr="007D70F4" w:rsidRDefault="00064658" w:rsidP="008E78B7">
      <w:pPr>
        <w:rPr>
          <w:b/>
          <w:bCs/>
          <w:szCs w:val="24"/>
        </w:rPr>
      </w:pPr>
      <w:r>
        <w:rPr>
          <w:b/>
          <w:bCs/>
          <w:noProof/>
          <w:szCs w:val="24"/>
          <w:lang w:eastAsia="zh-CN"/>
        </w:rPr>
        <w:lastRenderedPageBreak/>
        <w:drawing>
          <wp:inline distT="0" distB="0" distL="0" distR="0" wp14:anchorId="1D11B1E7" wp14:editId="3B30B86B">
            <wp:extent cx="4237500" cy="29181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60649" cy="2934071"/>
                    </a:xfrm>
                    <a:prstGeom prst="rect">
                      <a:avLst/>
                    </a:prstGeom>
                    <a:noFill/>
                    <a:ln>
                      <a:noFill/>
                    </a:ln>
                  </pic:spPr>
                </pic:pic>
              </a:graphicData>
            </a:graphic>
          </wp:inline>
        </w:drawing>
      </w:r>
    </w:p>
    <w:p w14:paraId="16C2394C" w14:textId="168140C6" w:rsidR="00395EB3" w:rsidRPr="00064658" w:rsidRDefault="00395EB3" w:rsidP="008E78B7">
      <w:pPr>
        <w:rPr>
          <w:szCs w:val="24"/>
        </w:rPr>
      </w:pPr>
      <w:r w:rsidRPr="007D70F4">
        <w:rPr>
          <w:b/>
          <w:bCs/>
          <w:szCs w:val="24"/>
        </w:rPr>
        <w:t xml:space="preserve">Figure </w:t>
      </w:r>
      <w:r w:rsidR="00064658">
        <w:rPr>
          <w:b/>
          <w:bCs/>
          <w:szCs w:val="24"/>
        </w:rPr>
        <w:t>3</w:t>
      </w:r>
      <w:r w:rsidRPr="007D70F4">
        <w:rPr>
          <w:szCs w:val="24"/>
        </w:rPr>
        <w:t xml:space="preserve"> </w:t>
      </w:r>
      <w:r w:rsidRPr="007D70F4">
        <w:rPr>
          <w:b/>
          <w:szCs w:val="24"/>
        </w:rPr>
        <w:t>Histopathological changes in rat duodenum</w:t>
      </w:r>
      <w:r w:rsidRPr="007D70F4">
        <w:rPr>
          <w:szCs w:val="24"/>
        </w:rPr>
        <w:t xml:space="preserve">. </w:t>
      </w:r>
      <w:r w:rsidRPr="00064658">
        <w:rPr>
          <w:szCs w:val="24"/>
        </w:rPr>
        <w:t>A:</w:t>
      </w:r>
      <w:r w:rsidR="004B117F" w:rsidRPr="00064658">
        <w:rPr>
          <w:szCs w:val="24"/>
        </w:rPr>
        <w:t xml:space="preserve"> </w:t>
      </w:r>
      <w:r w:rsidR="00064658" w:rsidRPr="00064658">
        <w:rPr>
          <w:szCs w:val="24"/>
        </w:rPr>
        <w:t>U</w:t>
      </w:r>
      <w:r w:rsidR="004B117F" w:rsidRPr="00064658">
        <w:rPr>
          <w:szCs w:val="24"/>
        </w:rPr>
        <w:t xml:space="preserve">ntreated controls showing </w:t>
      </w:r>
      <w:r w:rsidRPr="00064658">
        <w:rPr>
          <w:szCs w:val="24"/>
        </w:rPr>
        <w:t xml:space="preserve">a normal histological structure of villi, crypts and muscularis layer; B: </w:t>
      </w:r>
      <w:r w:rsidR="00064658" w:rsidRPr="00064658">
        <w:rPr>
          <w:szCs w:val="24"/>
        </w:rPr>
        <w:t>D</w:t>
      </w:r>
      <w:r w:rsidRPr="00064658">
        <w:rPr>
          <w:szCs w:val="24"/>
        </w:rPr>
        <w:t xml:space="preserve">iclofenac treated rats showing focal mucosal necrosis (black arrow) associated with focal inflammatory cells infiltration in lamina propria (red arrow); C: </w:t>
      </w:r>
      <w:r w:rsidR="00064658" w:rsidRPr="00064658">
        <w:rPr>
          <w:szCs w:val="24"/>
        </w:rPr>
        <w:t>D</w:t>
      </w:r>
      <w:r w:rsidRPr="00064658">
        <w:rPr>
          <w:szCs w:val="24"/>
        </w:rPr>
        <w:t xml:space="preserve">iclofenac together with omeprazole treated rats showing congestion of blood vessels in the lamina propria (black arrows); D: </w:t>
      </w:r>
      <w:r w:rsidR="00064658" w:rsidRPr="00064658">
        <w:rPr>
          <w:szCs w:val="24"/>
        </w:rPr>
        <w:t>D</w:t>
      </w:r>
      <w:r w:rsidRPr="00064658">
        <w:rPr>
          <w:szCs w:val="24"/>
        </w:rPr>
        <w:t xml:space="preserve">iclofenac together with STW 5 treated rats showing no histopathological alterations. </w:t>
      </w:r>
    </w:p>
    <w:p w14:paraId="341CE423" w14:textId="77777777" w:rsidR="00395EB3" w:rsidRPr="007D70F4" w:rsidRDefault="00395EB3" w:rsidP="008E78B7">
      <w:pPr>
        <w:rPr>
          <w:b/>
          <w:bCs/>
          <w:szCs w:val="24"/>
        </w:rPr>
      </w:pPr>
      <w:r w:rsidRPr="007D70F4">
        <w:rPr>
          <w:b/>
          <w:bCs/>
          <w:szCs w:val="24"/>
        </w:rPr>
        <w:br w:type="page"/>
      </w:r>
    </w:p>
    <w:p w14:paraId="539A8E4D" w14:textId="11C74551" w:rsidR="00064658" w:rsidRDefault="00064658" w:rsidP="008E78B7">
      <w:pPr>
        <w:rPr>
          <w:b/>
          <w:szCs w:val="24"/>
        </w:rPr>
      </w:pPr>
      <w:r>
        <w:rPr>
          <w:b/>
          <w:noProof/>
          <w:szCs w:val="24"/>
          <w:lang w:eastAsia="zh-CN"/>
        </w:rPr>
        <w:lastRenderedPageBreak/>
        <w:drawing>
          <wp:inline distT="0" distB="0" distL="0" distR="0" wp14:anchorId="24809D74" wp14:editId="4F0FBD66">
            <wp:extent cx="2727298" cy="2111476"/>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9986" cy="2144525"/>
                    </a:xfrm>
                    <a:prstGeom prst="rect">
                      <a:avLst/>
                    </a:prstGeom>
                    <a:noFill/>
                    <a:ln>
                      <a:noFill/>
                    </a:ln>
                  </pic:spPr>
                </pic:pic>
              </a:graphicData>
            </a:graphic>
          </wp:inline>
        </w:drawing>
      </w:r>
      <w:r w:rsidR="00240E9D">
        <w:rPr>
          <w:b/>
          <w:noProof/>
          <w:szCs w:val="24"/>
          <w:lang w:eastAsia="zh-CN"/>
        </w:rPr>
        <w:drawing>
          <wp:inline distT="0" distB="0" distL="0" distR="0" wp14:anchorId="24BAEEF2" wp14:editId="326D8E6F">
            <wp:extent cx="2867891" cy="2099219"/>
            <wp:effectExtent l="0" t="0" r="889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03917" cy="2125589"/>
                    </a:xfrm>
                    <a:prstGeom prst="rect">
                      <a:avLst/>
                    </a:prstGeom>
                    <a:noFill/>
                    <a:ln>
                      <a:noFill/>
                    </a:ln>
                  </pic:spPr>
                </pic:pic>
              </a:graphicData>
            </a:graphic>
          </wp:inline>
        </w:drawing>
      </w:r>
    </w:p>
    <w:p w14:paraId="7B2E31DD" w14:textId="57791618" w:rsidR="00395EB3" w:rsidRPr="00F46509" w:rsidRDefault="009D59D9" w:rsidP="008E78B7">
      <w:pPr>
        <w:rPr>
          <w:bCs/>
          <w:szCs w:val="24"/>
        </w:rPr>
      </w:pPr>
      <w:r w:rsidRPr="007D70F4">
        <w:rPr>
          <w:b/>
          <w:szCs w:val="24"/>
        </w:rPr>
        <w:t xml:space="preserve">Figure </w:t>
      </w:r>
      <w:r w:rsidR="00064658">
        <w:rPr>
          <w:b/>
          <w:szCs w:val="24"/>
        </w:rPr>
        <w:t>4</w:t>
      </w:r>
      <w:r w:rsidR="00395EB3" w:rsidRPr="007D70F4">
        <w:rPr>
          <w:szCs w:val="24"/>
        </w:rPr>
        <w:t xml:space="preserve"> </w:t>
      </w:r>
      <w:r w:rsidR="00395EB3" w:rsidRPr="007D70F4">
        <w:rPr>
          <w:b/>
          <w:szCs w:val="24"/>
        </w:rPr>
        <w:t xml:space="preserve">Changes in </w:t>
      </w:r>
      <w:r w:rsidR="00395EB3" w:rsidRPr="007D70F4">
        <w:rPr>
          <w:rFonts w:cstheme="majorBidi"/>
          <w:b/>
          <w:szCs w:val="24"/>
        </w:rPr>
        <w:t xml:space="preserve">overall damage score </w:t>
      </w:r>
      <w:r w:rsidR="00395EB3" w:rsidRPr="007D70F4">
        <w:rPr>
          <w:b/>
          <w:szCs w:val="24"/>
        </w:rPr>
        <w:t>in gastro-intestinal lesions induced by diclofenac in rats after treatment with omeprazole (20</w:t>
      </w:r>
      <w:r w:rsidR="00576093" w:rsidRPr="007D70F4">
        <w:rPr>
          <w:b/>
          <w:szCs w:val="24"/>
        </w:rPr>
        <w:t xml:space="preserve"> </w:t>
      </w:r>
      <w:r w:rsidR="00395EB3" w:rsidRPr="007D70F4">
        <w:rPr>
          <w:b/>
          <w:szCs w:val="24"/>
        </w:rPr>
        <w:t>mg/kg) or STW 5 (5 m</w:t>
      </w:r>
      <w:r w:rsidR="00064658" w:rsidRPr="007D70F4">
        <w:rPr>
          <w:b/>
          <w:szCs w:val="24"/>
        </w:rPr>
        <w:t>L</w:t>
      </w:r>
      <w:r w:rsidR="00395EB3" w:rsidRPr="007D70F4">
        <w:rPr>
          <w:b/>
          <w:szCs w:val="24"/>
        </w:rPr>
        <w:t>/kg).</w:t>
      </w:r>
      <w:r w:rsidR="00395EB3" w:rsidRPr="007D70F4">
        <w:rPr>
          <w:szCs w:val="24"/>
        </w:rPr>
        <w:t xml:space="preserve"> </w:t>
      </w:r>
      <w:r w:rsidR="00395EB3" w:rsidRPr="00064658">
        <w:rPr>
          <w:bCs/>
          <w:szCs w:val="24"/>
        </w:rPr>
        <w:t xml:space="preserve">A: </w:t>
      </w:r>
      <w:r w:rsidR="00064658" w:rsidRPr="00064658">
        <w:rPr>
          <w:bCs/>
          <w:szCs w:val="24"/>
        </w:rPr>
        <w:t>G</w:t>
      </w:r>
      <w:r w:rsidR="00395EB3" w:rsidRPr="00064658">
        <w:rPr>
          <w:bCs/>
          <w:szCs w:val="24"/>
        </w:rPr>
        <w:t>astric lesions</w:t>
      </w:r>
      <w:r w:rsidR="00064658">
        <w:rPr>
          <w:bCs/>
          <w:szCs w:val="24"/>
        </w:rPr>
        <w:t>;</w:t>
      </w:r>
      <w:r w:rsidR="00395EB3" w:rsidRPr="00064658">
        <w:rPr>
          <w:bCs/>
          <w:szCs w:val="24"/>
        </w:rPr>
        <w:t xml:space="preserve"> B: </w:t>
      </w:r>
      <w:r w:rsidR="00064658" w:rsidRPr="00064658">
        <w:rPr>
          <w:bCs/>
          <w:szCs w:val="24"/>
        </w:rPr>
        <w:t>D</w:t>
      </w:r>
      <w:r w:rsidR="00395EB3" w:rsidRPr="00064658">
        <w:rPr>
          <w:bCs/>
          <w:szCs w:val="24"/>
        </w:rPr>
        <w:t>uodenal lesions. Data are expressed as box plots of the median of six animals</w:t>
      </w:r>
      <w:r w:rsidR="0053194D" w:rsidRPr="00064658">
        <w:rPr>
          <w:bCs/>
          <w:szCs w:val="24"/>
        </w:rPr>
        <w:t>.</w:t>
      </w:r>
      <w:r w:rsidR="00B903B1">
        <w:rPr>
          <w:bCs/>
          <w:szCs w:val="24"/>
        </w:rPr>
        <w:t xml:space="preserve"> </w:t>
      </w:r>
      <w:r w:rsidR="00B903B1" w:rsidRPr="007D70F4">
        <w:rPr>
          <w:rFonts w:cstheme="majorBidi"/>
          <w:szCs w:val="24"/>
          <w:vertAlign w:val="superscript"/>
          <w:lang w:val="en-GB" w:bidi="ar-EG"/>
        </w:rPr>
        <w:t>a</w:t>
      </w:r>
      <w:r w:rsidR="00B903B1" w:rsidRPr="00064658">
        <w:rPr>
          <w:rFonts w:cstheme="majorBidi"/>
          <w:i/>
          <w:iCs/>
          <w:szCs w:val="24"/>
          <w:lang w:val="en-GB" w:bidi="ar-EG"/>
        </w:rPr>
        <w:t>P</w:t>
      </w:r>
      <w:r w:rsidR="00B903B1" w:rsidRPr="007D70F4">
        <w:rPr>
          <w:rFonts w:cstheme="majorBidi"/>
          <w:szCs w:val="24"/>
          <w:lang w:val="en-GB" w:bidi="ar-EG"/>
        </w:rPr>
        <w:t xml:space="preserve"> &lt; 0.05 </w:t>
      </w:r>
      <w:r w:rsidR="00B903B1" w:rsidRPr="00064658">
        <w:rPr>
          <w:rFonts w:cstheme="majorBidi"/>
          <w:i/>
          <w:iCs/>
          <w:szCs w:val="24"/>
          <w:lang w:val="en-GB" w:bidi="ar-EG"/>
        </w:rPr>
        <w:t>vs</w:t>
      </w:r>
      <w:r w:rsidR="00B903B1" w:rsidRPr="007D70F4">
        <w:rPr>
          <w:rFonts w:cstheme="majorBidi"/>
          <w:szCs w:val="24"/>
          <w:lang w:val="en-GB" w:bidi="ar-EG"/>
        </w:rPr>
        <w:t xml:space="preserve"> normal; </w:t>
      </w:r>
      <w:r w:rsidR="00B903B1" w:rsidRPr="007D70F4">
        <w:rPr>
          <w:rFonts w:cstheme="majorBidi"/>
          <w:szCs w:val="24"/>
          <w:vertAlign w:val="superscript"/>
          <w:lang w:val="en-GB" w:bidi="ar-EG"/>
        </w:rPr>
        <w:t>b</w:t>
      </w:r>
      <w:r w:rsidR="00B903B1" w:rsidRPr="00064658">
        <w:rPr>
          <w:rFonts w:cstheme="majorBidi"/>
          <w:i/>
          <w:iCs/>
          <w:szCs w:val="24"/>
          <w:lang w:val="en-GB" w:bidi="ar-EG"/>
        </w:rPr>
        <w:t>P</w:t>
      </w:r>
      <w:r w:rsidR="00B903B1" w:rsidRPr="007D70F4">
        <w:rPr>
          <w:rFonts w:cstheme="majorBidi"/>
          <w:szCs w:val="24"/>
          <w:lang w:val="en-GB" w:bidi="ar-EG"/>
        </w:rPr>
        <w:t xml:space="preserve"> &lt; 0.0</w:t>
      </w:r>
      <w:r w:rsidR="00B903B1">
        <w:rPr>
          <w:rFonts w:cstheme="majorBidi"/>
          <w:szCs w:val="24"/>
          <w:lang w:val="en-GB" w:bidi="ar-EG"/>
        </w:rPr>
        <w:t>1</w:t>
      </w:r>
      <w:r w:rsidR="00B903B1" w:rsidRPr="007D70F4">
        <w:rPr>
          <w:rFonts w:cstheme="majorBidi"/>
          <w:szCs w:val="24"/>
          <w:lang w:val="en-GB" w:bidi="ar-EG"/>
        </w:rPr>
        <w:t xml:space="preserve"> </w:t>
      </w:r>
      <w:r w:rsidR="00B903B1" w:rsidRPr="00064658">
        <w:rPr>
          <w:rFonts w:cstheme="majorBidi"/>
          <w:i/>
          <w:iCs/>
          <w:szCs w:val="24"/>
          <w:lang w:val="en-GB" w:bidi="ar-EG"/>
        </w:rPr>
        <w:t>vs</w:t>
      </w:r>
      <w:r w:rsidR="00B903B1" w:rsidRPr="007D70F4">
        <w:rPr>
          <w:rFonts w:cstheme="majorBidi"/>
          <w:szCs w:val="24"/>
          <w:lang w:val="en-GB" w:bidi="ar-EG"/>
        </w:rPr>
        <w:t xml:space="preserve"> diclofenac-treated group</w:t>
      </w:r>
      <w:r w:rsidR="00B903B1">
        <w:rPr>
          <w:rFonts w:eastAsia="等线"/>
          <w:szCs w:val="24"/>
          <w:lang w:val="en-GB" w:bidi="ar-EG"/>
        </w:rPr>
        <w:t>.</w:t>
      </w:r>
    </w:p>
    <w:sectPr w:rsidR="00395EB3" w:rsidRPr="00F46509" w:rsidSect="0096726F">
      <w:footerReference w:type="default" r:id="rId3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CC829" w14:textId="77777777" w:rsidR="00CE2E70" w:rsidRDefault="00CE2E70" w:rsidP="006F5C2E">
      <w:r>
        <w:separator/>
      </w:r>
    </w:p>
  </w:endnote>
  <w:endnote w:type="continuationSeparator" w:id="0">
    <w:p w14:paraId="7D495F91" w14:textId="77777777" w:rsidR="00CE2E70" w:rsidRDefault="00CE2E70" w:rsidP="006F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027975"/>
      <w:docPartObj>
        <w:docPartGallery w:val="Page Numbers (Bottom of Page)"/>
        <w:docPartUnique/>
      </w:docPartObj>
    </w:sdtPr>
    <w:sdtEndPr>
      <w:rPr>
        <w:noProof/>
      </w:rPr>
    </w:sdtEndPr>
    <w:sdtContent>
      <w:p w14:paraId="76385FEC" w14:textId="5FEBCCAB" w:rsidR="00395EB3" w:rsidRDefault="00395EB3" w:rsidP="006F5C2E">
        <w:pPr>
          <w:pStyle w:val="a9"/>
        </w:pPr>
        <w:r>
          <w:fldChar w:fldCharType="begin"/>
        </w:r>
        <w:r>
          <w:instrText xml:space="preserve"> PAGE   \* MERGEFORMAT </w:instrText>
        </w:r>
        <w:r>
          <w:fldChar w:fldCharType="separate"/>
        </w:r>
        <w:r w:rsidR="00B84FD4">
          <w:rPr>
            <w:noProof/>
          </w:rPr>
          <w:t>25</w:t>
        </w:r>
        <w:r>
          <w:rPr>
            <w:noProof/>
          </w:rPr>
          <w:fldChar w:fldCharType="end"/>
        </w:r>
      </w:p>
    </w:sdtContent>
  </w:sdt>
  <w:p w14:paraId="6BC4C669" w14:textId="77777777" w:rsidR="00395EB3" w:rsidRDefault="00395EB3" w:rsidP="006F5C2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332A6" w14:textId="77777777" w:rsidR="00CE2E70" w:rsidRDefault="00CE2E70" w:rsidP="006F5C2E">
      <w:r>
        <w:separator/>
      </w:r>
    </w:p>
  </w:footnote>
  <w:footnote w:type="continuationSeparator" w:id="0">
    <w:p w14:paraId="2D127CD0" w14:textId="77777777" w:rsidR="00CE2E70" w:rsidRDefault="00CE2E70" w:rsidP="006F5C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1136"/>
    <w:multiLevelType w:val="hybridMultilevel"/>
    <w:tmpl w:val="9EA6ECD2"/>
    <w:lvl w:ilvl="0" w:tplc="759EC4C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5C7839"/>
    <w:multiLevelType w:val="multilevel"/>
    <w:tmpl w:val="E444932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A262242"/>
    <w:multiLevelType w:val="hybridMultilevel"/>
    <w:tmpl w:val="B5C6DCE6"/>
    <w:lvl w:ilvl="0" w:tplc="041011FE">
      <w:start w:val="3"/>
      <w:numFmt w:val="decimal"/>
      <w:lvlText w:val="%1."/>
      <w:lvlJc w:val="left"/>
      <w:pPr>
        <w:ind w:left="532" w:hanging="360"/>
      </w:pPr>
      <w:rPr>
        <w:rFonts w:eastAsia="Calibri" w:hint="default"/>
        <w:b/>
      </w:rPr>
    </w:lvl>
    <w:lvl w:ilvl="1" w:tplc="08090019" w:tentative="1">
      <w:start w:val="1"/>
      <w:numFmt w:val="lowerLetter"/>
      <w:lvlText w:val="%2."/>
      <w:lvlJc w:val="left"/>
      <w:pPr>
        <w:ind w:left="1252" w:hanging="360"/>
      </w:pPr>
    </w:lvl>
    <w:lvl w:ilvl="2" w:tplc="0809001B" w:tentative="1">
      <w:start w:val="1"/>
      <w:numFmt w:val="lowerRoman"/>
      <w:lvlText w:val="%3."/>
      <w:lvlJc w:val="right"/>
      <w:pPr>
        <w:ind w:left="1972" w:hanging="180"/>
      </w:pPr>
    </w:lvl>
    <w:lvl w:ilvl="3" w:tplc="0809000F" w:tentative="1">
      <w:start w:val="1"/>
      <w:numFmt w:val="decimal"/>
      <w:lvlText w:val="%4."/>
      <w:lvlJc w:val="left"/>
      <w:pPr>
        <w:ind w:left="2692" w:hanging="360"/>
      </w:pPr>
    </w:lvl>
    <w:lvl w:ilvl="4" w:tplc="08090019" w:tentative="1">
      <w:start w:val="1"/>
      <w:numFmt w:val="lowerLetter"/>
      <w:lvlText w:val="%5."/>
      <w:lvlJc w:val="left"/>
      <w:pPr>
        <w:ind w:left="3412" w:hanging="360"/>
      </w:pPr>
    </w:lvl>
    <w:lvl w:ilvl="5" w:tplc="0809001B" w:tentative="1">
      <w:start w:val="1"/>
      <w:numFmt w:val="lowerRoman"/>
      <w:lvlText w:val="%6."/>
      <w:lvlJc w:val="right"/>
      <w:pPr>
        <w:ind w:left="4132" w:hanging="180"/>
      </w:pPr>
    </w:lvl>
    <w:lvl w:ilvl="6" w:tplc="0809000F" w:tentative="1">
      <w:start w:val="1"/>
      <w:numFmt w:val="decimal"/>
      <w:lvlText w:val="%7."/>
      <w:lvlJc w:val="left"/>
      <w:pPr>
        <w:ind w:left="4852" w:hanging="360"/>
      </w:pPr>
    </w:lvl>
    <w:lvl w:ilvl="7" w:tplc="08090019" w:tentative="1">
      <w:start w:val="1"/>
      <w:numFmt w:val="lowerLetter"/>
      <w:lvlText w:val="%8."/>
      <w:lvlJc w:val="left"/>
      <w:pPr>
        <w:ind w:left="5572" w:hanging="360"/>
      </w:pPr>
    </w:lvl>
    <w:lvl w:ilvl="8" w:tplc="0809001B" w:tentative="1">
      <w:start w:val="1"/>
      <w:numFmt w:val="lowerRoman"/>
      <w:lvlText w:val="%9."/>
      <w:lvlJc w:val="right"/>
      <w:pPr>
        <w:ind w:left="6292" w:hanging="180"/>
      </w:pPr>
    </w:lvl>
  </w:abstractNum>
  <w:abstractNum w:abstractNumId="3" w15:restartNumberingAfterBreak="0">
    <w:nsid w:val="30672EB8"/>
    <w:multiLevelType w:val="hybridMultilevel"/>
    <w:tmpl w:val="79CCED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394CEA"/>
    <w:multiLevelType w:val="multilevel"/>
    <w:tmpl w:val="0792CB58"/>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F8B2C84"/>
    <w:multiLevelType w:val="multilevel"/>
    <w:tmpl w:val="F40ACCF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6DE12CCE"/>
    <w:multiLevelType w:val="hybridMultilevel"/>
    <w:tmpl w:val="63EA8218"/>
    <w:lvl w:ilvl="0" w:tplc="F060278A">
      <w:start w:val="3"/>
      <w:numFmt w:val="decimal"/>
      <w:lvlText w:val="%1."/>
      <w:lvlJc w:val="left"/>
      <w:pPr>
        <w:ind w:left="532" w:hanging="360"/>
      </w:pPr>
      <w:rPr>
        <w:rFonts w:hint="default"/>
      </w:rPr>
    </w:lvl>
    <w:lvl w:ilvl="1" w:tplc="08090019" w:tentative="1">
      <w:start w:val="1"/>
      <w:numFmt w:val="lowerLetter"/>
      <w:lvlText w:val="%2."/>
      <w:lvlJc w:val="left"/>
      <w:pPr>
        <w:ind w:left="1252" w:hanging="360"/>
      </w:pPr>
    </w:lvl>
    <w:lvl w:ilvl="2" w:tplc="0809001B" w:tentative="1">
      <w:start w:val="1"/>
      <w:numFmt w:val="lowerRoman"/>
      <w:lvlText w:val="%3."/>
      <w:lvlJc w:val="right"/>
      <w:pPr>
        <w:ind w:left="1972" w:hanging="180"/>
      </w:pPr>
    </w:lvl>
    <w:lvl w:ilvl="3" w:tplc="0809000F" w:tentative="1">
      <w:start w:val="1"/>
      <w:numFmt w:val="decimal"/>
      <w:lvlText w:val="%4."/>
      <w:lvlJc w:val="left"/>
      <w:pPr>
        <w:ind w:left="2692" w:hanging="360"/>
      </w:pPr>
    </w:lvl>
    <w:lvl w:ilvl="4" w:tplc="08090019" w:tentative="1">
      <w:start w:val="1"/>
      <w:numFmt w:val="lowerLetter"/>
      <w:lvlText w:val="%5."/>
      <w:lvlJc w:val="left"/>
      <w:pPr>
        <w:ind w:left="3412" w:hanging="360"/>
      </w:pPr>
    </w:lvl>
    <w:lvl w:ilvl="5" w:tplc="0809001B" w:tentative="1">
      <w:start w:val="1"/>
      <w:numFmt w:val="lowerRoman"/>
      <w:lvlText w:val="%6."/>
      <w:lvlJc w:val="right"/>
      <w:pPr>
        <w:ind w:left="4132" w:hanging="180"/>
      </w:pPr>
    </w:lvl>
    <w:lvl w:ilvl="6" w:tplc="0809000F" w:tentative="1">
      <w:start w:val="1"/>
      <w:numFmt w:val="decimal"/>
      <w:lvlText w:val="%7."/>
      <w:lvlJc w:val="left"/>
      <w:pPr>
        <w:ind w:left="4852" w:hanging="360"/>
      </w:pPr>
    </w:lvl>
    <w:lvl w:ilvl="7" w:tplc="08090019" w:tentative="1">
      <w:start w:val="1"/>
      <w:numFmt w:val="lowerLetter"/>
      <w:lvlText w:val="%8."/>
      <w:lvlJc w:val="left"/>
      <w:pPr>
        <w:ind w:left="5572" w:hanging="360"/>
      </w:pPr>
    </w:lvl>
    <w:lvl w:ilvl="8" w:tplc="0809001B" w:tentative="1">
      <w:start w:val="1"/>
      <w:numFmt w:val="lowerRoman"/>
      <w:lvlText w:val="%9."/>
      <w:lvlJc w:val="right"/>
      <w:pPr>
        <w:ind w:left="6292" w:hanging="180"/>
      </w:pPr>
    </w:lvl>
  </w:abstractNum>
  <w:abstractNum w:abstractNumId="7" w15:restartNumberingAfterBreak="0">
    <w:nsid w:val="7AEE451E"/>
    <w:multiLevelType w:val="hybridMultilevel"/>
    <w:tmpl w:val="27E009DA"/>
    <w:lvl w:ilvl="0" w:tplc="D83ABC2A">
      <w:start w:val="1"/>
      <w:numFmt w:val="decimal"/>
      <w:lvlText w:val="%1."/>
      <w:lvlJc w:val="left"/>
      <w:pPr>
        <w:ind w:left="172" w:hanging="360"/>
      </w:pPr>
      <w:rPr>
        <w:rFonts w:hint="default"/>
        <w:b w:val="0"/>
      </w:rPr>
    </w:lvl>
    <w:lvl w:ilvl="1" w:tplc="08090019" w:tentative="1">
      <w:start w:val="1"/>
      <w:numFmt w:val="lowerLetter"/>
      <w:lvlText w:val="%2."/>
      <w:lvlJc w:val="left"/>
      <w:pPr>
        <w:ind w:left="892" w:hanging="360"/>
      </w:pPr>
    </w:lvl>
    <w:lvl w:ilvl="2" w:tplc="0809001B" w:tentative="1">
      <w:start w:val="1"/>
      <w:numFmt w:val="lowerRoman"/>
      <w:lvlText w:val="%3."/>
      <w:lvlJc w:val="right"/>
      <w:pPr>
        <w:ind w:left="1612" w:hanging="180"/>
      </w:pPr>
    </w:lvl>
    <w:lvl w:ilvl="3" w:tplc="0809000F" w:tentative="1">
      <w:start w:val="1"/>
      <w:numFmt w:val="decimal"/>
      <w:lvlText w:val="%4."/>
      <w:lvlJc w:val="left"/>
      <w:pPr>
        <w:ind w:left="2332" w:hanging="360"/>
      </w:pPr>
    </w:lvl>
    <w:lvl w:ilvl="4" w:tplc="08090019" w:tentative="1">
      <w:start w:val="1"/>
      <w:numFmt w:val="lowerLetter"/>
      <w:lvlText w:val="%5."/>
      <w:lvlJc w:val="left"/>
      <w:pPr>
        <w:ind w:left="3052" w:hanging="360"/>
      </w:pPr>
    </w:lvl>
    <w:lvl w:ilvl="5" w:tplc="0809001B" w:tentative="1">
      <w:start w:val="1"/>
      <w:numFmt w:val="lowerRoman"/>
      <w:lvlText w:val="%6."/>
      <w:lvlJc w:val="right"/>
      <w:pPr>
        <w:ind w:left="3772" w:hanging="180"/>
      </w:pPr>
    </w:lvl>
    <w:lvl w:ilvl="6" w:tplc="0809000F" w:tentative="1">
      <w:start w:val="1"/>
      <w:numFmt w:val="decimal"/>
      <w:lvlText w:val="%7."/>
      <w:lvlJc w:val="left"/>
      <w:pPr>
        <w:ind w:left="4492" w:hanging="360"/>
      </w:pPr>
    </w:lvl>
    <w:lvl w:ilvl="7" w:tplc="08090019" w:tentative="1">
      <w:start w:val="1"/>
      <w:numFmt w:val="lowerLetter"/>
      <w:lvlText w:val="%8."/>
      <w:lvlJc w:val="left"/>
      <w:pPr>
        <w:ind w:left="5212" w:hanging="360"/>
      </w:pPr>
    </w:lvl>
    <w:lvl w:ilvl="8" w:tplc="0809001B" w:tentative="1">
      <w:start w:val="1"/>
      <w:numFmt w:val="lowerRoman"/>
      <w:lvlText w:val="%9."/>
      <w:lvlJc w:val="right"/>
      <w:pPr>
        <w:ind w:left="5932" w:hanging="180"/>
      </w:pPr>
    </w:lvl>
  </w:abstractNum>
  <w:num w:numId="1">
    <w:abstractNumId w:val="5"/>
  </w:num>
  <w:num w:numId="2">
    <w:abstractNumId w:val="4"/>
  </w:num>
  <w:num w:numId="3">
    <w:abstractNumId w:val="1"/>
  </w:num>
  <w:num w:numId="4">
    <w:abstractNumId w:val="7"/>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36"/>
    <w:rsid w:val="00017A83"/>
    <w:rsid w:val="00024EE2"/>
    <w:rsid w:val="00025438"/>
    <w:rsid w:val="000437D3"/>
    <w:rsid w:val="00043DFD"/>
    <w:rsid w:val="00046E46"/>
    <w:rsid w:val="00052472"/>
    <w:rsid w:val="00061D45"/>
    <w:rsid w:val="00064658"/>
    <w:rsid w:val="0009051A"/>
    <w:rsid w:val="00092E29"/>
    <w:rsid w:val="000A4E79"/>
    <w:rsid w:val="000A5936"/>
    <w:rsid w:val="000C0F91"/>
    <w:rsid w:val="000C27E5"/>
    <w:rsid w:val="000C6308"/>
    <w:rsid w:val="000D20A4"/>
    <w:rsid w:val="000D689D"/>
    <w:rsid w:val="000F0BB8"/>
    <w:rsid w:val="0011673C"/>
    <w:rsid w:val="00123A2F"/>
    <w:rsid w:val="00133D7F"/>
    <w:rsid w:val="001431DC"/>
    <w:rsid w:val="001436BE"/>
    <w:rsid w:val="00147A5D"/>
    <w:rsid w:val="00166B4B"/>
    <w:rsid w:val="00166C6D"/>
    <w:rsid w:val="00180A01"/>
    <w:rsid w:val="00186357"/>
    <w:rsid w:val="00192F76"/>
    <w:rsid w:val="001B2686"/>
    <w:rsid w:val="001D71AC"/>
    <w:rsid w:val="001F4F75"/>
    <w:rsid w:val="0020224D"/>
    <w:rsid w:val="002075B5"/>
    <w:rsid w:val="00207892"/>
    <w:rsid w:val="00231AC4"/>
    <w:rsid w:val="00232A9D"/>
    <w:rsid w:val="00234273"/>
    <w:rsid w:val="00240E9D"/>
    <w:rsid w:val="00242D33"/>
    <w:rsid w:val="00251910"/>
    <w:rsid w:val="00252D89"/>
    <w:rsid w:val="00263696"/>
    <w:rsid w:val="002660F4"/>
    <w:rsid w:val="00277C11"/>
    <w:rsid w:val="00297679"/>
    <w:rsid w:val="002A356E"/>
    <w:rsid w:val="002B003A"/>
    <w:rsid w:val="002B6D96"/>
    <w:rsid w:val="002D4DD1"/>
    <w:rsid w:val="002E5585"/>
    <w:rsid w:val="002F3972"/>
    <w:rsid w:val="003028CF"/>
    <w:rsid w:val="00305B14"/>
    <w:rsid w:val="00310480"/>
    <w:rsid w:val="00321F82"/>
    <w:rsid w:val="00323220"/>
    <w:rsid w:val="00331901"/>
    <w:rsid w:val="00336E7F"/>
    <w:rsid w:val="00336FFC"/>
    <w:rsid w:val="003430EA"/>
    <w:rsid w:val="003472D2"/>
    <w:rsid w:val="00363B3B"/>
    <w:rsid w:val="00370382"/>
    <w:rsid w:val="00374B8F"/>
    <w:rsid w:val="003755AD"/>
    <w:rsid w:val="00381526"/>
    <w:rsid w:val="00395EB3"/>
    <w:rsid w:val="00395FF7"/>
    <w:rsid w:val="003A6A69"/>
    <w:rsid w:val="003B3A47"/>
    <w:rsid w:val="003C0770"/>
    <w:rsid w:val="003C56EE"/>
    <w:rsid w:val="003D1661"/>
    <w:rsid w:val="003E1E7C"/>
    <w:rsid w:val="0041435A"/>
    <w:rsid w:val="00424A6E"/>
    <w:rsid w:val="00430903"/>
    <w:rsid w:val="00431A3C"/>
    <w:rsid w:val="00432A98"/>
    <w:rsid w:val="00446596"/>
    <w:rsid w:val="00451377"/>
    <w:rsid w:val="00485887"/>
    <w:rsid w:val="00495056"/>
    <w:rsid w:val="004A237D"/>
    <w:rsid w:val="004A2853"/>
    <w:rsid w:val="004B117F"/>
    <w:rsid w:val="004D4807"/>
    <w:rsid w:val="004E63C3"/>
    <w:rsid w:val="004F7580"/>
    <w:rsid w:val="00502A99"/>
    <w:rsid w:val="00503B2D"/>
    <w:rsid w:val="005107E1"/>
    <w:rsid w:val="00513AFF"/>
    <w:rsid w:val="0052219D"/>
    <w:rsid w:val="005268F1"/>
    <w:rsid w:val="0053194D"/>
    <w:rsid w:val="00557455"/>
    <w:rsid w:val="00567243"/>
    <w:rsid w:val="0057034D"/>
    <w:rsid w:val="00576093"/>
    <w:rsid w:val="005A5C1D"/>
    <w:rsid w:val="005C6A13"/>
    <w:rsid w:val="005D3BF7"/>
    <w:rsid w:val="005E2EF2"/>
    <w:rsid w:val="005E6F93"/>
    <w:rsid w:val="00602AEB"/>
    <w:rsid w:val="00605E0A"/>
    <w:rsid w:val="00615D4B"/>
    <w:rsid w:val="00615FF8"/>
    <w:rsid w:val="006270CD"/>
    <w:rsid w:val="0063559E"/>
    <w:rsid w:val="00657FBA"/>
    <w:rsid w:val="00681C0A"/>
    <w:rsid w:val="006A14F2"/>
    <w:rsid w:val="006A7CC6"/>
    <w:rsid w:val="006B047C"/>
    <w:rsid w:val="006B1F1E"/>
    <w:rsid w:val="006C6249"/>
    <w:rsid w:val="006D4860"/>
    <w:rsid w:val="006E7F59"/>
    <w:rsid w:val="006F1865"/>
    <w:rsid w:val="006F37BB"/>
    <w:rsid w:val="006F5BED"/>
    <w:rsid w:val="006F5C2E"/>
    <w:rsid w:val="0070577E"/>
    <w:rsid w:val="007129B7"/>
    <w:rsid w:val="00741041"/>
    <w:rsid w:val="00750A21"/>
    <w:rsid w:val="0076076A"/>
    <w:rsid w:val="0076323C"/>
    <w:rsid w:val="0077492B"/>
    <w:rsid w:val="00775C77"/>
    <w:rsid w:val="007A5389"/>
    <w:rsid w:val="007A5DDC"/>
    <w:rsid w:val="007B5258"/>
    <w:rsid w:val="007D1C43"/>
    <w:rsid w:val="007D70F4"/>
    <w:rsid w:val="008200F8"/>
    <w:rsid w:val="008257D8"/>
    <w:rsid w:val="008377D9"/>
    <w:rsid w:val="0086063C"/>
    <w:rsid w:val="00861C3C"/>
    <w:rsid w:val="00872356"/>
    <w:rsid w:val="00874204"/>
    <w:rsid w:val="00882FCC"/>
    <w:rsid w:val="00893294"/>
    <w:rsid w:val="008958ED"/>
    <w:rsid w:val="00895A49"/>
    <w:rsid w:val="008A013A"/>
    <w:rsid w:val="008B2064"/>
    <w:rsid w:val="008D7A6B"/>
    <w:rsid w:val="008E78B7"/>
    <w:rsid w:val="0090552C"/>
    <w:rsid w:val="00907DE3"/>
    <w:rsid w:val="009134A3"/>
    <w:rsid w:val="009175CE"/>
    <w:rsid w:val="00926EBF"/>
    <w:rsid w:val="00927329"/>
    <w:rsid w:val="009342B6"/>
    <w:rsid w:val="00952671"/>
    <w:rsid w:val="00955434"/>
    <w:rsid w:val="0096726F"/>
    <w:rsid w:val="00981849"/>
    <w:rsid w:val="00982AAE"/>
    <w:rsid w:val="009B4E95"/>
    <w:rsid w:val="009C0520"/>
    <w:rsid w:val="009D3465"/>
    <w:rsid w:val="009D59D9"/>
    <w:rsid w:val="009D6F09"/>
    <w:rsid w:val="009E191C"/>
    <w:rsid w:val="00A0234B"/>
    <w:rsid w:val="00A04C6C"/>
    <w:rsid w:val="00A11BCB"/>
    <w:rsid w:val="00A12AE8"/>
    <w:rsid w:val="00A22CCC"/>
    <w:rsid w:val="00A310A1"/>
    <w:rsid w:val="00A5127B"/>
    <w:rsid w:val="00A52CED"/>
    <w:rsid w:val="00A54EFB"/>
    <w:rsid w:val="00A62061"/>
    <w:rsid w:val="00A65F27"/>
    <w:rsid w:val="00A70F84"/>
    <w:rsid w:val="00A84243"/>
    <w:rsid w:val="00A86E79"/>
    <w:rsid w:val="00AA18F8"/>
    <w:rsid w:val="00AB5B31"/>
    <w:rsid w:val="00AD08A9"/>
    <w:rsid w:val="00AD5598"/>
    <w:rsid w:val="00AD6D0F"/>
    <w:rsid w:val="00AF1DEA"/>
    <w:rsid w:val="00AF2F6A"/>
    <w:rsid w:val="00B03DDA"/>
    <w:rsid w:val="00B12368"/>
    <w:rsid w:val="00B30639"/>
    <w:rsid w:val="00B40014"/>
    <w:rsid w:val="00B40229"/>
    <w:rsid w:val="00B41134"/>
    <w:rsid w:val="00B757B3"/>
    <w:rsid w:val="00B7672C"/>
    <w:rsid w:val="00B77237"/>
    <w:rsid w:val="00B84FD4"/>
    <w:rsid w:val="00B903B1"/>
    <w:rsid w:val="00BA0DB2"/>
    <w:rsid w:val="00BA4B3E"/>
    <w:rsid w:val="00BA6E2A"/>
    <w:rsid w:val="00BC5629"/>
    <w:rsid w:val="00BC7B0A"/>
    <w:rsid w:val="00BD2BDA"/>
    <w:rsid w:val="00C10765"/>
    <w:rsid w:val="00C14715"/>
    <w:rsid w:val="00C21EB7"/>
    <w:rsid w:val="00C225FB"/>
    <w:rsid w:val="00C33021"/>
    <w:rsid w:val="00C41CFF"/>
    <w:rsid w:val="00C5732B"/>
    <w:rsid w:val="00C62CB8"/>
    <w:rsid w:val="00C777ED"/>
    <w:rsid w:val="00C90C86"/>
    <w:rsid w:val="00C979AA"/>
    <w:rsid w:val="00CA20D9"/>
    <w:rsid w:val="00CB016D"/>
    <w:rsid w:val="00CB4118"/>
    <w:rsid w:val="00CB4465"/>
    <w:rsid w:val="00CB6277"/>
    <w:rsid w:val="00CD11FA"/>
    <w:rsid w:val="00CD1238"/>
    <w:rsid w:val="00CE1AEB"/>
    <w:rsid w:val="00CE2E70"/>
    <w:rsid w:val="00D06C93"/>
    <w:rsid w:val="00D101B7"/>
    <w:rsid w:val="00D67A88"/>
    <w:rsid w:val="00D730BF"/>
    <w:rsid w:val="00D73F98"/>
    <w:rsid w:val="00D878D4"/>
    <w:rsid w:val="00D9030A"/>
    <w:rsid w:val="00DA333C"/>
    <w:rsid w:val="00DB5140"/>
    <w:rsid w:val="00DB6B88"/>
    <w:rsid w:val="00DD4EC7"/>
    <w:rsid w:val="00DE5A9B"/>
    <w:rsid w:val="00DF4745"/>
    <w:rsid w:val="00E13B76"/>
    <w:rsid w:val="00E151F6"/>
    <w:rsid w:val="00E15763"/>
    <w:rsid w:val="00E1726C"/>
    <w:rsid w:val="00E24C79"/>
    <w:rsid w:val="00E3291F"/>
    <w:rsid w:val="00E375EC"/>
    <w:rsid w:val="00E54C6F"/>
    <w:rsid w:val="00E57644"/>
    <w:rsid w:val="00E6457E"/>
    <w:rsid w:val="00E7347D"/>
    <w:rsid w:val="00E7693A"/>
    <w:rsid w:val="00E77A51"/>
    <w:rsid w:val="00EB7A6E"/>
    <w:rsid w:val="00ED346B"/>
    <w:rsid w:val="00EE0040"/>
    <w:rsid w:val="00EF0942"/>
    <w:rsid w:val="00EF4A75"/>
    <w:rsid w:val="00F1284D"/>
    <w:rsid w:val="00F24388"/>
    <w:rsid w:val="00F243D3"/>
    <w:rsid w:val="00F26604"/>
    <w:rsid w:val="00F354DE"/>
    <w:rsid w:val="00F372C7"/>
    <w:rsid w:val="00F4075D"/>
    <w:rsid w:val="00F46509"/>
    <w:rsid w:val="00F479D8"/>
    <w:rsid w:val="00F54B7E"/>
    <w:rsid w:val="00F64132"/>
    <w:rsid w:val="00F73427"/>
    <w:rsid w:val="00F73943"/>
    <w:rsid w:val="00F81E85"/>
    <w:rsid w:val="00F82D2C"/>
    <w:rsid w:val="00F8315F"/>
    <w:rsid w:val="00F83F1B"/>
    <w:rsid w:val="00F8467B"/>
    <w:rsid w:val="00F84C97"/>
    <w:rsid w:val="00F92EF1"/>
    <w:rsid w:val="00FE610F"/>
    <w:rsid w:val="00FF0611"/>
    <w:rsid w:val="00FF46BB"/>
    <w:rsid w:val="00FF5BD6"/>
    <w:rsid w:val="00FF6B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C4BFA"/>
  <w15:docId w15:val="{3CCE4E00-3C95-4DA8-9D08-9E9AA9F3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kern w:val="3"/>
        <w:sz w:val="22"/>
        <w:szCs w:val="22"/>
        <w:lang w:val="de-DE" w:eastAsia="de-DE"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C2E"/>
    <w:pPr>
      <w:suppressAutoHyphens/>
      <w:spacing w:line="360" w:lineRule="auto"/>
      <w:jc w:val="both"/>
    </w:pPr>
    <w:rPr>
      <w:rFonts w:ascii="Book Antiqua" w:eastAsia="Calibri" w:hAnsi="Book Antiqua"/>
      <w:sz w:val="24"/>
      <w:szCs w:val="28"/>
      <w:lang w:val="en-US"/>
    </w:rPr>
  </w:style>
  <w:style w:type="paragraph" w:styleId="1">
    <w:name w:val="heading 1"/>
    <w:basedOn w:val="Standard"/>
    <w:next w:val="a"/>
    <w:link w:val="10"/>
    <w:uiPriority w:val="9"/>
    <w:qFormat/>
    <w:rsid w:val="00232A9D"/>
    <w:pPr>
      <w:spacing w:line="360" w:lineRule="auto"/>
      <w:jc w:val="both"/>
      <w:outlineLvl w:val="0"/>
    </w:pPr>
    <w:rPr>
      <w:rFonts w:ascii="Book Antiqua" w:hAnsi="Book Antiqua"/>
      <w:b/>
      <w:sz w:val="24"/>
    </w:rPr>
  </w:style>
  <w:style w:type="paragraph" w:styleId="2">
    <w:name w:val="heading 2"/>
    <w:basedOn w:val="Standard"/>
    <w:next w:val="a"/>
    <w:link w:val="20"/>
    <w:uiPriority w:val="9"/>
    <w:unhideWhenUsed/>
    <w:qFormat/>
    <w:rsid w:val="006F5C2E"/>
    <w:pPr>
      <w:spacing w:line="360" w:lineRule="auto"/>
      <w:jc w:val="both"/>
      <w:outlineLvl w:val="1"/>
    </w:pPr>
    <w:rPr>
      <w:rFonts w:ascii="Book Antiqua" w:eastAsia="Calibri" w:hAnsi="Book Antiqua"/>
      <w:b/>
      <w:i/>
      <w:sz w:val="24"/>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character" w:customStyle="1" w:styleId="Absatz-Standardschriftart">
    <w:name w:val="Absatz-Standardschriftart"/>
  </w:style>
  <w:style w:type="character" w:styleId="a3">
    <w:name w:val="Hyperlink"/>
    <w:basedOn w:val="a0"/>
    <w:uiPriority w:val="99"/>
    <w:unhideWhenUsed/>
    <w:rsid w:val="00331901"/>
    <w:rPr>
      <w:color w:val="0563C1" w:themeColor="hyperlink"/>
      <w:u w:val="single"/>
    </w:rPr>
  </w:style>
  <w:style w:type="paragraph" w:styleId="a4">
    <w:name w:val="List Paragraph"/>
    <w:basedOn w:val="a"/>
    <w:uiPriority w:val="34"/>
    <w:qFormat/>
    <w:rsid w:val="00A11BCB"/>
    <w:pPr>
      <w:ind w:left="720"/>
      <w:contextualSpacing/>
    </w:pPr>
  </w:style>
  <w:style w:type="paragraph" w:styleId="a5">
    <w:name w:val="Balloon Text"/>
    <w:basedOn w:val="a"/>
    <w:link w:val="a6"/>
    <w:uiPriority w:val="99"/>
    <w:semiHidden/>
    <w:unhideWhenUsed/>
    <w:rsid w:val="00DA333C"/>
    <w:rPr>
      <w:rFonts w:ascii="Segoe UI" w:hAnsi="Segoe UI" w:cs="Segoe UI"/>
      <w:sz w:val="18"/>
      <w:szCs w:val="18"/>
    </w:rPr>
  </w:style>
  <w:style w:type="character" w:customStyle="1" w:styleId="a6">
    <w:name w:val="批注框文本 字符"/>
    <w:basedOn w:val="a0"/>
    <w:link w:val="a5"/>
    <w:uiPriority w:val="99"/>
    <w:semiHidden/>
    <w:rsid w:val="00DA333C"/>
    <w:rPr>
      <w:rFonts w:ascii="Segoe UI" w:hAnsi="Segoe UI" w:cs="Segoe UI"/>
      <w:sz w:val="18"/>
      <w:szCs w:val="18"/>
    </w:rPr>
  </w:style>
  <w:style w:type="paragraph" w:styleId="a7">
    <w:name w:val="header"/>
    <w:basedOn w:val="a"/>
    <w:link w:val="a8"/>
    <w:uiPriority w:val="99"/>
    <w:unhideWhenUsed/>
    <w:rsid w:val="001D71AC"/>
    <w:pPr>
      <w:tabs>
        <w:tab w:val="center" w:pos="4513"/>
        <w:tab w:val="right" w:pos="9026"/>
      </w:tabs>
    </w:pPr>
  </w:style>
  <w:style w:type="character" w:customStyle="1" w:styleId="a8">
    <w:name w:val="页眉 字符"/>
    <w:basedOn w:val="a0"/>
    <w:link w:val="a7"/>
    <w:uiPriority w:val="99"/>
    <w:rsid w:val="001D71AC"/>
  </w:style>
  <w:style w:type="paragraph" w:styleId="a9">
    <w:name w:val="footer"/>
    <w:basedOn w:val="a"/>
    <w:link w:val="aa"/>
    <w:uiPriority w:val="99"/>
    <w:unhideWhenUsed/>
    <w:rsid w:val="001D71AC"/>
    <w:pPr>
      <w:tabs>
        <w:tab w:val="center" w:pos="4513"/>
        <w:tab w:val="right" w:pos="9026"/>
      </w:tabs>
    </w:pPr>
  </w:style>
  <w:style w:type="character" w:customStyle="1" w:styleId="aa">
    <w:name w:val="页脚 字符"/>
    <w:basedOn w:val="a0"/>
    <w:link w:val="a9"/>
    <w:uiPriority w:val="99"/>
    <w:rsid w:val="001D71AC"/>
  </w:style>
  <w:style w:type="character" w:styleId="ab">
    <w:name w:val="annotation reference"/>
    <w:basedOn w:val="a0"/>
    <w:uiPriority w:val="99"/>
    <w:unhideWhenUsed/>
    <w:qFormat/>
    <w:rsid w:val="006B1F1E"/>
    <w:rPr>
      <w:sz w:val="21"/>
      <w:szCs w:val="21"/>
    </w:rPr>
  </w:style>
  <w:style w:type="paragraph" w:styleId="ac">
    <w:name w:val="annotation text"/>
    <w:basedOn w:val="a"/>
    <w:link w:val="ad"/>
    <w:uiPriority w:val="99"/>
    <w:unhideWhenUsed/>
    <w:qFormat/>
    <w:rsid w:val="006B1F1E"/>
  </w:style>
  <w:style w:type="character" w:customStyle="1" w:styleId="ad">
    <w:name w:val="批注文字 字符"/>
    <w:basedOn w:val="a0"/>
    <w:link w:val="ac"/>
    <w:uiPriority w:val="99"/>
    <w:semiHidden/>
    <w:rsid w:val="006B1F1E"/>
  </w:style>
  <w:style w:type="paragraph" w:styleId="ae">
    <w:name w:val="annotation subject"/>
    <w:basedOn w:val="ac"/>
    <w:next w:val="ac"/>
    <w:link w:val="af"/>
    <w:uiPriority w:val="99"/>
    <w:semiHidden/>
    <w:unhideWhenUsed/>
    <w:rsid w:val="006B1F1E"/>
    <w:rPr>
      <w:b/>
      <w:bCs/>
    </w:rPr>
  </w:style>
  <w:style w:type="character" w:customStyle="1" w:styleId="af">
    <w:name w:val="批注主题 字符"/>
    <w:basedOn w:val="ad"/>
    <w:link w:val="ae"/>
    <w:uiPriority w:val="99"/>
    <w:semiHidden/>
    <w:rsid w:val="006B1F1E"/>
    <w:rPr>
      <w:b/>
      <w:bCs/>
    </w:rPr>
  </w:style>
  <w:style w:type="character" w:styleId="af0">
    <w:name w:val="Strong"/>
    <w:basedOn w:val="a0"/>
    <w:uiPriority w:val="22"/>
    <w:qFormat/>
    <w:rsid w:val="006B1F1E"/>
    <w:rPr>
      <w:b/>
      <w:bCs/>
    </w:rPr>
  </w:style>
  <w:style w:type="character" w:customStyle="1" w:styleId="11">
    <w:name w:val="批注文字 字符1"/>
    <w:basedOn w:val="a0"/>
    <w:uiPriority w:val="99"/>
    <w:qFormat/>
    <w:rsid w:val="006B1F1E"/>
    <w:rPr>
      <w:rFonts w:ascii="Calibri" w:eastAsia="宋体" w:hAnsi="Calibri" w:cs="Times New Roman"/>
      <w:kern w:val="0"/>
      <w:sz w:val="22"/>
      <w:lang w:val="en-GB" w:eastAsia="en-US"/>
    </w:rPr>
  </w:style>
  <w:style w:type="paragraph" w:styleId="af1">
    <w:name w:val="No Spacing"/>
    <w:basedOn w:val="Standard"/>
    <w:uiPriority w:val="1"/>
    <w:qFormat/>
    <w:rsid w:val="0077492B"/>
    <w:pPr>
      <w:spacing w:line="360" w:lineRule="auto"/>
      <w:ind w:left="-630"/>
      <w:jc w:val="both"/>
    </w:pPr>
    <w:rPr>
      <w:rFonts w:ascii="Book Antiqua" w:eastAsia="Calibri" w:hAnsi="Book Antiqua"/>
      <w:sz w:val="24"/>
      <w:szCs w:val="28"/>
      <w:lang w:val="en-US"/>
    </w:rPr>
  </w:style>
  <w:style w:type="paragraph" w:customStyle="1" w:styleId="Default">
    <w:name w:val="Default"/>
    <w:rsid w:val="00C90C86"/>
    <w:pPr>
      <w:widowControl/>
      <w:overflowPunct/>
      <w:adjustRightInd w:val="0"/>
      <w:textAlignment w:val="auto"/>
    </w:pPr>
    <w:rPr>
      <w:rFonts w:ascii="Book Antiqua" w:hAnsi="Book Antiqua" w:cs="Book Antiqua"/>
      <w:color w:val="000000"/>
      <w:kern w:val="0"/>
      <w:sz w:val="24"/>
      <w:szCs w:val="24"/>
      <w:lang w:val="en-US"/>
    </w:rPr>
  </w:style>
  <w:style w:type="character" w:customStyle="1" w:styleId="10">
    <w:name w:val="标题 1 字符"/>
    <w:basedOn w:val="a0"/>
    <w:link w:val="1"/>
    <w:uiPriority w:val="9"/>
    <w:rsid w:val="00232A9D"/>
    <w:rPr>
      <w:rFonts w:ascii="Book Antiqua" w:hAnsi="Book Antiqua"/>
      <w:b/>
      <w:sz w:val="24"/>
    </w:rPr>
  </w:style>
  <w:style w:type="character" w:customStyle="1" w:styleId="20">
    <w:name w:val="标题 2 字符"/>
    <w:basedOn w:val="a0"/>
    <w:link w:val="2"/>
    <w:uiPriority w:val="9"/>
    <w:rsid w:val="006F5C2E"/>
    <w:rPr>
      <w:rFonts w:ascii="Book Antiqua" w:eastAsia="Calibri" w:hAnsi="Book Antiqua"/>
      <w:b/>
      <w:i/>
      <w:sz w:val="24"/>
      <w:szCs w:val="28"/>
      <w:lang w:val="en-US"/>
    </w:rPr>
  </w:style>
  <w:style w:type="paragraph" w:styleId="af2">
    <w:name w:val="Normal (Web)"/>
    <w:basedOn w:val="a"/>
    <w:uiPriority w:val="99"/>
    <w:semiHidden/>
    <w:unhideWhenUsed/>
    <w:rsid w:val="006F5BED"/>
    <w:pPr>
      <w:widowControl/>
      <w:suppressAutoHyphens w:val="0"/>
      <w:overflowPunct/>
      <w:autoSpaceDE/>
      <w:autoSpaceDN/>
      <w:spacing w:before="100" w:beforeAutospacing="1" w:after="100" w:afterAutospacing="1" w:line="240" w:lineRule="auto"/>
      <w:jc w:val="left"/>
      <w:textAlignment w:val="auto"/>
    </w:pPr>
    <w:rPr>
      <w:rFonts w:ascii="Times New Roman" w:eastAsiaTheme="minorEastAsia" w:hAnsi="Times New Roman"/>
      <w:kern w:val="0"/>
      <w:szCs w:val="24"/>
      <w:lang w:eastAsia="en-US"/>
    </w:rPr>
  </w:style>
  <w:style w:type="character" w:customStyle="1" w:styleId="UnresolvedMention">
    <w:name w:val="Unresolved Mention"/>
    <w:basedOn w:val="a0"/>
    <w:uiPriority w:val="99"/>
    <w:semiHidden/>
    <w:unhideWhenUsed/>
    <w:rsid w:val="00A31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5916">
      <w:bodyDiv w:val="1"/>
      <w:marLeft w:val="0"/>
      <w:marRight w:val="0"/>
      <w:marTop w:val="0"/>
      <w:marBottom w:val="0"/>
      <w:divBdr>
        <w:top w:val="none" w:sz="0" w:space="0" w:color="auto"/>
        <w:left w:val="none" w:sz="0" w:space="0" w:color="auto"/>
        <w:bottom w:val="none" w:sz="0" w:space="0" w:color="auto"/>
        <w:right w:val="none" w:sz="0" w:space="0" w:color="auto"/>
      </w:divBdr>
    </w:div>
    <w:div w:id="510067060">
      <w:bodyDiv w:val="1"/>
      <w:marLeft w:val="0"/>
      <w:marRight w:val="0"/>
      <w:marTop w:val="0"/>
      <w:marBottom w:val="0"/>
      <w:divBdr>
        <w:top w:val="none" w:sz="0" w:space="0" w:color="auto"/>
        <w:left w:val="none" w:sz="0" w:space="0" w:color="auto"/>
        <w:bottom w:val="none" w:sz="0" w:space="0" w:color="auto"/>
        <w:right w:val="none" w:sz="0" w:space="0" w:color="auto"/>
      </w:divBdr>
    </w:div>
    <w:div w:id="1194609899">
      <w:bodyDiv w:val="1"/>
      <w:marLeft w:val="0"/>
      <w:marRight w:val="0"/>
      <w:marTop w:val="0"/>
      <w:marBottom w:val="0"/>
      <w:divBdr>
        <w:top w:val="none" w:sz="0" w:space="0" w:color="auto"/>
        <w:left w:val="none" w:sz="0" w:space="0" w:color="auto"/>
        <w:bottom w:val="none" w:sz="0" w:space="0" w:color="auto"/>
        <w:right w:val="none" w:sz="0" w:space="0" w:color="auto"/>
      </w:divBdr>
    </w:div>
    <w:div w:id="1244098730">
      <w:bodyDiv w:val="1"/>
      <w:marLeft w:val="0"/>
      <w:marRight w:val="0"/>
      <w:marTop w:val="0"/>
      <w:marBottom w:val="0"/>
      <w:divBdr>
        <w:top w:val="none" w:sz="0" w:space="0" w:color="auto"/>
        <w:left w:val="none" w:sz="0" w:space="0" w:color="auto"/>
        <w:bottom w:val="none" w:sz="0" w:space="0" w:color="auto"/>
        <w:right w:val="none" w:sz="0" w:space="0" w:color="auto"/>
      </w:divBdr>
    </w:div>
    <w:div w:id="1337423875">
      <w:bodyDiv w:val="1"/>
      <w:marLeft w:val="0"/>
      <w:marRight w:val="0"/>
      <w:marTop w:val="0"/>
      <w:marBottom w:val="0"/>
      <w:divBdr>
        <w:top w:val="none" w:sz="0" w:space="0" w:color="auto"/>
        <w:left w:val="none" w:sz="0" w:space="0" w:color="auto"/>
        <w:bottom w:val="none" w:sz="0" w:space="0" w:color="auto"/>
        <w:right w:val="none" w:sz="0" w:space="0" w:color="auto"/>
      </w:divBdr>
    </w:div>
    <w:div w:id="1821652760">
      <w:bodyDiv w:val="1"/>
      <w:marLeft w:val="0"/>
      <w:marRight w:val="0"/>
      <w:marTop w:val="0"/>
      <w:marBottom w:val="0"/>
      <w:divBdr>
        <w:top w:val="none" w:sz="0" w:space="0" w:color="auto"/>
        <w:left w:val="none" w:sz="0" w:space="0" w:color="auto"/>
        <w:bottom w:val="none" w:sz="0" w:space="0" w:color="auto"/>
        <w:right w:val="none" w:sz="0" w:space="0" w:color="auto"/>
      </w:divBdr>
    </w:div>
    <w:div w:id="1831675964">
      <w:bodyDiv w:val="1"/>
      <w:marLeft w:val="0"/>
      <w:marRight w:val="0"/>
      <w:marTop w:val="0"/>
      <w:marBottom w:val="0"/>
      <w:divBdr>
        <w:top w:val="none" w:sz="0" w:space="0" w:color="auto"/>
        <w:left w:val="none" w:sz="0" w:space="0" w:color="auto"/>
        <w:bottom w:val="none" w:sz="0" w:space="0" w:color="auto"/>
        <w:right w:val="none" w:sz="0" w:space="0" w:color="auto"/>
      </w:divBdr>
    </w:div>
    <w:div w:id="1868642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3421-2189" TargetMode="External"/><Relationship Id="rId13" Type="http://schemas.openxmlformats.org/officeDocument/2006/relationships/hyperlink" Target="http://orcid.org/0000-0002-4808-5926" TargetMode="External"/><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orcid.org/0000-0002-7805-6704?lang=en" TargetMode="External"/><Relationship Id="rId12" Type="http://schemas.openxmlformats.org/officeDocument/2006/relationships/hyperlink" Target="http://orcid.org/0000-0002-5183-2232" TargetMode="External"/><Relationship Id="rId17" Type="http://schemas.openxmlformats.org/officeDocument/2006/relationships/image" Target="media/image2.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3-3334-5833" TargetMode="Externa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hyperlink" Target="http://orcid.org/0000-0001-7376-7411" TargetMode="Externa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rcid.org/0000-0001-9822-5416" TargetMode="External"/><Relationship Id="rId14" Type="http://schemas.openxmlformats.org/officeDocument/2006/relationships/hyperlink" Target="mailto:mtkhayyal@gmail.com"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5945</Words>
  <Characters>33889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2019-09-13T03:18:00Z</dcterms:created>
  <dcterms:modified xsi:type="dcterms:W3CDTF">2019-09-13T03:18:00Z</dcterms:modified>
</cp:coreProperties>
</file>