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E814D" w14:textId="3DF403AE" w:rsidR="00F01897" w:rsidRPr="00F06EA4" w:rsidRDefault="00F01897" w:rsidP="00F67ED8">
      <w:pPr>
        <w:adjustRightInd w:val="0"/>
        <w:snapToGrid w:val="0"/>
        <w:spacing w:after="0"/>
        <w:rPr>
          <w:rFonts w:eastAsia="Times New Roman" w:cs="宋体"/>
          <w:i/>
          <w:color w:val="000000"/>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F06EA4">
        <w:rPr>
          <w:rFonts w:eastAsia="Times New Roman" w:cs="宋体"/>
          <w:b/>
          <w:color w:val="000000"/>
        </w:rPr>
        <w:t xml:space="preserve">Name of Journal: </w:t>
      </w:r>
      <w:r w:rsidR="00F56B77" w:rsidRPr="00F06EA4">
        <w:rPr>
          <w:rFonts w:cs="Tahoma"/>
          <w:i/>
          <w:iCs/>
          <w:color w:val="222222"/>
        </w:rPr>
        <w:t>World Journal of Gastroenterology</w:t>
      </w:r>
    </w:p>
    <w:p w14:paraId="2FF32218" w14:textId="4C82C83A" w:rsidR="00F01897" w:rsidRPr="00F06EA4" w:rsidRDefault="00F01897" w:rsidP="00F67ED8">
      <w:pPr>
        <w:adjustRightInd w:val="0"/>
        <w:snapToGrid w:val="0"/>
        <w:spacing w:after="0"/>
        <w:rPr>
          <w:rFonts w:cs="Arial"/>
          <w:color w:val="000000"/>
          <w:lang w:val="en" w:eastAsia="zh-CN"/>
        </w:rPr>
      </w:pPr>
      <w:bookmarkStart w:id="8" w:name="_Hlk5632321"/>
      <w:r w:rsidRPr="00F06EA4">
        <w:rPr>
          <w:rFonts w:eastAsia="Times New Roman"/>
          <w:b/>
          <w:bCs/>
          <w:color w:val="222222"/>
        </w:rPr>
        <w:t>Manuscript NO</w:t>
      </w:r>
      <w:r w:rsidRPr="00F06EA4">
        <w:rPr>
          <w:rFonts w:cs="Arial"/>
          <w:b/>
          <w:color w:val="000000"/>
          <w:lang w:val="en"/>
        </w:rPr>
        <w:t xml:space="preserve">: </w:t>
      </w:r>
      <w:r w:rsidR="00AC6E31" w:rsidRPr="00F06EA4">
        <w:rPr>
          <w:rFonts w:cs="Tahoma"/>
          <w:color w:val="222222"/>
        </w:rPr>
        <w:t>48424</w:t>
      </w:r>
    </w:p>
    <w:bookmarkEnd w:id="8"/>
    <w:p w14:paraId="4877F51F" w14:textId="2F6B6445" w:rsidR="00F01897" w:rsidRPr="00F06EA4" w:rsidRDefault="00F01897" w:rsidP="00F67ED8">
      <w:pPr>
        <w:spacing w:after="0"/>
        <w:rPr>
          <w:lang w:eastAsia="zh-CN"/>
        </w:rPr>
      </w:pPr>
      <w:r w:rsidRPr="00F06EA4">
        <w:rPr>
          <w:b/>
          <w:color w:val="000000"/>
          <w:shd w:val="clear" w:color="auto" w:fill="FFFFFF"/>
        </w:rPr>
        <w:t>Manuscript Type</w:t>
      </w:r>
      <w:r w:rsidRPr="00F06EA4">
        <w:rPr>
          <w:b/>
          <w:color w:val="000000"/>
        </w:rPr>
        <w:t>:</w:t>
      </w:r>
      <w:bookmarkEnd w:id="0"/>
      <w:bookmarkEnd w:id="1"/>
      <w:bookmarkEnd w:id="2"/>
      <w:bookmarkEnd w:id="3"/>
      <w:bookmarkEnd w:id="4"/>
      <w:bookmarkEnd w:id="5"/>
      <w:bookmarkEnd w:id="6"/>
      <w:bookmarkEnd w:id="7"/>
      <w:r w:rsidR="00F56B77" w:rsidRPr="00F06EA4">
        <w:rPr>
          <w:b/>
          <w:color w:val="000000"/>
        </w:rPr>
        <w:t xml:space="preserve"> </w:t>
      </w:r>
      <w:r w:rsidR="00AC6E31" w:rsidRPr="00F06EA4">
        <w:rPr>
          <w:rFonts w:cs="Tahoma"/>
          <w:color w:val="222222"/>
        </w:rPr>
        <w:t>REVIEW</w:t>
      </w:r>
    </w:p>
    <w:p w14:paraId="4CEB595F" w14:textId="77777777" w:rsidR="00F01897" w:rsidRPr="00F06EA4" w:rsidRDefault="00F01897" w:rsidP="00F67ED8">
      <w:pPr>
        <w:pStyle w:val="1"/>
        <w:spacing w:before="0" w:after="0"/>
        <w:jc w:val="both"/>
        <w:rPr>
          <w:sz w:val="24"/>
        </w:rPr>
      </w:pPr>
    </w:p>
    <w:p w14:paraId="27048F5E" w14:textId="6C2F47DA" w:rsidR="00B77EFF" w:rsidRPr="00F06EA4" w:rsidRDefault="00093BF4" w:rsidP="00F67ED8">
      <w:pPr>
        <w:pStyle w:val="1"/>
        <w:spacing w:before="0" w:after="0"/>
        <w:jc w:val="both"/>
        <w:rPr>
          <w:sz w:val="24"/>
        </w:rPr>
      </w:pPr>
      <w:r w:rsidRPr="00F06EA4">
        <w:rPr>
          <w:sz w:val="24"/>
        </w:rPr>
        <w:t xml:space="preserve">Systemic inflammation in colorectal cancer: </w:t>
      </w:r>
      <w:r w:rsidR="00F06EA4" w:rsidRPr="00F06EA4">
        <w:rPr>
          <w:sz w:val="24"/>
        </w:rPr>
        <w:t>U</w:t>
      </w:r>
      <w:r w:rsidRPr="00F06EA4">
        <w:rPr>
          <w:sz w:val="24"/>
        </w:rPr>
        <w:t>nderlying factors, effects, and prognostic significance</w:t>
      </w:r>
    </w:p>
    <w:p w14:paraId="74FCD8B8" w14:textId="3E5F9D87" w:rsidR="00093BF4" w:rsidRPr="00F06EA4" w:rsidRDefault="00093BF4" w:rsidP="00F67ED8">
      <w:pPr>
        <w:spacing w:after="0"/>
        <w:rPr>
          <w:lang w:val="en-US"/>
        </w:rPr>
      </w:pPr>
    </w:p>
    <w:p w14:paraId="07CF7278" w14:textId="3DA49CDD" w:rsidR="00F01897" w:rsidRPr="00F06EA4" w:rsidRDefault="00F06EA4" w:rsidP="00F67ED8">
      <w:pPr>
        <w:spacing w:after="0"/>
        <w:rPr>
          <w:lang w:val="en-US"/>
        </w:rPr>
      </w:pPr>
      <w:bookmarkStart w:id="9" w:name="_Hlk5627141"/>
      <w:r w:rsidRPr="00F06EA4">
        <w:rPr>
          <w:lang w:val="fi-FI"/>
        </w:rPr>
        <w:t>Tuomisto</w:t>
      </w:r>
      <w:r w:rsidRPr="00F06EA4">
        <w:rPr>
          <w:rFonts w:cs="Tahoma"/>
          <w:color w:val="222222"/>
        </w:rPr>
        <w:t xml:space="preserve"> AE </w:t>
      </w:r>
      <w:r w:rsidRPr="00F06EA4">
        <w:rPr>
          <w:rFonts w:cs="Tahoma"/>
          <w:i/>
          <w:iCs/>
          <w:color w:val="222222"/>
        </w:rPr>
        <w:t>et al</w:t>
      </w:r>
      <w:r w:rsidRPr="00F06EA4">
        <w:rPr>
          <w:rFonts w:cs="Tahoma"/>
          <w:color w:val="222222"/>
        </w:rPr>
        <w:t xml:space="preserve">. </w:t>
      </w:r>
      <w:r w:rsidR="00F56B77" w:rsidRPr="00F06EA4">
        <w:rPr>
          <w:rFonts w:cs="Tahoma"/>
          <w:color w:val="222222"/>
        </w:rPr>
        <w:t>Systemic inflammation in colorectal cancer</w:t>
      </w:r>
    </w:p>
    <w:bookmarkEnd w:id="9"/>
    <w:p w14:paraId="752B1C4E" w14:textId="77777777" w:rsidR="00F01897" w:rsidRPr="00F06EA4" w:rsidRDefault="00F01897" w:rsidP="00F67ED8">
      <w:pPr>
        <w:spacing w:after="0"/>
        <w:rPr>
          <w:lang w:val="en-US"/>
        </w:rPr>
      </w:pPr>
    </w:p>
    <w:p w14:paraId="2313074D" w14:textId="77777777" w:rsidR="00093BF4" w:rsidRPr="00F06EA4" w:rsidRDefault="00093BF4" w:rsidP="00F67ED8">
      <w:pPr>
        <w:spacing w:after="0"/>
        <w:rPr>
          <w:lang w:val="fi-FI"/>
        </w:rPr>
      </w:pPr>
      <w:r w:rsidRPr="00F06EA4">
        <w:rPr>
          <w:lang w:val="fi-FI"/>
        </w:rPr>
        <w:t>Anne</w:t>
      </w:r>
      <w:r w:rsidR="00061E36" w:rsidRPr="00F06EA4">
        <w:rPr>
          <w:lang w:val="fi-FI"/>
        </w:rPr>
        <w:t xml:space="preserve"> E</w:t>
      </w:r>
      <w:r w:rsidRPr="00F06EA4">
        <w:rPr>
          <w:lang w:val="fi-FI"/>
        </w:rPr>
        <w:t xml:space="preserve"> Tuomisto, Markus</w:t>
      </w:r>
      <w:r w:rsidR="00061E36" w:rsidRPr="00F06EA4">
        <w:rPr>
          <w:lang w:val="fi-FI"/>
        </w:rPr>
        <w:t xml:space="preserve"> J</w:t>
      </w:r>
      <w:r w:rsidRPr="00F06EA4">
        <w:rPr>
          <w:lang w:val="fi-FI"/>
        </w:rPr>
        <w:t xml:space="preserve"> Mäkinen, Juha</w:t>
      </w:r>
      <w:r w:rsidR="00061E36" w:rsidRPr="00F06EA4">
        <w:rPr>
          <w:lang w:val="fi-FI"/>
        </w:rPr>
        <w:t xml:space="preserve"> P</w:t>
      </w:r>
      <w:r w:rsidRPr="00F06EA4">
        <w:rPr>
          <w:lang w:val="fi-FI"/>
        </w:rPr>
        <w:t xml:space="preserve"> Väyrynen</w:t>
      </w:r>
    </w:p>
    <w:p w14:paraId="2C0BE393" w14:textId="77777777" w:rsidR="00F2664A" w:rsidRPr="00F06EA4" w:rsidRDefault="00F2664A" w:rsidP="00F67ED8">
      <w:pPr>
        <w:spacing w:after="0"/>
        <w:rPr>
          <w:lang w:val="fi-FI"/>
        </w:rPr>
      </w:pPr>
    </w:p>
    <w:p w14:paraId="5F2646A2" w14:textId="45F26F8D" w:rsidR="00F2664A" w:rsidRPr="00F06EA4" w:rsidRDefault="00F2664A" w:rsidP="00F67ED8">
      <w:pPr>
        <w:pStyle w:val="a8"/>
        <w:spacing w:after="0" w:line="360" w:lineRule="auto"/>
        <w:rPr>
          <w:rFonts w:eastAsia="Arial Unicode MS" w:cs="Arial Unicode MS"/>
          <w:sz w:val="24"/>
          <w:szCs w:val="24"/>
          <w:lang w:eastAsia="zh-CN"/>
        </w:rPr>
      </w:pPr>
      <w:r w:rsidRPr="00F06EA4">
        <w:rPr>
          <w:b/>
          <w:color w:val="222222"/>
          <w:sz w:val="24"/>
          <w:szCs w:val="24"/>
          <w:lang w:val="en-US"/>
        </w:rPr>
        <w:t>Anne E Tuomisto, Markus J Mäkinen, Juha P Väyrynen,</w:t>
      </w:r>
      <w:r w:rsidRPr="00F06EA4">
        <w:rPr>
          <w:sz w:val="24"/>
          <w:szCs w:val="24"/>
          <w:lang w:val="en-US"/>
        </w:rPr>
        <w:t xml:space="preserve"> </w:t>
      </w:r>
      <w:r w:rsidR="00E36987" w:rsidRPr="00F06EA4">
        <w:rPr>
          <w:sz w:val="24"/>
          <w:szCs w:val="24"/>
          <w:lang w:val="en-US"/>
        </w:rPr>
        <w:t>Cancer and Translational Medicine Research Unit, University of Oulu, Oulu</w:t>
      </w:r>
      <w:r w:rsidR="00F01897" w:rsidRPr="00F06EA4">
        <w:rPr>
          <w:sz w:val="24"/>
          <w:szCs w:val="24"/>
          <w:lang w:val="en-US"/>
        </w:rPr>
        <w:t xml:space="preserve"> </w:t>
      </w:r>
      <w:r w:rsidR="00F56B77" w:rsidRPr="00F06EA4">
        <w:rPr>
          <w:rFonts w:eastAsiaTheme="minorEastAsia"/>
          <w:sz w:val="24"/>
          <w:szCs w:val="24"/>
          <w:lang w:val="en-US" w:eastAsia="zh-CN"/>
        </w:rPr>
        <w:t>90220</w:t>
      </w:r>
      <w:r w:rsidR="00E36987" w:rsidRPr="00F06EA4">
        <w:rPr>
          <w:sz w:val="24"/>
          <w:szCs w:val="24"/>
          <w:lang w:val="en-US"/>
        </w:rPr>
        <w:t xml:space="preserve">, Finland </w:t>
      </w:r>
    </w:p>
    <w:p w14:paraId="131D01F3" w14:textId="77777777" w:rsidR="00F01897" w:rsidRPr="00F06EA4" w:rsidRDefault="00F01897" w:rsidP="00F67ED8">
      <w:pPr>
        <w:spacing w:after="0"/>
        <w:rPr>
          <w:lang w:val="en-US"/>
        </w:rPr>
      </w:pPr>
    </w:p>
    <w:p w14:paraId="5A709296" w14:textId="102A8FA2" w:rsidR="00E36987" w:rsidRPr="00F06EA4" w:rsidRDefault="00F2664A" w:rsidP="00F67ED8">
      <w:pPr>
        <w:pStyle w:val="a8"/>
        <w:spacing w:after="0" w:line="360" w:lineRule="auto"/>
        <w:rPr>
          <w:rFonts w:eastAsia="Arial Unicode MS" w:cs="Arial Unicode MS"/>
          <w:sz w:val="24"/>
          <w:szCs w:val="24"/>
          <w:lang w:eastAsia="zh-CN"/>
        </w:rPr>
      </w:pPr>
      <w:r w:rsidRPr="00F06EA4">
        <w:rPr>
          <w:b/>
          <w:color w:val="222222"/>
          <w:sz w:val="24"/>
          <w:szCs w:val="24"/>
          <w:lang w:val="en-US"/>
        </w:rPr>
        <w:t>Anne E Tuomisto, Markus J Mäkinen, Juha P Väyrynen</w:t>
      </w:r>
      <w:r w:rsidRPr="00F06EA4">
        <w:rPr>
          <w:b/>
          <w:sz w:val="24"/>
          <w:szCs w:val="24"/>
          <w:lang w:val="en-US"/>
        </w:rPr>
        <w:t>,</w:t>
      </w:r>
      <w:r w:rsidRPr="00F06EA4">
        <w:rPr>
          <w:sz w:val="24"/>
          <w:szCs w:val="24"/>
          <w:lang w:val="en-US"/>
        </w:rPr>
        <w:t xml:space="preserve"> </w:t>
      </w:r>
      <w:r w:rsidR="00E36987" w:rsidRPr="00F06EA4">
        <w:rPr>
          <w:sz w:val="24"/>
          <w:szCs w:val="24"/>
          <w:lang w:val="en-US"/>
        </w:rPr>
        <w:t>Department of Pathology, Oulu University Hospital and Medical Research Center Oulu, Oulu</w:t>
      </w:r>
      <w:r w:rsidR="00F01897" w:rsidRPr="00F06EA4">
        <w:rPr>
          <w:rFonts w:eastAsiaTheme="minorEastAsia"/>
          <w:sz w:val="24"/>
          <w:szCs w:val="24"/>
          <w:lang w:val="en-US" w:eastAsia="zh-CN"/>
        </w:rPr>
        <w:t xml:space="preserve"> </w:t>
      </w:r>
      <w:r w:rsidR="00F56B77" w:rsidRPr="00F06EA4">
        <w:rPr>
          <w:rFonts w:eastAsiaTheme="minorEastAsia"/>
          <w:sz w:val="24"/>
          <w:szCs w:val="24"/>
          <w:lang w:val="en-US" w:eastAsia="zh-CN"/>
        </w:rPr>
        <w:t>90220</w:t>
      </w:r>
      <w:r w:rsidR="00E36987" w:rsidRPr="00F06EA4">
        <w:rPr>
          <w:sz w:val="24"/>
          <w:szCs w:val="24"/>
          <w:lang w:val="en-US"/>
        </w:rPr>
        <w:t>, Finland</w:t>
      </w:r>
    </w:p>
    <w:p w14:paraId="712B2BC6" w14:textId="77777777" w:rsidR="00F01897" w:rsidRPr="00F06EA4" w:rsidRDefault="00F01897" w:rsidP="00F67ED8">
      <w:pPr>
        <w:spacing w:after="0"/>
        <w:rPr>
          <w:lang w:val="en-US"/>
        </w:rPr>
      </w:pPr>
    </w:p>
    <w:p w14:paraId="2BB46740" w14:textId="516F5C08" w:rsidR="00E36987" w:rsidRPr="00F06EA4" w:rsidRDefault="00F2664A" w:rsidP="00F67ED8">
      <w:pPr>
        <w:pStyle w:val="a8"/>
        <w:spacing w:after="0" w:line="360" w:lineRule="auto"/>
        <w:rPr>
          <w:rFonts w:eastAsia="Arial Unicode MS" w:cs="Arial Unicode MS"/>
          <w:sz w:val="24"/>
          <w:szCs w:val="24"/>
          <w:lang w:eastAsia="zh-CN"/>
        </w:rPr>
      </w:pPr>
      <w:r w:rsidRPr="00F06EA4">
        <w:rPr>
          <w:b/>
          <w:color w:val="222222"/>
          <w:sz w:val="24"/>
          <w:szCs w:val="24"/>
          <w:lang w:val="en-US"/>
        </w:rPr>
        <w:t>Juha P Väyrynen</w:t>
      </w:r>
      <w:r w:rsidRPr="00F06EA4">
        <w:rPr>
          <w:sz w:val="24"/>
          <w:szCs w:val="24"/>
          <w:lang w:val="en-US"/>
        </w:rPr>
        <w:t xml:space="preserve">, </w:t>
      </w:r>
      <w:r w:rsidR="00E36987" w:rsidRPr="00F06EA4">
        <w:rPr>
          <w:sz w:val="24"/>
          <w:szCs w:val="24"/>
          <w:lang w:val="en-US"/>
        </w:rPr>
        <w:t xml:space="preserve">Department of </w:t>
      </w:r>
      <w:r w:rsidR="00E35F2E" w:rsidRPr="00F06EA4">
        <w:rPr>
          <w:sz w:val="24"/>
          <w:szCs w:val="24"/>
          <w:lang w:val="en-US"/>
        </w:rPr>
        <w:t>Medical Oncology</w:t>
      </w:r>
      <w:r w:rsidR="00E36987" w:rsidRPr="00F06EA4">
        <w:rPr>
          <w:sz w:val="24"/>
          <w:szCs w:val="24"/>
          <w:lang w:val="en-US"/>
        </w:rPr>
        <w:t>, Dana-Farber Cancer Institute and Harvard Medical School, Boston, MA</w:t>
      </w:r>
      <w:r w:rsidR="00F01897" w:rsidRPr="00F06EA4">
        <w:rPr>
          <w:sz w:val="24"/>
          <w:szCs w:val="24"/>
          <w:lang w:val="en-US"/>
        </w:rPr>
        <w:t xml:space="preserve"> </w:t>
      </w:r>
      <w:r w:rsidR="00F56B77" w:rsidRPr="00F06EA4">
        <w:rPr>
          <w:rFonts w:eastAsiaTheme="minorEastAsia"/>
          <w:sz w:val="24"/>
          <w:szCs w:val="24"/>
          <w:lang w:val="en-US" w:eastAsia="zh-CN"/>
        </w:rPr>
        <w:t>02115</w:t>
      </w:r>
      <w:r w:rsidR="00E36987" w:rsidRPr="00F06EA4">
        <w:rPr>
          <w:sz w:val="24"/>
          <w:szCs w:val="24"/>
          <w:lang w:val="en-US"/>
        </w:rPr>
        <w:t>, U</w:t>
      </w:r>
      <w:r w:rsidR="00AC6E31" w:rsidRPr="00F06EA4">
        <w:rPr>
          <w:sz w:val="24"/>
          <w:szCs w:val="24"/>
          <w:lang w:val="en-US"/>
        </w:rPr>
        <w:t>nited States</w:t>
      </w:r>
    </w:p>
    <w:p w14:paraId="71E3A0ED" w14:textId="77777777" w:rsidR="00093BF4" w:rsidRPr="00F06EA4" w:rsidRDefault="00093BF4" w:rsidP="00F67ED8">
      <w:pPr>
        <w:spacing w:after="0"/>
        <w:rPr>
          <w:lang w:val="en-US"/>
        </w:rPr>
      </w:pPr>
    </w:p>
    <w:p w14:paraId="44A1873A" w14:textId="1C0ABA3C" w:rsidR="00A926BD" w:rsidRPr="00F06EA4" w:rsidRDefault="00093BF4" w:rsidP="00F67ED8">
      <w:pPr>
        <w:spacing w:after="0"/>
        <w:rPr>
          <w:lang w:val="fi-FI"/>
        </w:rPr>
      </w:pPr>
      <w:r w:rsidRPr="00F06EA4">
        <w:rPr>
          <w:b/>
          <w:lang w:val="fi-FI"/>
        </w:rPr>
        <w:t>ORCID number</w:t>
      </w:r>
      <w:r w:rsidRPr="00F06EA4">
        <w:rPr>
          <w:lang w:val="fi-FI"/>
        </w:rPr>
        <w:t>: Anne Tuomisto (0000-0002-9949-1887)</w:t>
      </w:r>
      <w:r w:rsidR="00D52E3C" w:rsidRPr="00F06EA4">
        <w:rPr>
          <w:lang w:val="fi-FI"/>
        </w:rPr>
        <w:t>;</w:t>
      </w:r>
      <w:r w:rsidR="00E24264" w:rsidRPr="00F06EA4">
        <w:rPr>
          <w:lang w:val="fi-FI"/>
        </w:rPr>
        <w:t xml:space="preserve"> </w:t>
      </w:r>
      <w:r w:rsidR="00DC65DB" w:rsidRPr="00F06EA4">
        <w:rPr>
          <w:lang w:val="fi-FI"/>
        </w:rPr>
        <w:t>Markus J Mäkinen (0000-0002-9200-4118)</w:t>
      </w:r>
      <w:r w:rsidR="00D52E3C" w:rsidRPr="00F06EA4">
        <w:rPr>
          <w:lang w:val="fi-FI"/>
        </w:rPr>
        <w:t>;</w:t>
      </w:r>
      <w:r w:rsidR="00DC65DB" w:rsidRPr="00F06EA4">
        <w:rPr>
          <w:lang w:val="fi-FI"/>
        </w:rPr>
        <w:t xml:space="preserve"> </w:t>
      </w:r>
      <w:r w:rsidR="00E24264" w:rsidRPr="00F06EA4">
        <w:rPr>
          <w:lang w:val="fi-FI"/>
        </w:rPr>
        <w:t xml:space="preserve">Juha </w:t>
      </w:r>
      <w:r w:rsidR="007B7126" w:rsidRPr="00F06EA4">
        <w:rPr>
          <w:lang w:val="fi-FI"/>
        </w:rPr>
        <w:t xml:space="preserve">P </w:t>
      </w:r>
      <w:r w:rsidR="00E24264" w:rsidRPr="00F06EA4">
        <w:rPr>
          <w:lang w:val="fi-FI"/>
        </w:rPr>
        <w:t>Väyrynen (0000-0002-8683-2996)</w:t>
      </w:r>
      <w:r w:rsidR="00D52E3C" w:rsidRPr="00F06EA4">
        <w:rPr>
          <w:lang w:val="fi-FI"/>
        </w:rPr>
        <w:t>.</w:t>
      </w:r>
    </w:p>
    <w:p w14:paraId="740C4822" w14:textId="77777777" w:rsidR="00E24264" w:rsidRPr="00F06EA4" w:rsidRDefault="00E24264" w:rsidP="00F67ED8">
      <w:pPr>
        <w:spacing w:after="0"/>
        <w:rPr>
          <w:lang w:val="fi-FI"/>
        </w:rPr>
      </w:pPr>
    </w:p>
    <w:p w14:paraId="03CDA1E7" w14:textId="232790E8" w:rsidR="00A926BD" w:rsidRPr="00F06EA4" w:rsidRDefault="00A926BD" w:rsidP="00F67ED8">
      <w:pPr>
        <w:spacing w:after="0"/>
        <w:rPr>
          <w:lang w:val="en-US"/>
        </w:rPr>
      </w:pPr>
      <w:r w:rsidRPr="00F06EA4">
        <w:rPr>
          <w:b/>
          <w:bCs/>
          <w:lang w:val="en-US"/>
        </w:rPr>
        <w:t>Author contributions:</w:t>
      </w:r>
      <w:r w:rsidRPr="00F06EA4">
        <w:rPr>
          <w:lang w:val="en-US"/>
        </w:rPr>
        <w:t xml:space="preserve"> </w:t>
      </w:r>
      <w:r w:rsidR="000F1784" w:rsidRPr="00F06EA4">
        <w:rPr>
          <w:rFonts w:cs="Arial"/>
          <w:color w:val="333333"/>
          <w:lang w:val="en-US"/>
        </w:rPr>
        <w:t xml:space="preserve"> All authors equally contributed to the literature review and design, writing, revision and editing of the manuscript</w:t>
      </w:r>
      <w:r w:rsidR="00D52E3C" w:rsidRPr="00F06EA4">
        <w:rPr>
          <w:rFonts w:cs="Arial"/>
          <w:color w:val="333333"/>
          <w:lang w:val="en-US"/>
        </w:rPr>
        <w:t>.</w:t>
      </w:r>
    </w:p>
    <w:p w14:paraId="0879CA12" w14:textId="77777777" w:rsidR="00932130" w:rsidRPr="00F06EA4" w:rsidRDefault="00932130" w:rsidP="00F67ED8">
      <w:pPr>
        <w:spacing w:after="0"/>
        <w:rPr>
          <w:lang w:val="en-US"/>
        </w:rPr>
      </w:pPr>
    </w:p>
    <w:p w14:paraId="6BC57452" w14:textId="081C3E12" w:rsidR="00A926BD" w:rsidRPr="00F06EA4" w:rsidRDefault="00D52E3C" w:rsidP="00F67ED8">
      <w:pPr>
        <w:spacing w:after="0"/>
        <w:rPr>
          <w:lang w:val="en-US"/>
        </w:rPr>
      </w:pPr>
      <w:r w:rsidRPr="00F06EA4">
        <w:rPr>
          <w:b/>
          <w:lang w:val="en-US"/>
        </w:rPr>
        <w:t>Conflict-of-interest statement</w:t>
      </w:r>
      <w:r w:rsidR="00A926BD" w:rsidRPr="00F06EA4">
        <w:rPr>
          <w:lang w:val="en-US"/>
        </w:rPr>
        <w:t>: The authors declare that there is no conflict of interest.</w:t>
      </w:r>
    </w:p>
    <w:p w14:paraId="2212EEF5" w14:textId="3BC05420" w:rsidR="005F2348" w:rsidRDefault="005F2348" w:rsidP="00F67ED8">
      <w:pPr>
        <w:spacing w:after="0"/>
        <w:rPr>
          <w:lang w:val="en-US"/>
        </w:rPr>
      </w:pPr>
    </w:p>
    <w:p w14:paraId="665D09E9" w14:textId="77777777" w:rsidR="00F640CB" w:rsidRDefault="00F640CB" w:rsidP="00F67ED8">
      <w:pPr>
        <w:spacing w:after="0"/>
        <w:rPr>
          <w:color w:val="000000"/>
        </w:rPr>
      </w:pPr>
      <w:bookmarkStart w:id="10" w:name="OLE_LINK507"/>
      <w:bookmarkStart w:id="11" w:name="OLE_LINK506"/>
      <w:bookmarkStart w:id="12" w:name="OLE_LINK496"/>
      <w:bookmarkStart w:id="13" w:name="OLE_LINK479"/>
      <w:r w:rsidRPr="00C05FCE">
        <w:rPr>
          <w:b/>
          <w:color w:val="000000"/>
        </w:rPr>
        <w:t xml:space="preserve">Open-Access: </w:t>
      </w:r>
      <w:r w:rsidRPr="00C05FCE">
        <w:rPr>
          <w:color w:val="000000"/>
        </w:rPr>
        <w:t>This article is an open-access</w:t>
      </w:r>
      <w:r w:rsidRPr="00C05FCE">
        <w:rPr>
          <w:rFonts w:hint="eastAsia"/>
          <w:color w:val="000000"/>
        </w:rPr>
        <w:t xml:space="preserve"> </w:t>
      </w:r>
      <w:r w:rsidRPr="00C05FCE">
        <w:rPr>
          <w:color w:val="000000"/>
        </w:rPr>
        <w:t>article</w:t>
      </w:r>
      <w:r w:rsidRPr="00C05FCE">
        <w:rPr>
          <w:rFonts w:hint="eastAsia"/>
          <w:color w:val="000000"/>
        </w:rPr>
        <w:t xml:space="preserve"> </w:t>
      </w:r>
      <w:r w:rsidRPr="00C05FCE">
        <w:rPr>
          <w:color w:val="000000"/>
        </w:rPr>
        <w:t>which was selected by an in-house editor and fully peer-reviewed by external reviewers. It is distributed</w:t>
      </w:r>
      <w:r w:rsidRPr="00C05FCE">
        <w:rPr>
          <w:rFonts w:hint="eastAsia"/>
          <w:color w:val="000000"/>
        </w:rPr>
        <w:t xml:space="preserve"> </w:t>
      </w:r>
      <w:r w:rsidRPr="00C05FCE">
        <w:rPr>
          <w:color w:val="000000"/>
        </w:rPr>
        <w:t>in</w:t>
      </w:r>
      <w:r w:rsidRPr="00C05FCE">
        <w:rPr>
          <w:rFonts w:hint="eastAsia"/>
          <w:color w:val="000000"/>
        </w:rPr>
        <w:t xml:space="preserve"> </w:t>
      </w:r>
      <w:r w:rsidRPr="00C05FCE">
        <w:rPr>
          <w:color w:val="000000"/>
        </w:rPr>
        <w:t>accordance</w:t>
      </w:r>
      <w:r w:rsidRPr="00C05FCE">
        <w:rPr>
          <w:rFonts w:hint="eastAsia"/>
          <w:color w:val="000000"/>
        </w:rPr>
        <w:t xml:space="preserve"> </w:t>
      </w:r>
      <w:r w:rsidRPr="00C05FCE">
        <w:rPr>
          <w:color w:val="000000"/>
        </w:rPr>
        <w:t xml:space="preserve">with the Creative Commons Attribution Non Commercial (CC BY-NC 4.0) license, which permits </w:t>
      </w:r>
      <w:r w:rsidRPr="00C05FCE">
        <w:rPr>
          <w:color w:val="000000"/>
        </w:rPr>
        <w:lastRenderedPageBreak/>
        <w:t xml:space="preserve">others to distribute, remix, adapt, build upon this work non-commercially, and license their derivative works on different terms, provided the original work is properly cited and the use is non-commercial. See: </w:t>
      </w:r>
      <w:r w:rsidRPr="00085E6E">
        <w:rPr>
          <w:color w:val="000000"/>
        </w:rPr>
        <w:t>http://creativecommons.org/licenses/by-nc/4.0/</w:t>
      </w:r>
      <w:bookmarkEnd w:id="10"/>
      <w:bookmarkEnd w:id="11"/>
      <w:bookmarkEnd w:id="12"/>
      <w:bookmarkEnd w:id="13"/>
    </w:p>
    <w:p w14:paraId="1A522728" w14:textId="77777777" w:rsidR="00F640CB" w:rsidRPr="003A20C8" w:rsidRDefault="00F640CB" w:rsidP="00F67ED8">
      <w:pPr>
        <w:spacing w:after="0"/>
        <w:rPr>
          <w:color w:val="000000"/>
        </w:rPr>
      </w:pPr>
    </w:p>
    <w:p w14:paraId="5CB4F881" w14:textId="77777777" w:rsidR="00F640CB" w:rsidRPr="00B757B8" w:rsidRDefault="00F640CB" w:rsidP="00F67ED8">
      <w:pPr>
        <w:spacing w:after="0"/>
      </w:pPr>
      <w:r w:rsidRPr="00B757B8">
        <w:rPr>
          <w:b/>
        </w:rPr>
        <w:t xml:space="preserve">Manuscript source: </w:t>
      </w:r>
      <w:r w:rsidRPr="00B757B8">
        <w:t>Invited manuscript</w:t>
      </w:r>
    </w:p>
    <w:p w14:paraId="5C682A96" w14:textId="77777777" w:rsidR="00BB69CD" w:rsidRPr="00F640CB" w:rsidRDefault="00BB69CD" w:rsidP="00F67ED8">
      <w:pPr>
        <w:spacing w:after="0"/>
      </w:pPr>
    </w:p>
    <w:p w14:paraId="20A3230A" w14:textId="2235D593" w:rsidR="00A926BD" w:rsidRPr="00F06EA4" w:rsidRDefault="00D52E3C" w:rsidP="00F67ED8">
      <w:pPr>
        <w:spacing w:after="0"/>
        <w:rPr>
          <w:rStyle w:val="a5"/>
          <w:lang w:val="en-US"/>
        </w:rPr>
      </w:pPr>
      <w:r w:rsidRPr="00F06EA4">
        <w:rPr>
          <w:b/>
          <w:lang w:val="en-US"/>
        </w:rPr>
        <w:t>Corresponding author</w:t>
      </w:r>
      <w:r w:rsidR="005F2348" w:rsidRPr="00F06EA4">
        <w:rPr>
          <w:lang w:val="en-US"/>
        </w:rPr>
        <w:t xml:space="preserve">: </w:t>
      </w:r>
      <w:r w:rsidR="005F2348" w:rsidRPr="00F06EA4">
        <w:rPr>
          <w:b/>
          <w:bCs/>
          <w:lang w:val="en-US"/>
        </w:rPr>
        <w:t xml:space="preserve">Anne E Tuomisto, </w:t>
      </w:r>
      <w:r w:rsidR="00285732" w:rsidRPr="00F06EA4">
        <w:rPr>
          <w:b/>
          <w:bCs/>
          <w:lang w:val="en-US"/>
        </w:rPr>
        <w:t>PhD, Research Scientist,</w:t>
      </w:r>
      <w:r w:rsidR="00285732" w:rsidRPr="00F06EA4">
        <w:rPr>
          <w:lang w:val="en-US"/>
        </w:rPr>
        <w:t xml:space="preserve"> </w:t>
      </w:r>
      <w:r w:rsidR="00932130" w:rsidRPr="00F06EA4">
        <w:rPr>
          <w:lang w:val="en-US"/>
        </w:rPr>
        <w:t xml:space="preserve">Department of Pathology, Oulu University Hospital and Medical Research Center Oulu, </w:t>
      </w:r>
      <w:bookmarkStart w:id="14" w:name="OLE_LINK1"/>
      <w:bookmarkStart w:id="15" w:name="OLE_LINK2"/>
      <w:r w:rsidR="00932130" w:rsidRPr="00F06EA4">
        <w:rPr>
          <w:lang w:val="en-US"/>
        </w:rPr>
        <w:t>POB 21</w:t>
      </w:r>
      <w:bookmarkEnd w:id="14"/>
      <w:bookmarkEnd w:id="15"/>
      <w:r w:rsidR="00932130" w:rsidRPr="00F06EA4">
        <w:rPr>
          <w:lang w:val="en-US"/>
        </w:rPr>
        <w:t>, Oulu 90029, Finland. anne.tuomisto@oulu.fi</w:t>
      </w:r>
    </w:p>
    <w:p w14:paraId="61B145BC" w14:textId="1A6DC48B" w:rsidR="00F01897" w:rsidRPr="00F06EA4" w:rsidRDefault="00F01897" w:rsidP="00F67ED8">
      <w:pPr>
        <w:autoSpaceDE w:val="0"/>
        <w:autoSpaceDN w:val="0"/>
        <w:adjustRightInd w:val="0"/>
        <w:snapToGrid w:val="0"/>
        <w:spacing w:after="0"/>
        <w:rPr>
          <w:rFonts w:cs="Garamond-Bold"/>
          <w:b/>
          <w:bCs/>
        </w:rPr>
      </w:pPr>
      <w:bookmarkStart w:id="16" w:name="_Hlk5625880"/>
      <w:r w:rsidRPr="00F06EA4">
        <w:rPr>
          <w:rFonts w:cs="Garamond-Bold"/>
          <w:b/>
          <w:bCs/>
        </w:rPr>
        <w:t>Telephone:</w:t>
      </w:r>
      <w:r w:rsidR="000F1784" w:rsidRPr="00F06EA4">
        <w:rPr>
          <w:rFonts w:cs="Garamond-Bold"/>
          <w:b/>
          <w:bCs/>
        </w:rPr>
        <w:t xml:space="preserve"> </w:t>
      </w:r>
      <w:r w:rsidR="000F1784" w:rsidRPr="00F06EA4">
        <w:rPr>
          <w:rFonts w:cs="Garamond-Bold"/>
        </w:rPr>
        <w:t>+358</w:t>
      </w:r>
      <w:r w:rsidR="001B625C" w:rsidRPr="00F06EA4">
        <w:rPr>
          <w:rFonts w:cs="Garamond-Bold"/>
        </w:rPr>
        <w:t>-</w:t>
      </w:r>
      <w:r w:rsidR="000F1784" w:rsidRPr="00F06EA4">
        <w:rPr>
          <w:rFonts w:cs="Garamond-Bold"/>
        </w:rPr>
        <w:t>29</w:t>
      </w:r>
      <w:r w:rsidR="001B625C" w:rsidRPr="00F06EA4">
        <w:rPr>
          <w:rFonts w:cs="Garamond-Bold"/>
        </w:rPr>
        <w:t>-</w:t>
      </w:r>
      <w:r w:rsidR="000F1784" w:rsidRPr="00F06EA4">
        <w:rPr>
          <w:rFonts w:cs="Garamond-Bold"/>
        </w:rPr>
        <w:t>4485946</w:t>
      </w:r>
    </w:p>
    <w:p w14:paraId="68CD32B5" w14:textId="0019C74A" w:rsidR="00F01897" w:rsidRPr="00F06EA4" w:rsidRDefault="00F01897" w:rsidP="00F67ED8">
      <w:pPr>
        <w:autoSpaceDE w:val="0"/>
        <w:autoSpaceDN w:val="0"/>
        <w:adjustRightInd w:val="0"/>
        <w:snapToGrid w:val="0"/>
        <w:spacing w:after="0"/>
        <w:rPr>
          <w:rFonts w:cs="Arial"/>
        </w:rPr>
      </w:pPr>
      <w:r w:rsidRPr="00F06EA4">
        <w:rPr>
          <w:rFonts w:cs="Garamond-Bold"/>
          <w:b/>
          <w:bCs/>
        </w:rPr>
        <w:t>Fax</w:t>
      </w:r>
      <w:r w:rsidRPr="00F06EA4">
        <w:rPr>
          <w:rFonts w:cs="Garamond-Bold"/>
          <w:b/>
          <w:bCs/>
          <w:lang w:eastAsia="zh-CN"/>
        </w:rPr>
        <w:t>:</w:t>
      </w:r>
      <w:r w:rsidRPr="00F06EA4">
        <w:t xml:space="preserve"> </w:t>
      </w:r>
      <w:r w:rsidR="000F1784" w:rsidRPr="00F06EA4">
        <w:rPr>
          <w:rFonts w:cs="Arial"/>
        </w:rPr>
        <w:t xml:space="preserve"> +358</w:t>
      </w:r>
      <w:r w:rsidR="001B625C" w:rsidRPr="00F06EA4">
        <w:rPr>
          <w:rFonts w:cs="Arial"/>
        </w:rPr>
        <w:t>-</w:t>
      </w:r>
      <w:r w:rsidR="000F1784" w:rsidRPr="00F06EA4">
        <w:rPr>
          <w:rFonts w:cs="Arial"/>
        </w:rPr>
        <w:t>8</w:t>
      </w:r>
      <w:r w:rsidR="001B625C" w:rsidRPr="00F06EA4">
        <w:rPr>
          <w:rFonts w:cs="Arial"/>
        </w:rPr>
        <w:t>-</w:t>
      </w:r>
      <w:r w:rsidR="000F1784" w:rsidRPr="00F06EA4">
        <w:rPr>
          <w:rFonts w:cs="Arial"/>
        </w:rPr>
        <w:t>344084</w:t>
      </w:r>
    </w:p>
    <w:p w14:paraId="77FF1D99" w14:textId="4E65696E" w:rsidR="001B625C" w:rsidRPr="00F06EA4" w:rsidRDefault="001B625C" w:rsidP="00F67ED8">
      <w:pPr>
        <w:autoSpaceDE w:val="0"/>
        <w:autoSpaceDN w:val="0"/>
        <w:adjustRightInd w:val="0"/>
        <w:snapToGrid w:val="0"/>
        <w:spacing w:after="0"/>
        <w:rPr>
          <w:rFonts w:cs="Arial"/>
        </w:rPr>
      </w:pPr>
    </w:p>
    <w:p w14:paraId="26FA289A" w14:textId="40B70BFB" w:rsidR="008E25C8" w:rsidRPr="00011C60" w:rsidRDefault="008E25C8" w:rsidP="00F67ED8">
      <w:pPr>
        <w:spacing w:after="0"/>
        <w:rPr>
          <w:bCs/>
        </w:rPr>
      </w:pPr>
      <w:r w:rsidRPr="00867A3A">
        <w:rPr>
          <w:b/>
        </w:rPr>
        <w:t>Received:</w:t>
      </w:r>
      <w:r w:rsidR="00011C60">
        <w:rPr>
          <w:b/>
        </w:rPr>
        <w:t xml:space="preserve"> </w:t>
      </w:r>
      <w:r w:rsidR="00011C60" w:rsidRPr="00011C60">
        <w:rPr>
          <w:bCs/>
        </w:rPr>
        <w:t>April 25, 2019</w:t>
      </w:r>
    </w:p>
    <w:p w14:paraId="65F46EAA" w14:textId="2A3E0A16" w:rsidR="008E25C8" w:rsidRPr="00867A3A" w:rsidRDefault="008E25C8" w:rsidP="00F67ED8">
      <w:pPr>
        <w:spacing w:after="0"/>
        <w:rPr>
          <w:b/>
        </w:rPr>
      </w:pPr>
      <w:r w:rsidRPr="00867A3A">
        <w:rPr>
          <w:b/>
        </w:rPr>
        <w:t>Peer-review started:</w:t>
      </w:r>
      <w:r w:rsidR="006D0C8F">
        <w:rPr>
          <w:b/>
        </w:rPr>
        <w:t xml:space="preserve"> </w:t>
      </w:r>
      <w:r w:rsidR="006D0C8F" w:rsidRPr="00011C60">
        <w:rPr>
          <w:bCs/>
        </w:rPr>
        <w:t>April 25, 2019</w:t>
      </w:r>
    </w:p>
    <w:p w14:paraId="6D465DFA" w14:textId="5720295E" w:rsidR="008E25C8" w:rsidRPr="00867A3A" w:rsidRDefault="008E25C8" w:rsidP="00F67ED8">
      <w:pPr>
        <w:spacing w:after="0"/>
        <w:rPr>
          <w:b/>
        </w:rPr>
      </w:pPr>
      <w:r w:rsidRPr="00867A3A">
        <w:rPr>
          <w:b/>
        </w:rPr>
        <w:t>First decision:</w:t>
      </w:r>
      <w:r w:rsidR="006D0C8F">
        <w:rPr>
          <w:b/>
        </w:rPr>
        <w:t xml:space="preserve"> </w:t>
      </w:r>
      <w:r w:rsidR="008B4D8F" w:rsidRPr="00DE261C">
        <w:rPr>
          <w:bCs/>
        </w:rPr>
        <w:t>May 24, 2019</w:t>
      </w:r>
    </w:p>
    <w:p w14:paraId="3F902114" w14:textId="3597FCCC" w:rsidR="008E25C8" w:rsidRPr="00867A3A" w:rsidRDefault="008E25C8" w:rsidP="00F67ED8">
      <w:pPr>
        <w:spacing w:after="0"/>
        <w:rPr>
          <w:b/>
        </w:rPr>
      </w:pPr>
      <w:r w:rsidRPr="00867A3A">
        <w:rPr>
          <w:b/>
        </w:rPr>
        <w:t>Revised:</w:t>
      </w:r>
      <w:r w:rsidR="00A76096">
        <w:rPr>
          <w:b/>
        </w:rPr>
        <w:t xml:space="preserve"> </w:t>
      </w:r>
      <w:r w:rsidR="00A76096" w:rsidRPr="00A76096">
        <w:rPr>
          <w:bCs/>
        </w:rPr>
        <w:t>June 7, 2019</w:t>
      </w:r>
    </w:p>
    <w:p w14:paraId="1751CD6A" w14:textId="0A996A71" w:rsidR="008E25C8" w:rsidRPr="00867A3A" w:rsidRDefault="008E25C8" w:rsidP="00F67ED8">
      <w:pPr>
        <w:spacing w:after="0"/>
        <w:rPr>
          <w:b/>
        </w:rPr>
      </w:pPr>
      <w:r w:rsidRPr="00867A3A">
        <w:rPr>
          <w:b/>
        </w:rPr>
        <w:t>Accepted:</w:t>
      </w:r>
      <w:r w:rsidR="00514FBC" w:rsidRPr="00514FBC">
        <w:t xml:space="preserve"> July 19, 2019</w:t>
      </w:r>
      <w:r w:rsidRPr="00514FBC">
        <w:t xml:space="preserve">  </w:t>
      </w:r>
    </w:p>
    <w:p w14:paraId="38422A7C" w14:textId="77777777" w:rsidR="008E25C8" w:rsidRPr="00867A3A" w:rsidRDefault="008E25C8" w:rsidP="00F67ED8">
      <w:pPr>
        <w:spacing w:after="0"/>
        <w:rPr>
          <w:b/>
        </w:rPr>
      </w:pPr>
      <w:r w:rsidRPr="00867A3A">
        <w:rPr>
          <w:b/>
        </w:rPr>
        <w:t>Article in press:</w:t>
      </w:r>
    </w:p>
    <w:p w14:paraId="5D649BC1" w14:textId="77777777" w:rsidR="008E25C8" w:rsidRPr="009E3692" w:rsidRDefault="008E25C8" w:rsidP="00F67ED8">
      <w:pPr>
        <w:spacing w:after="0"/>
      </w:pPr>
      <w:r w:rsidRPr="00867A3A">
        <w:rPr>
          <w:b/>
        </w:rPr>
        <w:t>Published online:</w:t>
      </w:r>
    </w:p>
    <w:p w14:paraId="238A6FF0" w14:textId="77777777" w:rsidR="001B625C" w:rsidRPr="00F06EA4" w:rsidRDefault="001B625C" w:rsidP="00F67ED8">
      <w:pPr>
        <w:autoSpaceDE w:val="0"/>
        <w:autoSpaceDN w:val="0"/>
        <w:adjustRightInd w:val="0"/>
        <w:snapToGrid w:val="0"/>
        <w:spacing w:after="0"/>
        <w:rPr>
          <w:rFonts w:cs="Garamond-Bold"/>
          <w:b/>
          <w:bCs/>
        </w:rPr>
      </w:pPr>
    </w:p>
    <w:bookmarkEnd w:id="16"/>
    <w:p w14:paraId="105B93E0" w14:textId="12824649" w:rsidR="00F01897" w:rsidRPr="00F06EA4" w:rsidRDefault="00F01897" w:rsidP="00F67ED8">
      <w:pPr>
        <w:spacing w:after="0"/>
      </w:pPr>
      <w:r w:rsidRPr="00F06EA4">
        <w:br w:type="page"/>
      </w:r>
    </w:p>
    <w:p w14:paraId="3C707B0A" w14:textId="031A1999" w:rsidR="00A926BD" w:rsidRPr="00F06EA4" w:rsidRDefault="00285732" w:rsidP="00F67ED8">
      <w:pPr>
        <w:spacing w:after="0"/>
        <w:rPr>
          <w:lang w:val="en-US"/>
        </w:rPr>
      </w:pPr>
      <w:r w:rsidRPr="00F06EA4">
        <w:rPr>
          <w:rStyle w:val="10"/>
          <w:sz w:val="24"/>
        </w:rPr>
        <w:lastRenderedPageBreak/>
        <w:t>Abstract</w:t>
      </w:r>
    </w:p>
    <w:p w14:paraId="038D30E2" w14:textId="22C9DF39" w:rsidR="0081560F" w:rsidRPr="00F06EA4" w:rsidRDefault="00F423F1" w:rsidP="00F67ED8">
      <w:pPr>
        <w:spacing w:after="0"/>
        <w:rPr>
          <w:lang w:val="en-US"/>
        </w:rPr>
      </w:pPr>
      <w:r w:rsidRPr="00F06EA4">
        <w:t>Systemic inflammation is a marker of poor prognosis preoperatively present in around 20</w:t>
      </w:r>
      <w:r w:rsidR="00A76096">
        <w:t>%</w:t>
      </w:r>
      <w:r w:rsidRPr="00F06EA4">
        <w:t xml:space="preserve">-40% of colorectal cancer patients. </w:t>
      </w:r>
      <w:r w:rsidR="00E86743" w:rsidRPr="00F06EA4">
        <w:rPr>
          <w:lang w:val="en-US"/>
        </w:rPr>
        <w:t xml:space="preserve">The hallmarks </w:t>
      </w:r>
      <w:r w:rsidR="000216C2" w:rsidRPr="00F06EA4">
        <w:rPr>
          <w:lang w:val="en-US"/>
        </w:rPr>
        <w:t>of s</w:t>
      </w:r>
      <w:r w:rsidR="009052F9" w:rsidRPr="00F06EA4">
        <w:rPr>
          <w:lang w:val="en-US"/>
        </w:rPr>
        <w:t>ystemic inflammation</w:t>
      </w:r>
      <w:r w:rsidR="00F31D83" w:rsidRPr="00F06EA4">
        <w:rPr>
          <w:lang w:val="en-US"/>
        </w:rPr>
        <w:t xml:space="preserve"> </w:t>
      </w:r>
      <w:r w:rsidR="000216C2" w:rsidRPr="00F06EA4">
        <w:rPr>
          <w:lang w:val="en-US"/>
        </w:rPr>
        <w:t>include an increased production of proinflammatory cytokines and acute phase proteins that enter the circulation. While the low-level systemic inflammation is often clinically silent, its consequences are many and may ultimately lead to chronic cancer-associated wasting, cachexia.</w:t>
      </w:r>
      <w:r w:rsidR="00103466" w:rsidRPr="00F06EA4">
        <w:rPr>
          <w:lang w:val="en-US"/>
        </w:rPr>
        <w:t xml:space="preserve"> </w:t>
      </w:r>
      <w:r w:rsidR="00115B4F" w:rsidRPr="00F06EA4">
        <w:rPr>
          <w:lang w:val="en-US"/>
        </w:rPr>
        <w:t xml:space="preserve">In this review, </w:t>
      </w:r>
      <w:r w:rsidR="0081560F" w:rsidRPr="00F06EA4">
        <w:rPr>
          <w:lang w:val="en-US"/>
        </w:rPr>
        <w:t xml:space="preserve">we </w:t>
      </w:r>
      <w:r w:rsidR="002E18D4" w:rsidRPr="00F06EA4">
        <w:rPr>
          <w:lang w:val="en-US"/>
        </w:rPr>
        <w:t>discuss</w:t>
      </w:r>
      <w:r w:rsidR="002C2F14" w:rsidRPr="00F06EA4">
        <w:rPr>
          <w:lang w:val="en-US"/>
        </w:rPr>
        <w:t xml:space="preserve"> the</w:t>
      </w:r>
      <w:r w:rsidR="0081560F" w:rsidRPr="00F06EA4">
        <w:rPr>
          <w:lang w:val="en-US"/>
        </w:rPr>
        <w:t xml:space="preserve"> </w:t>
      </w:r>
      <w:r w:rsidR="002C2F14" w:rsidRPr="00F06EA4">
        <w:rPr>
          <w:lang w:val="en-US"/>
        </w:rPr>
        <w:t>pathogenesis</w:t>
      </w:r>
      <w:r w:rsidR="002E18D4" w:rsidRPr="00F06EA4">
        <w:rPr>
          <w:lang w:val="en-US"/>
        </w:rPr>
        <w:t xml:space="preserve"> of cancer-related systemic inflammation, explore the role of</w:t>
      </w:r>
      <w:r w:rsidR="002C2F14" w:rsidRPr="00F06EA4">
        <w:rPr>
          <w:lang w:val="en-US"/>
        </w:rPr>
        <w:t xml:space="preserve"> systemic inflammation </w:t>
      </w:r>
      <w:r w:rsidR="002E18D4" w:rsidRPr="00F06EA4">
        <w:rPr>
          <w:lang w:val="en-US"/>
        </w:rPr>
        <w:t>in</w:t>
      </w:r>
      <w:r w:rsidR="00277B22" w:rsidRPr="00F06EA4">
        <w:rPr>
          <w:lang w:val="en-US"/>
        </w:rPr>
        <w:t xml:space="preserve"> promoting</w:t>
      </w:r>
      <w:r w:rsidR="002E18D4" w:rsidRPr="00F06EA4">
        <w:rPr>
          <w:lang w:val="en-US"/>
        </w:rPr>
        <w:t xml:space="preserve"> cancer growth, </w:t>
      </w:r>
      <w:r w:rsidR="00277B22" w:rsidRPr="00F06EA4">
        <w:rPr>
          <w:lang w:val="en-US"/>
        </w:rPr>
        <w:t>e</w:t>
      </w:r>
      <w:r w:rsidR="00E7433D" w:rsidRPr="00F06EA4">
        <w:rPr>
          <w:lang w:val="en-US"/>
        </w:rPr>
        <w:t xml:space="preserve">scaping </w:t>
      </w:r>
      <w:r w:rsidR="002E18D4" w:rsidRPr="00F06EA4">
        <w:rPr>
          <w:lang w:val="en-US"/>
        </w:rPr>
        <w:t>antitumor defen</w:t>
      </w:r>
      <w:r w:rsidR="00E7433D" w:rsidRPr="00F06EA4">
        <w:rPr>
          <w:lang w:val="en-US"/>
        </w:rPr>
        <w:t>s</w:t>
      </w:r>
      <w:r w:rsidR="002E18D4" w:rsidRPr="00F06EA4">
        <w:rPr>
          <w:lang w:val="en-US"/>
        </w:rPr>
        <w:t xml:space="preserve">e, and </w:t>
      </w:r>
      <w:r w:rsidR="00B36EE0" w:rsidRPr="00F06EA4">
        <w:rPr>
          <w:lang w:val="en-US"/>
        </w:rPr>
        <w:t>shifting metabolic pathways</w:t>
      </w:r>
      <w:r w:rsidR="002E18D4" w:rsidRPr="00F06EA4">
        <w:rPr>
          <w:lang w:val="en-US"/>
        </w:rPr>
        <w:t xml:space="preserve">, and </w:t>
      </w:r>
      <w:r w:rsidR="002C2F14" w:rsidRPr="00F06EA4">
        <w:rPr>
          <w:lang w:val="en-US"/>
        </w:rPr>
        <w:t>how these</w:t>
      </w:r>
      <w:r w:rsidR="002E18D4" w:rsidRPr="00F06EA4">
        <w:rPr>
          <w:lang w:val="en-US"/>
        </w:rPr>
        <w:t xml:space="preserve"> changes</w:t>
      </w:r>
      <w:r w:rsidR="002C2F14" w:rsidRPr="00F06EA4">
        <w:rPr>
          <w:lang w:val="en-US"/>
        </w:rPr>
        <w:t xml:space="preserve"> </w:t>
      </w:r>
      <w:r w:rsidR="00486F50" w:rsidRPr="00F06EA4">
        <w:rPr>
          <w:lang w:val="en-US"/>
        </w:rPr>
        <w:t xml:space="preserve">are </w:t>
      </w:r>
      <w:r w:rsidR="002C2F14" w:rsidRPr="00F06EA4">
        <w:rPr>
          <w:lang w:val="en-US"/>
        </w:rPr>
        <w:t>relate</w:t>
      </w:r>
      <w:r w:rsidR="00486F50" w:rsidRPr="00F06EA4">
        <w:rPr>
          <w:lang w:val="en-US"/>
        </w:rPr>
        <w:t>d</w:t>
      </w:r>
      <w:r w:rsidR="002C2F14" w:rsidRPr="00F06EA4">
        <w:rPr>
          <w:lang w:val="en-US"/>
        </w:rPr>
        <w:t xml:space="preserve"> to </w:t>
      </w:r>
      <w:r w:rsidR="002E18D4" w:rsidRPr="00F06EA4">
        <w:rPr>
          <w:lang w:val="en-US"/>
        </w:rPr>
        <w:t>less favorable outcome</w:t>
      </w:r>
      <w:r w:rsidR="003A1B7E" w:rsidRPr="00F06EA4">
        <w:rPr>
          <w:lang w:val="en-US"/>
        </w:rPr>
        <w:t xml:space="preserve">. </w:t>
      </w:r>
    </w:p>
    <w:p w14:paraId="5FAE2AB1" w14:textId="77777777" w:rsidR="00AC29F5" w:rsidRPr="00F06EA4" w:rsidRDefault="00AC29F5" w:rsidP="00F67ED8">
      <w:pPr>
        <w:spacing w:after="0"/>
        <w:rPr>
          <w:lang w:val="en-US"/>
        </w:rPr>
      </w:pPr>
    </w:p>
    <w:p w14:paraId="37A8C2F6" w14:textId="03E295A8" w:rsidR="00AC29F5" w:rsidRDefault="00AC29F5" w:rsidP="00F67ED8">
      <w:pPr>
        <w:spacing w:after="0"/>
        <w:rPr>
          <w:lang w:val="en-US"/>
        </w:rPr>
      </w:pPr>
      <w:r w:rsidRPr="00F06EA4">
        <w:rPr>
          <w:b/>
          <w:lang w:val="en-US"/>
        </w:rPr>
        <w:t>Key words</w:t>
      </w:r>
      <w:r w:rsidRPr="00F06EA4">
        <w:rPr>
          <w:lang w:val="en-US"/>
        </w:rPr>
        <w:t xml:space="preserve">: </w:t>
      </w:r>
      <w:r w:rsidR="00FC4E19" w:rsidRPr="00F06EA4">
        <w:rPr>
          <w:lang w:val="en-US"/>
        </w:rPr>
        <w:t xml:space="preserve">Colorectal </w:t>
      </w:r>
      <w:r w:rsidR="00932130" w:rsidRPr="00F06EA4">
        <w:rPr>
          <w:lang w:val="en-US"/>
        </w:rPr>
        <w:t>cancer</w:t>
      </w:r>
      <w:r w:rsidR="00FC4E19">
        <w:rPr>
          <w:lang w:val="en-US"/>
        </w:rPr>
        <w:t>;</w:t>
      </w:r>
      <w:r w:rsidR="00932130" w:rsidRPr="00F06EA4">
        <w:rPr>
          <w:lang w:val="en-US"/>
        </w:rPr>
        <w:t xml:space="preserve"> </w:t>
      </w:r>
      <w:r w:rsidR="00FC4E19" w:rsidRPr="00F06EA4">
        <w:rPr>
          <w:lang w:val="en-US"/>
        </w:rPr>
        <w:t>Inflammation</w:t>
      </w:r>
      <w:r w:rsidR="00FC4E19">
        <w:rPr>
          <w:lang w:val="en-US"/>
        </w:rPr>
        <w:t>;</w:t>
      </w:r>
      <w:r w:rsidR="00932130" w:rsidRPr="00F06EA4">
        <w:rPr>
          <w:lang w:val="en-US"/>
        </w:rPr>
        <w:t xml:space="preserve"> </w:t>
      </w:r>
      <w:r w:rsidR="00FC4E19" w:rsidRPr="00F06EA4">
        <w:rPr>
          <w:lang w:val="en-US"/>
        </w:rPr>
        <w:t>Prognosis</w:t>
      </w:r>
      <w:r w:rsidR="00FC4E19">
        <w:rPr>
          <w:lang w:val="en-US"/>
        </w:rPr>
        <w:t>;</w:t>
      </w:r>
      <w:r w:rsidR="00932130" w:rsidRPr="00F06EA4">
        <w:rPr>
          <w:lang w:val="en-US"/>
        </w:rPr>
        <w:t xml:space="preserve"> </w:t>
      </w:r>
      <w:r w:rsidR="00FC4E19" w:rsidRPr="00F06EA4">
        <w:rPr>
          <w:lang w:val="en-US"/>
        </w:rPr>
        <w:t>Cytokine</w:t>
      </w:r>
      <w:r w:rsidR="00FC4E19">
        <w:rPr>
          <w:lang w:val="en-US"/>
        </w:rPr>
        <w:t>;</w:t>
      </w:r>
      <w:r w:rsidR="009408CE" w:rsidRPr="00F06EA4">
        <w:rPr>
          <w:lang w:val="en-US"/>
        </w:rPr>
        <w:t xml:space="preserve"> </w:t>
      </w:r>
      <w:r w:rsidR="00FC4E19" w:rsidRPr="00F06EA4">
        <w:rPr>
          <w:lang w:val="en-US"/>
        </w:rPr>
        <w:t>Chemokine</w:t>
      </w:r>
      <w:r w:rsidR="00FC4E19">
        <w:rPr>
          <w:lang w:val="en-US"/>
        </w:rPr>
        <w:t>;</w:t>
      </w:r>
      <w:r w:rsidR="00E163CF" w:rsidRPr="00F06EA4">
        <w:rPr>
          <w:lang w:val="en-US"/>
        </w:rPr>
        <w:t xml:space="preserve"> </w:t>
      </w:r>
      <w:r w:rsidR="009408CE" w:rsidRPr="00F06EA4">
        <w:rPr>
          <w:lang w:val="en-US"/>
        </w:rPr>
        <w:t>C-reactive protein</w:t>
      </w:r>
      <w:r w:rsidR="00FC4E19">
        <w:rPr>
          <w:lang w:val="en-US"/>
        </w:rPr>
        <w:t>;</w:t>
      </w:r>
      <w:r w:rsidR="009408CE" w:rsidRPr="00F06EA4">
        <w:rPr>
          <w:lang w:val="en-US"/>
        </w:rPr>
        <w:t xml:space="preserve"> </w:t>
      </w:r>
      <w:r w:rsidR="00FC4E19" w:rsidRPr="00F06EA4">
        <w:rPr>
          <w:lang w:val="en-US"/>
        </w:rPr>
        <w:t>Glasgow prognostic s</w:t>
      </w:r>
      <w:r w:rsidR="009408CE" w:rsidRPr="00F06EA4">
        <w:rPr>
          <w:lang w:val="en-US"/>
        </w:rPr>
        <w:t>core</w:t>
      </w:r>
      <w:r w:rsidR="00FC4E19">
        <w:rPr>
          <w:lang w:val="en-US"/>
        </w:rPr>
        <w:t>;</w:t>
      </w:r>
      <w:r w:rsidR="009408CE" w:rsidRPr="00F06EA4">
        <w:rPr>
          <w:lang w:val="en-US"/>
        </w:rPr>
        <w:t xml:space="preserve"> </w:t>
      </w:r>
      <w:r w:rsidR="00FC4E19" w:rsidRPr="00F06EA4">
        <w:rPr>
          <w:lang w:val="en-US"/>
        </w:rPr>
        <w:t>Cachexia</w:t>
      </w:r>
      <w:r w:rsidR="00FC4E19">
        <w:rPr>
          <w:lang w:val="en-US"/>
        </w:rPr>
        <w:t>;</w:t>
      </w:r>
      <w:r w:rsidR="00A05064" w:rsidRPr="00F06EA4">
        <w:rPr>
          <w:lang w:val="en-US"/>
        </w:rPr>
        <w:t xml:space="preserve"> </w:t>
      </w:r>
      <w:r w:rsidR="00FC4E19" w:rsidRPr="00F06EA4">
        <w:rPr>
          <w:lang w:val="en-US"/>
        </w:rPr>
        <w:t xml:space="preserve">Metastasis </w:t>
      </w:r>
    </w:p>
    <w:p w14:paraId="5A3A50B3" w14:textId="77777777" w:rsidR="00FC4E19" w:rsidRPr="00F06EA4" w:rsidRDefault="00FC4E19" w:rsidP="00F67ED8">
      <w:pPr>
        <w:spacing w:after="0"/>
        <w:rPr>
          <w:lang w:val="en-US"/>
        </w:rPr>
      </w:pPr>
    </w:p>
    <w:p w14:paraId="3D58233C" w14:textId="77777777" w:rsidR="0033260F" w:rsidRDefault="0033260F" w:rsidP="00F67ED8">
      <w:pPr>
        <w:autoSpaceDE w:val="0"/>
        <w:autoSpaceDN w:val="0"/>
        <w:adjustRightInd w:val="0"/>
        <w:snapToGrid w:val="0"/>
        <w:spacing w:after="0"/>
        <w:rPr>
          <w:rFonts w:cs="Arial Unicode MS"/>
        </w:rPr>
      </w:pPr>
      <w:bookmarkStart w:id="17" w:name="OLE_LINK98"/>
      <w:bookmarkStart w:id="18" w:name="OLE_LINK156"/>
      <w:bookmarkStart w:id="19" w:name="OLE_LINK196"/>
      <w:bookmarkStart w:id="20" w:name="OLE_LINK217"/>
      <w:bookmarkStart w:id="21" w:name="OLE_LINK242"/>
      <w:bookmarkStart w:id="22" w:name="OLE_LINK247"/>
      <w:bookmarkStart w:id="23" w:name="OLE_LINK311"/>
      <w:bookmarkStart w:id="24" w:name="OLE_LINK312"/>
      <w:bookmarkStart w:id="25" w:name="OLE_LINK325"/>
      <w:bookmarkStart w:id="26" w:name="OLE_LINK330"/>
      <w:bookmarkStart w:id="27" w:name="OLE_LINK513"/>
      <w:bookmarkStart w:id="28" w:name="OLE_LINK514"/>
      <w:bookmarkStart w:id="29" w:name="OLE_LINK464"/>
      <w:bookmarkStart w:id="30" w:name="OLE_LINK465"/>
      <w:bookmarkStart w:id="31" w:name="OLE_LINK466"/>
      <w:bookmarkStart w:id="32" w:name="OLE_LINK470"/>
      <w:bookmarkStart w:id="33" w:name="OLE_LINK471"/>
      <w:bookmarkStart w:id="34" w:name="OLE_LINK472"/>
      <w:bookmarkStart w:id="35" w:name="OLE_LINK474"/>
      <w:bookmarkStart w:id="36" w:name="OLE_LINK512"/>
      <w:bookmarkStart w:id="37" w:name="OLE_LINK800"/>
      <w:bookmarkStart w:id="38" w:name="OLE_LINK982"/>
      <w:bookmarkStart w:id="39" w:name="OLE_LINK1027"/>
      <w:bookmarkStart w:id="40" w:name="OLE_LINK504"/>
      <w:bookmarkStart w:id="41" w:name="OLE_LINK546"/>
      <w:bookmarkStart w:id="42" w:name="OLE_LINK547"/>
      <w:bookmarkStart w:id="43" w:name="OLE_LINK575"/>
      <w:bookmarkStart w:id="44" w:name="OLE_LINK640"/>
      <w:bookmarkStart w:id="45" w:name="OLE_LINK672"/>
      <w:bookmarkStart w:id="46" w:name="OLE_LINK714"/>
      <w:bookmarkStart w:id="47" w:name="OLE_LINK651"/>
      <w:bookmarkStart w:id="48" w:name="OLE_LINK652"/>
      <w:bookmarkStart w:id="49" w:name="OLE_LINK744"/>
      <w:bookmarkStart w:id="50" w:name="OLE_LINK758"/>
      <w:bookmarkStart w:id="51" w:name="OLE_LINK787"/>
      <w:bookmarkStart w:id="52" w:name="OLE_LINK807"/>
      <w:bookmarkStart w:id="53" w:name="OLE_LINK820"/>
      <w:bookmarkStart w:id="54" w:name="OLE_LINK862"/>
      <w:bookmarkStart w:id="55" w:name="OLE_LINK879"/>
      <w:bookmarkStart w:id="56" w:name="OLE_LINK906"/>
      <w:bookmarkStart w:id="57" w:name="OLE_LINK928"/>
      <w:bookmarkStart w:id="58" w:name="OLE_LINK960"/>
      <w:bookmarkStart w:id="59" w:name="OLE_LINK861"/>
      <w:bookmarkStart w:id="60" w:name="OLE_LINK983"/>
      <w:bookmarkStart w:id="61" w:name="OLE_LINK1334"/>
      <w:bookmarkStart w:id="62" w:name="OLE_LINK1029"/>
      <w:bookmarkStart w:id="63" w:name="OLE_LINK1060"/>
      <w:bookmarkStart w:id="64" w:name="OLE_LINK1061"/>
      <w:bookmarkStart w:id="65" w:name="OLE_LINK1348"/>
      <w:bookmarkStart w:id="66" w:name="OLE_LINK1086"/>
      <w:bookmarkStart w:id="67" w:name="OLE_LINK1100"/>
      <w:bookmarkStart w:id="68" w:name="OLE_LINK1125"/>
      <w:bookmarkStart w:id="69" w:name="OLE_LINK1163"/>
      <w:bookmarkStart w:id="70" w:name="OLE_LINK1193"/>
      <w:bookmarkStart w:id="71" w:name="OLE_LINK1219"/>
      <w:bookmarkStart w:id="72" w:name="OLE_LINK1247"/>
      <w:bookmarkStart w:id="73" w:name="OLE_LINK1284"/>
      <w:bookmarkStart w:id="74" w:name="OLE_LINK1313"/>
      <w:bookmarkStart w:id="75" w:name="OLE_LINK1361"/>
      <w:bookmarkStart w:id="76" w:name="OLE_LINK1384"/>
      <w:bookmarkStart w:id="77" w:name="OLE_LINK1403"/>
      <w:bookmarkStart w:id="78" w:name="OLE_LINK1437"/>
      <w:bookmarkStart w:id="79" w:name="OLE_LINK1454"/>
      <w:bookmarkStart w:id="80" w:name="OLE_LINK1480"/>
      <w:bookmarkStart w:id="81" w:name="OLE_LINK1504"/>
      <w:bookmarkStart w:id="82" w:name="OLE_LINK1516"/>
      <w:bookmarkStart w:id="83" w:name="OLE_LINK135"/>
      <w:bookmarkStart w:id="84" w:name="OLE_LINK216"/>
      <w:bookmarkStart w:id="85" w:name="OLE_LINK259"/>
      <w:bookmarkStart w:id="86" w:name="OLE_LINK1186"/>
      <w:bookmarkStart w:id="87" w:name="OLE_LINK1265"/>
      <w:bookmarkStart w:id="88" w:name="OLE_LINK1373"/>
      <w:bookmarkStart w:id="89" w:name="OLE_LINK1478"/>
      <w:bookmarkStart w:id="90" w:name="OLE_LINK1644"/>
      <w:bookmarkStart w:id="91" w:name="OLE_LINK1884"/>
      <w:bookmarkStart w:id="92" w:name="OLE_LINK1885"/>
      <w:bookmarkStart w:id="93" w:name="OLE_LINK1538"/>
      <w:bookmarkStart w:id="94" w:name="OLE_LINK1539"/>
      <w:bookmarkStart w:id="95" w:name="OLE_LINK1543"/>
      <w:bookmarkStart w:id="96" w:name="OLE_LINK1549"/>
      <w:bookmarkStart w:id="97" w:name="OLE_LINK1778"/>
      <w:bookmarkStart w:id="98" w:name="OLE_LINK1756"/>
      <w:bookmarkStart w:id="99" w:name="OLE_LINK1776"/>
      <w:bookmarkStart w:id="100" w:name="OLE_LINK1777"/>
      <w:bookmarkStart w:id="101" w:name="OLE_LINK1868"/>
      <w:bookmarkStart w:id="102" w:name="OLE_LINK1744"/>
      <w:bookmarkStart w:id="103" w:name="OLE_LINK1817"/>
      <w:bookmarkStart w:id="104" w:name="OLE_LINK1835"/>
      <w:bookmarkStart w:id="105" w:name="OLE_LINK1866"/>
      <w:bookmarkStart w:id="106" w:name="OLE_LINK1882"/>
      <w:bookmarkStart w:id="107" w:name="OLE_LINK1901"/>
      <w:bookmarkStart w:id="108" w:name="OLE_LINK1902"/>
      <w:bookmarkStart w:id="109" w:name="OLE_LINK2013"/>
      <w:bookmarkStart w:id="110" w:name="OLE_LINK1894"/>
      <w:bookmarkStart w:id="111" w:name="OLE_LINK1929"/>
      <w:bookmarkStart w:id="112" w:name="OLE_LINK1941"/>
      <w:bookmarkStart w:id="113" w:name="OLE_LINK1995"/>
      <w:bookmarkStart w:id="114" w:name="OLE_LINK1938"/>
      <w:bookmarkStart w:id="115" w:name="OLE_LINK2081"/>
      <w:bookmarkStart w:id="116" w:name="OLE_LINK2082"/>
      <w:bookmarkStart w:id="117" w:name="OLE_LINK2292"/>
      <w:bookmarkStart w:id="118" w:name="OLE_LINK1931"/>
      <w:bookmarkStart w:id="119" w:name="OLE_LINK1964"/>
      <w:bookmarkStart w:id="120" w:name="OLE_LINK2020"/>
      <w:bookmarkStart w:id="121" w:name="OLE_LINK2071"/>
      <w:bookmarkStart w:id="122" w:name="OLE_LINK2134"/>
      <w:bookmarkStart w:id="123" w:name="OLE_LINK2265"/>
      <w:bookmarkStart w:id="124" w:name="OLE_LINK2562"/>
      <w:bookmarkStart w:id="125" w:name="OLE_LINK1923"/>
      <w:bookmarkStart w:id="126" w:name="OLE_LINK2192"/>
      <w:bookmarkStart w:id="127" w:name="OLE_LINK2110"/>
      <w:bookmarkStart w:id="128" w:name="OLE_LINK2445"/>
      <w:bookmarkStart w:id="129" w:name="OLE_LINK2446"/>
      <w:bookmarkStart w:id="130" w:name="OLE_LINK2169"/>
      <w:bookmarkStart w:id="131" w:name="OLE_LINK2190"/>
      <w:bookmarkStart w:id="132" w:name="OLE_LINK2331"/>
      <w:bookmarkStart w:id="133" w:name="OLE_LINK2345"/>
      <w:bookmarkStart w:id="134" w:name="OLE_LINK2467"/>
      <w:bookmarkStart w:id="135" w:name="OLE_LINK2484"/>
      <w:bookmarkStart w:id="136" w:name="OLE_LINK2157"/>
      <w:bookmarkStart w:id="137" w:name="OLE_LINK2221"/>
      <w:bookmarkStart w:id="138" w:name="OLE_LINK2252"/>
      <w:bookmarkStart w:id="139" w:name="OLE_LINK2348"/>
      <w:bookmarkStart w:id="140" w:name="OLE_LINK2451"/>
      <w:bookmarkStart w:id="141" w:name="OLE_LINK2627"/>
      <w:bookmarkStart w:id="142" w:name="OLE_LINK2482"/>
      <w:bookmarkStart w:id="143" w:name="OLE_LINK2663"/>
      <w:bookmarkStart w:id="144" w:name="OLE_LINK2761"/>
      <w:bookmarkStart w:id="145" w:name="OLE_LINK2856"/>
      <w:bookmarkStart w:id="146" w:name="OLE_LINK2993"/>
      <w:bookmarkStart w:id="147" w:name="OLE_LINK2643"/>
      <w:bookmarkStart w:id="148" w:name="OLE_LINK2583"/>
      <w:bookmarkStart w:id="149" w:name="OLE_LINK2762"/>
      <w:bookmarkStart w:id="150" w:name="OLE_LINK2962"/>
      <w:bookmarkStart w:id="151" w:name="OLE_LINK2582"/>
      <w:r w:rsidRPr="00412B34">
        <w:rPr>
          <w:b/>
          <w:color w:val="000000"/>
        </w:rPr>
        <w:t xml:space="preserve">© </w:t>
      </w:r>
      <w:r w:rsidRPr="00412B34">
        <w:rPr>
          <w:rFonts w:eastAsia="AdvTimes" w:cs="AdvTimes"/>
          <w:b/>
          <w:color w:val="000000"/>
        </w:rPr>
        <w:t>The Author(s) 201</w:t>
      </w:r>
      <w:r>
        <w:rPr>
          <w:rFonts w:cs="AdvTimes"/>
          <w:b/>
          <w:color w:val="000000"/>
        </w:rPr>
        <w:t>9</w:t>
      </w:r>
      <w:r w:rsidRPr="004269F8">
        <w:rPr>
          <w:rFonts w:eastAsia="AdvTimes" w:cs="AdvTimes"/>
          <w:color w:val="000000"/>
        </w:rPr>
        <w:t xml:space="preserve"> </w:t>
      </w:r>
      <w:r w:rsidRPr="00897D49">
        <w:rPr>
          <w:rFonts w:eastAsia="AdvTimes" w:cs="AdvTimes"/>
          <w:color w:val="000000"/>
        </w:rPr>
        <w:t>Published by</w:t>
      </w:r>
      <w:r w:rsidRPr="004269F8">
        <w:rPr>
          <w:rFonts w:eastAsia="AdvTimes" w:cs="AdvTimes"/>
          <w:color w:val="000000"/>
        </w:rPr>
        <w:t xml:space="preserve"> </w:t>
      </w:r>
      <w:r w:rsidRPr="004269F8">
        <w:rPr>
          <w:rFonts w:cs="Arial Unicode MS"/>
          <w:color w:val="000000"/>
        </w:rPr>
        <w:t>Baishideng Publishing Group Inc.</w:t>
      </w:r>
      <w:r w:rsidRPr="008E6844">
        <w:rPr>
          <w:rFonts w:cs="Arial Unicode MS"/>
        </w:rPr>
        <w:t xml:space="preserve"> </w:t>
      </w:r>
      <w:r w:rsidRPr="00836DCC">
        <w:rPr>
          <w:rFonts w:cs="Arial Unicode MS"/>
        </w:rPr>
        <w:t>All rights reserved.</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6DD31C31" w14:textId="77777777" w:rsidR="00932130" w:rsidRPr="00F06EA4" w:rsidRDefault="00932130" w:rsidP="00F67ED8">
      <w:pPr>
        <w:spacing w:after="0"/>
        <w:rPr>
          <w:lang w:val="en-US"/>
        </w:rPr>
      </w:pPr>
    </w:p>
    <w:p w14:paraId="6FB7AFCC" w14:textId="23A84851" w:rsidR="00F01897" w:rsidRPr="00F06EA4" w:rsidRDefault="00AC29F5" w:rsidP="00F67ED8">
      <w:pPr>
        <w:spacing w:after="0"/>
        <w:rPr>
          <w:lang w:val="en-US"/>
        </w:rPr>
      </w:pPr>
      <w:r w:rsidRPr="00F06EA4">
        <w:rPr>
          <w:b/>
          <w:lang w:val="en-US"/>
        </w:rPr>
        <w:t>Core tip</w:t>
      </w:r>
      <w:r w:rsidRPr="00F06EA4">
        <w:rPr>
          <w:lang w:val="en-US"/>
        </w:rPr>
        <w:t>:</w:t>
      </w:r>
      <w:r w:rsidR="005B1851" w:rsidRPr="00F06EA4">
        <w:rPr>
          <w:lang w:val="en-US"/>
        </w:rPr>
        <w:t xml:space="preserve"> </w:t>
      </w:r>
      <w:r w:rsidR="00877948" w:rsidRPr="00F06EA4">
        <w:rPr>
          <w:lang w:val="en-US"/>
        </w:rPr>
        <w:t xml:space="preserve">Increasing evidence indicates that systemic inflammation has </w:t>
      </w:r>
      <w:r w:rsidR="00E36161" w:rsidRPr="00F06EA4">
        <w:rPr>
          <w:lang w:val="en-US"/>
        </w:rPr>
        <w:t>wide-ranging</w:t>
      </w:r>
      <w:r w:rsidR="00877948" w:rsidRPr="00F06EA4">
        <w:rPr>
          <w:lang w:val="en-US"/>
        </w:rPr>
        <w:t xml:space="preserve"> effects on colorectal cancer (CRC) pathogenesis</w:t>
      </w:r>
      <w:r w:rsidR="00E36161" w:rsidRPr="00F06EA4">
        <w:rPr>
          <w:lang w:val="en-US"/>
        </w:rPr>
        <w:t xml:space="preserve">, </w:t>
      </w:r>
      <w:r w:rsidR="00813BB7" w:rsidRPr="00F06EA4">
        <w:rPr>
          <w:lang w:val="en-US"/>
        </w:rPr>
        <w:t xml:space="preserve">spanning from </w:t>
      </w:r>
      <w:r w:rsidR="008C3026" w:rsidRPr="00F06EA4">
        <w:rPr>
          <w:lang w:val="en-US"/>
        </w:rPr>
        <w:t xml:space="preserve">supporting primary tumor growth by </w:t>
      </w:r>
      <w:r w:rsidR="00656011" w:rsidRPr="00F06EA4">
        <w:rPr>
          <w:lang w:val="en-US"/>
        </w:rPr>
        <w:t>promoting tumor cell proliferation</w:t>
      </w:r>
      <w:r w:rsidR="002E15CC" w:rsidRPr="00F06EA4">
        <w:rPr>
          <w:lang w:val="en-US"/>
        </w:rPr>
        <w:t xml:space="preserve"> </w:t>
      </w:r>
      <w:r w:rsidR="002C7758" w:rsidRPr="00F06EA4">
        <w:rPr>
          <w:lang w:val="en-US"/>
        </w:rPr>
        <w:t>to</w:t>
      </w:r>
      <w:r w:rsidR="006B26DE" w:rsidRPr="00F06EA4">
        <w:rPr>
          <w:lang w:val="en-US"/>
        </w:rPr>
        <w:t xml:space="preserve"> helping angiogenesis by enhancing the availability of pro-angiogenic molecules, to</w:t>
      </w:r>
      <w:r w:rsidR="002E15CC" w:rsidRPr="00F06EA4">
        <w:rPr>
          <w:lang w:val="en-US"/>
        </w:rPr>
        <w:t xml:space="preserve"> suppressing anti-tumor immunity</w:t>
      </w:r>
      <w:r w:rsidR="008950C3" w:rsidRPr="00F06EA4">
        <w:rPr>
          <w:lang w:val="en-US"/>
        </w:rPr>
        <w:t xml:space="preserve"> by </w:t>
      </w:r>
      <w:r w:rsidR="00ED3D27" w:rsidRPr="00F06EA4">
        <w:rPr>
          <w:lang w:val="en-US"/>
        </w:rPr>
        <w:t>recruiting</w:t>
      </w:r>
      <w:r w:rsidR="008950C3" w:rsidRPr="00F06EA4">
        <w:rPr>
          <w:lang w:val="en-US"/>
        </w:rPr>
        <w:t xml:space="preserve"> anti-inflammatory cell types, </w:t>
      </w:r>
      <w:r w:rsidR="002C7758" w:rsidRPr="00F06EA4">
        <w:rPr>
          <w:lang w:val="en-US"/>
        </w:rPr>
        <w:t>and</w:t>
      </w:r>
      <w:r w:rsidR="00656011" w:rsidRPr="00F06EA4">
        <w:rPr>
          <w:lang w:val="en-US"/>
        </w:rPr>
        <w:t xml:space="preserve"> to </w:t>
      </w:r>
      <w:r w:rsidR="002E15CC" w:rsidRPr="00F06EA4">
        <w:rPr>
          <w:lang w:val="en-US"/>
        </w:rPr>
        <w:t xml:space="preserve">shaping pre-metastatic niches to </w:t>
      </w:r>
      <w:r w:rsidR="00BD40D9" w:rsidRPr="00F06EA4">
        <w:rPr>
          <w:lang w:val="en-US"/>
        </w:rPr>
        <w:t>promote subsequent metastasis.</w:t>
      </w:r>
      <w:r w:rsidR="00656E7C" w:rsidRPr="00F06EA4">
        <w:rPr>
          <w:lang w:val="en-US"/>
        </w:rPr>
        <w:t xml:space="preserve"> Systemic inflammatory biomarkers</w:t>
      </w:r>
      <w:r w:rsidR="00471BCC" w:rsidRPr="00F06EA4">
        <w:rPr>
          <w:lang w:val="en-US"/>
        </w:rPr>
        <w:t xml:space="preserve">, such as </w:t>
      </w:r>
      <w:r w:rsidR="00C90293" w:rsidRPr="00F06EA4">
        <w:rPr>
          <w:lang w:val="en-US"/>
        </w:rPr>
        <w:t xml:space="preserve">circulating </w:t>
      </w:r>
      <w:r w:rsidR="00471BCC" w:rsidRPr="00F06EA4">
        <w:rPr>
          <w:lang w:val="en-US"/>
        </w:rPr>
        <w:t>acute phase proteins</w:t>
      </w:r>
      <w:r w:rsidR="00C90293" w:rsidRPr="00F06EA4">
        <w:rPr>
          <w:lang w:val="en-US"/>
        </w:rPr>
        <w:t>,</w:t>
      </w:r>
      <w:r w:rsidR="00471BCC" w:rsidRPr="00F06EA4">
        <w:rPr>
          <w:lang w:val="en-US"/>
        </w:rPr>
        <w:t xml:space="preserve"> cytokines</w:t>
      </w:r>
      <w:r w:rsidR="00C90293" w:rsidRPr="00F06EA4">
        <w:rPr>
          <w:lang w:val="en-US"/>
        </w:rPr>
        <w:t>,</w:t>
      </w:r>
      <w:r w:rsidR="00247109" w:rsidRPr="00F06EA4">
        <w:rPr>
          <w:lang w:val="en-US"/>
        </w:rPr>
        <w:t xml:space="preserve"> exosomes, and </w:t>
      </w:r>
      <w:r w:rsidR="006625AF" w:rsidRPr="00F06EA4">
        <w:rPr>
          <w:lang w:val="en-US"/>
        </w:rPr>
        <w:t>leukocytes</w:t>
      </w:r>
      <w:r w:rsidR="00247109" w:rsidRPr="00F06EA4">
        <w:rPr>
          <w:lang w:val="en-US"/>
        </w:rPr>
        <w:t>,</w:t>
      </w:r>
      <w:r w:rsidR="00656E7C" w:rsidRPr="00F06EA4">
        <w:rPr>
          <w:lang w:val="en-US"/>
        </w:rPr>
        <w:t xml:space="preserve"> </w:t>
      </w:r>
      <w:r w:rsidR="0009491C" w:rsidRPr="00F06EA4">
        <w:rPr>
          <w:lang w:val="en-US"/>
        </w:rPr>
        <w:t>may help</w:t>
      </w:r>
      <w:r w:rsidR="00B12642" w:rsidRPr="00F06EA4">
        <w:rPr>
          <w:lang w:val="en-US"/>
        </w:rPr>
        <w:t xml:space="preserve"> to classify CRC patients into </w:t>
      </w:r>
      <w:r w:rsidR="00BB220B" w:rsidRPr="00F06EA4">
        <w:rPr>
          <w:lang w:val="en-US"/>
        </w:rPr>
        <w:t xml:space="preserve">useful </w:t>
      </w:r>
      <w:r w:rsidR="00B12642" w:rsidRPr="00F06EA4">
        <w:rPr>
          <w:lang w:val="en-US"/>
        </w:rPr>
        <w:t xml:space="preserve">prognostic categories. However, further larger-scale studies are needed to determine </w:t>
      </w:r>
      <w:r w:rsidR="00BB220B" w:rsidRPr="00F06EA4">
        <w:rPr>
          <w:lang w:val="en-US"/>
        </w:rPr>
        <w:t xml:space="preserve">optimal </w:t>
      </w:r>
      <w:r w:rsidR="00B12642" w:rsidRPr="00F06EA4">
        <w:rPr>
          <w:lang w:val="en-US"/>
        </w:rPr>
        <w:t xml:space="preserve">marker combinations for selecting patients </w:t>
      </w:r>
      <w:r w:rsidR="00471BCC" w:rsidRPr="00F06EA4">
        <w:rPr>
          <w:lang w:val="en-US"/>
        </w:rPr>
        <w:t>to receive</w:t>
      </w:r>
      <w:r w:rsidR="00BB220B" w:rsidRPr="00F06EA4">
        <w:rPr>
          <w:lang w:val="en-US"/>
        </w:rPr>
        <w:t xml:space="preserve"> specific</w:t>
      </w:r>
      <w:r w:rsidR="00471BCC" w:rsidRPr="00F06EA4">
        <w:rPr>
          <w:lang w:val="en-US"/>
        </w:rPr>
        <w:t xml:space="preserve"> treatments</w:t>
      </w:r>
      <w:r w:rsidR="00A4665F">
        <w:rPr>
          <w:lang w:val="en-US"/>
        </w:rPr>
        <w:t>.</w:t>
      </w:r>
    </w:p>
    <w:p w14:paraId="22FE252F" w14:textId="151D61D5" w:rsidR="00285732" w:rsidRDefault="00285732" w:rsidP="00F67ED8">
      <w:pPr>
        <w:spacing w:after="0"/>
        <w:rPr>
          <w:b/>
          <w:bCs/>
          <w:lang w:val="en-US"/>
        </w:rPr>
      </w:pPr>
    </w:p>
    <w:p w14:paraId="59563978" w14:textId="22B33ED9" w:rsidR="00C32700" w:rsidRPr="00C32700" w:rsidRDefault="00C32700" w:rsidP="00F67ED8">
      <w:pPr>
        <w:spacing w:after="0"/>
        <w:rPr>
          <w:lang w:val="fi-FI"/>
        </w:rPr>
      </w:pPr>
      <w:r w:rsidRPr="00F06EA4">
        <w:rPr>
          <w:lang w:val="fi-FI"/>
        </w:rPr>
        <w:t>Tuomisto</w:t>
      </w:r>
      <w:r>
        <w:rPr>
          <w:lang w:val="fi-FI"/>
        </w:rPr>
        <w:t xml:space="preserve"> AE</w:t>
      </w:r>
      <w:r w:rsidRPr="00F06EA4">
        <w:rPr>
          <w:lang w:val="fi-FI"/>
        </w:rPr>
        <w:t>, Mäkinen</w:t>
      </w:r>
      <w:r>
        <w:rPr>
          <w:lang w:val="fi-FI"/>
        </w:rPr>
        <w:t xml:space="preserve"> MJ</w:t>
      </w:r>
      <w:r w:rsidRPr="00F06EA4">
        <w:rPr>
          <w:lang w:val="fi-FI"/>
        </w:rPr>
        <w:t>, Väyrynen</w:t>
      </w:r>
      <w:r>
        <w:rPr>
          <w:lang w:val="fi-FI"/>
        </w:rPr>
        <w:t xml:space="preserve"> JP. </w:t>
      </w:r>
      <w:r w:rsidRPr="00F06EA4">
        <w:t>Systemic inflammation in colorectal cancer: Underlying factors, effects, and prognostic significance</w:t>
      </w:r>
      <w:r>
        <w:t xml:space="preserve">. </w:t>
      </w:r>
      <w:r w:rsidRPr="005D31E4">
        <w:t>World J Gastroenterol</w:t>
      </w:r>
      <w:r>
        <w:t xml:space="preserve"> 2019; In press</w:t>
      </w:r>
    </w:p>
    <w:p w14:paraId="233ED317" w14:textId="77777777" w:rsidR="0033260F" w:rsidRPr="00C32700" w:rsidRDefault="0033260F" w:rsidP="00F67ED8">
      <w:pPr>
        <w:spacing w:after="0"/>
        <w:rPr>
          <w:b/>
          <w:bCs/>
          <w:lang w:val="fi-FI"/>
        </w:rPr>
      </w:pPr>
    </w:p>
    <w:p w14:paraId="7FB8D2B4" w14:textId="77777777" w:rsidR="009207AD" w:rsidRDefault="009207AD">
      <w:pPr>
        <w:spacing w:after="160" w:line="259" w:lineRule="auto"/>
        <w:jc w:val="left"/>
        <w:rPr>
          <w:b/>
          <w:bCs/>
        </w:rPr>
      </w:pPr>
      <w:r>
        <w:rPr>
          <w:b/>
          <w:bCs/>
        </w:rPr>
        <w:br w:type="page"/>
      </w:r>
    </w:p>
    <w:p w14:paraId="72FAF95A" w14:textId="38DFE09E" w:rsidR="00104CED" w:rsidRPr="00F06EA4" w:rsidRDefault="004042A2" w:rsidP="00F67ED8">
      <w:pPr>
        <w:spacing w:after="0"/>
        <w:rPr>
          <w:b/>
          <w:bCs/>
          <w:lang w:val="en-US"/>
        </w:rPr>
      </w:pPr>
      <w:r w:rsidRPr="00F06EA4">
        <w:rPr>
          <w:b/>
          <w:bCs/>
        </w:rPr>
        <w:lastRenderedPageBreak/>
        <w:t>INTRODUCTION</w:t>
      </w:r>
    </w:p>
    <w:p w14:paraId="0B5E87ED" w14:textId="3C885AFF" w:rsidR="009C679A" w:rsidRPr="00F06EA4" w:rsidRDefault="00855F3A" w:rsidP="00F67ED8">
      <w:pPr>
        <w:spacing w:after="0"/>
        <w:rPr>
          <w:lang w:val="en-US"/>
        </w:rPr>
      </w:pPr>
      <w:r w:rsidRPr="00F06EA4">
        <w:rPr>
          <w:lang w:val="en-US"/>
        </w:rPr>
        <w:t>I</w:t>
      </w:r>
      <w:r w:rsidR="00C96B00" w:rsidRPr="00F06EA4">
        <w:rPr>
          <w:lang w:val="en-US"/>
        </w:rPr>
        <w:t>nteraction</w:t>
      </w:r>
      <w:r w:rsidRPr="00F06EA4">
        <w:rPr>
          <w:lang w:val="en-US"/>
        </w:rPr>
        <w:t>s</w:t>
      </w:r>
      <w:r w:rsidR="00C96B00" w:rsidRPr="00F06EA4">
        <w:rPr>
          <w:lang w:val="en-US"/>
        </w:rPr>
        <w:t xml:space="preserve"> between tumor and host </w:t>
      </w:r>
      <w:r w:rsidRPr="00F06EA4">
        <w:rPr>
          <w:lang w:val="en-US"/>
        </w:rPr>
        <w:t xml:space="preserve">are </w:t>
      </w:r>
      <w:r w:rsidR="00C96B00" w:rsidRPr="00F06EA4">
        <w:rPr>
          <w:lang w:val="en-US"/>
        </w:rPr>
        <w:t>important regulator</w:t>
      </w:r>
      <w:r w:rsidRPr="00F06EA4">
        <w:rPr>
          <w:lang w:val="en-US"/>
        </w:rPr>
        <w:t>s</w:t>
      </w:r>
      <w:r w:rsidR="00C96B00" w:rsidRPr="00F06EA4">
        <w:rPr>
          <w:lang w:val="en-US"/>
        </w:rPr>
        <w:t xml:space="preserve"> of tumor progression</w:t>
      </w:r>
      <w:r w:rsidR="00C96B00" w:rsidRPr="00F06EA4">
        <w:rPr>
          <w:lang w:val="en-US"/>
        </w:rPr>
        <w:fldChar w:fldCharType="begin" w:fldLock="1"/>
      </w:r>
      <w:r w:rsidR="00F45F97" w:rsidRPr="00F06EA4">
        <w:rPr>
          <w:lang w:val="en-US"/>
        </w:rPr>
        <w:instrText>ADDIN CSL_CITATION {"citationItems":[{"id":"ITEM-1","itemData":{"DOI":"10.1016/j.cell.2011.02.013","ISSN":"1097-4172; 0092-8674","PMID":"21376230","abstract":"The hallmarks of cancer comprise six biological capabilities acquired during the multistep development of human tumors. The hallmarks constitute an organizing principle for rationalizing the complexities of neoplastic disease. They include sustaining proliferative signaling, evading growth suppressors, resisting cell death, enabling replicative immortality, inducing angiogenesis, and activating invasion and metastasis. Underlying these hallmarks are genome instability, which generates the genetic diversity that expedites their acquisition, and inflammation, which fosters multiple hallmark functions. Conceptual progress in the last decade has added two emerging hallmarks of potential generality to this list-reprogramming of energy metabolism and evading immune destruction. In addition to cancer cells, tumors exhibit another dimension of complexity: they contain a repertoire of recruited, ostensibly normal cells that contribute to the acquisition of hallmark traits by creating the \"tumor microenvironment.\" Recognition of the widespread applicability of these concepts will increasingly affect the development of new means to treat human cancer.","author":[{"dropping-particle":"","family":"Hanahan","given":"Douglas","non-dropping-particle":"","parse-names":false,"suffix":""},{"dropping-particle":"","family":"Weinberg","given":"Robert A","non-dropping-particle":"","parse-names":false,"suffix":""}],"container-title":"Cell","id":"ITEM-1","issue":"5","issued":{"date-parts":[["2011"]]},"page":"646-674","publisher":"Elsevier Inc.","publisher-place":"The Swiss Institute for Experimental Cancer Research (ISREC), School of Life Sciences, EPFL, Lausanne CH-1015, Switzerland. dh@epfl.ch","title":"Hallmarks of cancer: the next generation.","type":"article-journal","volume":"144"},"uris":["http://www.mendeley.com/documents/?uuid=8a02cd23-1642-4ae5-8815-8a2c6092b6e7"]},{"id":"ITEM-2","itemData":{"DOI":"10.1200/JCO.2010.28.4257","ISSN":"1527-7755","PMID":"20644094","abstract":"Carcinomas are composed of neoplastic epithelial cells, which form the heart of the tumor, as well as a variety of mesenchymal cell types and extracellular matrix components that comprise the tumor stroma, often termed its microenvironment. The normal counterparts of some stromal cells are thought to limit tumor growth, while tumor-associated stromal cells have been convincingly shown to actively promote tumor progression via complex heterotypic interactions with the nearby carcinoma cells. More recent advances have revealed that tumor-host interactions extend well beyond the local tissue microenvironment (ie, interactions between the neoplastic cells and the nearby stroma) and that tumors not only respond to, but actively perturb host organs at distant anatomic sites. This indicates that many aspects of tumor biology can only be explained by a detailed understanding of both local and systemic interactions, yet we currently have only a fragmentary understanding of both processes. In this review, we address the recent advances in our understanding of the contributions of local and systemic environments to cancer progression, the ability of tumors to actively perturb the host environment, and current therapeutic approaches that are designed to disrupt tumor-host relationships.","author":[{"dropping-particle":"","family":"McAllister","given":"Sandra S.","non-dropping-particle":"","parse-names":false,"suffix":""},{"dropping-particle":"","family":"Weinberg","given":"Robert A.","non-dropping-particle":"","parse-names":false,"suffix":""}],"container-title":"Journal of clinical oncology : official journal of the American Society of Clinical Oncology","id":"ITEM-2","issue":"26","issued":{"date-parts":[["2010"]]},"page":"4022-8","title":"Tumor-host interactions: a far-reaching relationship.","type":"article-journal","volume":"28"},"uris":["http://www.mendeley.com/documents/?uuid=87c7b98d-1924-43e0-80ca-ee8f981cf963","http://www.mendeley.com/documents/?uuid=047ccd1a-fbe4-4d29-8429-904a0421bb30"]},{"id":"ITEM-3","itemData":{"DOI":"10.1126/science.1203486","ISSN":"1095-9203; 0036-8075","PMID":"21436444","abstract":"Understanding how the immune system affects cancer development and progression has been one of the most challenging questions in immunology. Research over the past two decades has helped explain why the answer to this question has evaded us for so long. We now appreciate that the immune system plays a dual role in cancer: It can not only suppress tumor growth by destroying cancer cells or inhibiting their outgrowth but also promote tumor progression either by selecting for tumor cells that are more fit to survive in an immunocompetent host or by establishing conditions within the tumor microenvironment that facilitate tumor outgrowth. Here, we discuss a unifying conceptual framework called \"cancer immunoediting,\" which integrates the immune system's dual host-protective and tumor-promoting roles.","author":[{"dropping-particle":"","family":"Schreiber","given":"Robert D","non-dropping-particle":"","parse-names":false,"suffix":""},{"dropping-particle":"","family":"Old","given":"Lloyd J","non-dropping-particle":"","parse-names":false,"suffix":""},{"dropping-particle":"","family":"Smyth","given":"Mark J","non-dropping-particle":"","parse-names":false,"suffix":""}],"container-title":"Science (New York, N.Y.)","id":"ITEM-3","issue":"6024","issued":{"date-parts":[["2011"]]},"page":"1565-70","publisher-place":"Department of Pathology and Immunology, Washington University School of Medicine, St. Louis, MO 63110, USA. schreiber@immunology.wustl.edu","title":"Cancer immunoediting: integrating immunity's roles in cancer suppression and promotion","type":"article-journal","volume":"331"},"uris":["http://www.mendeley.com/documents/?uuid=95cb3e56-6fbe-49e2-8109-33306d82a597"]}],"mendeley":{"formattedCitation":"&lt;sup&gt;[1–3]&lt;/sup&gt;","plainTextFormattedCitation":"[1–3]","previouslyFormattedCitation":"&lt;sup&gt;[1–3]&lt;/sup&gt;"},"properties":{"noteIndex":0},"schema":"https://github.com/citation-style-language/schema/raw/master/csl-citation.json"}</w:instrText>
      </w:r>
      <w:r w:rsidR="00C96B00" w:rsidRPr="00F06EA4">
        <w:rPr>
          <w:lang w:val="en-US"/>
        </w:rPr>
        <w:fldChar w:fldCharType="separate"/>
      </w:r>
      <w:r w:rsidR="00F45F97" w:rsidRPr="00F06EA4">
        <w:rPr>
          <w:noProof/>
          <w:vertAlign w:val="superscript"/>
          <w:lang w:val="en-US"/>
        </w:rPr>
        <w:t>[1–3]</w:t>
      </w:r>
      <w:r w:rsidR="00C96B00" w:rsidRPr="00F06EA4">
        <w:rPr>
          <w:lang w:val="en-US"/>
        </w:rPr>
        <w:fldChar w:fldCharType="end"/>
      </w:r>
      <w:r w:rsidR="00C96B00" w:rsidRPr="00F06EA4">
        <w:rPr>
          <w:lang w:val="en-US"/>
        </w:rPr>
        <w:t>.</w:t>
      </w:r>
      <w:r w:rsidR="00CB49EF" w:rsidRPr="00F06EA4">
        <w:rPr>
          <w:lang w:val="en-US"/>
        </w:rPr>
        <w:t xml:space="preserve"> </w:t>
      </w:r>
      <w:r w:rsidRPr="00F06EA4">
        <w:rPr>
          <w:lang w:val="en-US"/>
        </w:rPr>
        <w:t xml:space="preserve">These </w:t>
      </w:r>
      <w:r w:rsidR="00C96B00" w:rsidRPr="00F06EA4">
        <w:rPr>
          <w:lang w:val="en-US"/>
        </w:rPr>
        <w:t>interaction</w:t>
      </w:r>
      <w:r w:rsidRPr="00F06EA4">
        <w:rPr>
          <w:lang w:val="en-US"/>
        </w:rPr>
        <w:t>s</w:t>
      </w:r>
      <w:r w:rsidR="00C96B00" w:rsidRPr="00F06EA4">
        <w:rPr>
          <w:lang w:val="en-US"/>
        </w:rPr>
        <w:t xml:space="preserve"> </w:t>
      </w:r>
      <w:r w:rsidRPr="00F06EA4">
        <w:rPr>
          <w:lang w:val="en-US"/>
        </w:rPr>
        <w:t xml:space="preserve">are mediated </w:t>
      </w:r>
      <w:r w:rsidR="009C679A" w:rsidRPr="00F06EA4">
        <w:rPr>
          <w:lang w:val="en-US"/>
        </w:rPr>
        <w:t>by a complex network of cytokines, chemokines, growth factors, and matrix remodeling enzymes</w:t>
      </w:r>
      <w:r w:rsidR="009C679A" w:rsidRPr="00F06EA4">
        <w:rPr>
          <w:lang w:val="en-US"/>
        </w:rPr>
        <w:fldChar w:fldCharType="begin" w:fldLock="1"/>
      </w:r>
      <w:r w:rsidR="00F45F97" w:rsidRPr="00F06EA4">
        <w:rPr>
          <w:lang w:val="en-US"/>
        </w:rPr>
        <w:instrText>ADDIN CSL_CITATION {"citationItems":[{"id":"ITEM-1","itemData":{"DOI":"10.1242/jcs.116392","ISBN":"1477-9137 (Electronic)\\r0021-9533 (Linking)","ISSN":"1477-9137","PMID":"23420197","author":[{"dropping-particle":"","family":"Balkwill","given":"Frances R.","non-dropping-particle":"","parse-names":false,"suffix":""},{"dropping-particle":"","family":"Capasso","given":"Melania","non-dropping-particle":"","parse-names":false,"suffix":""},{"dropping-particle":"","family":"Hagemann","given":"Thorsten","non-dropping-particle":"","parse-names":false,"suffix":""}],"container-title":"Journal of cell science","id":"ITEM-1","issue":"Pt 23","issued":{"date-parts":[["2012","12"]]},"page":"5591-6","title":"The tumor microenvironment at a glance.","type":"article-journal","volume":"125"},"uris":["http://www.mendeley.com/documents/?uuid=3ba5cd6a-1bd5-4e3d-a45a-6378de116421","http://www.mendeley.com/documents/?uuid=825a88fd-86af-42a8-a262-c78acd59de53"]}],"mendeley":{"formattedCitation":"&lt;sup&gt;[4]&lt;/sup&gt;","plainTextFormattedCitation":"[4]","previouslyFormattedCitation":"&lt;sup&gt;[4]&lt;/sup&gt;"},"properties":{"noteIndex":0},"schema":"https://github.com/citation-style-language/schema/raw/master/csl-citation.json"}</w:instrText>
      </w:r>
      <w:r w:rsidR="009C679A" w:rsidRPr="00F06EA4">
        <w:rPr>
          <w:lang w:val="en-US"/>
        </w:rPr>
        <w:fldChar w:fldCharType="separate"/>
      </w:r>
      <w:r w:rsidR="00F45F97" w:rsidRPr="00F06EA4">
        <w:rPr>
          <w:noProof/>
          <w:vertAlign w:val="superscript"/>
          <w:lang w:val="en-US"/>
        </w:rPr>
        <w:t>[4]</w:t>
      </w:r>
      <w:r w:rsidR="009C679A" w:rsidRPr="00F06EA4">
        <w:rPr>
          <w:lang w:val="en-US"/>
        </w:rPr>
        <w:fldChar w:fldCharType="end"/>
      </w:r>
      <w:r w:rsidR="009C679A" w:rsidRPr="00F06EA4">
        <w:rPr>
          <w:lang w:val="en-US"/>
        </w:rPr>
        <w:t>, reach</w:t>
      </w:r>
      <w:r w:rsidRPr="00F06EA4">
        <w:rPr>
          <w:lang w:val="en-US"/>
        </w:rPr>
        <w:t>ing</w:t>
      </w:r>
      <w:r w:rsidR="009C679A" w:rsidRPr="00F06EA4">
        <w:rPr>
          <w:lang w:val="en-US"/>
        </w:rPr>
        <w:t xml:space="preserve"> beyond </w:t>
      </w:r>
      <w:r w:rsidR="00C6203D" w:rsidRPr="00F06EA4">
        <w:rPr>
          <w:lang w:val="en-US"/>
        </w:rPr>
        <w:t xml:space="preserve">the </w:t>
      </w:r>
      <w:r w:rsidR="009C679A" w:rsidRPr="00F06EA4">
        <w:rPr>
          <w:lang w:val="en-US"/>
        </w:rPr>
        <w:t xml:space="preserve">local tumor microenvironment </w:t>
      </w:r>
      <w:r w:rsidRPr="00F06EA4">
        <w:rPr>
          <w:lang w:val="en-US"/>
        </w:rPr>
        <w:t xml:space="preserve">and </w:t>
      </w:r>
      <w:r w:rsidR="009C679A" w:rsidRPr="00F06EA4">
        <w:rPr>
          <w:lang w:val="en-US"/>
        </w:rPr>
        <w:t>evok</w:t>
      </w:r>
      <w:r w:rsidR="703F713F" w:rsidRPr="00F06EA4">
        <w:rPr>
          <w:lang w:val="en-US"/>
        </w:rPr>
        <w:t>ing</w:t>
      </w:r>
      <w:r w:rsidR="009C679A" w:rsidRPr="00F06EA4">
        <w:rPr>
          <w:lang w:val="en-US"/>
        </w:rPr>
        <w:t xml:space="preserve"> systemic responses</w:t>
      </w:r>
      <w:r w:rsidR="009C679A" w:rsidRPr="00F06EA4">
        <w:rPr>
          <w:lang w:val="en-US"/>
        </w:rPr>
        <w:fldChar w:fldCharType="begin" w:fldLock="1"/>
      </w:r>
      <w:r w:rsidR="00F45F97" w:rsidRPr="00F06EA4">
        <w:rPr>
          <w:lang w:val="en-US"/>
        </w:rPr>
        <w:instrText>ADDIN CSL_CITATION {"citationItems":[{"id":"ITEM-1","itemData":{"DOI":"10.1038/ncb3015","ISSN":"1465-7392","PMID":"25082194","abstract":"Recent pre-clinical and clinical research has provided evidence that cancer progression is driven not only by a tumour's underlying genetic alterations and paracrine interactions within the tumour microenvironment, but also by complex systemic processes. We review these emerging paradigms of cancer pathophysiology and discuss how a clearer understanding of systemic regulation of cancer progression could guide development of new therapeutic modalities and efforts to prevent disease relapse following initial diagnosis and treatment.","author":[{"dropping-particle":"","family":"McAllister","given":"Sandra S.","non-dropping-particle":"","parse-names":false,"suffix":""},{"dropping-particle":"","family":"Weinberg","given":"Robert A.","non-dropping-particle":"","parse-names":false,"suffix":""}],"container-title":"Nature Cell Biology","id":"ITEM-1","issue":"8","issued":{"date-parts":[["2014"]]},"page":"717-727","title":"The tumour-induced systemic environment as a critical regulator of cancer progression and metastasis","type":"article-journal","volume":"16"},"uris":["http://www.mendeley.com/documents/?uuid=bf34afeb-9cae-3497-ba87-6eb4813fa866"]},{"id":"ITEM-2","itemData":{"DOI":"10.1016/j.cell.2011.02.013","ISSN":"1097-4172; 0092-8674","PMID":"21376230","abstract":"The hallmarks of cancer comprise six biological capabilities acquired during the multistep development of human tumors. The hallmarks constitute an organizing principle for rationalizing the complexities of neoplastic disease. They include sustaining proliferative signaling, evading growth suppressors, resisting cell death, enabling replicative immortality, inducing angiogenesis, and activating invasion and metastasis. Underlying these hallmarks are genome instability, which generates the genetic diversity that expedites their acquisition, and inflammation, which fosters multiple hallmark functions. Conceptual progress in the last decade has added two emerging hallmarks of potential generality to this list-reprogramming of energy metabolism and evading immune destruction. In addition to cancer cells, tumors exhibit another dimension of complexity: they contain a repertoire of recruited, ostensibly normal cells that contribute to the acquisition of hallmark traits by creating the \"tumor microenvironment.\" Recognition of the widespread applicability of these concepts will increasingly affect the development of new means to treat human cancer.","author":[{"dropping-particle":"","family":"Hanahan","given":"Douglas","non-dropping-particle":"","parse-names":false,"suffix":""},{"dropping-particle":"","family":"Weinberg","given":"Robert A","non-dropping-particle":"","parse-names":false,"suffix":""}],"container-title":"Cell","id":"ITEM-2","issue":"5","issued":{"date-parts":[["2011"]]},"page":"646-674","publisher":"Elsevier Inc.","publisher-place":"The Swiss Institute for Experimental Cancer Research (ISREC), School of Life Sciences, EPFL, Lausanne CH-1015, Switzerland. dh@epfl.ch","title":"Hallmarks of cancer: the next generation.","type":"article-journal","volume":"144"},"uris":["http://www.mendeley.com/documents/?uuid=8a02cd23-1642-4ae5-8815-8a2c6092b6e7"]}],"mendeley":{"formattedCitation":"&lt;sup&gt;[1,5]&lt;/sup&gt;","plainTextFormattedCitation":"[1,5]","previouslyFormattedCitation":"&lt;sup&gt;[1,5]&lt;/sup&gt;"},"properties":{"noteIndex":0},"schema":"https://github.com/citation-style-language/schema/raw/master/csl-citation.json"}</w:instrText>
      </w:r>
      <w:r w:rsidR="009C679A" w:rsidRPr="00F06EA4">
        <w:rPr>
          <w:lang w:val="en-US"/>
        </w:rPr>
        <w:fldChar w:fldCharType="separate"/>
      </w:r>
      <w:r w:rsidR="00F45F97" w:rsidRPr="00F06EA4">
        <w:rPr>
          <w:noProof/>
          <w:vertAlign w:val="superscript"/>
          <w:lang w:val="en-US"/>
        </w:rPr>
        <w:t>[1,5]</w:t>
      </w:r>
      <w:r w:rsidR="009C679A" w:rsidRPr="00F06EA4">
        <w:rPr>
          <w:lang w:val="en-US"/>
        </w:rPr>
        <w:fldChar w:fldCharType="end"/>
      </w:r>
      <w:r w:rsidRPr="00F06EA4">
        <w:rPr>
          <w:lang w:val="en-US"/>
        </w:rPr>
        <w:t xml:space="preserve"> that have an effect on the course of the </w:t>
      </w:r>
      <w:r w:rsidR="009C679A" w:rsidRPr="00F06EA4">
        <w:rPr>
          <w:lang w:val="en-US"/>
        </w:rPr>
        <w:t>disease</w:t>
      </w:r>
      <w:r w:rsidR="009C679A" w:rsidRPr="00F06EA4">
        <w:rPr>
          <w:lang w:val="en-US"/>
        </w:rPr>
        <w:fldChar w:fldCharType="begin" w:fldLock="1"/>
      </w:r>
      <w:r w:rsidR="00F45F97" w:rsidRPr="00F06EA4">
        <w:rPr>
          <w:lang w:val="en-US"/>
        </w:rPr>
        <w:instrText>ADDIN CSL_CITATION {"citationItems":[{"id":"ITEM-1","itemData":{"DOI":"10.1016/j.critrevonc.2017.06.002","ISSN":"10408428","PMID":"28693795","abstract":"INTRODUCTION Cancer remains a leading cause of death worldwide. While a curative intent is the aim of any surgical treatment many patients either present with or go onto develop disseminated disease requiring systemic anti-cancer therapy with a palliative intent. Given their limited life expectancy appropriate allocation of treatment is vital. It is recognised that systemic chemoradiotherapy may shorten the quality/quantity of life in patients with advanced cancer. It is against this background that the present systematic review and meta-analysis of the prognostic value of markers of the systemic inflammatory response in patients with advanced cancer was conducted. METHODS An extensive literature review using targeted medical subject headings was carried out in the MEDLINE, EMBASE, and CDSR databases until the end of 2016. Titles were examined for relevance and studies relating to duplicate datasets, that were not published in English and that did not have full text availability were excluded. Full texts of relevant articles were obtained and were then examined to identify any further relevant articles. RESULTS The majority of studies were retrospective. The systemic inflammatory response, as evidenced by a number of markers at clinical thresholds, was reported to have independent prognostic value, across tumour types and geographical locations. In particular, C-reactive protein (CRP, 63 studies), albumin (33 studies) the Glasgow Prognostic Score (GPS, 44 studies) and the Neutrophil Lymphocyte Ratio (NLR, 59 articles) were consistently validated across tumour types and geographical locations. There was considerable variation in the thresholds reported to have prognostic value when CRP and albumin were examined. There was less variation in the thresholds reported for NLR and still less for the GPS. DISCUSSION The systemic inflammatory response, especially as evidenced by the GPS and NLR, has reliable prognostic value in patients with advanced cancer. Further prospective studies of their clinical utility in randomised clinical trials and in treatment allocation are warranted.","author":[{"dropping-particle":"","family":"Dolan","given":"Ross D","non-dropping-particle":"","parse-names":false,"suffix":""},{"dropping-particle":"","family":"McSorley","given":"Stephen T","non-dropping-particle":"","parse-names":false,"suffix":""},{"dropping-particle":"","family":"Horgan","given":"Paul G","non-dropping-particle":"","parse-names":false,"suffix":""},{"dropping-particle":"","family":"Laird","given":"Barry","non-dropping-particle":"","parse-names":false,"suffix":""},{"dropping-particle":"","family":"McMillan","given":"Donald C","non-dropping-particle":"","parse-names":false,"suffix":""}],"container-title":"Critical Reviews in Oncology/Hematology","id":"ITEM-1","issued":{"date-parts":[["2017"]]},"page":"134-146","title":"The role of the systemic inflammatory response in predicting outcomes in patients with advanced inoperable cancer: Systematic review and meta -analysis","type":"article-journal","volume":"116"},"uris":["http://www.mendeley.com/documents/?uuid=e00ec8c8-c248-36e8-baf3-3091b20d57a6"]}],"mendeley":{"formattedCitation":"&lt;sup&gt;[6]&lt;/sup&gt;","plainTextFormattedCitation":"[6]","previouslyFormattedCitation":"&lt;sup&gt;[6]&lt;/sup&gt;"},"properties":{"noteIndex":0},"schema":"https://github.com/citation-style-language/schema/raw/master/csl-citation.json"}</w:instrText>
      </w:r>
      <w:r w:rsidR="009C679A" w:rsidRPr="00F06EA4">
        <w:rPr>
          <w:lang w:val="en-US"/>
        </w:rPr>
        <w:fldChar w:fldCharType="separate"/>
      </w:r>
      <w:r w:rsidR="00F45F97" w:rsidRPr="00F06EA4">
        <w:rPr>
          <w:noProof/>
          <w:vertAlign w:val="superscript"/>
          <w:lang w:val="en-US"/>
        </w:rPr>
        <w:t>[6]</w:t>
      </w:r>
      <w:r w:rsidR="009C679A" w:rsidRPr="00F06EA4">
        <w:rPr>
          <w:lang w:val="en-US"/>
        </w:rPr>
        <w:fldChar w:fldCharType="end"/>
      </w:r>
      <w:r w:rsidR="009C679A" w:rsidRPr="00F06EA4">
        <w:rPr>
          <w:lang w:val="en-US"/>
        </w:rPr>
        <w:t xml:space="preserve">. </w:t>
      </w:r>
      <w:r w:rsidRPr="00F06EA4">
        <w:rPr>
          <w:lang w:val="en-US"/>
        </w:rPr>
        <w:t>Therefore, c</w:t>
      </w:r>
      <w:r w:rsidR="005857AA" w:rsidRPr="00F06EA4">
        <w:rPr>
          <w:lang w:val="en-US"/>
        </w:rPr>
        <w:t xml:space="preserve">ancer progression is not </w:t>
      </w:r>
      <w:r w:rsidRPr="00F06EA4">
        <w:rPr>
          <w:lang w:val="en-US"/>
        </w:rPr>
        <w:t xml:space="preserve">only </w:t>
      </w:r>
      <w:r w:rsidR="005857AA" w:rsidRPr="00F06EA4">
        <w:rPr>
          <w:lang w:val="en-US"/>
        </w:rPr>
        <w:t>determined by factors</w:t>
      </w:r>
      <w:r w:rsidRPr="00F06EA4">
        <w:rPr>
          <w:lang w:val="en-US"/>
        </w:rPr>
        <w:t xml:space="preserve"> intrinsic for the tumor</w:t>
      </w:r>
      <w:r w:rsidR="005857AA" w:rsidRPr="00F06EA4">
        <w:rPr>
          <w:lang w:val="en-US"/>
        </w:rPr>
        <w:t xml:space="preserve">, but </w:t>
      </w:r>
      <w:r w:rsidR="00C6203D" w:rsidRPr="00F06EA4">
        <w:rPr>
          <w:lang w:val="en-US"/>
        </w:rPr>
        <w:t xml:space="preserve">is </w:t>
      </w:r>
      <w:r w:rsidR="00E3328C" w:rsidRPr="00F06EA4">
        <w:rPr>
          <w:lang w:val="en-US"/>
        </w:rPr>
        <w:t>largely</w:t>
      </w:r>
      <w:r w:rsidR="005857AA" w:rsidRPr="00F06EA4">
        <w:rPr>
          <w:lang w:val="en-US"/>
        </w:rPr>
        <w:t xml:space="preserve"> directed by </w:t>
      </w:r>
      <w:r w:rsidR="00E3328C" w:rsidRPr="00F06EA4">
        <w:rPr>
          <w:lang w:val="en-US"/>
        </w:rPr>
        <w:t>multifaceted</w:t>
      </w:r>
      <w:r w:rsidR="005857AA" w:rsidRPr="00F06EA4">
        <w:rPr>
          <w:lang w:val="en-US"/>
        </w:rPr>
        <w:t xml:space="preserve"> systemic processes</w:t>
      </w:r>
      <w:r w:rsidR="005857AA" w:rsidRPr="00F06EA4">
        <w:rPr>
          <w:lang w:val="en-US"/>
        </w:rPr>
        <w:fldChar w:fldCharType="begin" w:fldLock="1"/>
      </w:r>
      <w:r w:rsidR="00F45F97" w:rsidRPr="00F06EA4">
        <w:rPr>
          <w:lang w:val="en-US"/>
        </w:rPr>
        <w:instrText>ADDIN CSL_CITATION {"citationItems":[{"id":"ITEM-1","itemData":{"DOI":"10.1038/ncb3015","ISSN":"1465-7392","PMID":"25082194","abstract":"Recent pre-clinical and clinical research has provided evidence that cancer progression is driven not only by a tumour's underlying genetic alterations and paracrine interactions within the tumour microenvironment, but also by complex systemic processes. We review these emerging paradigms of cancer pathophysiology and discuss how a clearer understanding of systemic regulation of cancer progression could guide development of new therapeutic modalities and efforts to prevent disease relapse following initial diagnosis and treatment.","author":[{"dropping-particle":"","family":"McAllister","given":"Sandra S.","non-dropping-particle":"","parse-names":false,"suffix":""},{"dropping-particle":"","family":"Weinberg","given":"Robert A.","non-dropping-particle":"","parse-names":false,"suffix":""}],"container-title":"Nature Cell Biology","id":"ITEM-1","issue":"8","issued":{"date-parts":[["2014"]]},"page":"717-727","title":"The tumour-induced systemic environment as a critical regulator of cancer progression and metastasis","type":"article-journal","volume":"16"},"uris":["http://www.mendeley.com/documents/?uuid=bf34afeb-9cae-3497-ba87-6eb4813fa866"]}],"mendeley":{"formattedCitation":"&lt;sup&gt;[5]&lt;/sup&gt;","plainTextFormattedCitation":"[5]","previouslyFormattedCitation":"&lt;sup&gt;[5]&lt;/sup&gt;"},"properties":{"noteIndex":0},"schema":"https://github.com/citation-style-language/schema/raw/master/csl-citation.json"}</w:instrText>
      </w:r>
      <w:r w:rsidR="005857AA" w:rsidRPr="00F06EA4">
        <w:rPr>
          <w:lang w:val="en-US"/>
        </w:rPr>
        <w:fldChar w:fldCharType="separate"/>
      </w:r>
      <w:r w:rsidR="00F45F97" w:rsidRPr="00F06EA4">
        <w:rPr>
          <w:noProof/>
          <w:vertAlign w:val="superscript"/>
          <w:lang w:val="en-US"/>
        </w:rPr>
        <w:t>[5]</w:t>
      </w:r>
      <w:r w:rsidR="005857AA" w:rsidRPr="00F06EA4">
        <w:rPr>
          <w:lang w:val="en-US"/>
        </w:rPr>
        <w:fldChar w:fldCharType="end"/>
      </w:r>
      <w:r w:rsidR="005857AA" w:rsidRPr="00F06EA4">
        <w:rPr>
          <w:lang w:val="en-US"/>
        </w:rPr>
        <w:t>.</w:t>
      </w:r>
    </w:p>
    <w:p w14:paraId="37A072C1" w14:textId="4DE1E325" w:rsidR="00412FDB" w:rsidRPr="00F06EA4" w:rsidRDefault="009C679A" w:rsidP="00F67ED8">
      <w:pPr>
        <w:spacing w:after="0"/>
        <w:ind w:firstLineChars="100" w:firstLine="240"/>
        <w:rPr>
          <w:lang w:val="en-US"/>
        </w:rPr>
      </w:pPr>
      <w:r w:rsidRPr="00F06EA4">
        <w:rPr>
          <w:lang w:val="en-US"/>
        </w:rPr>
        <w:t>Colorectal cancer</w:t>
      </w:r>
      <w:r w:rsidR="00E3328C" w:rsidRPr="00F06EA4">
        <w:rPr>
          <w:lang w:val="en-US"/>
        </w:rPr>
        <w:t xml:space="preserve"> (CRC)</w:t>
      </w:r>
      <w:r w:rsidRPr="00F06EA4">
        <w:rPr>
          <w:lang w:val="en-US"/>
        </w:rPr>
        <w:t xml:space="preserve"> is </w:t>
      </w:r>
      <w:r w:rsidR="002E18D4" w:rsidRPr="00F06EA4">
        <w:rPr>
          <w:lang w:val="en-US"/>
        </w:rPr>
        <w:t>the third</w:t>
      </w:r>
      <w:r w:rsidRPr="00F06EA4">
        <w:rPr>
          <w:lang w:val="en-US"/>
        </w:rPr>
        <w:t xml:space="preserve"> most common </w:t>
      </w:r>
      <w:r w:rsidR="002E18D4" w:rsidRPr="00F06EA4">
        <w:rPr>
          <w:lang w:val="en-US"/>
        </w:rPr>
        <w:t xml:space="preserve">cancer in the Western World, </w:t>
      </w:r>
      <w:r w:rsidRPr="00F06EA4">
        <w:rPr>
          <w:lang w:val="en-US"/>
        </w:rPr>
        <w:t xml:space="preserve">and </w:t>
      </w:r>
      <w:r w:rsidR="002E18D4" w:rsidRPr="00F06EA4">
        <w:rPr>
          <w:lang w:val="en-US"/>
        </w:rPr>
        <w:t>the second most common cau</w:t>
      </w:r>
      <w:r w:rsidR="00B05324" w:rsidRPr="00F06EA4">
        <w:rPr>
          <w:lang w:val="en-US"/>
        </w:rPr>
        <w:t>s</w:t>
      </w:r>
      <w:r w:rsidR="002E18D4" w:rsidRPr="00F06EA4">
        <w:rPr>
          <w:lang w:val="en-US"/>
        </w:rPr>
        <w:t xml:space="preserve">e </w:t>
      </w:r>
      <w:r w:rsidRPr="00F06EA4">
        <w:rPr>
          <w:lang w:val="en-US"/>
        </w:rPr>
        <w:t>of cancer deaths</w:t>
      </w:r>
      <w:r w:rsidRPr="00F06EA4">
        <w:rPr>
          <w:lang w:val="en-US"/>
        </w:rPr>
        <w:fldChar w:fldCharType="begin" w:fldLock="1"/>
      </w:r>
      <w:r w:rsidR="00F45F97" w:rsidRPr="00F06EA4">
        <w:rPr>
          <w:lang w:val="en-US"/>
        </w:rPr>
        <w:instrText>ADDIN CSL_CITATION {"citationItems":[{"id":"ITEM-1","itemData":{"DOI":"10.3322/caac.21442","ISSN":"1542-4863","PMID":"29313949","abstract":"Each year, the American Cancer Society estimates the numbers of new cancer cases and deaths that will occur in the United States and compiles the most recent data on cancer incidence, mortality, and survival. Incidence data, available through 2014, were collected by the Surveillance, Epidemiology, and End Results Program; the National Program of Cancer Registries; and the North American Association of Central Cancer Registries. Mortality data, available through 2015, were collected by the National Center for Health Statistics. In 2018, 1,735,350 new cancer cases and 609,640 cancer deaths are projected to occur in the United States. Over the past decade of data, the cancer incidence rate (2005-2014) was stable in women and declined by approximately 2% annually in men, while the cancer death rate (2006-2015) declined by about 1.5% annually in both men and women. The combined cancer death rate dropped continuously from 1991 to 2015 by a total of 26%, translating to approximately 2,378,600 fewer cancer deaths than would have been expected if death rates had remained at their peak. Of the 10 leading causes of death, only cancer declined from 2014 to 2015. In 2015, the cancer death rate was 14% higher in non-Hispanic blacks (NHBs) than non-Hispanic whites (NHWs) overall (death rate ratio [DRR], 1.14; 95% confidence interval [95% CI], 1.13-1.15), but the racial disparity was much larger for individuals aged &lt;65 years (DRR, 1.31; 95% CI, 1.29-1.32) compared with those aged ≥65 years (DRR, 1.07; 95% CI, 1.06-1.09) and varied substantially by state. For example, the cancer death rate was lower in NHBs than NHWs in Massachusetts for all ages and in New York for individuals aged ≥65 years, whereas for those aged &lt;65 years, it was 3 times higher in NHBs in the District of Columbia (DRR, 2.89; 95% CI, 2.16-3.91) and about 50% higher in Wisconsin (DRR, 1.78; 95% CI, 1.56-2.02), Kansas (DRR, 1.51; 95% CI, 1.25-1.81), Louisiana (DRR, 1.49; 95% CI, 1.38-1.60), Illinois (DRR, 1.48; 95% CI, 1.39-1.57), and California (DRR, 1.45; 95% CI, 1.38-1.54). Larger racial inequalities in young and middle-aged adults probably partly reflect less access to high-quality health care. CA Cancer J Clin 2018;68:7-30. © 2018 American Cancer Society.","author":[{"dropping-particle":"","family":"Siegel","given":"Rebecca L.","non-dropping-particle":"","parse-names":false,"suffix":""},{"dropping-particle":"","family":"Miller","given":"Kimberly D.","non-dropping-particle":"","parse-names":false,"suffix":""},{"dropping-particle":"","family":"Jemal","given":"Ahmedin","non-dropping-particle":"","parse-names":false,"suffix":""}],"container-title":"CA: a cancer journal for clinicians","id":"ITEM-1","issue":"1","issued":{"date-parts":[["2018","1"]]},"page":"7-30","title":"Cancer statistics, 2018.","type":"article-journal","volume":"68"},"uris":["http://www.mendeley.com/documents/?uuid=5a25ada1-343e-4fb8-b4b2-c2082250051c"]}],"mendeley":{"formattedCitation":"&lt;sup&gt;[7]&lt;/sup&gt;","plainTextFormattedCitation":"[7]","previouslyFormattedCitation":"&lt;sup&gt;[7]&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[7]</w:t>
      </w:r>
      <w:r w:rsidRPr="00F06EA4">
        <w:rPr>
          <w:lang w:val="en-US"/>
        </w:rPr>
        <w:fldChar w:fldCharType="end"/>
      </w:r>
      <w:r w:rsidRPr="00F06EA4">
        <w:rPr>
          <w:lang w:val="en-US"/>
        </w:rPr>
        <w:t xml:space="preserve">. </w:t>
      </w:r>
      <w:r w:rsidR="000A07A3" w:rsidRPr="00F06EA4">
        <w:rPr>
          <w:lang w:val="en-US"/>
        </w:rPr>
        <w:t>Systemic inflammation is most common in poorly differentiated and advanced CRC</w:t>
      </w:r>
      <w:r w:rsidR="000A07A3" w:rsidRPr="00F06EA4">
        <w:rPr>
          <w:lang w:val="en-US"/>
        </w:rPr>
        <w:fldChar w:fldCharType="begin" w:fldLock="1"/>
      </w:r>
      <w:r w:rsidR="00F45F97" w:rsidRPr="00F06EA4">
        <w:rPr>
          <w:lang w:val="en-US"/>
        </w:rPr>
        <w:instrText>ADDIN CSL_CITATION {"citationItems":[{"id":"ITEM-1","itemData":{"DOI":"10.1097/SLA.0000000000001122","ISSN":"0003-4932","PMID":"25575264","abstract":"OBJECTIVE This study aims to examine the clinical utility of the combination of TNM stage and modified Glasgow Prognostic Score (mGPS) in patients undergoing potentially curative resection of colorectal cancer (CRC). BACKGROUND Of measures of the systemic inflammatory response, the mGPS has been most extensively validated in patients with cancer. METHODS Data from 1000 consecutive patients undergoing potentially curative CRC resection from a single institution (January 1997-May 2013) were included. The relationship between mGPS [0-C-reactive protein (CRP) ≤ 10 mg/L, 1-CRP &gt; 10 mg/L and albumin ≥35 g/L, 2-CRP &gt; 10 mg/L and albumin &lt; 35 g/L], TNM stage, and cancer-specific survival (CSS) and overall survival (OS) was examined using Kaplan-Meier log-rank survival analysis and multivariate Cox regression analysis. RESULTS An mGPS of 0, 1, and 2 was observed in 63%, 21%, and 16% of patients, respectively. Median follow-up was 56 months (interquartile range: 28-107 months). TNM and mGPS were independently associated with CSS and OS (all P &lt; 0.001). In all patients, TNM and mGPS stratified 5-year CSS and OS from 97% and 87% (stage I, mGPS = 0) to 32% and 26% (stage III, mGPS = 2), respectively. In patients undergoing elective resection of colon cancer (n = 575), 5-year CSS and OS ranged from 100% and 87% (stage I, mGPS = 0) to 37% and 30% (stage III, mGPS = 2), respectively. CONCLUSIONS This study shows how the combination of TNM and mGPS effectively stratifies outcome in patients undergoing potentially curative resection of CRC. These data support routine staging of both the tumor and the host in patients with CRC.","author":[{"dropping-particle":"","family":"Park","given":"James H.","non-dropping-particle":"","parse-names":false,"suffix":""},{"dropping-particle":"","family":"Watt","given":"David G.","non-dropping-particle":"","parse-names":false,"suffix":""},{"dropping-particle":"","family":"Roxburgh","given":"Campbell S. D.","non-dropping-particle":"","parse-names":false,"suffix":""},{"dropping-particle":"","family":"Horgan","given":"Paul G.","non-dropping-particle":"","parse-names":false,"suffix":""},{"dropping-particle":"","family":"McMillan","given":"Donald C.","non-dropping-particle":"","parse-names":false,"suffix":""}],"container-title":"Annals of Surgery","id":"ITEM-1","issue":"2","issued":{"date-parts":[["2016","2"]]},"page":"326-336","title":"Colorectal Cancer, Systemic Inflammation, and Outcome","type":"article-journal","volume":"263"},"uris":["http://www.mendeley.com/documents/?uuid=165c4251-0922-4c91-b9fb-34453768e61a","http://www.mendeley.com/documents/?uuid=755287c3-c31f-44e9-b6e4-02d5dfa14074"]},{"id":"ITEM-2","itemData":{"DOI":"10.1038/bjc.2013.162","ISSN":"0007-0920","PMID":"23579221","author":[{"dropping-particle":"","family":"Kantola","given":"T","non-dropping-particle":"","parse-names":false,"suffix":""},{"dropping-particle":"","family":"Klintrup","given":"K","non-dropping-particle":"","parse-names":false,"suffix":""},{"dropping-particle":"","family":"Väyrynen","given":"J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 J","non-dropping-particle":"","parse-names":false,"suffix":""},{"dropping-particle":"","family":"Tuomisto","given":"A","non-dropping-particle":"","parse-names":false,"suffix":""},{"dropping-particle":"","family":"Mäkinen","given":"M J","non-dropping-particle":"","parse-names":false,"suffix":""}],"container-title":"British Journal of Cancer","id":"ITEM-2","issue":"9","issued":{"date-parts":[["2013"]]},"page":"1917-1918","title":"Reply: Comment on 'Stage-dependent alterations of the serum cytokine pattern in colorectal carcinoma'","type":"article-journal","volume":"108"},"uris":["http://www.mendeley.com/documents/?uuid=816375ab-9b8e-38f5-b5b8-428b1e102a9a"]}],"mendeley":{"formattedCitation":"&lt;sup&gt;[8,9]&lt;/sup&gt;","plainTextFormattedCitation":"[8,9]","previouslyFormattedCitation":"&lt;sup&gt;[8,9]&lt;/sup&gt;"},"properties":{"noteIndex":0},"schema":"https://github.com/citation-style-language/schema/raw/master/csl-citation.json"}</w:instrText>
      </w:r>
      <w:r w:rsidR="000A07A3" w:rsidRPr="00F06EA4">
        <w:rPr>
          <w:lang w:val="en-US"/>
        </w:rPr>
        <w:fldChar w:fldCharType="separate"/>
      </w:r>
      <w:r w:rsidR="00F45F97" w:rsidRPr="00F06EA4">
        <w:rPr>
          <w:noProof/>
          <w:vertAlign w:val="superscript"/>
          <w:lang w:val="en-US"/>
        </w:rPr>
        <w:t>[8,9]</w:t>
      </w:r>
      <w:r w:rsidR="000A07A3" w:rsidRPr="00F06EA4">
        <w:rPr>
          <w:lang w:val="en-US"/>
        </w:rPr>
        <w:fldChar w:fldCharType="end"/>
      </w:r>
      <w:r w:rsidR="000A07A3" w:rsidRPr="00F06EA4">
        <w:rPr>
          <w:lang w:val="en-US"/>
        </w:rPr>
        <w:t xml:space="preserve">, but despite that it is also an independent indicator of less favorable outcome in CRC </w:t>
      </w:r>
      <w:r w:rsidR="000A07A3" w:rsidRPr="00F06EA4">
        <w:rPr>
          <w:lang w:val="en-US"/>
        </w:rPr>
        <w:fldChar w:fldCharType="begin" w:fldLock="1"/>
      </w:r>
      <w:r w:rsidR="00F45F97" w:rsidRPr="00F06EA4">
        <w:rPr>
          <w:lang w:val="en-US"/>
        </w:rPr>
        <w:instrText>ADDIN CSL_CITATION {"citationItems":[{"id":"ITEM-1","itemData":{"DOI":"10.1016/j.ctrv.2012.08.003","ISSN":"1532-1967","PMID":"22995477","abstract":"Since the initial work, a decade ago that the combination of C-reactive protein and albumin, the Glasgow Prognostic Score (GPS), had independent prognostic value in patients with cancer, there have been more than 60 studies (&gt;30,000 patients) that have examined and validated the use of the GPS or the modified GPS (mGPS) in a variety of cancer scenarios. The present review provides a concise overview of these studies and comments on the current and future clinical utility of this simple objective systemic inflammation-based score. The GPS/mGPS had independent prognostic value in (a) unselected cohorts (4 studies, &gt;19,400 patients) (b) operable disease (28 studies, &gt;8,000 patients) (c) chemo/radiotherapy (11 studies, &gt;1500 patients) (d) inoperable disease (11 studies, &gt;2,000 patients). Association studies (15 studies, &gt;2,000 patients) pointed to an increased GPS/mGPS being associated with increased weight and muscle loss, poor performance status, increased comorbidity, increased pro-inflammatory and angiogenic cytokines and complications on treatment. These studies have originated from 13 different countries, in particular the UK and Japan. A chronic systemic inflammatory response, as evidenced by the GPS/mGPS, is clearly implicated in the prognosis of patients with cancer in a variety of clinical scenarios. The GPS/mGPS is the most extensively validated of the systemic inflammation-based prognostic scores and therefore may be used in the routine clinical assessment of patients with cancer. It not only identifies patients at risk but also provides a well defined therapeutic target for future clinical trials. It remains to be determined whether the GPS has prognostic value in other disease states.","author":[{"dropping-particle":"","family":"McMillan","given":"Donald C","non-dropping-particle":"","parse-names":false,"suffix":""}],"container-title":"Cancer treatment reviews","id":"ITEM-1","issue":"5","issued":{"date-parts":[["2013","8"]]},"page":"534-40","publisher":"Elsevier Ltd","title":"The systemic inflammation-based Glasgow Prognostic Score: a decade of experience in patients with cancer.","type":"article-journal","volume":"39"},"uris":["http://www.mendeley.com/documents/?uuid=92eb3bb9-b84a-46cc-ac46-1cf0941ffbb2"]},{"id":"ITEM-2","itemData":{"DOI":"10.1007/s00384-010-1052-0","ISSN":"1432-1262","PMID":"20821217","abstract":"BACKGROUND AND OBJECTIVES Adjuvant chemotherapy for stage II colon cancer remains controversial but may be considered for patients with high-risk features. Recent studies have shown that elevated neutrophil to lymphocyte ratio (NLR) is a worse prognostic factor and a predictor of response to chemotherapy in patients with advanced colorectal cancer. The purpose of this study was to evaluate whether NLR predicts risk of recurrence in patients with stage IIA colon cancer undergoing curative resection without adjuvant chemotherapy. METHODS We retrospectively reviewed 141 consecutive patients with stage IIA colon cancer treated with curative surgery alone from 2002 to 2006. NLR, as well as demographics, clinical, histopathologic, and laboratory data were analyzed. Univariate and multivariate analyses were conducted to identify prognostic factors associated with recurrent-free survival (RFS). RESULTS Cox's regression analysis demonstrated that elevated NLR (&gt;4) (hazard ratio, 4.88; P &lt; 0.01) and less lymph node sampling (&lt;15 lymph nodes; hazard ratio, 3.80; P &lt; 0.05) were adverse prognostic factors for RFS. The 5-year RFS was 91.4% (95% CI, 88.6-94.2%) for patients with normal NLR and 63.8% (51.1-76.3%) for patients with elevated NLR. The 5-year RFS for patients with 0, 1, and 2 of the identified risk factors was 95.1%, 87.4%, and 33.3%, respectively (P &lt; 0.001). CONCLUSIONS Elevated preoperative NLR is an independent predictor of worse RFS for patients with stage IIA colon cancer and a potential biomarker to identify candidates for adjuvant chemotherapy.","author":[{"dropping-particle":"","family":"Ding","given":"Pei-Rong","non-dropping-particle":"","parse-names":false,"suffix":""},{"dropping-particle":"","family":"An","given":"Xin","non-dropping-particle":"","parse-names":false,"suffix":""},{"dropping-particle":"","family":"Zhang","given":"Rong-Xin","non-dropping-particle":"","parse-names":false,"suffix":""},{"dropping-particle":"","family":"Fang","given":"Yu-Jing","non-dropping-particle":"","parse-names":false,"suffix":""},{"dropping-particle":"","family":"Li","given":"Li-Ren","non-dropping-particle":"","parse-names":false,"suffix":""},{"dropping-particle":"","family":"Chen","given":"Gong","non-dropping-particle":"","parse-names":false,"suffix":""},{"dropping-particle":"","family":"Wu","given":"Xiao-Jun","non-dropping-particle":"","parse-names":false,"suffix":""},{"dropping-particle":"","family":"Lu","given":"Zhen-Hai","non-dropping-particle":"","parse-names":false,"suffix":""},{"dropping-particle":"","family":"Lin","given":"Jun-Zhong","non-dropping-particle":"","parse-names":false,"suffix":""},{"dropping-particle":"","family":"Kong","given":"Ling-Heng","non-dropping-particle":"","parse-names":false,"suffix":""},{"dropping-particle":"","family":"Wan","given":"De-Sen","non-dropping-particle":"","parse-names":false,"suffix":""},{"dropping-particle":"","family":"Pan","given":"Zhi-Zhong","non-dropping-particle":"","parse-names":false,"suffix":""}],"container-title":"International journal of colorectal disease","id":"ITEM-2","issue":"12","issued":{"date-parts":[["2010"]]},"page":"1427-33","title":"Elevated preoperative neutrophil to lymphocyte ratio predicts risk of recurrence following curative resection for stage IIA colon cancer.","type":"article-journal","volume":"25"},"uris":["http://www.mendeley.com/documents/?uuid=24091766-5d61-30cf-b14a-ee0c69cd78af"]}],"mendeley":{"formattedCitation":"&lt;sup&gt;[10,11]&lt;/sup&gt;","plainTextFormattedCitation":"[10,11]","previouslyFormattedCitation":"&lt;sup&gt;[10,11]&lt;/sup&gt;"},"properties":{"noteIndex":0},"schema":"https://github.com/citation-style-language/schema/raw/master/csl-citation.json"}</w:instrText>
      </w:r>
      <w:r w:rsidR="000A07A3" w:rsidRPr="00F06EA4">
        <w:rPr>
          <w:lang w:val="en-US"/>
        </w:rPr>
        <w:fldChar w:fldCharType="separate"/>
      </w:r>
      <w:r w:rsidR="00F45F97" w:rsidRPr="00F06EA4">
        <w:rPr>
          <w:noProof/>
          <w:vertAlign w:val="superscript"/>
          <w:lang w:val="en-US"/>
        </w:rPr>
        <w:t>[10,11]</w:t>
      </w:r>
      <w:r w:rsidR="000A07A3" w:rsidRPr="00F06EA4">
        <w:rPr>
          <w:lang w:val="en-US"/>
        </w:rPr>
        <w:fldChar w:fldCharType="end"/>
      </w:r>
      <w:r w:rsidR="000A07A3" w:rsidRPr="00F06EA4">
        <w:rPr>
          <w:lang w:val="en-US"/>
        </w:rPr>
        <w:t xml:space="preserve"> and </w:t>
      </w:r>
      <w:r w:rsidR="00721D07" w:rsidRPr="00F06EA4">
        <w:rPr>
          <w:lang w:val="en-US"/>
        </w:rPr>
        <w:t>associated</w:t>
      </w:r>
      <w:r w:rsidRPr="00F06EA4">
        <w:rPr>
          <w:lang w:val="en-US"/>
        </w:rPr>
        <w:t xml:space="preserve"> with </w:t>
      </w:r>
      <w:r w:rsidR="000A07A3" w:rsidRPr="00F06EA4">
        <w:rPr>
          <w:lang w:val="en-US"/>
        </w:rPr>
        <w:t xml:space="preserve">shorter </w:t>
      </w:r>
      <w:r w:rsidRPr="00F06EA4">
        <w:rPr>
          <w:lang w:val="en-US"/>
        </w:rPr>
        <w:t>survival</w:t>
      </w:r>
      <w:r w:rsidRPr="00F06EA4">
        <w:rPr>
          <w:lang w:val="en-US"/>
        </w:rPr>
        <w:fldChar w:fldCharType="begin" w:fldLock="1"/>
      </w:r>
      <w:r w:rsidR="00F45F97" w:rsidRPr="00F06EA4">
        <w:rPr>
          <w:lang w:val="en-US"/>
        </w:rPr>
        <w:instrText>ADDIN CSL_CITATION {"citationItems":[{"id":"ITEM-1","itemData":{"DOI":"10.1016/j.critrevonc.2017.06.002","ISSN":"10408428","PMID":"28693795","abstract":"INTRODUCTION Cancer remains a leading cause of death worldwide. While a curative intent is the aim of any surgical treatment many patients either present with or go onto develop disseminated disease requiring systemic anti-cancer therapy with a palliative intent. Given their limited life expectancy appropriate allocation of treatment is vital. It is recognised that systemic chemoradiotherapy may shorten the quality/quantity of life in patients with advanced cancer. It is against this background that the present systematic review and meta-analysis of the prognostic value of markers of the systemic inflammatory response in patients with advanced cancer was conducted. METHODS An extensive literature review using targeted medical subject headings was carried out in the MEDLINE, EMBASE, and CDSR databases until the end of 2016. Titles were examined for relevance and studies relating to duplicate datasets, that were not published in English and that did not have full text availability were excluded. Full texts of relevant articles were obtained and were then examined to identify any further relevant articles. RESULTS The majority of studies were retrospective. The systemic inflammatory response, as evidenced by a number of markers at clinical thresholds, was reported to have independent prognostic value, across tumour types and geographical locations. In particular, C-reactive protein (CRP, 63 studies), albumin (33 studies) the Glasgow Prognostic Score (GPS, 44 studies) and the Neutrophil Lymphocyte Ratio (NLR, 59 articles) were consistently validated across tumour types and geographical locations. There was considerable variation in the thresholds reported to have prognostic value when CRP and albumin were examined. There was less variation in the thresholds reported for NLR and still less for the GPS. DISCUSSION The systemic inflammatory response, especially as evidenced by the GPS and NLR, has reliable prognostic value in patients with advanced cancer. Further prospective studies of their clinical utility in randomised clinical trials and in treatment allocation are warranted.","author":[{"dropping-particle":"","family":"Dolan","given":"Ross D","non-dropping-particle":"","parse-names":false,"suffix":""},{"dropping-particle":"","family":"McSorley","given":"Stephen T","non-dropping-particle":"","parse-names":false,"suffix":""},{"dropping-particle":"","family":"Horgan","given":"Paul G","non-dropping-particle":"","parse-names":false,"suffix":""},{"dropping-particle":"","family":"Laird","given":"Barry","non-dropping-particle":"","parse-names":false,"suffix":""},{"dropping-particle":"","family":"McMillan","given":"Donald C","non-dropping-particle":"","parse-names":false,"suffix":""}],"container-title":"Critical Reviews in Oncology/Hematology","id":"ITEM-1","issued":{"date-parts":[["2017"]]},"page":"134-146","title":"The role of the systemic inflammatory response in predicting outcomes in patients with advanced inoperable cancer: Systematic review and meta -analysis","type":"article-journal","volume":"116"},"uris":["http://www.mendeley.com/documents/?uuid=e00ec8c8-c248-36e8-baf3-3091b20d57a6","http://www.mendeley.com/documents/?uuid=4a33196f-a39c-4a84-a28e-8a4fbb657742"]},{"id":"ITEM-2","itemData":{"DOI":"10.1038/s41598-017-16955-5","ISSN":"2045-2322","PMID":"29196718","abstract":"Cancer remains a leading causes of death worldwide and an elevated systemic inflammatory response (SIR) is associated with reduced survival in patients with operable cancer. This review aims to examine the evidence for the role of systemic inflammation based prognostic scores in patients with operable cancers. A wide-ranging literature review using targeted medical subject headings for human studies in English was carried out in the MEDLINE, EMBASE, and CDSR databases until the end of 2016. The SIR has independent prognostic value, across tumour types and geographical locations. In particular neutrophil lymphocyte ratio (NLR) (n = 158), platelet lymphocyte ratio (PLR) (n = 68), lymphocyte monocyte ratio (LMR) (n = 21) and Glasgow Prognostic Score/ modified Glasgow Prognostic Score (GPS/mGPS) (n = 60) were consistently validated. On meta-analysis there was a significant relationship between elevated NLR and overall survival (OS) (p &lt; 0.00001)/ cancer specific survival (CSS) (p &lt; 0.00001), between elevated LMR and OS (p &lt; 0.00001)/CSS (p &lt; 0.00001), and elevated PLR and OS (p &lt; 0.00001)/CSS (p = 0.005). There was also a significant relationship between elevated GPS/mGPS and OS (p &lt; 0.00001)/CSS (p &lt; 0.00001). These results consolidate the prognostic value of the NLR, PLR, LMR and GPS/mGPS in patients with resectable cancers. This is particularly true for the NLR/GPS/mGPS which should form part of the routine preoperative and postoperative workup.","author":[{"dropping-particle":"","family":"Dolan","given":"Ross D.","non-dropping-particle":"","parse-names":false,"suffix":""},{"dropping-particle":"","family":"Lim","given":"Jason","non-dropping-particle":"","parse-names":false,"suffix":""},{"dropping-particle":"","family":"McSorley","given":"Stephen T.","non-dropping-particle":"","parse-names":false,"suffix":""},{"dropping-particle":"","family":"Horgan","given":"Paul G.","non-dropping-particle":"","parse-names":false,"suffix":""},{"dropping-particle":"","family":"McMillan","given":"Donald C.","non-dropping-particle":"","parse-names":false,"suffix":""}],"container-title":"Scientific Reports","id":"ITEM-2","issue":"1","issued":{"date-parts":[["2017"]]},"page":"16717","title":"The role of the systemic inflammatory response in predicting outcomes in patients with operable cancer: Systematic review and meta-analysis","type":"article-journal","volume":"7"},"uris":["http://www.mendeley.com/documents/?uuid=e98ed373-a7fa-3e17-9f2d-a8293a972288"]},{"id":"ITEM-3","itemData":{"DOI":"10.1002/jso.24523","ISSN":"1096-9098","PMID":"28105646","abstract":"BACKGROUND AND OBJECTIVES The detection of a simple and reliable prognostic biomarker for colorectal cancer (CRC) outcomes remains a significant challenge. The use of neutrophil-to-lymphocyte ratio (NLR), has been reported to predict surgical and survival outcomes. The aim of our review was to assess the predictive value of pre-operative NLR in predicting post-operative outcomes in CRC. METHODS A systematic review of the available studies on NLR in CRC was performed. Primarily, we assessed its ability to predict survival outcomes, and highlight values that would help adjuvant therapy choices. RESULTS 19 studies comprising 10 259 patients were included. Eleven and eight studies reported on patients with localized CRC and colorectal liver metastasis, respectively. Five-year survival for those with localized CRC was 77.2% in patients with a \"low\" pre-operative NLR versus 50.8% in those with a \"high\" pre-operative NLR value. Alternatively, for patients with colorectal liver metastasis, patients with a \"high\" pre-operative NLR value had a 5-year survival of 27%. CONCLUSION Elevated pre-operative NLR&gt;5 is associated with poorer long-term survival in both patients with localized CRC and those with liver metastasis. NLR is a useful biomarker in delineating those patients with poorer prognosis and whom may benefit from adjuvant therapies.","author":[{"dropping-particle":"","family":"Haram","given":"Abdelhamed","non-dropping-particle":"","parse-names":false,"suffix":""},{"dropping-particle":"","family":"Boland","given":"Michael R","non-dropping-particle":"","parse-names":false,"suffix":""},{"dropping-particle":"","family":"Kelly","given":"Michael E","non-dropping-particle":"","parse-names":false,"suffix":""},{"dropping-particle":"","family":"Bolger","given":"Jarlath C","non-dropping-particle":"","parse-names":false,"suffix":""},{"dropping-particle":"","family":"Waldron","given":"Ronan M","non-dropping-particle":"","parse-names":false,"suffix":""},{"dropping-particle":"","family":"Kerin","given":"Michael J","non-dropping-particle":"","parse-names":false,"suffix":""}],"container-title":"Journal of surgical oncology","id":"ITEM-3","issue":"4","issued":{"date-parts":[["2017"]]},"page":"470-479","title":"The prognostic value of neutrophil-to-lymphocyte ratio in colorectal cancer: A systematic review.","type":"article-journal","volume":"115"},"uris":["http://www.mendeley.com/documents/?uuid=d4210168-3f9c-3612-85c9-7f41eb11073c","http://www.mendeley.com/documents/?uuid=c43dd545-43c1-40eb-9199-dd3007313124"]}],"mendeley":{"formattedCitation":"&lt;sup&gt;[6,12,13]&lt;/sup&gt;","plainTextFormattedCitation":"[6,12,13]","previouslyFormattedCitation":"&lt;sup&gt;[6,12,13]&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[6,12,13]</w:t>
      </w:r>
      <w:r w:rsidRPr="00F06EA4">
        <w:rPr>
          <w:lang w:val="en-US"/>
        </w:rPr>
        <w:fldChar w:fldCharType="end"/>
      </w:r>
      <w:r w:rsidRPr="00F06EA4">
        <w:rPr>
          <w:lang w:val="en-US"/>
        </w:rPr>
        <w:t>.</w:t>
      </w:r>
      <w:r w:rsidR="00C96B00" w:rsidRPr="00F06EA4">
        <w:rPr>
          <w:lang w:val="en-US"/>
        </w:rPr>
        <w:t xml:space="preserve"> </w:t>
      </w:r>
      <w:r w:rsidR="000A07A3" w:rsidRPr="00F06EA4">
        <w:rPr>
          <w:lang w:val="en-US"/>
        </w:rPr>
        <w:t>In the case of resectable disease, 21</w:t>
      </w:r>
      <w:r w:rsidR="00C6203D" w:rsidRPr="00F06EA4">
        <w:rPr>
          <w:lang w:val="en-US"/>
        </w:rPr>
        <w:t>%–</w:t>
      </w:r>
      <w:r w:rsidR="000A07A3" w:rsidRPr="00F06EA4">
        <w:rPr>
          <w:lang w:val="en-US"/>
        </w:rPr>
        <w:t xml:space="preserve">41% of CRC patients have increased serum levels of acute phase proteins such as CRP (C-reactive protein), </w:t>
      </w:r>
      <w:r w:rsidR="00C6203D" w:rsidRPr="00F06EA4">
        <w:rPr>
          <w:lang w:val="en-US"/>
        </w:rPr>
        <w:t xml:space="preserve">indicating a </w:t>
      </w:r>
      <w:r w:rsidR="000A07A3" w:rsidRPr="00F06EA4">
        <w:rPr>
          <w:lang w:val="en-US"/>
        </w:rPr>
        <w:t xml:space="preserve">systemic inflammatory response to </w:t>
      </w:r>
      <w:r w:rsidR="001C728A" w:rsidRPr="00F06EA4">
        <w:rPr>
          <w:lang w:val="en-US"/>
        </w:rPr>
        <w:t xml:space="preserve">the </w:t>
      </w:r>
      <w:r w:rsidR="000A07A3" w:rsidRPr="00F06EA4">
        <w:rPr>
          <w:lang w:val="en-US"/>
        </w:rPr>
        <w:t>tumor</w:t>
      </w:r>
      <w:r w:rsidR="000A07A3" w:rsidRPr="00F06EA4">
        <w:rPr>
          <w:lang w:val="en-US"/>
        </w:rPr>
        <w:fldChar w:fldCharType="begin" w:fldLock="1"/>
      </w:r>
      <w:r w:rsidR="00F45F97" w:rsidRPr="00F06EA4">
        <w:rPr>
          <w:lang w:val="en-US"/>
        </w:rPr>
        <w:instrText>ADDIN CSL_CITATION {"citationItems":[{"id":"ITEM-1","itemData":{"DOI":"10.1097/SLA.0000000000001122","ISSN":"0003-4932","PMID":"25575264","abstract":"OBJECTIVE This study aims to examine the clinical utility of the combination of TNM stage and modified Glasgow Prognostic Score (mGPS) in patients undergoing potentially curative resection of colorectal cancer (CRC). BACKGROUND Of measures of the systemic inflammatory response, the mGPS has been most extensively validated in patients with cancer. METHODS Data from 1000 consecutive patients undergoing potentially curative CRC resection from a single institution (January 1997-May 2013) were included. The relationship between mGPS [0-C-reactive protein (CRP) ≤ 10 mg/L, 1-CRP &gt; 10 mg/L and albumin ≥35 g/L, 2-CRP &gt; 10 mg/L and albumin &lt; 35 g/L], TNM stage, and cancer-specific survival (CSS) and overall survival (OS) was examined using Kaplan-Meier log-rank survival analysis and multivariate Cox regression analysis. RESULTS An mGPS of 0, 1, and 2 was observed in 63%, 21%, and 16% of patients, respectively. Median follow-up was 56 months (interquartile range: 28-107 months). TNM and mGPS were independently associated with CSS and OS (all P &lt; 0.001). In all patients, TNM and mGPS stratified 5-year CSS and OS from 97% and 87% (stage I, mGPS = 0) to 32% and 26% (stage III, mGPS = 2), respectively. In patients undergoing elective resection of colon cancer (n = 575), 5-year CSS and OS ranged from 100% and 87% (stage I, mGPS = 0) to 37% and 30% (stage III, mGPS = 2), respectively. CONCLUSIONS This study shows how the combination of TNM and mGPS effectively stratifies outcome in patients undergoing potentially curative resection of CRC. These data support routine staging of both the tumor and the host in patients with CRC.","author":[{"dropping-particle":"","family":"Park","given":"James H.","non-dropping-particle":"","parse-names":false,"suffix":""},{"dropping-particle":"","family":"Watt","given":"David G.","non-dropping-particle":"","parse-names":false,"suffix":""},{"dropping-particle":"","family":"Roxburgh","given":"Campbell S. D.","non-dropping-particle":"","parse-names":false,"suffix":""},{"dropping-particle":"","family":"Horgan","given":"Paul G.","non-dropping-particle":"","parse-names":false,"suffix":""},{"dropping-particle":"","family":"McMillan","given":"Donald C.","non-dropping-particle":"","parse-names":false,"suffix":""}],"container-title":"Annals of Surgery","id":"ITEM-1","issue":"2","issued":{"date-parts":[["2016","2"]]},"page":"326-336","title":"Colorectal Cancer, Systemic Inflammation, and Outcome","type":"article-journal","volume":"263"},"uris":["http://www.mendeley.com/documents/?uuid=755287c3-c31f-44e9-b6e4-02d5dfa14074","http://www.mendeley.com/documents/?uuid=165c4251-0922-4c91-b9fb-34453768e61a"]},{"id":"ITEM-2","itemData":{"DOI":"10.1038/bjc.2017.108","ISSN":"0007-0920","PMID":"28427085","abstract":"BACKGROUND The present study aimed to examine the relationship between tumour invasiveness (T stage), the local and systemic environment and cancer-specific survival (CSS) of patients with primary operable colorectal cancer. METHODS The tumour microenvironment was examined using measures of the inflammatory infiltrate (Klintrup-Makinen (KM) grade and Immunoscore), tumour stroma percentage (TSP) and tumour budding. The systemic inflammatory environment was examined using modified Glasgow Prognostic Score (mGPS) and neutrophil:lymphocyte ratio (NLR). A 5-year CSS was examined. RESULTS A total of 331 patients were included. Increasing T stage was associated with colonic primary, N stage, poor differentiation, margin involvement and venous invasion (P&lt;0.05). T stage was significantly associated with KM grade (P=0.001), Immunoscore (P=0.016), TSP (P=0.006), tumour budding (P&lt;0.001), and elevated mGPS and NLR (both P&lt;0.05). In patients with T3 cancer, N stage stratified survival from 88 to 64%, whereas Immunoscore and budding stratified survival from 100 to 70% and from 91 to 56%, respectively. The Glasgow Microenvironment Score, a score based on KM grade and TSP, stratified survival from 93 to 58%. CONCLUSIONS Although associated with increasing T stage, local and systemic tumour environment characteristics, and in particular Immunoscore, budding, TSP and mGPS, are stage-independent determinants of survival and may be utilised in the staging of patients with primary operable colorectal cancer.","author":[{"dropping-particle":"","family":"Park","given":"J H","non-dropping-particle":"","parse-names":false,"suffix":""},{"dropping-particle":"","family":"Wyk","given":"H","non-dropping-particle":"van","parse-names":false,"suffix":""},{"dropping-particle":"","family":"Roxburgh","given":"C S D","non-dropping-particle":"","parse-names":false,"suffix":""},{"dropping-particle":"","family":"Horgan","given":"P G","non-dropping-particle":"","parse-names":false,"suffix":""},{"dropping-particle":"","family":"Edwards","given":"J","non-dropping-particle":"","parse-names":false,"suffix":""},{"dropping-particle":"","family":"McMillan","given":"D C","non-dropping-particle":"","parse-names":false,"suffix":""}],"container-title":"British Journal of Cancer","id":"ITEM-2","issue":"11","issued":{"date-parts":[["2017","5","23"]]},"page":"1444-1450","title":"Tumour invasiveness, the local and systemic environment and the basis of staging systems in colorectal cancer","type":"article-journal","volume":"116"},"uris":["http://www.mendeley.com/documents/?uuid=7b4b2a7e-c3d5-3f05-a26a-0874f9d85e2f","http://www.mendeley.com/documents/?uuid=6a3c6daa-9ee4-4fc6-90d6-d2629ee92fd1"]},{"id":"ITEM-3","itemData":{"DOI":"10.1038/bjc.2013.162","ISSN":"0007-0920","PMID":"23579221","author":[{"dropping-particle":"","family":"Kantola","given":"T","non-dropping-particle":"","parse-names":false,"suffix":""},{"dropping-particle":"","family":"Klintrup","given":"K","non-dropping-particle":"","parse-names":false,"suffix":""},{"dropping-particle":"","family":"Väyrynen","given":"J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 J","non-dropping-particle":"","parse-names":false,"suffix":""},{"dropping-particle":"","family":"Tuomisto","given":"A","non-dropping-particle":"","parse-names":false,"suffix":""},{"dropping-particle":"","family":"Mäkinen","given":"M J","non-dropping-particle":"","parse-names":false,"suffix":""}],"container-title":"British Journal of Cancer","id":"ITEM-3","issue":"9","issued":{"date-parts":[["2013"]]},"page":"1917-1918","title":"Reply: Comment on 'Stage-dependent alterations of the serum cytokine pattern in colorectal carcinoma'","type":"article-journal","volume":"108"},"uris":["http://www.mendeley.com/documents/?uuid=816375ab-9b8e-38f5-b5b8-428b1e102a9a"]}],"mendeley":{"formattedCitation":"&lt;sup&gt;[8,9,14]&lt;/sup&gt;","plainTextFormattedCitation":"[8,9,14]","previouslyFormattedCitation":"&lt;sup&gt;[8,9,14]&lt;/sup&gt;"},"properties":{"noteIndex":0},"schema":"https://github.com/citation-style-language/schema/raw/master/csl-citation.json"}</w:instrText>
      </w:r>
      <w:r w:rsidR="000A07A3" w:rsidRPr="00F06EA4">
        <w:rPr>
          <w:lang w:val="en-US"/>
        </w:rPr>
        <w:fldChar w:fldCharType="separate"/>
      </w:r>
      <w:r w:rsidR="00F45F97" w:rsidRPr="00F06EA4">
        <w:rPr>
          <w:noProof/>
          <w:vertAlign w:val="superscript"/>
          <w:lang w:val="en-US"/>
        </w:rPr>
        <w:t>[8,9,14]</w:t>
      </w:r>
      <w:r w:rsidR="000A07A3" w:rsidRPr="00F06EA4">
        <w:rPr>
          <w:lang w:val="en-US"/>
        </w:rPr>
        <w:fldChar w:fldCharType="end"/>
      </w:r>
      <w:r w:rsidR="000A07A3" w:rsidRPr="00F06EA4">
        <w:rPr>
          <w:lang w:val="en-US"/>
        </w:rPr>
        <w:t xml:space="preserve">. </w:t>
      </w:r>
    </w:p>
    <w:p w14:paraId="3474B80A" w14:textId="1165B671" w:rsidR="00D9760A" w:rsidRPr="00F06EA4" w:rsidRDefault="007E293A" w:rsidP="00F67ED8">
      <w:pPr>
        <w:spacing w:after="0"/>
        <w:ind w:firstLineChars="100" w:firstLine="240"/>
        <w:rPr>
          <w:lang w:val="en-US"/>
        </w:rPr>
      </w:pPr>
      <w:r w:rsidRPr="00F06EA4">
        <w:rPr>
          <w:lang w:val="en-US"/>
        </w:rPr>
        <w:t xml:space="preserve">Cancer-associated systemic </w:t>
      </w:r>
      <w:r w:rsidR="00FD3A80" w:rsidRPr="00F06EA4">
        <w:rPr>
          <w:lang w:val="en-US"/>
        </w:rPr>
        <w:t>inflammation</w:t>
      </w:r>
      <w:r w:rsidRPr="00F06EA4">
        <w:rPr>
          <w:lang w:val="en-US"/>
        </w:rPr>
        <w:t xml:space="preserve"> is characterized by </w:t>
      </w:r>
      <w:r w:rsidR="00B05324" w:rsidRPr="00F06EA4">
        <w:rPr>
          <w:lang w:val="en-US"/>
        </w:rPr>
        <w:t>numerous</w:t>
      </w:r>
      <w:r w:rsidR="00290175" w:rsidRPr="00F06EA4">
        <w:rPr>
          <w:lang w:val="en-US"/>
        </w:rPr>
        <w:t xml:space="preserve"> alterati</w:t>
      </w:r>
      <w:r w:rsidR="002F1267" w:rsidRPr="00F06EA4">
        <w:rPr>
          <w:lang w:val="en-US"/>
        </w:rPr>
        <w:t>ons</w:t>
      </w:r>
      <w:r w:rsidR="005F4349" w:rsidRPr="00F06EA4">
        <w:rPr>
          <w:lang w:val="en-US"/>
        </w:rPr>
        <w:t xml:space="preserve"> in many organ systems distant from the site or sites of inflammation. </w:t>
      </w:r>
      <w:r w:rsidR="00E245E8" w:rsidRPr="00F06EA4">
        <w:rPr>
          <w:lang w:val="en-US"/>
        </w:rPr>
        <w:t>Activation of systemic inflammatory response</w:t>
      </w:r>
      <w:r w:rsidR="00756B97" w:rsidRPr="00F06EA4">
        <w:rPr>
          <w:lang w:val="en-US"/>
        </w:rPr>
        <w:t xml:space="preserve"> in </w:t>
      </w:r>
      <w:r w:rsidR="001C728A" w:rsidRPr="00F06EA4">
        <w:rPr>
          <w:lang w:val="en-US"/>
        </w:rPr>
        <w:t xml:space="preserve">the </w:t>
      </w:r>
      <w:r w:rsidR="00756B97" w:rsidRPr="00F06EA4">
        <w:rPr>
          <w:lang w:val="en-US"/>
        </w:rPr>
        <w:t>liver resu</w:t>
      </w:r>
      <w:r w:rsidR="00B05324" w:rsidRPr="00F06EA4">
        <w:rPr>
          <w:lang w:val="en-US"/>
        </w:rPr>
        <w:t>l</w:t>
      </w:r>
      <w:r w:rsidR="00756B97" w:rsidRPr="00F06EA4">
        <w:rPr>
          <w:lang w:val="en-US"/>
        </w:rPr>
        <w:t>ts in</w:t>
      </w:r>
      <w:r w:rsidR="008A1FB0" w:rsidRPr="00F06EA4">
        <w:rPr>
          <w:lang w:val="en-US"/>
        </w:rPr>
        <w:t xml:space="preserve"> </w:t>
      </w:r>
      <w:r w:rsidR="00571016" w:rsidRPr="00F06EA4">
        <w:rPr>
          <w:lang w:val="en-US"/>
        </w:rPr>
        <w:t>a rapid increase in the production of acute phase proteins</w:t>
      </w:r>
      <w:r w:rsidR="00ED0966" w:rsidRPr="00F06EA4">
        <w:rPr>
          <w:lang w:val="en-US"/>
        </w:rPr>
        <w:t>, such as CRP</w:t>
      </w:r>
      <w:r w:rsidR="00ED0966" w:rsidRPr="00F06EA4">
        <w:rPr>
          <w:lang w:val="en-US"/>
        </w:rPr>
        <w:fldChar w:fldCharType="begin" w:fldLock="1"/>
      </w:r>
      <w:r w:rsidR="00F45F97" w:rsidRPr="00F06EA4">
        <w:rPr>
          <w:lang w:val="en-US"/>
        </w:rPr>
        <w:instrText>ADDIN CSL_CITATION {"citationItems":[{"id":"ITEM-1","itemData":{"DOI":"10.1056/NEJM199902113400607","ISSN":"0028-4793","PMID":"9971870","author":[{"dropping-particle":"","family":"Gabay","given":"C","non-dropping-particle":"","parse-names":false,"suffix":""},{"dropping-particle":"","family":"Kushner","given":"I","non-dropping-particle":"","parse-names":false,"suffix":""}],"container-title":"The New England journal of medicine","id":"ITEM-1","issue":"6","issued":{"date-parts":[["1999","2","11"]]},"page":"448-54","publisher-place":"Department of Medicine, University of Colorado Health Sciences Center, Denver, USA. ixk2@po.cwru.edu","title":"Acute-phase proteins and other systemic responses to inflammation.","type":"article-journal","volume":"340"},"uris":["http://www.mendeley.com/documents/?uuid=b6da024f-a302-4aae-9932-5ede18c8f2b4"]}],"mendeley":{"formattedCitation":"&lt;sup&gt;[15]&lt;/sup&gt;","plainTextFormattedCitation":"[15]","previouslyFormattedCitation":"&lt;sup&gt;[15]&lt;/sup&gt;"},"properties":{"noteIndex":0},"schema":"https://github.com/citation-style-language/schema/raw/master/csl-citation.json"}</w:instrText>
      </w:r>
      <w:r w:rsidR="00ED0966" w:rsidRPr="00F06EA4">
        <w:rPr>
          <w:lang w:val="en-US"/>
        </w:rPr>
        <w:fldChar w:fldCharType="separate"/>
      </w:r>
      <w:r w:rsidR="00F45F97" w:rsidRPr="00F06EA4">
        <w:rPr>
          <w:noProof/>
          <w:vertAlign w:val="superscript"/>
          <w:lang w:val="en-US"/>
        </w:rPr>
        <w:t>[15]</w:t>
      </w:r>
      <w:r w:rsidR="00ED0966" w:rsidRPr="00F06EA4">
        <w:rPr>
          <w:lang w:val="en-US"/>
        </w:rPr>
        <w:fldChar w:fldCharType="end"/>
      </w:r>
      <w:r w:rsidR="00ED0966" w:rsidRPr="00F06EA4">
        <w:rPr>
          <w:lang w:val="en-US"/>
        </w:rPr>
        <w:t xml:space="preserve">.  </w:t>
      </w:r>
      <w:r w:rsidR="00913706" w:rsidRPr="00F06EA4">
        <w:rPr>
          <w:lang w:val="en-US"/>
        </w:rPr>
        <w:t>M</w:t>
      </w:r>
      <w:r w:rsidRPr="00F06EA4">
        <w:rPr>
          <w:lang w:val="en-US"/>
        </w:rPr>
        <w:t xml:space="preserve">any </w:t>
      </w:r>
      <w:r w:rsidR="00D00899" w:rsidRPr="00F06EA4">
        <w:rPr>
          <w:lang w:val="en-US"/>
        </w:rPr>
        <w:t xml:space="preserve">disabling </w:t>
      </w:r>
      <w:r w:rsidR="00721D07" w:rsidRPr="00F06EA4">
        <w:rPr>
          <w:lang w:val="en-US"/>
        </w:rPr>
        <w:t>symptoms</w:t>
      </w:r>
      <w:r w:rsidR="00E718F2" w:rsidRPr="00F06EA4">
        <w:rPr>
          <w:lang w:val="en-US"/>
        </w:rPr>
        <w:t xml:space="preserve"> </w:t>
      </w:r>
      <w:r w:rsidR="00D00899" w:rsidRPr="00F06EA4">
        <w:rPr>
          <w:lang w:val="en-US"/>
        </w:rPr>
        <w:t>of</w:t>
      </w:r>
      <w:r w:rsidR="00E718F2" w:rsidRPr="00F06EA4">
        <w:rPr>
          <w:lang w:val="en-US"/>
        </w:rPr>
        <w:t xml:space="preserve"> cancer patients</w:t>
      </w:r>
      <w:r w:rsidR="00AA3CD7" w:rsidRPr="00F06EA4">
        <w:rPr>
          <w:lang w:val="en-US"/>
        </w:rPr>
        <w:t>, such as</w:t>
      </w:r>
      <w:r w:rsidR="009F1B7F" w:rsidRPr="00F06EA4">
        <w:rPr>
          <w:lang w:val="en-US"/>
        </w:rPr>
        <w:t xml:space="preserve"> </w:t>
      </w:r>
      <w:r w:rsidR="00AA3CD7" w:rsidRPr="00F06EA4">
        <w:rPr>
          <w:lang w:val="en-US"/>
        </w:rPr>
        <w:t xml:space="preserve">fever, </w:t>
      </w:r>
      <w:r w:rsidR="00E718F2" w:rsidRPr="00F06EA4">
        <w:rPr>
          <w:lang w:val="en-US"/>
        </w:rPr>
        <w:t xml:space="preserve">anemia, </w:t>
      </w:r>
      <w:r w:rsidR="001C728A" w:rsidRPr="00F06EA4">
        <w:rPr>
          <w:lang w:val="en-US"/>
        </w:rPr>
        <w:t xml:space="preserve">fatigue </w:t>
      </w:r>
      <w:r w:rsidR="009F1B7F" w:rsidRPr="00F06EA4">
        <w:rPr>
          <w:lang w:val="en-US"/>
        </w:rPr>
        <w:t xml:space="preserve">and </w:t>
      </w:r>
      <w:r w:rsidR="00C12FAF" w:rsidRPr="00F06EA4">
        <w:rPr>
          <w:lang w:val="en-US"/>
        </w:rPr>
        <w:t>loss o</w:t>
      </w:r>
      <w:r w:rsidR="00BB1807" w:rsidRPr="00F06EA4">
        <w:rPr>
          <w:lang w:val="en-US"/>
        </w:rPr>
        <w:t>f</w:t>
      </w:r>
      <w:r w:rsidR="00C12FAF" w:rsidRPr="00F06EA4">
        <w:rPr>
          <w:lang w:val="en-US"/>
        </w:rPr>
        <w:t xml:space="preserve"> </w:t>
      </w:r>
      <w:r w:rsidR="00A90DC9" w:rsidRPr="00F06EA4">
        <w:rPr>
          <w:lang w:val="en-US"/>
        </w:rPr>
        <w:t>appetite</w:t>
      </w:r>
      <w:r w:rsidR="009B16A9" w:rsidRPr="00F06EA4">
        <w:rPr>
          <w:lang w:val="en-US"/>
        </w:rPr>
        <w:t xml:space="preserve"> can be attributed to the presence of systemic inflammation</w:t>
      </w:r>
      <w:r w:rsidR="008246EA" w:rsidRPr="00F06EA4">
        <w:rPr>
          <w:lang w:val="en-US"/>
        </w:rPr>
        <w:t xml:space="preserve">, and </w:t>
      </w:r>
      <w:r w:rsidR="00CB6302" w:rsidRPr="00F06EA4">
        <w:rPr>
          <w:lang w:val="en-US"/>
        </w:rPr>
        <w:t>finally,</w:t>
      </w:r>
      <w:r w:rsidR="009B16A9" w:rsidRPr="00F06EA4">
        <w:rPr>
          <w:lang w:val="en-US"/>
        </w:rPr>
        <w:t xml:space="preserve"> </w:t>
      </w:r>
      <w:r w:rsidR="009F1B7F" w:rsidRPr="00F06EA4">
        <w:rPr>
          <w:lang w:val="en-US"/>
        </w:rPr>
        <w:t>metabol</w:t>
      </w:r>
      <w:r w:rsidR="009408CE" w:rsidRPr="00F06EA4">
        <w:rPr>
          <w:lang w:val="en-US"/>
        </w:rPr>
        <w:t>ic changes</w:t>
      </w:r>
      <w:r w:rsidR="00721D07" w:rsidRPr="00F06EA4">
        <w:rPr>
          <w:lang w:val="en-US"/>
        </w:rPr>
        <w:t xml:space="preserve"> such as </w:t>
      </w:r>
      <w:r w:rsidR="005857AA" w:rsidRPr="00F06EA4">
        <w:rPr>
          <w:lang w:val="en-US"/>
        </w:rPr>
        <w:t>loss of muscle and negative nitrogen balance</w:t>
      </w:r>
      <w:r w:rsidR="00CF50C7" w:rsidRPr="00F06EA4">
        <w:rPr>
          <w:lang w:val="en-US"/>
        </w:rPr>
        <w:t xml:space="preserve"> manifest</w:t>
      </w:r>
      <w:r w:rsidR="005857AA" w:rsidRPr="00F06EA4">
        <w:rPr>
          <w:lang w:val="en-US"/>
        </w:rPr>
        <w:t xml:space="preserve"> in cachexia</w:t>
      </w:r>
      <w:r w:rsidR="00257360" w:rsidRPr="00F06EA4">
        <w:rPr>
          <w:lang w:val="en-US"/>
        </w:rPr>
        <w:t xml:space="preserve">, </w:t>
      </w:r>
      <w:r w:rsidR="001C728A" w:rsidRPr="00F06EA4">
        <w:rPr>
          <w:lang w:val="en-US"/>
        </w:rPr>
        <w:t xml:space="preserve">a </w:t>
      </w:r>
      <w:r w:rsidR="00257360" w:rsidRPr="00F06EA4">
        <w:rPr>
          <w:lang w:val="en-US"/>
        </w:rPr>
        <w:t>cancer-associated wasting syndrome</w:t>
      </w:r>
      <w:r w:rsidR="005857AA" w:rsidRPr="00F06EA4">
        <w:rPr>
          <w:lang w:val="en-US"/>
        </w:rPr>
        <w:fldChar w:fldCharType="begin" w:fldLock="1"/>
      </w:r>
      <w:r w:rsidR="00F45F97" w:rsidRPr="00F06EA4">
        <w:rPr>
          <w:lang w:val="en-US"/>
        </w:rPr>
        <w:instrText>ADDIN CSL_CITATION {"citationItems":[{"id":"ITEM-1","itemData":{"DOI":"10.1038/nrc3829","ISSN":"1474-1768","PMID":"25291291","abstract":"Cancer cachexia is a devastating, multifactorial and often irreversible syndrome that affects around 50-80% of cancer patients, depending on the tumour type, and that leads to substantial weight loss, primarily from loss of skeletal muscle and body fat. Since cachexia may account for up to 20% of cancer deaths, understanding the underlying molecular mechanisms is essential. The occurrence of cachexia in cancer patients is dependent on the patient response to tumour progression, including the activation of the inflammatory response and energetic inefficiency involving the mitochondria. Interestingly, crosstalk between different cell types ultimately seems to result in muscle wasting. Some of the recent progress in understanding the molecular mechanisms of cachexia may lead to new therapeutic approaches.","author":[{"dropping-particle":"","family":"Argilés","given":"Josep M","non-dropping-particle":"","parse-names":false,"suffix":""},{"dropping-particle":"","family":"Busquets","given":"Sílvia","non-dropping-particle":"","parse-names":false,"suffix":""},{"dropping-particle":"","family":"Stemmler","given":"Britta","non-dropping-particle":"","parse-names":false,"suffix":""},{"dropping-particle":"","family":"López-Soriano","given":"Francisco J","non-dropping-particle":"","parse-names":false,"suffix":""}],"container-title":"Nature reviews. Cancer","id":"ITEM-1","issue":"11","issued":{"date-parts":[["2014","11"]]},"page":"754-62","title":"Cancer cachexia: understanding the molecular basis.","type":"article-journal","volume":"14"},"uris":["http://www.mendeley.com/documents/?uuid=86c3787a-6393-4b61-b1a4-f4335c991705"]}],"mendeley":{"formattedCitation":"&lt;sup&gt;[16]&lt;/sup&gt;","plainTextFormattedCitation":"[16]","previouslyFormattedCitation":"&lt;sup&gt;[16]&lt;/sup&gt;"},"properties":{"noteIndex":0},"schema":"https://github.com/citation-style-language/schema/raw/master/csl-citation.json"}</w:instrText>
      </w:r>
      <w:r w:rsidR="005857AA" w:rsidRPr="00F06EA4">
        <w:rPr>
          <w:lang w:val="en-US"/>
        </w:rPr>
        <w:fldChar w:fldCharType="separate"/>
      </w:r>
      <w:r w:rsidR="00F45F97" w:rsidRPr="00F06EA4">
        <w:rPr>
          <w:noProof/>
          <w:vertAlign w:val="superscript"/>
          <w:lang w:val="en-US"/>
        </w:rPr>
        <w:t>[16]</w:t>
      </w:r>
      <w:r w:rsidR="005857AA" w:rsidRPr="00F06EA4">
        <w:rPr>
          <w:lang w:val="en-US"/>
        </w:rPr>
        <w:fldChar w:fldCharType="end"/>
      </w:r>
      <w:r w:rsidR="005857AA" w:rsidRPr="00F06EA4">
        <w:rPr>
          <w:lang w:val="en-US"/>
        </w:rPr>
        <w:t>.</w:t>
      </w:r>
      <w:r w:rsidR="007C3333" w:rsidRPr="00F06EA4">
        <w:rPr>
          <w:lang w:val="en-US"/>
        </w:rPr>
        <w:t xml:space="preserve"> </w:t>
      </w:r>
    </w:p>
    <w:p w14:paraId="5A9D2260" w14:textId="0D055B55" w:rsidR="00A33490" w:rsidRPr="00F06EA4" w:rsidRDefault="005857AA" w:rsidP="00F67ED8">
      <w:pPr>
        <w:spacing w:after="0"/>
        <w:ind w:firstLineChars="100" w:firstLine="240"/>
        <w:rPr>
          <w:lang w:val="en-US"/>
        </w:rPr>
      </w:pPr>
      <w:r w:rsidRPr="00F06EA4">
        <w:rPr>
          <w:lang w:val="en-US"/>
        </w:rPr>
        <w:t>Many m</w:t>
      </w:r>
      <w:r w:rsidR="00A33490" w:rsidRPr="00F06EA4">
        <w:rPr>
          <w:lang w:val="en-US"/>
        </w:rPr>
        <w:t>arkers of systemic inflammation are based on counts, ratios</w:t>
      </w:r>
      <w:r w:rsidRPr="00F06EA4">
        <w:rPr>
          <w:lang w:val="en-US"/>
        </w:rPr>
        <w:t>,</w:t>
      </w:r>
      <w:r w:rsidR="00A33490" w:rsidRPr="00F06EA4">
        <w:rPr>
          <w:lang w:val="en-US"/>
        </w:rPr>
        <w:t xml:space="preserve"> or scores of circulating white cell</w:t>
      </w:r>
      <w:r w:rsidR="00257360" w:rsidRPr="00F06EA4">
        <w:rPr>
          <w:lang w:val="en-US"/>
        </w:rPr>
        <w:t>s</w:t>
      </w:r>
      <w:r w:rsidR="00A33490" w:rsidRPr="00F06EA4">
        <w:rPr>
          <w:lang w:val="en-US"/>
        </w:rPr>
        <w:t xml:space="preserve"> or acute phase proteins</w:t>
      </w:r>
      <w:r w:rsidRPr="00F06EA4">
        <w:rPr>
          <w:lang w:val="en-US"/>
        </w:rPr>
        <w:t>, such as</w:t>
      </w:r>
      <w:r w:rsidR="00A33490" w:rsidRPr="00F06EA4">
        <w:rPr>
          <w:lang w:val="en-US"/>
        </w:rPr>
        <w:t xml:space="preserve"> neutrophil/lymphocyte ratio (NLR) and Modified Glasgow Prognostic score (mGPS), </w:t>
      </w:r>
      <w:r w:rsidR="001C728A" w:rsidRPr="00F06EA4">
        <w:rPr>
          <w:lang w:val="en-US"/>
        </w:rPr>
        <w:t xml:space="preserve">a </w:t>
      </w:r>
      <w:r w:rsidR="00A33490" w:rsidRPr="00F06EA4">
        <w:rPr>
          <w:lang w:val="en-US"/>
        </w:rPr>
        <w:t>measure based on elevated serum CRP level and decreased serum albumin level</w:t>
      </w:r>
      <w:r w:rsidRPr="00F06EA4">
        <w:rPr>
          <w:lang w:val="en-US"/>
        </w:rPr>
        <w:fldChar w:fldCharType="begin" w:fldLock="1"/>
      </w:r>
      <w:r w:rsidR="00F45F97" w:rsidRPr="00F06EA4">
        <w:rPr>
          <w:lang w:val="en-US"/>
        </w:rPr>
        <w:instrText>ADDIN CSL_CITATION {"citationItems":[{"id":"ITEM-1","itemData":{"DOI":"10.1038/bjc.2014.90","ISSN":"1532-1827","PMID":"24548867","abstract":"Determinants of cancer progression and survival are multifactorial and host responses are increasingly appreciated to have a major role. Indeed, the development and maintenance of a systemic inflammatory response has been consistently observed to confer poorer outcome, in both early and advanced stage disease. For patients, cancer-associated symptoms are of particular importance resulting in a marked impact on day-to-day quality of life and are also associated with poorer outcome. These symptoms are now recognised to cluster with one another with anorexia, weight loss and physical function forming a recognised cluster whereas fatigue, pain and depression forming another. Importantly, it has become apparent that these symptom clusters are associated with presence of a systemic inflammatory response in the patient with cancer. Given the understanding of the above, there is now a need to intervene to moderate systemic inflammatory responses, where present. In this context the rationale for therapeutic intervention using nonselective anti-inflammatory agents is clear and compelling and likely to become a part of routine clinical practice in the near future. The published literature on therapeutic intervention using anti-inflammatory agents for cancer-associated symptoms was reviewed. There are important parallels with the development of useful treatments for the systemic inflammatory response in patients with rheumatological disease and cardiovascular disease.","author":[{"dropping-particle":"","family":"Roxburgh","given":"C S D","non-dropping-particle":"","parse-names":false,"suffix":""},{"dropping-particle":"","family":"McMillan","given":"D C","non-dropping-particle":"","parse-names":false,"suffix":""}],"container-title":"British journal of cancer","id":"ITEM-1","issue":"6","issued":{"date-parts":[["2014","3"]]},"page":"1409-12","publisher":"Nature Publishing Group","title":"Cancer and systemic inflammation: treat the tumour and treat the host.","type":"article-journal","volume":"110"},"uris":["http://www.mendeley.com/documents/?uuid=955a28fe-d58e-4b69-85aa-33e860e90dd9","http://www.mendeley.com/documents/?uuid=22f10657-68aa-44ec-a1d2-a025d9ba4433"]}],"mendeley":{"formattedCitation":"&lt;sup&gt;[17]&lt;/sup&gt;","plainTextFormattedCitation":"[17]","previouslyFormattedCitation":"&lt;sup&gt;[17]&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[17]</w:t>
      </w:r>
      <w:r w:rsidRPr="00F06EA4">
        <w:rPr>
          <w:lang w:val="en-US"/>
        </w:rPr>
        <w:fldChar w:fldCharType="end"/>
      </w:r>
      <w:r w:rsidRPr="00F06EA4">
        <w:rPr>
          <w:lang w:val="en-US"/>
        </w:rPr>
        <w:t>, but more recent studies have also evaluated the significance of alterations in circulating cytokine, chemokine, and growth factor milieu</w:t>
      </w:r>
      <w:r w:rsidRPr="00F06EA4">
        <w:rPr>
          <w:lang w:val="en-US"/>
        </w:rPr>
        <w:fldChar w:fldCharType="begin" w:fldLock="1"/>
      </w:r>
      <w:r w:rsidR="00F45F97" w:rsidRPr="00F06EA4">
        <w:rPr>
          <w:lang w:val="en-US"/>
        </w:rPr>
        <w:instrText>ADDIN CSL_CITATION {"citationItems":[{"id":"ITEM-1","itemData":{"DOI":"10.1038/bjc.2012.456","ISSN":"1532-1827","PMID":"23059742","abstract":"BACKGROUND Inflammation contributes to the pathogenesis of colorectal cancer (CRC), and cytokine levels are altered during colorectal carcinogenesis. METHODS The serum levels of 13 cytokines and their relation to clinical and pathological parameters, and systemic inflammatory response (mGPS, CRP and neutrophil-lymphocyte ratio), were analysed from a prospective series of 148 CRC patients and 86 healthy age- and sex-matched controls. RESULTS CRC patients had higher serum platelet-derived growth factor, interleukin (IL)-6, IL-7, and IL-8 levels and lower monocyte chemotactic protein-1 (MCP-1) levels than the controls. A logistic regression model for discriminating the patients from the controls - including the five most predictive cytokines (high IL-8, high IL-6, low MCP-1, low IL-1ra, and low IP-10) - yielded an area under curve value of 0.890 in receiver operating characteristics analysis. Serum cytokines showed distinct correlation with other markers of systemic inflammatory response, and advanced CRCs were associated with higher levels of IL-8, IL-1ra, and IL-6. A metastasised disease was accompanied by an orientation towards Th2 cytokine milieu. CONCLUSION CRC is associated with extensive alterations in serum cytokine environment, highlighting the importance of studying relative cytokine level alterations. Serum cytokine profile shows promise in separating CRC patients from healthy controls but its clinical value is yet to be confirmed.","author":[{"dropping-particle":"","family":"Kantola","given":"T.","non-dropping-particle":"","parse-names":false,"suffix":""},{"dropping-particle":"","family":"Klintrup","given":"K.","non-dropping-particle":"","parse-names":false,"suffix":""},{"dropping-particle":"","family":"Väyrynen","given":"J.P.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J. J","non-dropping-particle":"","parse-names":false,"suffix":""},{"dropping-particle":"","family":"Tuomisto","given":"A.","non-dropping-particle":"","parse-names":false,"suffix":""},{"dropping-particle":"","family":"Mäkinen","given":"M.J. J","non-dropping-particle":"","parse-names":false,"suffix":""}],"container-title":"British journal of cancer","id":"ITEM-1","issue":"10","issued":{"date-parts":[["2012","11","6"]]},"page":"1729-36","title":"Stage-dependent alterations of the serum cytokine pattern in colorectal carcinoma.","type":"article-journal","volume":"107"},"uris":["http://www.mendeley.com/documents/?uuid=269bf46a-8d7f-4e7f-b7a0-75f33bcfe550"]},{"id":"ITEM-2","itemData":{"DOI":"10.1038/bjc.2015.61","ISBN":"0007-0920","ISSN":"1532-1827","PMID":"25688736","abstract":"BACKGROUND High circulating neutrophil-lymphocyte ratio (NLR) appears to be prognostic in metastatic colorectal cancer (mCRC). We investigated the relationship of NLR with circulating cytokines and molecular alterations. METHODS We performed retrospective analyses on multiple cohorts of CRC patients (metastatic untreated (n=166), refractory metastatic (n=161), hepatectomy (n=198), stage 2/3 (n=274), and molecularly screened (n=342)). High NLR (ratio of absolute neutrophil-to-lymphocyte counts in peripheral blood) was defined as NLR&gt;5. Plasma cytokines were evaluated using multiplex-bead assays. Kaplan-Meier estimates, non-parametric correlation analysis, and hierarchical cluster analyses were used. RESULTS High NLR was associated with poor prognosis in mCRC (hazard ratio (HR) 1.73; 95% confidence interval (CI):1.03-2.89; P=0.039) independent of known prognostic factors and molecular alterations (KRAS/NRAS/BRAF/PIK3CA/CIMP). High NLR correlated with increased expression of interleukin 6 (IL-6), IL-8, IL-2Rα, hepatocyte growth factor, macrophage-colony stimulating factor, and vascular epidermal growth factor in exploratory (n=39) and validation (n=166) cohorts. Fourteen additional cytokines correlated with high NLR in the validation cohort. All 20 cytokines fell into three major clusters: inflammatory cytokines, angiogenic cytokines, and epidermal growth factor ligands. In mCRC, composite stratification based on NLR-cytokine score provided enhanced prognostic information (HR 2.09; 95% CI: 1.59-2.76; P&lt;0.001) over and above NLR. CONCLUSIONS High NLR is an independent poor prognostic marker in CRC and correlates with a distinct cytokine profile related to key biological processes involved in carcinogenesis. A composite NLR-cytokine stratification has enhanced prognostic value in mCRC.","author":[{"dropping-particle":"","family":"Chen","given":"Z-Y","non-dropping-particle":"","parse-names":false,"suffix":""},{"dropping-particle":"","family":"Raghav","given":"K.","non-dropping-particle":"","parse-names":false,"suffix":""},{"dropping-particle":"","family":"Lieu","given":"C. H.","non-dropping-particle":"","parse-names":false,"suffix":""},{"dropping-particle":"","family":"Jiang","given":"Z-Q","non-dropping-particle":"","parse-names":false,"suffix":""},{"dropping-particle":"","family":"Eng","given":"C.","non-dropping-particle":"","parse-names":false,"suffix":""},{"dropping-particle":"","family":"Vauthey","given":"J-N","non-dropping-particle":"","parse-names":false,"suffix":""},{"dropping-particle":"","family":"Chang","given":"G. J.","non-dropping-particle":"","parse-names":false,"suffix":""},{"dropping-particle":"","family":"Qiao","given":"W.","non-dropping-particle":"","parse-names":false,"suffix":""},{"dropping-particle":"","family":"Morris","given":"J.","non-dropping-particle":"","parse-names":false,"suffix":""},{"dropping-particle":"","family":"Hong","given":"D.","non-dropping-particle":"","parse-names":false,"suffix":""},{"dropping-particle":"","family":"Hoff","given":"P.","non-dropping-particle":"","parse-names":false,"suffix":""},{"dropping-particle":"","family":"Tran","given":"H.","non-dropping-particle":"","parse-names":false,"suffix":""},{"dropping-particle":"","family":"Menter","given":"D. G.","non-dropping-particle":"","parse-names":false,"suffix":""},{"dropping-particle":"","family":"Heymach","given":"J.","non-dropping-particle":"","parse-names":false,"suffix":""},{"dropping-particle":"","family":"Overman","given":"M.","non-dropping-particle":"","parse-names":false,"suffix":""},{"dropping-particle":"","family":"Kopetz","given":"S.","non-dropping-particle":"","parse-names":false,"suffix":""}],"container-title":"British journal of cancer","id":"ITEM-2","issue":"6","issued":{"date-parts":[["2015"]]},"page":"1088-97","title":"Cytokine profile and prognostic significance of high neutrophil-lymphocyte ratio in colorectal cancer.","type":"article-journal","volume":"112"},"uris":["http://www.mendeley.com/documents/?uuid=e84e0b6a-5b33-4ec9-b27d-0081923963d7","http://www.mendeley.com/documents/?uuid=b8b5f391-289f-41c8-b824-f82e51362d78"]},{"id":"ITEM-3","itemData":{"DOI":"10.1016/j.tranon.2018.05.012","ISSN":"1936-5233","PMID":"29982101","abstract":"BACKGROUND Due to difficulties in predicting recurrences in colorectal cancer stages II and III, reliable prognostic biomarkers could be a breakthrough for individualized treatment and follow-up. OBJECTIVE To find potential prognostic protein biomarkers in colorectal cancer, using the proximity extension assays. METHODS A panel of 92 oncology-related proteins was analyzed with proximity extension assays, in plasma from a cohort of 261 colorectal cancer patients with stage II-IV. The survival analyses were corrected for disease stage and age, and the recurrence analyses were corrected for disease stage. The significance threshold was adjusted for multiple comparisons. RESULTS The plasma proteins expression levels had a greater prognostic relevance in disease stage III colorectal cancer than in disease stage II, and for overall survival than for time to recurrence. Osteoprotegerin was the only biomarker candidate in the protein panel that had a statistical significant association with overall survival (P = .00029). None of the proteins were statistically significantly associated with time to recurrence. CONCLUSIONS Of the 92 analyzed plasma proteins, osteoprotegerin showed the strongest prognostic impact in patients with colorectal cancer, and therefore osteoprotegerin is a potential predictive marker, and it also could be a target for treatments.","author":[{"dropping-particle":"","family":"Birgisson","given":"Helgi","non-dropping-particle":"","parse-names":false,"suffix":""},{"dropping-particle":"","family":"Tsimogiannis","given":"Kostas","non-dropping-particle":"","parse-names":false,"suffix":""},{"dropping-particle":"","family":"Freyhult","given":"Eva","non-dropping-particle":"","parse-names":false,"suffix":""},{"dropping-particle":"","family":"Kamali-Moghaddam","given":"Masood","non-dropping-particle":"","parse-names":false,"suffix":""}],"container-title":"Translational oncology","id":"ITEM-3","issue":"4","issued":{"date-parts":[["2018","7"]]},"page":"1034-1043","title":"Plasma Protein Profiling Reveal Osteoprotegerin as a Marker of Prognostic Impact for Colorectal Cancer.","type":"article-journal","volume":"11"},"uris":["http://www.mendeley.com/documents/?uuid=e04cf5cb-6c26-44a0-9177-c4a2c0d7113b"]}],"mendeley":{"formattedCitation":"&lt;sup&gt;[18–20]&lt;/sup&gt;","plainTextFormattedCitation":"[18–20]","previouslyFormattedCitation":"&lt;sup&gt;[18–20]&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[18–20]</w:t>
      </w:r>
      <w:r w:rsidRPr="00F06EA4">
        <w:rPr>
          <w:lang w:val="en-US"/>
        </w:rPr>
        <w:fldChar w:fldCharType="end"/>
      </w:r>
      <w:r w:rsidR="000E1662" w:rsidRPr="00F06EA4">
        <w:rPr>
          <w:lang w:val="en-US"/>
        </w:rPr>
        <w:t>, platelet transcriptome</w:t>
      </w:r>
      <w:r w:rsidR="007C5A27" w:rsidRPr="00F06EA4">
        <w:rPr>
          <w:lang w:val="en-US"/>
        </w:rPr>
        <w:fldChar w:fldCharType="begin" w:fldLock="1"/>
      </w:r>
      <w:r w:rsidR="00F45F97" w:rsidRPr="00F06EA4">
        <w:rPr>
          <w:lang w:val="en-US"/>
        </w:rPr>
        <w:instrText>ADDIN CSL_CITATION {"citationItems":[{"id":"ITEM-1","itemData":{"DOI":"10.1158/0008-5472.CAN-18-0887","ISBN":"1098-0121","ISSN":"1538-7445","PMID":"29921699","abstract":"Liquid biopsies represent a potential revolution in cancer diagnostics as a noninvasive method for detecting and monitoring diseases, complementary to or even replacing current tissue biopsy approaches. Several blood-based biosources and biomolecules, such as cell-free DNA and RNA, proteins, circulating tumor cells, and extracellular vesicles, have been explored for molecular test development. We recently discovered the potential of tumor-educated blood platelets (TEP) as a noninvasive biomarker trove for RNA biomarker panels. TEPs are involved in the progression and spread of several solid tumors, and spliced TEP RNA surrogate signatures can provide specific information on the presence, location, and molecular characteristics of cancers. So far, TEP samples from patients with different tumor types, including lung, brain, and breast cancers, have been tested, and it has been shown that TEPs from patients with cancer are distinct from those with inflammatory and other noncancerous diseases. It remains to be investigated how platelets are \"educated,\" which mechanisms cause intraplatelet RNA splicing, and whether the relative contribution of specific platelet subpopulations changes in patients with cancer. Ultimately, TEP RNA may complement currently used biosources and biomolecules employed for liquid biopsy diagnosis, potentially enhancing the detection of cancer in an early stage and facilitating noninvasive disease monitoring. Cancer Res; 78(13); 3407-12. ©2018 AACR.","author":[{"dropping-particle":"","family":"Best","given":"Myron G.","non-dropping-particle":"","parse-names":false,"suffix":""},{"dropping-particle":"","family":"Wesseling","given":"Pieter","non-dropping-particle":"","parse-names":false,"suffix":""},{"dropping-particle":"","family":"Wurdinger","given":"Thomas","non-dropping-particle":"","parse-names":false,"suffix":""}],"container-title":"Cancer research","id":"ITEM-1","issue":"13","issued":{"date-parts":[["2018","7"]]},"page":"3407-3412","title":"Tumor-Educated Platelets as a Noninvasive Biomarker Source for Cancer Detection and Progression Monitoring.","type":"article-journal","volume":"78"},"uris":["http://www.mendeley.com/documents/?uuid=6566df65-21cb-4bc8-afef-e13c035c654a"]}],"mendeley":{"formattedCitation":"&lt;sup&gt;[21]&lt;/sup&gt;","plainTextFormattedCitation":"[21]","previouslyFormattedCitation":"&lt;sup&gt;[21]&lt;/sup&gt;"},"properties":{"noteIndex":0},"schema":"https://github.com/citation-style-language/schema/raw/master/csl-citation.json"}</w:instrText>
      </w:r>
      <w:r w:rsidR="007C5A27" w:rsidRPr="00F06EA4">
        <w:rPr>
          <w:lang w:val="en-US"/>
        </w:rPr>
        <w:fldChar w:fldCharType="separate"/>
      </w:r>
      <w:r w:rsidR="00F45F97" w:rsidRPr="00F06EA4">
        <w:rPr>
          <w:noProof/>
          <w:vertAlign w:val="superscript"/>
          <w:lang w:val="en-US"/>
        </w:rPr>
        <w:t>[21]</w:t>
      </w:r>
      <w:r w:rsidR="007C5A27" w:rsidRPr="00F06EA4">
        <w:rPr>
          <w:lang w:val="en-US"/>
        </w:rPr>
        <w:fldChar w:fldCharType="end"/>
      </w:r>
      <w:r w:rsidR="000E1662" w:rsidRPr="00F06EA4">
        <w:rPr>
          <w:lang w:val="en-US"/>
        </w:rPr>
        <w:t xml:space="preserve">, or the composition of </w:t>
      </w:r>
      <w:r w:rsidR="001C728A" w:rsidRPr="00F06EA4">
        <w:rPr>
          <w:lang w:val="en-US"/>
        </w:rPr>
        <w:t>tumor-</w:t>
      </w:r>
      <w:r w:rsidR="000E1662" w:rsidRPr="00F06EA4">
        <w:rPr>
          <w:lang w:val="en-US"/>
        </w:rPr>
        <w:t xml:space="preserve">derived extracellular </w:t>
      </w:r>
      <w:r w:rsidR="007C5A27" w:rsidRPr="00F06EA4">
        <w:rPr>
          <w:lang w:val="en-US"/>
        </w:rPr>
        <w:t>vesicles</w:t>
      </w:r>
      <w:r w:rsidR="001B18A9" w:rsidRPr="00F06EA4">
        <w:rPr>
          <w:lang w:val="en-US"/>
        </w:rPr>
        <w:fldChar w:fldCharType="begin" w:fldLock="1"/>
      </w:r>
      <w:r w:rsidR="00F45F97" w:rsidRPr="00F06EA4">
        <w:rPr>
          <w:lang w:val="en-US"/>
        </w:rPr>
        <w:instrText>ADDIN CSL_CITATION {"citationItems":[{"id":"ITEM-1","itemData":{"DOI":"10.1158/1055-9965.EPI-18-0067","ISSN":"1538-7755","PMID":"29739748","abstract":"Background: Colorectal cancer is one of the most common cancers worldwide usually is associated with poor prognosis due to the advanced stage when diagnosed. This study aimed to investigate whether specific circulating exosomal miRNAs could act as biomarkers for early diagnosis of colorectal cancer.Methods: A total of 369 peripheral blood samples were included in this study. In the discovery phase, circulating exosomal miR-27a and miR-130a were selected after synthetical analysis of two GEO datasets and TCGA database. The differential expression and diagnostic utility of miR-27a and miR-130a panel were validated using qRT-PCR and ROC curve analysis in subsequent training phase, validation phase, and external validation phase. The prognosis of circulating exosomal miR-27a and miR-130a were investigated using the Kaplan-Meier method.Results: The expression of exosomal miR-27a and miR-130a in plasma significantly increased in colorectal cancer. The area under ROC curves (AUC) of miR-27a (miR-130a) were 0.773 (0.742) in the training phase, 0.82 (0.787) in the validation phase, and 0.746 (0.697) in the external validation phase. The combination of two miRNAs presented higher diagnostic utility for colorectal cancer (AUCs = 0.846, 0.898, and 0.801 for the training, validation, and external validation phases, respectively). Patients with colorectal cancer with high expression of circulating exosomal miR-27a or miR-130a underwent poorer prognosis.Conclusions: We identified a circulating exosomal miRNAs panel for the detection of colorectal cancer.Impact: The exosomal miR-27a and miR-130a panel in plasma may act as a noninvasive biomarker for early detection and predicting prognosis of colorectal cancer. Cancer Epidemiol Biomarkers Prev; 27(7); 746-54. ©2018 AACR.","author":[{"dropping-particle":"","family":"Liu","given":"Xiangxiang","non-dropping-particle":"","parse-names":false,"suffix":""},{"dropping-particle":"","family":"Pan","given":"Bei","non-dropping-particle":"","parse-names":false,"suffix":""},{"dropping-particle":"","family":"Sun","given":"Li","non-dropping-particle":"","parse-names":false,"suffix":""},{"dropping-particle":"","family":"Chen","given":"Xiaoxiang","non-dropping-particle":"","parse-names":false,"suffix":""},{"dropping-particle":"","family":"Zeng","given":"Kaixuan","non-dropping-particle":"","parse-names":false,"suffix":""},{"dropping-particle":"","family":"Hu","given":"Xiuxiu","non-dropping-particle":"","parse-names":false,"suffix":""},{"dropping-particle":"","family":"Xu","given":"Tao","non-dropping-particle":"","parse-names":false,"suffix":""},{"dropping-particle":"","family":"Xu","given":"Mu","non-dropping-particle":"","parse-names":false,"suffix":""},{"dropping-particle":"","family":"Wang","given":"Shukui","non-dropping-particle":"","parse-names":false,"suffix":""}],"container-title":"Cancer epidemiology, biomarkers &amp; prevention : a publication of the American Association for Cancer Research, cosponsored by the American Society of Preventive Oncology","id":"ITEM-1","issue":"7","issued":{"date-parts":[["2018","7"]]},"page":"746-754","title":"Circulating Exosomal miR-27a and miR-130a Act as Novel Diagnostic and Prognostic Biomarkers of Colorectal Cancer.","type":"article-journal","volume":"27"},"uris":["http://www.mendeley.com/documents/?uuid=61356ad8-9856-46f6-b021-f774ad50e13d"]}],"mendeley":{"formattedCitation":"&lt;sup&gt;[22]&lt;/sup&gt;","plainTextFormattedCitation":"[22]","previouslyFormattedCitation":"&lt;sup&gt;[22]&lt;/sup&gt;"},"properties":{"noteIndex":0},"schema":"https://github.com/citation-style-language/schema/raw/master/csl-citation.json"}</w:instrText>
      </w:r>
      <w:r w:rsidR="001B18A9" w:rsidRPr="00F06EA4">
        <w:rPr>
          <w:lang w:val="en-US"/>
        </w:rPr>
        <w:fldChar w:fldCharType="separate"/>
      </w:r>
      <w:r w:rsidR="00F45F97" w:rsidRPr="00F06EA4">
        <w:rPr>
          <w:noProof/>
          <w:vertAlign w:val="superscript"/>
          <w:lang w:val="en-US"/>
        </w:rPr>
        <w:t>[22]</w:t>
      </w:r>
      <w:r w:rsidR="001B18A9" w:rsidRPr="00F06EA4">
        <w:rPr>
          <w:lang w:val="en-US"/>
        </w:rPr>
        <w:fldChar w:fldCharType="end"/>
      </w:r>
      <w:r w:rsidRPr="00F06EA4">
        <w:rPr>
          <w:lang w:val="en-US"/>
        </w:rPr>
        <w:t xml:space="preserve">. </w:t>
      </w:r>
      <w:r w:rsidR="00FB44FA" w:rsidRPr="00F06EA4">
        <w:rPr>
          <w:lang w:val="en-US"/>
        </w:rPr>
        <w:t xml:space="preserve"> Released by tumor cells or non-neoplastic cells in tumor-elicited host reaction, IL6 (interleukin-6) is one of the most important mediators of systemic effects of inflammation, such as the production of acute phase proteins in </w:t>
      </w:r>
      <w:r w:rsidR="001C728A" w:rsidRPr="00F06EA4">
        <w:rPr>
          <w:lang w:val="en-US"/>
        </w:rPr>
        <w:t xml:space="preserve">the </w:t>
      </w:r>
      <w:r w:rsidR="00FB44FA" w:rsidRPr="00F06EA4">
        <w:rPr>
          <w:lang w:val="en-US"/>
        </w:rPr>
        <w:t>liver</w:t>
      </w:r>
      <w:r w:rsidR="00FB44FA" w:rsidRPr="00F06EA4">
        <w:rPr>
          <w:lang w:val="en-US"/>
        </w:rPr>
        <w:fldChar w:fldCharType="begin" w:fldLock="1"/>
      </w:r>
      <w:r w:rsidR="00F45F97" w:rsidRPr="00F06EA4">
        <w:rPr>
          <w:lang w:val="en-US"/>
        </w:rPr>
        <w:instrText>ADDIN CSL_CITATION {"citationItems":[{"id":"ITEM-1","itemData":{"DOI":"10.1056/NEJM199902113400607","ISSN":"0028-4793","PMID":"9971870","author":[{"dropping-particle":"","family":"Gabay","given":"C","non-dropping-particle":"","parse-names":false,"suffix":""},{"dropping-particle":"","family":"Kushner","given":"I","non-dropping-particle":"","parse-names":false,"suffix":""}],"container-title":"The New England journal of medicine","id":"ITEM-1","issue":"6","issued":{"date-parts":[["1999","2","11"]]},"page":"448-54","publisher-place":"Department of Medicine, University of Colorado Health Sciences Center, Denver, USA. ixk2@po.cwru.edu","title":"Acute-phase proteins and other systemic responses to inflammation.","type":"article-journal","volume":"340"},"uris":["http://www.mendeley.com/documents/?uuid=b6da024f-a302-4aae-9932-5ede18c8f2b4"]}],"mendeley":{"formattedCitation":"&lt;sup&gt;[15]&lt;/sup&gt;","plainTextFormattedCitation":"[15]","previouslyFormattedCitation":"&lt;sup&gt;[15]&lt;/sup&gt;"},"properties":{"noteIndex":0},"schema":"https://github.com/citation-style-language/schema/raw/master/csl-citation.json"}</w:instrText>
      </w:r>
      <w:r w:rsidR="00FB44FA" w:rsidRPr="00F06EA4">
        <w:rPr>
          <w:lang w:val="en-US"/>
        </w:rPr>
        <w:fldChar w:fldCharType="separate"/>
      </w:r>
      <w:r w:rsidR="00F45F97" w:rsidRPr="00F06EA4">
        <w:rPr>
          <w:noProof/>
          <w:vertAlign w:val="superscript"/>
          <w:lang w:val="en-US"/>
        </w:rPr>
        <w:t>[15]</w:t>
      </w:r>
      <w:r w:rsidR="00FB44FA" w:rsidRPr="00F06EA4">
        <w:rPr>
          <w:lang w:val="en-US"/>
        </w:rPr>
        <w:fldChar w:fldCharType="end"/>
      </w:r>
      <w:r w:rsidR="00FB44FA" w:rsidRPr="00F06EA4">
        <w:rPr>
          <w:lang w:val="en-US"/>
        </w:rPr>
        <w:t xml:space="preserve"> and </w:t>
      </w:r>
      <w:r w:rsidR="00633CA4" w:rsidRPr="00F06EA4">
        <w:rPr>
          <w:lang w:val="en-US"/>
        </w:rPr>
        <w:t xml:space="preserve">in </w:t>
      </w:r>
      <w:r w:rsidR="00FB44FA" w:rsidRPr="00F06EA4">
        <w:rPr>
          <w:lang w:val="en-US"/>
        </w:rPr>
        <w:t>cancer cachexia</w:t>
      </w:r>
      <w:r w:rsidR="00FB44FA" w:rsidRPr="00F06EA4">
        <w:rPr>
          <w:lang w:val="en-US"/>
        </w:rPr>
        <w:fldChar w:fldCharType="begin" w:fldLock="1"/>
      </w:r>
      <w:r w:rsidR="00F45F97" w:rsidRPr="00F06EA4">
        <w:rPr>
          <w:lang w:val="en-US"/>
        </w:rPr>
        <w:instrText>ADDIN CSL_CITATION {"citationItems":[{"id":"ITEM-1","itemData":{"DOI":"10.1038/nrc3829","ISSN":"1474-1768","PMID":"25291291","abstract":"Cancer cachexia is a devastating, multifactorial and often irreversible syndrome that affects around 50-80% of cancer patients, depending on the tumour type, and that leads to substantial weight loss, primarily from loss of skeletal muscle and body fat. Since cachexia may account for up to 20% of cancer deaths, understanding the underlying molecular mechanisms is essential. The occurrence of cachexia in cancer patients is dependent on the patient response to tumour progression, including the activation of the inflammatory response and energetic inefficiency involving the mitochondria. Interestingly, crosstalk between different cell types ultimately seems to result in muscle wasting. Some of the recent progress in understanding the molecular mechanisms of cachexia may lead to new therapeutic approaches.","author":[{"dropping-particle":"","family":"Argilés","given":"Josep M","non-dropping-particle":"","parse-names":false,"suffix":""},{"dropping-particle":"","family":"Busquets","given":"Sílvia","non-dropping-particle":"","parse-names":false,"suffix":""},{"dropping-particle":"","family":"Stemmler","given":"Britta","non-dropping-particle":"","parse-names":false,"suffix":""},{"dropping-particle":"","family":"López-Soriano","given":"Francisco J","non-dropping-particle":"","parse-names":false,"suffix":""}],"container-title":"Nature reviews. Cancer","id":"ITEM-1","issue":"11","issued":{"date-parts":[["2014","11"]]},"page":"754-62","title":"Cancer cachexia: understanding the molecular basis.","type":"article-journal","volume":"14"},"uris":["http://www.mendeley.com/documents/?uuid=86c3787a-6393-4b61-b1a4-f4335c991705"]}],"mendeley":{"formattedCitation":"&lt;sup&gt;[16]&lt;/sup&gt;","plainTextFormattedCitation":"[16]","previouslyFormattedCitation":"&lt;sup&gt;[16]&lt;/sup&gt;"},"properties":{"noteIndex":0},"schema":"https://github.com/citation-style-language/schema/raw/master/csl-citation.json"}</w:instrText>
      </w:r>
      <w:r w:rsidR="00FB44FA" w:rsidRPr="00F06EA4">
        <w:rPr>
          <w:lang w:val="en-US"/>
        </w:rPr>
        <w:fldChar w:fldCharType="separate"/>
      </w:r>
      <w:r w:rsidR="00F45F97" w:rsidRPr="00F06EA4">
        <w:rPr>
          <w:noProof/>
          <w:vertAlign w:val="superscript"/>
          <w:lang w:val="en-US"/>
        </w:rPr>
        <w:t>[16]</w:t>
      </w:r>
      <w:r w:rsidR="00FB44FA" w:rsidRPr="00F06EA4">
        <w:rPr>
          <w:lang w:val="en-US"/>
        </w:rPr>
        <w:fldChar w:fldCharType="end"/>
      </w:r>
      <w:r w:rsidR="00FB44FA" w:rsidRPr="00F06EA4">
        <w:rPr>
          <w:lang w:val="en-US"/>
        </w:rPr>
        <w:t>.</w:t>
      </w:r>
    </w:p>
    <w:p w14:paraId="499A4377" w14:textId="3E1B0FF6" w:rsidR="004042A2" w:rsidRPr="00F06EA4" w:rsidRDefault="004042A2" w:rsidP="00F67ED8">
      <w:pPr>
        <w:spacing w:after="0"/>
        <w:rPr>
          <w:lang w:val="en-US"/>
        </w:rPr>
      </w:pPr>
    </w:p>
    <w:p w14:paraId="6F776DDC" w14:textId="4A95E5E4" w:rsidR="00724F71" w:rsidRPr="00F06EA4" w:rsidRDefault="004042A2" w:rsidP="00F67ED8">
      <w:pPr>
        <w:spacing w:after="0"/>
        <w:rPr>
          <w:lang w:val="en-US"/>
        </w:rPr>
      </w:pPr>
      <w:r w:rsidRPr="00F06EA4">
        <w:rPr>
          <w:lang w:val="en-US"/>
        </w:rPr>
        <w:lastRenderedPageBreak/>
        <w:t xml:space="preserve">In this review, we aim to provide an overview </w:t>
      </w:r>
      <w:r w:rsidR="00ED61D8" w:rsidRPr="00F06EA4">
        <w:rPr>
          <w:lang w:val="en-US"/>
        </w:rPr>
        <w:t xml:space="preserve">of </w:t>
      </w:r>
      <w:r w:rsidRPr="00F06EA4">
        <w:rPr>
          <w:lang w:val="en-US"/>
        </w:rPr>
        <w:t xml:space="preserve">the </w:t>
      </w:r>
      <w:r w:rsidR="00724F71" w:rsidRPr="00F06EA4">
        <w:rPr>
          <w:lang w:val="en-US"/>
        </w:rPr>
        <w:t>factors contributing to systemic inflammatory responses</w:t>
      </w:r>
      <w:r w:rsidR="00951F95" w:rsidRPr="00F06EA4">
        <w:rPr>
          <w:lang w:val="en-US"/>
        </w:rPr>
        <w:t xml:space="preserve"> in CRC</w:t>
      </w:r>
      <w:r w:rsidR="00724F71" w:rsidRPr="00F06EA4">
        <w:rPr>
          <w:lang w:val="en-US"/>
        </w:rPr>
        <w:t xml:space="preserve">, </w:t>
      </w:r>
      <w:r w:rsidR="00257360" w:rsidRPr="00F06EA4">
        <w:rPr>
          <w:lang w:val="en-US"/>
        </w:rPr>
        <w:t xml:space="preserve">of </w:t>
      </w:r>
      <w:r w:rsidR="00724F71" w:rsidRPr="00F06EA4">
        <w:rPr>
          <w:lang w:val="en-US"/>
        </w:rPr>
        <w:t>their downstream processes in the responding tissues, as well as</w:t>
      </w:r>
      <w:r w:rsidR="00257360" w:rsidRPr="00F06EA4">
        <w:rPr>
          <w:lang w:val="en-US"/>
        </w:rPr>
        <w:t xml:space="preserve"> of</w:t>
      </w:r>
      <w:r w:rsidR="00ED61D8" w:rsidRPr="00F06EA4">
        <w:rPr>
          <w:lang w:val="en-US"/>
        </w:rPr>
        <w:t xml:space="preserve"> </w:t>
      </w:r>
      <w:r w:rsidR="00951F95" w:rsidRPr="00F06EA4">
        <w:rPr>
          <w:lang w:val="en-US"/>
        </w:rPr>
        <w:t xml:space="preserve">the </w:t>
      </w:r>
      <w:r w:rsidR="00ED61D8" w:rsidRPr="00F06EA4">
        <w:rPr>
          <w:lang w:val="en-US"/>
        </w:rPr>
        <w:t xml:space="preserve">prognostic significance </w:t>
      </w:r>
      <w:r w:rsidR="00951F95" w:rsidRPr="00F06EA4">
        <w:rPr>
          <w:lang w:val="en-US"/>
        </w:rPr>
        <w:t xml:space="preserve">of systemic inflammatory markers </w:t>
      </w:r>
      <w:r w:rsidR="00E3328C" w:rsidRPr="00F06EA4">
        <w:rPr>
          <w:lang w:val="en-US"/>
        </w:rPr>
        <w:t>in CRC</w:t>
      </w:r>
      <w:r w:rsidR="009C4A16" w:rsidRPr="00F06EA4">
        <w:rPr>
          <w:lang w:val="en-US"/>
        </w:rPr>
        <w:t>.</w:t>
      </w:r>
    </w:p>
    <w:p w14:paraId="73A13584" w14:textId="77777777" w:rsidR="00DD2245" w:rsidRPr="00F06EA4" w:rsidRDefault="00DD2245" w:rsidP="00F67ED8">
      <w:pPr>
        <w:spacing w:after="0"/>
        <w:rPr>
          <w:lang w:val="en-US"/>
        </w:rPr>
      </w:pPr>
    </w:p>
    <w:p w14:paraId="021812DE" w14:textId="0FB4B850" w:rsidR="008D2808" w:rsidRPr="00F06EA4" w:rsidRDefault="008D2808" w:rsidP="00F67ED8">
      <w:pPr>
        <w:spacing w:after="0"/>
        <w:rPr>
          <w:b/>
          <w:lang w:val="en-US"/>
        </w:rPr>
      </w:pPr>
      <w:r w:rsidRPr="00F06EA4">
        <w:rPr>
          <w:b/>
          <w:lang w:val="en-US"/>
        </w:rPr>
        <w:t xml:space="preserve">LITERATURE SEARCH </w:t>
      </w:r>
    </w:p>
    <w:p w14:paraId="4E847554" w14:textId="382F1A7E" w:rsidR="00DD2245" w:rsidRPr="00F06EA4" w:rsidRDefault="00DD2245" w:rsidP="00F67ED8">
      <w:pPr>
        <w:spacing w:after="0"/>
      </w:pPr>
      <w:r w:rsidRPr="00F06EA4">
        <w:rPr>
          <w:lang w:val="en-US"/>
        </w:rPr>
        <w:t>A literature search using PubMed was conducted to identify articles relevant to the topic, using search terms: (“colorectal cancer” or “colon cancer” or “rectal cancer” or “colorectal neoplasia”) and (“systemic inflammation” or “CRP” or “Glasgow Prognostic Score” or “interleukin” or “chemokine” or “IL6” or “cytokine” or “CXCL*” or “CCL*” or “cachexia” or “inflammation” or “premetastatic niche”). The last search update was performed in March 2019. The titles and abstracts of the studies were screened for studies relevant to the review topic. Additional relevant publications were identified from the bibliographies of the included studies. Finally, this review was based on 195 publications identified during the search.</w:t>
      </w:r>
    </w:p>
    <w:p w14:paraId="022F1B96" w14:textId="77777777" w:rsidR="00ED61D8" w:rsidRPr="00F06EA4" w:rsidRDefault="00ED61D8" w:rsidP="00F67ED8">
      <w:pPr>
        <w:spacing w:after="0"/>
      </w:pPr>
    </w:p>
    <w:p w14:paraId="4CB18A37" w14:textId="3D93056E" w:rsidR="00CB49EF" w:rsidRPr="00F06EA4" w:rsidRDefault="00CB49EF" w:rsidP="00F67ED8">
      <w:pPr>
        <w:pStyle w:val="1"/>
        <w:spacing w:before="0" w:after="0"/>
        <w:jc w:val="both"/>
        <w:rPr>
          <w:sz w:val="24"/>
        </w:rPr>
      </w:pPr>
      <w:r w:rsidRPr="00F06EA4">
        <w:rPr>
          <w:sz w:val="24"/>
        </w:rPr>
        <w:t xml:space="preserve">FACTORS UNDERLYING SYSTEMIC INFLAMMATION IN </w:t>
      </w:r>
      <w:r w:rsidR="008735D8" w:rsidRPr="00F06EA4">
        <w:rPr>
          <w:sz w:val="24"/>
        </w:rPr>
        <w:t>CRC</w:t>
      </w:r>
    </w:p>
    <w:p w14:paraId="49370EC5" w14:textId="3198DF10" w:rsidR="00322664" w:rsidRPr="00F06EA4" w:rsidRDefault="001C728A" w:rsidP="00F67ED8">
      <w:pPr>
        <w:spacing w:after="0"/>
        <w:rPr>
          <w:lang w:val="en-US"/>
        </w:rPr>
      </w:pPr>
      <w:r w:rsidRPr="00F06EA4">
        <w:rPr>
          <w:lang w:val="en-US"/>
        </w:rPr>
        <w:t xml:space="preserve">The hallmarks </w:t>
      </w:r>
      <w:r w:rsidR="009D60E3" w:rsidRPr="00F06EA4">
        <w:rPr>
          <w:lang w:val="en-US"/>
        </w:rPr>
        <w:t xml:space="preserve">of systemic inflammation in cancer patients include an increased production of proinflammatory cytokines and acute phase proteins that enter the circulation. Indeed, many proteins regulating the function of immune cells, or produced in large quantities </w:t>
      </w:r>
      <w:r w:rsidR="00322664" w:rsidRPr="00F06EA4">
        <w:rPr>
          <w:lang w:val="en-US"/>
        </w:rPr>
        <w:t>by</w:t>
      </w:r>
      <w:r w:rsidR="009D60E3" w:rsidRPr="00F06EA4">
        <w:rPr>
          <w:lang w:val="en-US"/>
        </w:rPr>
        <w:t xml:space="preserve"> immune cells</w:t>
      </w:r>
      <w:r w:rsidR="00322664" w:rsidRPr="00F06EA4">
        <w:rPr>
          <w:lang w:val="en-US"/>
        </w:rPr>
        <w:t xml:space="preserve"> or in inflammatory conditions</w:t>
      </w:r>
      <w:r w:rsidR="009D60E3" w:rsidRPr="00F06EA4">
        <w:rPr>
          <w:lang w:val="en-US"/>
        </w:rPr>
        <w:t xml:space="preserve">, have been reported to show altered </w:t>
      </w:r>
      <w:r w:rsidR="2D168C79" w:rsidRPr="00F06EA4">
        <w:rPr>
          <w:lang w:val="en-US"/>
        </w:rPr>
        <w:t xml:space="preserve">serum </w:t>
      </w:r>
      <w:r w:rsidR="009D60E3" w:rsidRPr="00F06EA4">
        <w:rPr>
          <w:lang w:val="en-US"/>
        </w:rPr>
        <w:t xml:space="preserve">levels in CRC patients compared to controls (Table </w:t>
      </w:r>
      <w:r w:rsidR="409019D2" w:rsidRPr="00F06EA4">
        <w:rPr>
          <w:lang w:val="en-US"/>
        </w:rPr>
        <w:t>1</w:t>
      </w:r>
      <w:r w:rsidR="009D60E3" w:rsidRPr="00F06EA4">
        <w:rPr>
          <w:lang w:val="en-US"/>
        </w:rPr>
        <w:t xml:space="preserve">). For example, </w:t>
      </w:r>
      <w:r w:rsidR="00633CA4" w:rsidRPr="00F06EA4">
        <w:rPr>
          <w:lang w:val="en-US"/>
        </w:rPr>
        <w:t xml:space="preserve">when </w:t>
      </w:r>
      <w:r w:rsidR="009D60E3" w:rsidRPr="00F06EA4">
        <w:rPr>
          <w:lang w:val="en-US"/>
        </w:rPr>
        <w:t xml:space="preserve">evaluating serum profiles of 13 cytokines, chemokines, and growth factors in 116 CRC patients and 86 healthy controls, </w:t>
      </w:r>
      <w:r w:rsidR="003E21EE" w:rsidRPr="00F06EA4">
        <w:rPr>
          <w:lang w:val="en-US"/>
        </w:rPr>
        <w:t>it was</w:t>
      </w:r>
      <w:r w:rsidR="00322664" w:rsidRPr="00F06EA4">
        <w:rPr>
          <w:lang w:val="en-US"/>
        </w:rPr>
        <w:t xml:space="preserve"> found that </w:t>
      </w:r>
      <w:r w:rsidR="009D60E3" w:rsidRPr="00F06EA4">
        <w:rPr>
          <w:lang w:val="en-US"/>
        </w:rPr>
        <w:t>serum levels of five of these proteins showed statistically significant alterations, including increased serum IL6, IL7, CXCL8</w:t>
      </w:r>
      <w:r w:rsidR="00DA2A95" w:rsidRPr="00F06EA4">
        <w:rPr>
          <w:lang w:val="en-US"/>
        </w:rPr>
        <w:t xml:space="preserve"> (IL8)</w:t>
      </w:r>
      <w:r w:rsidR="009D60E3" w:rsidRPr="00F06EA4">
        <w:rPr>
          <w:lang w:val="en-US"/>
        </w:rPr>
        <w:t>, and PDGFB</w:t>
      </w:r>
      <w:r w:rsidR="001F042A" w:rsidRPr="00F06EA4">
        <w:rPr>
          <w:lang w:val="en-US"/>
        </w:rPr>
        <w:t xml:space="preserve"> levels</w:t>
      </w:r>
      <w:r w:rsidR="009D60E3" w:rsidRPr="00F06EA4">
        <w:rPr>
          <w:lang w:val="en-US"/>
        </w:rPr>
        <w:t>, and decreased serum CCL2 levels</w:t>
      </w:r>
      <w:r w:rsidR="009D60E3" w:rsidRPr="00F06EA4">
        <w:rPr>
          <w:lang w:val="en-US"/>
        </w:rPr>
        <w:fldChar w:fldCharType="begin" w:fldLock="1"/>
      </w:r>
      <w:r w:rsidR="00F45F97" w:rsidRPr="00F06EA4">
        <w:rPr>
          <w:lang w:val="en-US"/>
        </w:rPr>
        <w:instrText>ADDIN CSL_CITATION {"citationItems":[{"id":"ITEM-1","itemData":{"DOI":"10.1038/bjc.2012.456","ISSN":"1532-1827","PMID":"23059742","abstract":"BACKGROUND Inflammation contributes to the pathogenesis of colorectal cancer (CRC), and cytokine levels are altered during colorectal carcinogenesis. METHODS The serum levels of 13 cytokines and their relation to clinical and pathological parameters, and systemic inflammatory response (mGPS, CRP and neutrophil-lymphocyte ratio), were analysed from a prospective series of 148 CRC patients and 86 healthy age- and sex-matched controls. RESULTS CRC patients had higher serum platelet-derived growth factor, interleukin (IL)-6, IL-7, and IL-8 levels and lower monocyte chemotactic protein-1 (MCP-1) levels than the controls. A logistic regression model for discriminating the patients from the controls - including the five most predictive cytokines (high IL-8, high IL-6, low MCP-1, low IL-1ra, and low IP-10) - yielded an area under curve value of 0.890 in receiver operating characteristics analysis. Serum cytokines showed distinct correlation with other markers of systemic inflammatory response, and advanced CRCs were associated with higher levels of IL-8, IL-1ra, and IL-6. A metastasised disease was accompanied by an orientation towards Th2 cytokine milieu. CONCLUSION CRC is associated with extensive alterations in serum cytokine environment, highlighting the importance of studying relative cytokine level alterations. Serum cytokine profile shows promise in separating CRC patients from healthy controls but its clinical value is yet to be confirmed.","author":[{"dropping-particle":"","family":"Kantola","given":"T.","non-dropping-particle":"","parse-names":false,"suffix":""},{"dropping-particle":"","family":"Klintrup","given":"K.","non-dropping-particle":"","parse-names":false,"suffix":""},{"dropping-particle":"","family":"Väyrynen","given":"J.P.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J. J","non-dropping-particle":"","parse-names":false,"suffix":""},{"dropping-particle":"","family":"Tuomisto","given":"A.","non-dropping-particle":"","parse-names":false,"suffix":""},{"dropping-particle":"","family":"Mäkinen","given":"M.J. J","non-dropping-particle":"","parse-names":false,"suffix":""}],"container-title":"British journal of cancer","id":"ITEM-1","issue":"10","issued":{"date-parts":[["2012","11","6"]]},"page":"1729-36","title":"Stage-dependent alterations of the serum cytokine pattern in colorectal carcinoma.","type":"article-journal","volume":"107"},"uris":["http://www.mendeley.com/documents/?uuid=269bf46a-8d7f-4e7f-b7a0-75f33bcfe550"]}],"mendeley":{"formattedCitation":"&lt;sup&gt;[18]&lt;/sup&gt;","plainTextFormattedCitation":"[18]","previouslyFormattedCitation":"&lt;sup&gt;[18]&lt;/sup&gt;"},"properties":{"noteIndex":0},"schema":"https://github.com/citation-style-language/schema/raw/master/csl-citation.json"}</w:instrText>
      </w:r>
      <w:r w:rsidR="009D60E3" w:rsidRPr="00F06EA4">
        <w:rPr>
          <w:lang w:val="en-US"/>
        </w:rPr>
        <w:fldChar w:fldCharType="separate"/>
      </w:r>
      <w:r w:rsidR="00F45F97" w:rsidRPr="00F06EA4">
        <w:rPr>
          <w:noProof/>
          <w:vertAlign w:val="superscript"/>
          <w:lang w:val="en-US"/>
        </w:rPr>
        <w:t>[18]</w:t>
      </w:r>
      <w:r w:rsidR="009D60E3" w:rsidRPr="00F06EA4">
        <w:rPr>
          <w:lang w:val="en-US"/>
        </w:rPr>
        <w:fldChar w:fldCharType="end"/>
      </w:r>
      <w:r w:rsidR="009D60E3" w:rsidRPr="00F06EA4">
        <w:rPr>
          <w:lang w:val="en-US"/>
        </w:rPr>
        <w:t>.</w:t>
      </w:r>
      <w:r w:rsidR="003E21EE" w:rsidRPr="00F06EA4">
        <w:rPr>
          <w:lang w:val="en-US"/>
        </w:rPr>
        <w:t xml:space="preserve">  I</w:t>
      </w:r>
      <w:r w:rsidR="764EDF1D" w:rsidRPr="00F06EA4">
        <w:rPr>
          <w:lang w:val="en-US"/>
        </w:rPr>
        <w:t>ncrease</w:t>
      </w:r>
      <w:r w:rsidR="3AFD9DF3" w:rsidRPr="00F06EA4">
        <w:rPr>
          <w:lang w:val="en-US"/>
        </w:rPr>
        <w:t>d</w:t>
      </w:r>
      <w:r w:rsidR="009D60E3" w:rsidRPr="00F06EA4">
        <w:rPr>
          <w:lang w:val="en-US"/>
        </w:rPr>
        <w:t xml:space="preserve"> serum IL6 and CXCL8 </w:t>
      </w:r>
      <w:r w:rsidR="3AFD9DF3" w:rsidRPr="00F06EA4">
        <w:rPr>
          <w:lang w:val="en-US"/>
        </w:rPr>
        <w:t xml:space="preserve">levels in CRC </w:t>
      </w:r>
      <w:r w:rsidR="009D60E3" w:rsidRPr="00F06EA4">
        <w:rPr>
          <w:lang w:val="en-US"/>
        </w:rPr>
        <w:t xml:space="preserve">have been reported in </w:t>
      </w:r>
      <w:r w:rsidR="003E21EE" w:rsidRPr="00F06EA4">
        <w:rPr>
          <w:lang w:val="en-US"/>
        </w:rPr>
        <w:t>many</w:t>
      </w:r>
      <w:r w:rsidR="009D60E3" w:rsidRPr="00F06EA4">
        <w:rPr>
          <w:lang w:val="en-US"/>
        </w:rPr>
        <w:t xml:space="preserve"> studies, </w:t>
      </w:r>
      <w:r w:rsidR="002045AB" w:rsidRPr="00F06EA4">
        <w:rPr>
          <w:lang w:val="en-US"/>
        </w:rPr>
        <w:t xml:space="preserve">also </w:t>
      </w:r>
      <w:r w:rsidR="009D60E3" w:rsidRPr="00F06EA4">
        <w:rPr>
          <w:lang w:val="en-US"/>
        </w:rPr>
        <w:t>summarized in two recent meta-analyses</w:t>
      </w:r>
      <w:r w:rsidR="009D60E3" w:rsidRPr="00F06EA4">
        <w:rPr>
          <w:lang w:val="en-US"/>
        </w:rPr>
        <w:fldChar w:fldCharType="begin" w:fldLock="1"/>
      </w:r>
      <w:r w:rsidR="00F45F97" w:rsidRPr="00F06EA4">
        <w:rPr>
          <w:lang w:val="en-US"/>
        </w:rPr>
        <w:instrText>ADDIN CSL_CITATION {"citationItems":[{"id":"ITEM-1","itemData":{"DOI":"10.1097/MD.0000000000002502","ISBN":"0000000000","ISSN":"1536-5964","PMID":"26765465","abstract":"The application of serum interleukin-6 (IL-6) in the diagnosis and prognosis of colorectal cancer (CRC) has been evaluated in many studies, whereas the results were contradictive.The aim of this study was to systematically evaluate this issue.An original study was conducted to explore the diagnostic value of serum IL-6 in CRC. Pubmed, Embase, and Cochrane library databases were searched for eligible studies.For diagnostic meta-analysis, aggregate data (AD) and individual participant data (IPD) meta-analyses were both adopted. The sensitivity and specificity were pooled and a summary receiver-operating characteristic (ROC) curve was constructed. For prognostic meta-analysis, study-specific hazard ratios (HRs) of IL-6 for survival were summarized. Secondary analysis of survival data was performed to synthesize the Kaplan-Meier curves.Total 17 studies (including our study) were included in this meta-analysis. The pooled sensitivity, specificity, and area under curve (AUC) of serum IL-6 were 0.72 (95% CI: 0.46-0.88), 0.74 (95% CI: 0.56-0.86), and 0.79 (95% CI: 0.75-0.82) in CRC diagnosis, respectively. Further, IPD meta-analysis strengthened the diagnostic value of serum IL-6 (the AUC, sensitivity, and specificity were 0.794, 0.606, and 0.839, respectively). For prognostic analysis, the high serum level of IL-6 was inversely associated with overall survival (OS) (pooled HR = 1.76, 95% CI: 1.42-2.19, P &lt; 0.001) and disease-free survival (DFS) (pooled HR = 2.97, 95% CI: 1.76-5.01, P &lt; 0.001). The synthesized Kaplan-Meier curves indicated that CRC patients with higher serum IL-6 level had a worse OS (P = 0.0027) and DFS (P &lt; 0.001), which further support the prognostic value of serum IL-6 in CRC patients.The present study confirmed that serum IL-6 may be a potential biomarker for CRC diagnosis, and the high serum IL-6 level was associated with poor prognosis for both CRC overall survival and disease-free survival. The study has been registered in an international registry of systematic reviews PROSPERO (CRD42013006485).","author":[{"dropping-particle":"","family":"Xu","given":"Jinming","non-dropping-particle":"","parse-names":false,"suffix":""},{"dropping-particle":"","family":"Ye","given":"Yao","non-dropping-particle":"","parse-names":false,"suffix":""},{"dropping-particle":"","family":"Zhang","given":"Honghe","non-dropping-particle":"","parse-names":false,"suffix":""},{"dropping-particle":"","family":"Szmitkowski","given":"Maciej","non-dropping-particle":"","parse-names":false,"suffix":""},{"dropping-particle":"","family":"Mäkinen","given":"M. J.","non-dropping-particle":"","parse-names":false,"suffix":""},{"dropping-particle":"","family":"Li","given":"Peiwei","non-dropping-particle":"","parse-names":false,"suffix":""},{"dropping-particle":"","family":"Xia","given":"Dajing","non-dropping-particle":"","parse-names":false,"suffix":""},{"dropping-particle":"","family":"Yang","given":"Jun","non-dropping-particle":"","parse-names":false,"suffix":""},{"dropping-particle":"","family":"Wu","given":"Yihua","non-dropping-particle":"","parse-names":false,"suffix":""},{"dropping-particle":"","family":"Wu","given":"Han","non-dropping-particle":"","parse-names":false,"suffix":""}],"container-title":"Medicine","id":"ITEM-1","issue":"2","issued":{"date-parts":[["2016","1"]]},"page":"e2502","title":"Diagnostic and Prognostic Value of Serum Interleukin-6 in Colorectal Cancer.","type":"article-journal","volume":"95"},"uris":["http://www.mendeley.com/documents/?uuid=4608fcd7-14de-4e7b-8742-7c6bc5a80d48"]},{"id":"ITEM-2","itemData":{"DOI":"10.3748/wjg.v20.i43.16334","ISSN":"2219-2840","PMID":"25473192","abstract":"AIM To assess the diagnostic value of serum interleukin-8 (IL-8) in the detection of colorectal cancer (CRC). METHODS An original study was conducted to explore the potential value of IL-8 in CRC diagnosis. Receiver operating characteristic (ROC) analysis was performed and the area under the curve (AUC) value was calculated. PUBMED and EMBASE were searched (to October, 2013), supplemented with manual screening for relevant publications. Meta-analysis methods were applied to pool sensitivity, specificity, positive and negative likelihood ratios, and diagnostic odds ratios and to construct a summary receiver-operating characteristic (sROC) curve. Heterogeneity across studies was checked by the I(2) test and Deek's funnel plot method was applied to test publication bias. RESULTS In our original study, serum IL-8 yielded an AUC of 0.742 [95%CI: 0.635-0.849]. The sensitivity and specificity were 85.42% and 54.05%, respectively, at a cut-off value of 5.39. In this meta-analysis, we included five studies with 668 CRC patients and 374 controls and one study in our own center with 48 CRC patients and 37 controls. The pooled sensitivity and specificity of IL-8 were 0.69 (95%CI: 0.42-0.87) and 0.85 (95%CI: 0.68-0.94) for CRC detection. Besides, the area under the sROC curve was 0.86 (95%CI: 0.82-0.88). Subgroup analysis suggested that there was no heterogeneity in the Asian subgroup but some in the European subgroup. In addition, no publication bias was found according to the Deek's funnel plot asymmetry test. CONCLUSION Serum IL-8 is a promising biomarker for CRC detection and may become a clinically useful tool to identify high-risk patients.","author":[{"dropping-particle":"","family":"Jin","given":"Wen-Jun","non-dropping-particle":"","parse-names":false,"suffix":""},{"dropping-particle":"","family":"Xu","given":"Jin-Ming","non-dropping-particle":"","parse-names":false,"suffix":""},{"dropping-particle":"","family":"Xu","given":"Wen-Li","non-dropping-particle":"","parse-names":false,"suffix":""},{"dropping-particle":"","family":"Gu","given":"Dong-Hua","non-dropping-particle":"","parse-names":false,"suffix":""},{"dropping-particle":"","family":"Li","given":"Pei-Wei","non-dropping-particle":"","parse-names":false,"suffix":""}],"container-title":"World journal of gastroenterology","id":"ITEM-2","issue":"43","issued":{"date-parts":[["2014"]]},"page":"16334-42","title":"Diagnostic value of interleukin-8 in colorectal cancer: a case-control study and meta-analysis.","type":"article-journal","volume":"20"},"uris":["http://www.mendeley.com/documents/?uuid=5c422f0d-0712-44bc-a237-8f150437f86b","http://www.mendeley.com/documents/?uuid=5a57d543-c506-470f-b5c9-db874803fca0"]}],"mendeley":{"formattedCitation":"&lt;sup&gt;[23,24]&lt;/sup&gt;","plainTextFormattedCitation":"[23,24]","previouslyFormattedCitation":"&lt;sup&gt;[23,24]&lt;/sup&gt;"},"properties":{"noteIndex":0},"schema":"https://github.com/citation-style-language/schema/raw/master/csl-citation.json"}</w:instrText>
      </w:r>
      <w:r w:rsidR="009D60E3" w:rsidRPr="00F06EA4">
        <w:rPr>
          <w:lang w:val="en-US"/>
        </w:rPr>
        <w:fldChar w:fldCharType="separate"/>
      </w:r>
      <w:r w:rsidR="00F45F97" w:rsidRPr="00F06EA4">
        <w:rPr>
          <w:noProof/>
          <w:vertAlign w:val="superscript"/>
          <w:lang w:val="en-US"/>
        </w:rPr>
        <w:t>[23,24]</w:t>
      </w:r>
      <w:r w:rsidR="009D60E3" w:rsidRPr="00F06EA4">
        <w:rPr>
          <w:lang w:val="en-US"/>
        </w:rPr>
        <w:fldChar w:fldCharType="end"/>
      </w:r>
      <w:r w:rsidR="009D60E3" w:rsidRPr="00F06EA4">
        <w:rPr>
          <w:lang w:val="en-US"/>
        </w:rPr>
        <w:t>.</w:t>
      </w:r>
      <w:r w:rsidR="00322664" w:rsidRPr="00F06EA4">
        <w:rPr>
          <w:lang w:val="en-US"/>
        </w:rPr>
        <w:t xml:space="preserve"> </w:t>
      </w:r>
      <w:r w:rsidR="002045AB" w:rsidRPr="00F06EA4">
        <w:rPr>
          <w:lang w:val="en-US"/>
        </w:rPr>
        <w:t>Further</w:t>
      </w:r>
      <w:r w:rsidR="00322664" w:rsidRPr="00F06EA4">
        <w:rPr>
          <w:lang w:val="en-US"/>
        </w:rPr>
        <w:t xml:space="preserve"> highlighting the presence of systemic inflammatory markers in the sera of CRC patients, in a systematic review and meta-analysis of diagnostic and prognostic serum biomarkers of </w:t>
      </w:r>
      <w:r w:rsidR="008735D8" w:rsidRPr="00F06EA4">
        <w:rPr>
          <w:lang w:val="en-US"/>
        </w:rPr>
        <w:t>CRC</w:t>
      </w:r>
      <w:r w:rsidR="00322664" w:rsidRPr="00F06EA4">
        <w:rPr>
          <w:lang w:val="en-US"/>
        </w:rPr>
        <w:fldChar w:fldCharType="begin" w:fldLock="1"/>
      </w:r>
      <w:r w:rsidR="00F45F97" w:rsidRPr="00F06EA4">
        <w:rPr>
          <w:lang w:val="en-US"/>
        </w:rPr>
        <w:instrText>ADDIN CSL_CITATION {"citationItems":[{"id":"ITEM-1","itemData":{"DOI":"10.1371/journal.pone.0103910","ISSN":"1932-6203","PMID":"25105762","abstract":"BACKGROUND Our systematic review summarizes the evidence concerning the accuracy of serum diagnostic and prognostic tests for colorectal cancer (CRC). METHODS The databases MEDLINE and EMBASE were searched iteratively to identify the relevant literature for serum markers of CRC published from 1950 to August 2012. The articles that provided adequate information to meet the requirements of the meta-analysis of diagnostic and prognostic markers were included. A 2-by-2 table of each diagnostic marker and its hazard ratio (HR) and the confidence interval (CI) of each prognostic marker was directly or indirectly extracted from the included papers, and the pooled sensitivity and specificity of the diagnostic marker and the pooled HR and the CI of the prognostic marker were subsequently calculated using the extracted data. RESULTS In total, 104 papers related to the diagnostic markers and 49 papers related to the prognostic serum markers of CRC were collected, and only 19 of 92 diagnostic markers were investigated in more than two studies, whereas 21 out of 44 prognostic markers were included in two or more studies. All of the pooled sensitivities of the diagnostic markers with &gt; = 3 repetitions were less than 50%, and the meta-analyses of the prognostic markers with more than 3 studies were performed, VEGF with highest (2.245, CI: 1.347-3.744) and MMP-7 with lowest (1.099, CI: 1.018-1.187)) pooled HRs are presented. CONCLUSIONS The quality of studies addressing the diagnostic and prognostic accuracy of the tests was poor, and the results were highly heterogeneous. The poor characteristics indicate that these tests are of little value for clinical practice.","author":[{"dropping-particle":"","family":"Liu","given":"Zhongyu","non-dropping-particle":"","parse-names":false,"suffix":""},{"dropping-particle":"","family":"Zhang","given":"Yingchong","non-dropping-particle":"","parse-names":false,"suffix":""},{"dropping-particle":"","family":"Niu","given":"Yulong","non-dropping-particle":"","parse-names":false,"suffix":""},{"dropping-particle":"","family":"Li","given":"Ke","non-dropping-particle":"","parse-names":false,"suffix":""},{"dropping-particle":"","family":"Liu","given":"Xin","non-dropping-particle":"","parse-names":false,"suffix":""},{"dropping-particle":"","family":"Chen","given":"Huijuan","non-dropping-particle":"","parse-names":false,"suffix":""},{"dropping-particle":"","family":"Gao","given":"Chunfang","non-dropping-particle":"","parse-names":false,"suffix":""}],"container-title":"PloS one","id":"ITEM-1","issue":"8","issued":{"date-parts":[["2014"]]},"page":"e103910","title":"A systematic review and meta-analysis of diagnostic and prognostic serum biomarkers of colorectal cancer.","type":"article-journal","volume":"9"},"uris":["http://www.mendeley.com/documents/?uuid=9cd30378-b398-426e-84b0-dfc2eaf2f44a"]}],"mendeley":{"formattedCitation":"&lt;sup&gt;[25]&lt;/sup&gt;","plainTextFormattedCitation":"[25]","previouslyFormattedCitation":"&lt;sup&gt;[25]&lt;/sup&gt;"},"properties":{"noteIndex":0},"schema":"https://github.com/citation-style-language/schema/raw/master/csl-citation.json"}</w:instrText>
      </w:r>
      <w:r w:rsidR="00322664" w:rsidRPr="00F06EA4">
        <w:rPr>
          <w:lang w:val="en-US"/>
        </w:rPr>
        <w:fldChar w:fldCharType="separate"/>
      </w:r>
      <w:r w:rsidR="00F45F97" w:rsidRPr="00F06EA4">
        <w:rPr>
          <w:noProof/>
          <w:vertAlign w:val="superscript"/>
          <w:lang w:val="en-US"/>
        </w:rPr>
        <w:t>[25]</w:t>
      </w:r>
      <w:r w:rsidR="00322664" w:rsidRPr="00F06EA4">
        <w:rPr>
          <w:lang w:val="en-US"/>
        </w:rPr>
        <w:fldChar w:fldCharType="end"/>
      </w:r>
      <w:r w:rsidR="00322664" w:rsidRPr="00F06EA4">
        <w:rPr>
          <w:lang w:val="en-US"/>
        </w:rPr>
        <w:t>, several of the most frequently reported diagnostic markers</w:t>
      </w:r>
      <w:r w:rsidR="00110539" w:rsidRPr="00F06EA4">
        <w:rPr>
          <w:lang w:val="en-US"/>
        </w:rPr>
        <w:t>, such as CRP, VEGFA, and TIMP1,</w:t>
      </w:r>
      <w:r w:rsidR="00322664" w:rsidRPr="00F06EA4">
        <w:rPr>
          <w:lang w:val="en-US"/>
        </w:rPr>
        <w:t xml:space="preserve"> wer</w:t>
      </w:r>
      <w:r w:rsidR="003337AD" w:rsidRPr="00F06EA4">
        <w:rPr>
          <w:lang w:val="en-US"/>
        </w:rPr>
        <w:t xml:space="preserve">e </w:t>
      </w:r>
      <w:r w:rsidR="002045AB" w:rsidRPr="00F06EA4">
        <w:rPr>
          <w:lang w:val="en-US"/>
        </w:rPr>
        <w:t>related to the systemic inflammatory response</w:t>
      </w:r>
      <w:r w:rsidR="00322664" w:rsidRPr="00F06EA4">
        <w:rPr>
          <w:lang w:val="en-US"/>
        </w:rPr>
        <w:t>.</w:t>
      </w:r>
    </w:p>
    <w:p w14:paraId="6293FD7A" w14:textId="59849885" w:rsidR="00FD1E8C" w:rsidRPr="00F06EA4" w:rsidRDefault="00DE749E" w:rsidP="00F67ED8">
      <w:pPr>
        <w:spacing w:after="0"/>
        <w:ind w:firstLineChars="100" w:firstLine="240"/>
        <w:rPr>
          <w:lang w:val="en-US"/>
        </w:rPr>
      </w:pPr>
      <w:r w:rsidRPr="00F06EA4">
        <w:rPr>
          <w:lang w:val="en-US"/>
        </w:rPr>
        <w:lastRenderedPageBreak/>
        <w:t xml:space="preserve">The factors </w:t>
      </w:r>
      <w:r w:rsidR="00D05FBE" w:rsidRPr="00F06EA4">
        <w:rPr>
          <w:lang w:val="en-US"/>
        </w:rPr>
        <w:t>driving</w:t>
      </w:r>
      <w:r w:rsidRPr="00F06EA4">
        <w:rPr>
          <w:lang w:val="en-US"/>
        </w:rPr>
        <w:t xml:space="preserve"> </w:t>
      </w:r>
      <w:r w:rsidR="00110539" w:rsidRPr="00F06EA4">
        <w:rPr>
          <w:lang w:val="en-US"/>
        </w:rPr>
        <w:t xml:space="preserve">the </w:t>
      </w:r>
      <w:r w:rsidRPr="00F06EA4">
        <w:rPr>
          <w:lang w:val="en-US"/>
        </w:rPr>
        <w:t xml:space="preserve">systemic inflammatory response in CRC </w:t>
      </w:r>
      <w:r w:rsidR="00C9687A" w:rsidRPr="00F06EA4">
        <w:rPr>
          <w:lang w:val="en-US"/>
        </w:rPr>
        <w:t xml:space="preserve">patients </w:t>
      </w:r>
      <w:r w:rsidRPr="00F06EA4">
        <w:rPr>
          <w:lang w:val="en-US"/>
        </w:rPr>
        <w:t xml:space="preserve">are </w:t>
      </w:r>
      <w:r w:rsidR="00060492" w:rsidRPr="00F06EA4">
        <w:rPr>
          <w:lang w:val="en-US"/>
        </w:rPr>
        <w:t>complex and thereby</w:t>
      </w:r>
      <w:r w:rsidR="00274AE3" w:rsidRPr="00F06EA4">
        <w:rPr>
          <w:lang w:val="en-US"/>
        </w:rPr>
        <w:t xml:space="preserve"> </w:t>
      </w:r>
      <w:r w:rsidRPr="00F06EA4">
        <w:rPr>
          <w:lang w:val="en-US"/>
        </w:rPr>
        <w:t>not clear, but</w:t>
      </w:r>
      <w:r w:rsidR="00E63D30" w:rsidRPr="00F06EA4">
        <w:rPr>
          <w:lang w:val="en-US"/>
        </w:rPr>
        <w:t xml:space="preserve"> they</w:t>
      </w:r>
      <w:r w:rsidRPr="00F06EA4">
        <w:rPr>
          <w:lang w:val="en-US"/>
        </w:rPr>
        <w:t xml:space="preserve"> are related to the interaction between neoplastic cells </w:t>
      </w:r>
      <w:r w:rsidR="00C9687A" w:rsidRPr="00F06EA4">
        <w:rPr>
          <w:lang w:val="en-US"/>
        </w:rPr>
        <w:t xml:space="preserve">and </w:t>
      </w:r>
      <w:r w:rsidR="00110539" w:rsidRPr="00F06EA4">
        <w:rPr>
          <w:lang w:val="en-US"/>
        </w:rPr>
        <w:t xml:space="preserve">the </w:t>
      </w:r>
      <w:r w:rsidR="00C9687A" w:rsidRPr="00F06EA4">
        <w:rPr>
          <w:lang w:val="en-US"/>
        </w:rPr>
        <w:t>surrounding</w:t>
      </w:r>
      <w:r w:rsidRPr="00F06EA4">
        <w:rPr>
          <w:lang w:val="en-US"/>
        </w:rPr>
        <w:t xml:space="preserve"> tumor microenvironment</w:t>
      </w:r>
      <w:r w:rsidR="00C9687A" w:rsidRPr="00F06EA4">
        <w:rPr>
          <w:lang w:val="en-US"/>
        </w:rPr>
        <w:t xml:space="preserve"> involving inflammatory cells, fibroblasts, extracellular matrix, and vasculature</w:t>
      </w:r>
      <w:r w:rsidRPr="00F06EA4">
        <w:rPr>
          <w:lang w:val="en-US"/>
        </w:rPr>
        <w:fldChar w:fldCharType="begin" w:fldLock="1"/>
      </w:r>
      <w:r w:rsidR="00F45F97" w:rsidRPr="00F06EA4">
        <w:rPr>
          <w:lang w:val="en-US"/>
        </w:rPr>
        <w:instrText>ADDIN CSL_CITATION {"citationItems":[{"id":"ITEM-1","itemData":{"DOI":"10.1038/ncb3015","ISSN":"1465-7392","PMID":"25082194","abstract":"Recent pre-clinical and clinical research has provided evidence that cancer progression is driven not only by a tumour's underlying genetic alterations and paracrine interactions within the tumour microenvironment, but also by complex systemic processes. We review these emerging paradigms of cancer pathophysiology and discuss how a clearer understanding of systemic regulation of cancer progression could guide development of new therapeutic modalities and efforts to prevent disease relapse following initial diagnosis and treatment.","author":[{"dropping-particle":"","family":"McAllister","given":"Sandra S.","non-dropping-particle":"","parse-names":false,"suffix":""},{"dropping-particle":"","family":"Weinberg","given":"Robert A.","non-dropping-particle":"","parse-names":false,"suffix":""}],"container-title":"Nature Cell Biology","id":"ITEM-1","issue":"8","issued":{"date-parts":[["2014"]]},"page":"717-727","title":"The tumour-induced systemic environment as a critical regulator of cancer progression and metastasis","type":"article-journal","volume":"16"},"uris":["http://www.mendeley.com/documents/?uuid=bf34afeb-9cae-3497-ba87-6eb4813fa866"]}],"mendeley":{"formattedCitation":"&lt;sup&gt;[5]&lt;/sup&gt;","plainTextFormattedCitation":"[5]","previouslyFormattedCitation":"&lt;sup&gt;[5]&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[5]</w:t>
      </w:r>
      <w:r w:rsidRPr="00F06EA4">
        <w:rPr>
          <w:lang w:val="en-US"/>
        </w:rPr>
        <w:fldChar w:fldCharType="end"/>
      </w:r>
      <w:r w:rsidRPr="00F06EA4">
        <w:rPr>
          <w:lang w:val="en-US"/>
        </w:rPr>
        <w:t>.</w:t>
      </w:r>
      <w:r w:rsidR="001219E0" w:rsidRPr="00F06EA4">
        <w:rPr>
          <w:lang w:val="en-US"/>
        </w:rPr>
        <w:t xml:space="preserve"> </w:t>
      </w:r>
      <w:r w:rsidR="00D05FBE" w:rsidRPr="00F06EA4">
        <w:rPr>
          <w:lang w:val="en-US"/>
        </w:rPr>
        <w:t>While tumor cells can</w:t>
      </w:r>
      <w:r w:rsidR="0054774B" w:rsidRPr="00F06EA4">
        <w:rPr>
          <w:lang w:val="en-US"/>
        </w:rPr>
        <w:t xml:space="preserve"> variably express </w:t>
      </w:r>
      <w:r w:rsidR="00D05FBE" w:rsidRPr="00F06EA4">
        <w:rPr>
          <w:lang w:val="en-US"/>
        </w:rPr>
        <w:t xml:space="preserve">different </w:t>
      </w:r>
      <w:r w:rsidR="0054774B" w:rsidRPr="00F06EA4">
        <w:rPr>
          <w:lang w:val="en-US"/>
        </w:rPr>
        <w:t>cytokines and chemokines</w:t>
      </w:r>
      <w:r w:rsidR="0054774B" w:rsidRPr="00F06EA4">
        <w:rPr>
          <w:lang w:val="en-US"/>
        </w:rPr>
        <w:fldChar w:fldCharType="begin" w:fldLock="1"/>
      </w:r>
      <w:r w:rsidR="00F45F97" w:rsidRPr="00F06EA4">
        <w:rPr>
          <w:lang w:val="en-US"/>
        </w:rPr>
        <w:instrText>ADDIN CSL_CITATION {"citationItems":[{"id":"ITEM-1","itemData":{"DOI":"10.1111/j.1349-7006.2007.00507.x","ISSN":"1347-9032","PMID":"17511773","abstract":"Cytokines produced by tumor cells may have various effects on antitumor immune responses and tumor growth. In the present study, the cytokine production of 31 lung cancer cell lines was evaluated, while any correlation with the histological type, the induction of tumor-specific cytotoxic T lymphocytes (CTL) in vitro, and angiogenesis and the infiltration of inflammatory cells in tumor tissues were also examined. Production of interleukin (IL)-1alpha, IL-1beta, IL-4, IL-6, IL-8, IL-10, tumor necrosis factor (TNF)-alpha, granulocyte macrophage colony stimulating factor (GM-CSF), granulocyte colony stimulating factor, transforming growth factor (TGF)-beta and vascular endothelial growth factor (VEGF) in the culture supernatant was measured using enzyme-linked immunosorbent assay. Each cytokine was produced in a substantial number of the tumor cell lines. In particular, IL-6, IL-8, TGF-beta and VEGF were produced in 18 (55%), 29 (94%), 31 (100%) and 28 (90%) of 31 cell lines, respectively. However, neither IL-4 nor TNF-alpha was produced at all by any tumor cell line. TGF-beta production was significantly higher in adenocarcinoma than in squamous cell carcinoma (P = 0.03). Immunohistochemical staining revealed the magnitude of macrophage infiltration, and angiogenesis in surgically resected tumor tissue specimens correlated well with GM-CSF and IL-8 production from the corresponding cell lines. Among six lung cancer cell lines, CTL were induced in the three lung cancer cell lines that produced a lower amount of TGF-beta (&lt;100 pg/mL). These findings suggested that TGF-beta produced by tumor cells could inhibit the induction of CTL in vitro. The present results suggest that the production of various cytokines from tumor cells might exert various paracrine effects both in vivo and in vitro.","author":[{"dropping-particle":"","family":"Fukuyama","given":"Takashi","non-dropping-particle":"","parse-names":false,"suffix":""},{"dropping-particle":"","family":"Ichiki","given":"Yoshinobu","non-dropping-particle":"","parse-names":false,"suffix":""},{"dropping-particle":"","family":"Yamada","given":"Sousuke","non-dropping-particle":"","parse-names":false,"suffix":""},{"dropping-particle":"","family":"Shigematsu","given":"Yoshiki","non-dropping-particle":"","parse-names":false,"suffix":""},{"dropping-particle":"","family":"Baba","given":"Tetsuro","non-dropping-particle":"","parse-names":false,"suffix":""},{"dropping-particle":"","family":"Nagata","given":"Yoshika","non-dropping-particle":"","parse-names":false,"suffix":""},{"dropping-particle":"","family":"Mizukami","given":"Makiko","non-dropping-particle":"","parse-names":false,"suffix":""},{"dropping-particle":"","family":"Sugaya","given":"Masakazu","non-dropping-particle":"","parse-names":false,"suffix":""},{"dropping-particle":"","family":"Takenoyama","given":"Mitsuhiro","non-dropping-particle":"","parse-names":false,"suffix":""},{"dropping-particle":"","family":"Hanagiri","given":"Takeshi","non-dropping-particle":"","parse-names":false,"suffix":""},{"dropping-particle":"","family":"Sugio","given":"Kenji","non-dropping-particle":"","parse-names":false,"suffix":""},{"dropping-particle":"","family":"Yasumoto","given":"Kosei","non-dropping-particle":"","parse-names":false,"suffix":""}],"container-title":"Cancer science","id":"ITEM-1","issue":"7","issued":{"date-parts":[["2007","7"]]},"page":"1048-54","title":"Cytokine production of lung cancer cell lines: Correlation between their production and the inflammatory/immunological responses both in vivo and in vitro.","type":"article-journal","volume":"98"},"uris":["http://www.mendeley.com/documents/?uuid=7d6cfaf4-d67a-4397-8d7f-32dfee3b335b","http://www.mendeley.com/documents/?uuid=78c54a44-b23e-4b37-82d2-0b8efdb5e52e"]}],"mendeley":{"formattedCitation":"&lt;sup&gt;[26]&lt;/sup&gt;","plainTextFormattedCitation":"[26]","previouslyFormattedCitation":"&lt;sup&gt;[26]&lt;/sup&gt;"},"properties":{"noteIndex":0},"schema":"https://github.com/citation-style-language/schema/raw/master/csl-citation.json"}</w:instrText>
      </w:r>
      <w:r w:rsidR="0054774B" w:rsidRPr="00F06EA4">
        <w:rPr>
          <w:lang w:val="en-US"/>
        </w:rPr>
        <w:fldChar w:fldCharType="separate"/>
      </w:r>
      <w:r w:rsidR="00F45F97" w:rsidRPr="00F06EA4">
        <w:rPr>
          <w:noProof/>
          <w:vertAlign w:val="superscript"/>
          <w:lang w:val="en-US"/>
        </w:rPr>
        <w:t>[26]</w:t>
      </w:r>
      <w:r w:rsidR="0054774B" w:rsidRPr="00F06EA4">
        <w:rPr>
          <w:lang w:val="en-US"/>
        </w:rPr>
        <w:fldChar w:fldCharType="end"/>
      </w:r>
      <w:r w:rsidR="0054774B" w:rsidRPr="00F06EA4">
        <w:rPr>
          <w:lang w:val="en-US"/>
        </w:rPr>
        <w:t xml:space="preserve">, immune cells and </w:t>
      </w:r>
      <w:r w:rsidR="00D05FBE" w:rsidRPr="00F06EA4">
        <w:rPr>
          <w:lang w:val="en-US"/>
        </w:rPr>
        <w:t>fibroblasts</w:t>
      </w:r>
      <w:r w:rsidR="0054774B" w:rsidRPr="00F06EA4">
        <w:rPr>
          <w:lang w:val="en-US"/>
        </w:rPr>
        <w:t xml:space="preserve"> </w:t>
      </w:r>
      <w:r w:rsidR="002045AB" w:rsidRPr="00F06EA4">
        <w:rPr>
          <w:lang w:val="en-US"/>
        </w:rPr>
        <w:t xml:space="preserve">are capable of producing </w:t>
      </w:r>
      <w:r w:rsidR="00D05FBE" w:rsidRPr="00F06EA4">
        <w:rPr>
          <w:lang w:val="en-US"/>
        </w:rPr>
        <w:t>many of these factors at much higher levels</w:t>
      </w:r>
      <w:r w:rsidR="00D05FBE" w:rsidRPr="00F06EA4">
        <w:rPr>
          <w:lang w:val="en-US"/>
        </w:rPr>
        <w:fldChar w:fldCharType="begin" w:fldLock="1"/>
      </w:r>
      <w:r w:rsidR="00F45F97" w:rsidRPr="00F06EA4">
        <w:rPr>
          <w:lang w:val="en-US"/>
        </w:rPr>
        <w:instrText>ADDIN CSL_CITATION {"citationItems":[{"id":"ITEM-1","itemData":{"DOI":"10.3892/ol.2017.6497","ISSN":"1792-1074","PMID":"28927027","abstract":"Fibroblasts in the tumor stroma are well recognized as having an indispensable role in carcinogenesis, including in the initiation of epithelial tumor formation. The association between cancer cells and fibroblasts has been highlighted in several previous studies. Regulation factors released from cancer-associated fibroblasts (CAFs) into the tumor microenvironment have essential roles, including the support of tumor growth, angiogenesis, metastasis and therapy resistance. A mutual interaction between tumor-induced fibroblast activation, and fibroblast-induced tumor proliferation and metastasis occurs, thus CAFs act as tumor supporters. Previous studies have reported that by developing fibroblast-targeting drugs, it may be possible to interrupt the interaction between fibroblasts and the tumor, thus resulting in the suppression of tumor growth, and metastasis. The present review focused on the reciprocal feedback loop between fibroblasts and cancer cells, and evaluated the potential application of anti-CAF agents in the treatment of cancer.","author":[{"dropping-particle":"","family":"Tao","given":"Leilei","non-dropping-particle":"","parse-names":false,"suffix":""},{"dropping-particle":"","family":"Huang","given":"Guichun","non-dropping-particle":"","parse-names":false,"suffix":""},{"dropping-particle":"","family":"Song","given":"Haizhu","non-dropping-particle":"","parse-names":false,"suffix":""},{"dropping-particle":"","family":"Chen","given":"Yitian","non-dropping-particle":"","parse-names":false,"suffix":""},{"dropping-particle":"","family":"Chen","given":"Longbang","non-dropping-particle":"","parse-names":false,"suffix":""}],"container-title":"Oncology letters","id":"ITEM-1","issue":"3","issued":{"date-parts":[["2017","9"]]},"page":"2611-2620","title":"Cancer associated fibroblasts: An essential role in the tumor microenvironment.","type":"article-journal","volume":"14"},"uris":["http://www.mendeley.com/documents/?uuid=1a0a83b5-be73-498f-bc3a-db821ae20d78","http://www.mendeley.com/documents/?uuid=c8557ee0-4c5e-4501-bd2e-f8f868277f7d"]},{"id":"ITEM-2","itemData":{"DOI":"10.1016/j.molmed.2018.03.006","ISBN":"1471-4914","ISSN":"1471-499X","PMID":"29655673","abstract":"Macrophages are present in all vertebrate tissues and have emerged as multifarious cells with complex roles in development, tissue homeostasis, and disease. Macrophages are a major constituent of the tumor microenvironment, where they either promote or inhibit tumorigenesis and metastasis depending on their state. Successful preclinical strategies to target macrophages for anticancer therapy are now being evaluated in the clinic and provide proof of concept that targeting macrophages may enhance current therapies; however, clinical success has been limited. This review discusses the promise of targeting macrophages for anticancer therapy, yet highlights how much is unknown regarding their ontogeny, regulation, and tissue-specific diversity. Further work might identify subsets of macrophages within different tissues, which could reveal novel therapeutic opportunities for anticancer therapy.","author":[{"dropping-particle":"","family":"Guerriero","given":"Jennifer L.","non-dropping-particle":"","parse-names":false,"suffix":""}],"container-title":"Trends in molecular medicine","id":"ITEM-2","issue":"5","issued":{"date-parts":[["2018"]]},"page":"472-489","title":"Macrophages: The Road Less Traveled, Changing Anticancer Therapy.","type":"article-journal","volume":"24"},"uris":["http://www.mendeley.com/documents/?uuid=edbc373c-4e4c-4435-97c7-cc5f748cf936","http://www.mendeley.com/documents/?uuid=4f4362f7-28ab-4e38-bc5e-8a0af02c8969"]},{"id":"ITEM-3","itemData":{"DOI":"10.1038/bjc.2013.748","ISSN":"0007-0920","PMID":"24346288","abstract":"BACKGROUND Interleukin-6 (IL-6) has an important role in cancer progression, and high levels of plasma IL-6 are correlated with a poor prognosis in a variety of cancers. It has also been reported that tumour stromal fibroblasts are necessary for steps in cancer progression, such as angiogenesis. There have been few reports of a correlation between fibroblast actions and IL-6 levels. In this study, we examined the correlation between cancer stromal fibroblasts and IL-6 and the utility of IL-6 as a therapeutic target in human colon cancer. METHODS The expression levels of IL-6 and VEGF of fibroblasts and cancer cell lines were evaluated using real-time PCR and ELISA. The anti-angiogenic effect of inhibiting IL-6 signalling was measured in an angiogenesis model and animal experiment. RESULTS We demonstrate that stromal fibroblasts isolated from colon cancer produced significant amounts of IL-6 and that colon cancer cells enhanced IL-6 production by stromal fibroblasts. Moreover, IL-6 enhanced VEGF production by fibroblasts, thereby inducing angiogenesis. In vivo, anti-IL6 receptor antibody targeting stromal tissue showed greater anti-tumour activity than did anti-IL6 receptor antibody targeting xenografted cancer cells. CONCLUSION Cancer stromal fibroblasts were an important source of IL-6 in colon cancer. IL-6 produced by activated fibroblasts induced tumour angiogenesis by stimulating adjacent stromal fibroblasts. The relationship between IL-6 and stromal fibroblasts offers new approaches to cancer therapy.","author":[{"dropping-particle":"","family":"Nagasaki","given":"T","non-dropping-particle":"","parse-names":false,"suffix":""},{"dropping-particle":"","family":"Hara","given":"M","non-dropping-particle":"","parse-names":false,"suffix":""},{"dropping-particle":"","family":"Nakanishi","given":"H","non-dropping-particle":"","parse-names":false,"suffix":""},{"dropping-particle":"","family":"Takahashi","given":"H","non-dropping-particle":"","parse-names":false,"suffix":""},{"dropping-particle":"","family":"Sato","given":"M","non-dropping-particle":"","parse-names":false,"suffix":""},{"dropping-particle":"","family":"Takeyama","given":"H","non-dropping-particle":"","parse-names":false,"suffix":""}],"container-title":"British Journal of Cancer","id":"ITEM-3","issue":"2","issued":{"date-parts":[["2014"]]},"page":"469-478","title":"Interleukin-6 released by colon cancer-associated fibroblasts is critical for tumour angiogenesis: anti-interleukin-6 receptor antibody suppressed angiogenesis and inhibited tumour–stroma interaction","type":"article-journal","volume":"110"},"uris":["http://www.mendeley.com/documents/?uuid=430a7d46-63a6-3eda-9e02-b214bf57d770"]}],"mendeley":{"formattedCitation":"&lt;sup&gt;[27–29]&lt;/sup&gt;","plainTextFormattedCitation":"[27–29]","previouslyFormattedCitation":"&lt;sup&gt;[27–29]&lt;/sup&gt;"},"properties":{"noteIndex":0},"schema":"https://github.com/citation-style-language/schema/raw/master/csl-citation.json"}</w:instrText>
      </w:r>
      <w:r w:rsidR="00D05FBE" w:rsidRPr="00F06EA4">
        <w:rPr>
          <w:lang w:val="en-US"/>
        </w:rPr>
        <w:fldChar w:fldCharType="separate"/>
      </w:r>
      <w:r w:rsidR="00F45F97" w:rsidRPr="00F06EA4">
        <w:rPr>
          <w:noProof/>
          <w:vertAlign w:val="superscript"/>
          <w:lang w:val="en-US"/>
        </w:rPr>
        <w:t>[27–29]</w:t>
      </w:r>
      <w:r w:rsidR="00D05FBE" w:rsidRPr="00F06EA4">
        <w:rPr>
          <w:lang w:val="en-US"/>
        </w:rPr>
        <w:fldChar w:fldCharType="end"/>
      </w:r>
      <w:r w:rsidR="00D05FBE" w:rsidRPr="00F06EA4">
        <w:rPr>
          <w:lang w:val="en-US"/>
        </w:rPr>
        <w:t xml:space="preserve">. </w:t>
      </w:r>
    </w:p>
    <w:p w14:paraId="341CF6E9" w14:textId="77777777" w:rsidR="00E17363" w:rsidRPr="00F06EA4" w:rsidRDefault="00E17363" w:rsidP="00F67ED8">
      <w:pPr>
        <w:spacing w:after="0"/>
        <w:rPr>
          <w:lang w:val="en-US"/>
        </w:rPr>
      </w:pPr>
    </w:p>
    <w:p w14:paraId="57845AA3" w14:textId="67A73082" w:rsidR="004566F7" w:rsidRPr="00F06EA4" w:rsidRDefault="00C9687A" w:rsidP="00F67ED8">
      <w:pPr>
        <w:pStyle w:val="2"/>
        <w:spacing w:before="0" w:after="0"/>
        <w:rPr>
          <w:i/>
        </w:rPr>
      </w:pPr>
      <w:r w:rsidRPr="00F06EA4">
        <w:rPr>
          <w:i/>
        </w:rPr>
        <w:t>Tumo</w:t>
      </w:r>
      <w:r w:rsidR="0054774B" w:rsidRPr="00F06EA4">
        <w:rPr>
          <w:i/>
        </w:rPr>
        <w:t xml:space="preserve">r cells </w:t>
      </w:r>
      <w:r w:rsidRPr="00F06EA4">
        <w:rPr>
          <w:i/>
        </w:rPr>
        <w:t>produc</w:t>
      </w:r>
      <w:r w:rsidR="0054774B" w:rsidRPr="00F06EA4">
        <w:rPr>
          <w:i/>
        </w:rPr>
        <w:t xml:space="preserve">e </w:t>
      </w:r>
      <w:r w:rsidRPr="00F06EA4">
        <w:rPr>
          <w:i/>
        </w:rPr>
        <w:t>inflammatory mediators</w:t>
      </w:r>
    </w:p>
    <w:p w14:paraId="74A5C2FB" w14:textId="0BC6FCE3" w:rsidR="00C9687A" w:rsidRPr="00F06EA4" w:rsidRDefault="007E293A" w:rsidP="00F67ED8">
      <w:pPr>
        <w:spacing w:after="0"/>
        <w:rPr>
          <w:lang w:val="en-US"/>
        </w:rPr>
      </w:pPr>
      <w:r w:rsidRPr="00F06EA4">
        <w:rPr>
          <w:lang w:val="en-US"/>
        </w:rPr>
        <w:t xml:space="preserve">Cancer </w:t>
      </w:r>
      <w:r w:rsidR="00D05FBE" w:rsidRPr="00F06EA4">
        <w:rPr>
          <w:lang w:val="en-US"/>
        </w:rPr>
        <w:t>cell express highly variable amounts of different cytokines, chemokines, and growth factors</w:t>
      </w:r>
      <w:r w:rsidRPr="00F06EA4">
        <w:rPr>
          <w:lang w:val="en-US"/>
        </w:rPr>
        <w:t xml:space="preserve"> </w:t>
      </w:r>
      <w:r w:rsidRPr="00F06EA4">
        <w:rPr>
          <w:i/>
          <w:iCs/>
          <w:lang w:val="en-US"/>
        </w:rPr>
        <w:t>in vitro</w:t>
      </w:r>
      <w:r w:rsidR="00D05FBE" w:rsidRPr="00F06EA4">
        <w:rPr>
          <w:lang w:val="en-US"/>
        </w:rPr>
        <w:fldChar w:fldCharType="begin" w:fldLock="1"/>
      </w:r>
      <w:r w:rsidR="00F45F97" w:rsidRPr="00F06EA4">
        <w:rPr>
          <w:lang w:val="en-US"/>
        </w:rPr>
        <w:instrText>ADDIN CSL_CITATION {"citationItems":[{"id":"ITEM-1","itemData":{"DOI":"10.1016/j.canlet.2015.02.021","ISSN":"1872-7980","PMID":"25687885","abstract":"Anoikis is a form of apoptosis which occurs when anchorage-dependent cells either show loss of adhesion or inappropriate adhesion. Only a few cancer cells that detach from the primary site of the tumor acquire the ability to resist anoikis and form metastasis. The mechanism underlying the resistance of colorectal cancer (CRC) cells to anoikis remains unclear. Interleukin-8 (alternatively known as CXCL8) is associated with CRC angiogenesis and progression. Here, we found that a high abundance of CXCL8 or TOPK strongly correlated with poor overall and disease-free survival of 186 patients with CRC. A combination of high CXCL8 and high TOPK expressions had the worst prognosis. We showed that CXCL8 expression was negatively correlated with anoikis in CRC cells. CXCL8 treatment enhanced the resistance of CRC cells to apoptosis, which was accompanied by the increase of TOPK, and the activation of AKT and ERK. Moreover, we demonstrated that the inhibition of either ERK or AKT by specific chemical inhibitors attenuated the CXCL8-mediated resistance to anoikis. Treatment with AKT inhibitor abolished the effects of CXCL8 on TOPK expression, suggesting that TOPK was downstream of AKT in the process of anoikis. Taken together, we demonstrated that CXCL8 is strongly implicated in the resistance of CRC cells to anoikis, and that the AKT, TOPK and ERK pathway may be a potential therapeutic target for CRC.","author":[{"dropping-particle":"","family":"Xiao","given":"You-Chuan","non-dropping-particle":"","parse-names":false,"suffix":""},{"dropping-particle":"","family":"Yang","given":"Zhi-Bin","non-dropping-particle":"","parse-names":false,"suffix":""},{"dropping-particle":"","family":"Cheng","given":"Xian-Shuo","non-dropping-particle":"","parse-names":false,"suffix":""},{"dropping-particle":"","family":"Fang","given":"Xing-Bao","non-dropping-particle":"","parse-names":false,"suffix":""},{"dropping-particle":"","family":"Shen","given":"Tao","non-dropping-particle":"","parse-names":false,"suffix":""},{"dropping-particle":"","family":"Xia","given":"Cui-Feng","non-dropping-particle":"","parse-names":false,"suffix":""},{"dropping-particle":"","family":"Liu","given":"Ping","non-dropping-particle":"","parse-names":false,"suffix":""},{"dropping-particle":"","family":"Qian","given":"Hai-Hua","non-dropping-particle":"","parse-names":false,"suffix":""},{"dropping-particle":"","family":"Sun","given":"Bin","non-dropping-particle":"","parse-names":false,"suffix":""},{"dropping-particle":"","family":"Yin","given":"Zheng-Feng","non-dropping-particle":"","parse-names":false,"suffix":""},{"dropping-particle":"","family":"Li","given":"Yun-Feng","non-dropping-particle":"","parse-names":false,"suffix":""}],"container-title":"Cancer letters","id":"ITEM-1","issue":"1","issued":{"date-parts":[["2015","5"]]},"page":"22-32","title":"CXCL8, overexpressed in colorectal cancer, enhances the resistance of colorectal cancer cells to anoikis.","type":"article-journal","volume":"361"},"uris":["http://www.mendeley.com/documents/?uuid=2a3b04bb-bd45-46ad-b658-5544400dcc87","http://www.mendeley.com/documents/?uuid=78a08d2b-7509-4b3a-8f2e-c24bc9bb9fe7"]},{"id":"ITEM-2","itemData":{"DOI":"10.1111/j.1349-7006.2007.00507.x","ISSN":"1347-9032","PMID":"17511773","abstract":"Cytokines produced by tumor cells may have various effects on antitumor immune responses and tumor growth. In the present study, the cytokine production of 31 lung cancer cell lines was evaluated, while any correlation with the histological type, the induction of tumor-specific cytotoxic T lymphocytes (CTL) in vitro, and angiogenesis and the infiltration of inflammatory cells in tumor tissues were also examined. Production of interleukin (IL)-1alpha, IL-1beta, IL-4, IL-6, IL-8, IL-10, tumor necrosis factor (TNF)-alpha, granulocyte macrophage colony stimulating factor (GM-CSF), granulocyte colony stimulating factor, transforming growth factor (TGF)-beta and vascular endothelial growth factor (VEGF) in the culture supernatant was measured using enzyme-linked immunosorbent assay. Each cytokine was produced in a substantial number of the tumor cell lines. In particular, IL-6, IL-8, TGF-beta and VEGF were produced in 18 (55%), 29 (94%), 31 (100%) and 28 (90%) of 31 cell lines, respectively. However, neither IL-4 nor TNF-alpha was produced at all by any tumor cell line. TGF-beta production was significantly higher in adenocarcinoma than in squamous cell carcinoma (P = 0.03). Immunohistochemical staining revealed the magnitude of macrophage infiltration, and angiogenesis in surgically resected tumor tissue specimens correlated well with GM-CSF and IL-8 production from the corresponding cell lines. Among six lung cancer cell lines, CTL were induced in the three lung cancer cell lines that produced a lower amount of TGF-beta (&lt;100 pg/mL). These findings suggested that TGF-beta produced by tumor cells could inhibit the induction of CTL in vitro. The present results suggest that the production of various cytokines from tumor cells might exert various paracrine effects both in vivo and in vitro.","author":[{"dropping-particle":"","family":"Fukuyama","given":"Takashi","non-dropping-particle":"","parse-names":false,"suffix":""},{"dropping-particle":"","family":"Ichiki","given":"Yoshinobu","non-dropping-particle":"","parse-names":false,"suffix":""},{"dropping-particle":"","family":"Yamada","given":"Sousuke","non-dropping-particle":"","parse-names":false,"suffix":""},{"dropping-particle":"","family":"Shigematsu","given":"Yoshiki","non-dropping-particle":"","parse-names":false,"suffix":""},{"dropping-particle":"","family":"Baba","given":"Tetsuro","non-dropping-particle":"","parse-names":false,"suffix":""},{"dropping-particle":"","family":"Nagata","given":"Yoshika","non-dropping-particle":"","parse-names":false,"suffix":""},{"dropping-particle":"","family":"Mizukami","given":"Makiko","non-dropping-particle":"","parse-names":false,"suffix":""},{"dropping-particle":"","family":"Sugaya","given":"Masakazu","non-dropping-particle":"","parse-names":false,"suffix":""},{"dropping-particle":"","family":"Takenoyama","given":"Mitsuhiro","non-dropping-particle":"","parse-names":false,"suffix":""},{"dropping-particle":"","family":"Hanagiri","given":"Takeshi","non-dropping-particle":"","parse-names":false,"suffix":""},{"dropping-particle":"","family":"Sugio","given":"Kenji","non-dropping-particle":"","parse-names":false,"suffix":""},{"dropping-particle":"","family":"Yasumoto","given":"Kosei","non-dropping-particle":"","parse-names":false,"suffix":""}],"container-title":"Cancer science","id":"ITEM-2","issue":"7","issued":{"date-parts":[["2007","7"]]},"page":"1048-54","title":"Cytokine production of lung cancer cell lines: Correlation between their production and the inflammatory/immunological responses both in vivo and in vitro.","type":"article-journal","volume":"98"},"uris":["http://www.mendeley.com/documents/?uuid=78c54a44-b23e-4b37-82d2-0b8efdb5e52e","http://www.mendeley.com/documents/?uuid=7d6cfaf4-d67a-4397-8d7f-32dfee3b335b"]}],"mendeley":{"formattedCitation":"&lt;sup&gt;[26,30]&lt;/sup&gt;","plainTextFormattedCitation":"[26,30]","previouslyFormattedCitation":"&lt;sup&gt;[26,30]&lt;/sup&gt;"},"properties":{"noteIndex":0},"schema":"https://github.com/citation-style-language/schema/raw/master/csl-citation.json"}</w:instrText>
      </w:r>
      <w:r w:rsidR="00D05FBE" w:rsidRPr="00F06EA4">
        <w:rPr>
          <w:lang w:val="en-US"/>
        </w:rPr>
        <w:fldChar w:fldCharType="separate"/>
      </w:r>
      <w:r w:rsidR="00F45F97" w:rsidRPr="00F06EA4">
        <w:rPr>
          <w:noProof/>
          <w:vertAlign w:val="superscript"/>
          <w:lang w:val="en-US"/>
        </w:rPr>
        <w:t>[26,30]</w:t>
      </w:r>
      <w:r w:rsidR="00D05FBE" w:rsidRPr="00F06EA4">
        <w:rPr>
          <w:lang w:val="en-US"/>
        </w:rPr>
        <w:fldChar w:fldCharType="end"/>
      </w:r>
      <w:r w:rsidR="00D05FBE" w:rsidRPr="00F06EA4">
        <w:rPr>
          <w:lang w:val="en-US"/>
        </w:rPr>
        <w:t>.</w:t>
      </w:r>
      <w:r w:rsidR="00AC1FD7" w:rsidRPr="00F06EA4">
        <w:rPr>
          <w:lang w:val="en-US"/>
        </w:rPr>
        <w:t xml:space="preserve"> </w:t>
      </w:r>
      <w:r w:rsidR="008535AA" w:rsidRPr="00F06EA4">
        <w:rPr>
          <w:lang w:val="en-US"/>
        </w:rPr>
        <w:t>These include</w:t>
      </w:r>
      <w:r w:rsidR="00AC1FD7" w:rsidRPr="00F06EA4">
        <w:rPr>
          <w:lang w:val="en-US"/>
        </w:rPr>
        <w:t xml:space="preserve"> IL6, CCL2, </w:t>
      </w:r>
      <w:r w:rsidR="00F23129" w:rsidRPr="00F06EA4">
        <w:rPr>
          <w:lang w:val="en-US"/>
        </w:rPr>
        <w:t>CXCL8, CSF1 (macro</w:t>
      </w:r>
      <w:r w:rsidR="00EC0CF8" w:rsidRPr="00F06EA4">
        <w:rPr>
          <w:lang w:val="en-US"/>
        </w:rPr>
        <w:t xml:space="preserve">phage colony-stimulating factor, </w:t>
      </w:r>
      <w:r w:rsidR="00F23129" w:rsidRPr="00F06EA4">
        <w:rPr>
          <w:lang w:val="en-US"/>
        </w:rPr>
        <w:t>M-CSF), and CSF2 (</w:t>
      </w:r>
      <w:r w:rsidR="00EC0CF8" w:rsidRPr="00F06EA4">
        <w:rPr>
          <w:lang w:val="en-US"/>
        </w:rPr>
        <w:t>g</w:t>
      </w:r>
      <w:r w:rsidR="00F23129" w:rsidRPr="00F06EA4">
        <w:rPr>
          <w:lang w:val="en-US"/>
        </w:rPr>
        <w:t>ranulocyte-macrophage colony-stimulating factor, GM-CSF)</w:t>
      </w:r>
      <w:r w:rsidR="005B6BE0" w:rsidRPr="00F06EA4">
        <w:rPr>
          <w:lang w:val="en-US"/>
        </w:rPr>
        <w:t xml:space="preserve"> (Table </w:t>
      </w:r>
      <w:r w:rsidR="409019D2" w:rsidRPr="00F06EA4">
        <w:rPr>
          <w:lang w:val="en-US"/>
        </w:rPr>
        <w:t>2</w:t>
      </w:r>
      <w:r w:rsidR="005B6BE0" w:rsidRPr="00F06EA4">
        <w:rPr>
          <w:lang w:val="en-US"/>
        </w:rPr>
        <w:t>)</w:t>
      </w:r>
      <w:r w:rsidR="00F23129" w:rsidRPr="00F06EA4">
        <w:rPr>
          <w:lang w:val="en-US"/>
        </w:rPr>
        <w:t xml:space="preserve">. </w:t>
      </w:r>
      <w:r w:rsidR="0087122D" w:rsidRPr="00F06EA4">
        <w:rPr>
          <w:lang w:val="en-US"/>
        </w:rPr>
        <w:t>These molecules contribute to a variety of functions related to systemic inflammation and cancer progression. For example,</w:t>
      </w:r>
      <w:r w:rsidR="001843F9" w:rsidRPr="00F06EA4">
        <w:rPr>
          <w:lang w:val="en-US"/>
        </w:rPr>
        <w:t xml:space="preserve"> IL6</w:t>
      </w:r>
      <w:r w:rsidR="008332EB" w:rsidRPr="00F06EA4">
        <w:rPr>
          <w:lang w:val="en-US"/>
        </w:rPr>
        <w:t>,</w:t>
      </w:r>
      <w:r w:rsidR="001843F9" w:rsidRPr="00F06EA4">
        <w:rPr>
          <w:lang w:val="en-US"/>
        </w:rPr>
        <w:t xml:space="preserve"> </w:t>
      </w:r>
      <w:r w:rsidR="008332EB" w:rsidRPr="00F06EA4">
        <w:rPr>
          <w:lang w:val="en-US"/>
        </w:rPr>
        <w:t>a seminal</w:t>
      </w:r>
      <w:r w:rsidR="001843F9" w:rsidRPr="00F06EA4">
        <w:rPr>
          <w:lang w:val="en-US"/>
        </w:rPr>
        <w:t xml:space="preserve"> proinflammatory cytokine, </w:t>
      </w:r>
      <w:r w:rsidR="008332EB" w:rsidRPr="00F06EA4">
        <w:rPr>
          <w:lang w:val="en-US"/>
        </w:rPr>
        <w:t xml:space="preserve">regulates </w:t>
      </w:r>
      <w:r w:rsidR="0087122D" w:rsidRPr="00F06EA4">
        <w:rPr>
          <w:lang w:val="en-US"/>
        </w:rPr>
        <w:t xml:space="preserve">the </w:t>
      </w:r>
      <w:r w:rsidR="001843F9" w:rsidRPr="00F06EA4">
        <w:rPr>
          <w:lang w:val="en-US"/>
        </w:rPr>
        <w:t>acute phase response through the induction of acute phase proteins in hepatocytes</w:t>
      </w:r>
      <w:r w:rsidR="0087122D" w:rsidRPr="00F06EA4">
        <w:rPr>
          <w:lang w:val="en-US"/>
        </w:rPr>
        <w:t xml:space="preserve"> and </w:t>
      </w:r>
      <w:r w:rsidR="001843F9" w:rsidRPr="00F06EA4">
        <w:rPr>
          <w:lang w:val="en-US"/>
        </w:rPr>
        <w:t>the differentiation of monocytes to macrophages</w:t>
      </w:r>
      <w:r w:rsidR="001843F9" w:rsidRPr="00F06EA4">
        <w:rPr>
          <w:lang w:val="en-US"/>
        </w:rPr>
        <w:fldChar w:fldCharType="begin" w:fldLock="1"/>
      </w:r>
      <w:r w:rsidR="00F45F97" w:rsidRPr="00F06EA4">
        <w:rPr>
          <w:lang w:val="en-US"/>
        </w:rPr>
        <w:instrText>ADDIN CSL_CITATION {"citationItems":[{"id":"ITEM-1","itemData":{"DOI":"10.7150/ijbs.4614","ISSN":"1449-2288","PMID":"23136553","abstract":"Growing evidence proposes an important role for pro-inflammatory cytokines during tumor development. Several experimental and clinical studies have linked the pleiotropic cytokine interleukin-6 (IL-6) to the pathogenesis of sporadic and inflammation-associated colorectal cancer (CRC). Increased IL-6 expression has been related to advanced stage of disease and decreased survival in CRC patients. According to experimental studies, these effects are mediated through IL-6 trans-signaling promoting tumor cell proliferation and inhibiting apoptosis through gp130 activation on tumor cells with subsequent signaling through Janus kinases (JAKs) and signal transducer and activator of transcription 3 (STAT3). During recent years, several therapeutics targeting the IL-6/STAT3 pathway have been developed and pose a promising strategy for the treatment of CRC. This review discusses the molecular mechanisms and possible therapeutic targets involved in IL-6 signaling in CRC.","author":[{"dropping-particle":"","family":"Waldner","given":"Maximilian J","non-dropping-particle":"","parse-names":false,"suffix":""},{"dropping-particle":"","family":"Foersch","given":"Sebastian","non-dropping-particle":"","parse-names":false,"suffix":""},{"dropping-particle":"","family":"Neurath","given":"Markus F","non-dropping-particle":"","parse-names":false,"suffix":""}],"container-title":"International journal of biological sciences","id":"ITEM-1","issue":"9","issued":{"date-parts":[["2012"]]},"page":"1248-53","title":"Interleukin-6--a key regulator of colorectal cancer development.","type":"article-journal","volume":"8"},"uris":["http://www.mendeley.com/documents/?uuid=c7fbee0a-cc0a-4226-a54e-9d3ccf3a74ce","http://www.mendeley.com/documents/?uuid=67ba61d9-df89-42bb-a901-c76c5fc7c8c2"]}],"mendeley":{"formattedCitation":"&lt;sup&gt;[31]&lt;/sup&gt;","plainTextFormattedCitation":"[31]","previouslyFormattedCitation":"&lt;sup&gt;[31]&lt;/sup&gt;"},"properties":{"noteIndex":0},"schema":"https://github.com/citation-style-language/schema/raw/master/csl-citation.json"}</w:instrText>
      </w:r>
      <w:r w:rsidR="001843F9" w:rsidRPr="00F06EA4">
        <w:rPr>
          <w:lang w:val="en-US"/>
        </w:rPr>
        <w:fldChar w:fldCharType="separate"/>
      </w:r>
      <w:r w:rsidR="00F45F97" w:rsidRPr="00F06EA4">
        <w:rPr>
          <w:noProof/>
          <w:vertAlign w:val="superscript"/>
          <w:lang w:val="en-US"/>
        </w:rPr>
        <w:t>[31]</w:t>
      </w:r>
      <w:r w:rsidR="001843F9" w:rsidRPr="00F06EA4">
        <w:rPr>
          <w:lang w:val="en-US"/>
        </w:rPr>
        <w:fldChar w:fldCharType="end"/>
      </w:r>
      <w:r w:rsidR="0087122D" w:rsidRPr="00F06EA4">
        <w:rPr>
          <w:lang w:val="en-US"/>
        </w:rPr>
        <w:t>, whereas CCL2 is essential for the recruitment of bone marrow derived monocytes into peripheral organs and tumors</w:t>
      </w:r>
      <w:r w:rsidR="0087122D" w:rsidRPr="00F06EA4">
        <w:rPr>
          <w:lang w:val="en-US"/>
        </w:rPr>
        <w:fldChar w:fldCharType="begin" w:fldLock="1"/>
      </w:r>
      <w:r w:rsidR="00F45F97" w:rsidRPr="00F06EA4">
        <w:rPr>
          <w:lang w:val="en-US"/>
        </w:rPr>
        <w:instrText>ADDIN CSL_CITATION {"citationItems":[{"id":"ITEM-1","itemData":{"DOI":"10.1038/nature10138","ISSN":"1476-4687","PMID":"21654748","abstract":"Macrophages, which are abundant in the tumour microenvironment, enhance malignancy. At metastatic sites, a distinct population of metastasis-associated macrophages promotes the extravasation, seeding and persistent growth of tumour cells. Here we define the origin of these macrophages by showing that Gr1-positive inflammatory monocytes are preferentially recruited to pulmonary metastases but not to primary mammary tumours in mice. This process also occurs for human inflammatory monocytes in pulmonary metastases of human breast cancer cells. The recruitment of these inflammatory monocytes, which express CCR2 (the receptor for chemokine CCL2), as well as the subsequent recruitment of metastasis-associated macrophages and their interaction with metastasizing tumour cells, is dependent on CCL2 synthesized by both the tumour and the stroma. Inhibition of CCL2-CCR2 signalling blocks the recruitment of inflammatory monocytes, inhibits metastasis in vivo and prolongs the survival of tumour-bearing mice. Depletion of tumour-cell-derived CCL2 also inhibits metastatic seeding. Inflammatory monocytes promote the extravasation of tumour cells in a process that requires monocyte-derived vascular endothelial growth factor. CCL2 expression and macrophage infiltration are correlated with poor prognosis and metastatic disease in human breast cancer. Our data provide the mechanistic link between these two clinical associations and indicate new therapeutic targets for treating metastatic breast cancer.","author":[{"dropping-particle":"","family":"Qian","given":"Bin-Zhi","non-dropping-particle":"","parse-names":false,"suffix":""},{"dropping-particle":"","family":"Li","given":"Jiufeng","non-dropping-particle":"","parse-names":false,"suffix":""},{"dropping-particle":"","family":"Zhang","given":"Hui","non-dropping-particle":"","parse-names":false,"suffix":""},{"dropping-particle":"","family":"Kitamura","given":"Takanori","non-dropping-particle":"","parse-names":false,"suffix":""},{"dropping-particle":"","family":"Zhang","given":"Jinghang","non-dropping-particle":"","parse-names":false,"suffix":""},{"dropping-particle":"","family":"Campion","given":"Liam R.","non-dropping-particle":"","parse-names":false,"suffix":""},{"dropping-particle":"","family":"Kaiser","given":"Elizabeth A.","non-dropping-particle":"","parse-names":false,"suffix":""},{"dropping-particle":"","family":"Snyder","given":"Linda A.","non-dropping-particle":"","parse-names":false,"suffix":""},{"dropping-particle":"","family":"Pollard","given":"Jeffrey W.","non-dropping-particle":"","parse-names":false,"suffix":""}],"container-title":"Nature","id":"ITEM-1","issue":"7355","issued":{"date-parts":[["2011","6"]]},"page":"222-5","title":"CCL2 recruits inflammatory monocytes to facilitate breast-tumour metastasis.","type":"article-journal","volume":"475"},"uris":["http://www.mendeley.com/documents/?uuid=1fe0c175-7f5a-48d3-b278-5c1f51b9fdad","http://www.mendeley.com/documents/?uuid=50c10fbd-775d-41d2-ae1d-42bc8bb31755"]}],"mendeley":{"formattedCitation":"&lt;sup&gt;[32]&lt;/sup&gt;","plainTextFormattedCitation":"[32]","previouslyFormattedCitation":"&lt;sup&gt;[32]&lt;/sup&gt;"},"properties":{"noteIndex":0},"schema":"https://github.com/citation-style-language/schema/raw/master/csl-citation.json"}</w:instrText>
      </w:r>
      <w:r w:rsidR="0087122D" w:rsidRPr="00F06EA4">
        <w:rPr>
          <w:lang w:val="en-US"/>
        </w:rPr>
        <w:fldChar w:fldCharType="separate"/>
      </w:r>
      <w:r w:rsidR="00F45F97" w:rsidRPr="00F06EA4">
        <w:rPr>
          <w:noProof/>
          <w:vertAlign w:val="superscript"/>
          <w:lang w:val="en-US"/>
        </w:rPr>
        <w:t>[32]</w:t>
      </w:r>
      <w:r w:rsidR="0087122D" w:rsidRPr="00F06EA4">
        <w:rPr>
          <w:lang w:val="en-US"/>
        </w:rPr>
        <w:fldChar w:fldCharType="end"/>
      </w:r>
      <w:r w:rsidR="0087122D" w:rsidRPr="00F06EA4">
        <w:rPr>
          <w:lang w:val="en-US"/>
        </w:rPr>
        <w:t>.</w:t>
      </w:r>
      <w:r w:rsidR="005B6BE0" w:rsidRPr="00F06EA4">
        <w:rPr>
          <w:lang w:val="en-US"/>
        </w:rPr>
        <w:t xml:space="preserve"> CXCL8 is an important proinflammatory chemokine, recruiting granulocytes but also promoting angiogenesis</w:t>
      </w:r>
      <w:r w:rsidR="005B6BE0" w:rsidRPr="00F06EA4">
        <w:rPr>
          <w:lang w:val="en-US"/>
        </w:rPr>
        <w:fldChar w:fldCharType="begin" w:fldLock="1"/>
      </w:r>
      <w:r w:rsidR="00F45F97" w:rsidRPr="00F06EA4">
        <w:rPr>
          <w:lang w:val="en-US"/>
        </w:rPr>
        <w:instrText>ADDIN CSL_CITATION {"citationItems":[{"id":"ITEM-1","itemData":{"DOI":"10.1074/jbc.M208231200","ISSN":"0021-9258","PMID":"12496258","abstract":"Angiogenesis plays a critical role in metastasis and tumor growth. Human tumors, including colorectal adenocarcinoma, secrete angiogenic factors, inducing proliferation and chemotaxis of microvascular endothelial cells, eventually leading to tumor neovascularization. The chemokine interleukin 8 (IL-8; CXCL8) exerts potent angiogenic properties on endothelial cells through interaction with its cognate receptors CXCR1 and CXCR2. As CXCR1 and CXCR2 expression is differentially regulated in tissue-specific endothelial cells and effects of IL-8 on intestinal endothelial cells are not defined, we characterized the potential IL-8-induced angiogenic mechanisms in primary cultures of human intestinal microvascular endothelial cells (HIMEC) and IL-8 receptor expression in human intestinal microvessels. CXCR1 and CXCR2 expression on HIMEC were defined using reverse transcriptase-PCR, immunohistochemistry, flow cytometry, and Western blot analysis. IL-8-induced downstream signaling events were assessed using immunoblot analysis and immunofluorescence. The angiogenic effects of IL-8 on HIMEC were determined using proliferation and chemotaxis assays. HIMEC responded to IL-8 with rapid stress fiber assembly, chemotaxis, enhanced proliferation, and phosphorylation of extracellular signal-regulated protein kinase 1/2 (ERK 1/2). HIMEC express CXCR2, but not CXCR1. Neutralizing antibodies to CXCR2 diminished IL-8-induced chemotaxis and stress fiber assembly. Specific inhibitors of ERK 1/2 and phosphoinositide 3-kinase abrogated endothelial tube formation and IL-8-induced chemotaxis in HIMEC. IL-8 elicits angiogenic responses in microvascular endothelial cells isolated from human intestine by engaging CXCR2. We confirmed tissue expression of CXCR2 in human intestinal microvessels. Supported by the notion that malignant colonic epithelial cells overexpress IL-8, CXCR2 blockade may be a novel target for anti-angiogenic therapy in colorectal adenocarcinoma.","author":[{"dropping-particle":"","family":"Heidemann","given":"Jan","non-dropping-particle":"","parse-names":false,"suffix":""},{"dropping-particle":"","family":"Ogawa","given":"Hitoshi","non-dropping-particle":"","parse-names":false,"suffix":""},{"dropping-particle":"","family":"Dwinell","given":"Michael B","non-dropping-particle":"","parse-names":false,"suffix":""},{"dropping-particle":"","family":"Rafiee","given":"Parvaneh","non-dropping-particle":"","parse-names":false,"suffix":""},{"dropping-particle":"","family":"Maaser","given":"Christian","non-dropping-particle":"","parse-names":false,"suffix":""},{"dropping-particle":"","family":"Gockel","given":"Henning R","non-dropping-particle":"","parse-names":false,"suffix":""},{"dropping-particle":"","family":"Otterson","given":"Mary F","non-dropping-particle":"","parse-names":false,"suffix":""},{"dropping-particle":"","family":"Ota","given":"David M","non-dropping-particle":"","parse-names":false,"suffix":""},{"dropping-particle":"","family":"Lugering","given":"Norbert","non-dropping-particle":"","parse-names":false,"suffix":""},{"dropping-particle":"","family":"Domschke","given":"Wolfram","non-dropping-particle":"","parse-names":false,"suffix":""},{"dropping-particle":"","family":"Binion","given":"David G","non-dropping-particle":"","parse-names":false,"suffix":""}],"container-title":"The Journal of biological chemistry","id":"ITEM-1","issue":"10","issued":{"date-parts":[["2003","3"]]},"page":"8508-15","title":"Angiogenic effects of interleukin 8 (CXCL8) in human intestinal microvascular endothelial cells are mediated by CXCR2.","type":"article-journal","volume":"278"},"uris":["http://www.mendeley.com/documents/?uuid=80885641-1085-4ce7-ae4d-c808ff1d133c","http://www.mendeley.com/documents/?uuid=28587be8-b85d-4956-b048-f2ece0a5386b"]}],"mendeley":{"formattedCitation":"&lt;sup&gt;[33]&lt;/sup&gt;","plainTextFormattedCitation":"[33]","previouslyFormattedCitation":"&lt;sup&gt;[33]&lt;/sup&gt;"},"properties":{"noteIndex":0},"schema":"https://github.com/citation-style-language/schema/raw/master/csl-citation.json"}</w:instrText>
      </w:r>
      <w:r w:rsidR="005B6BE0" w:rsidRPr="00F06EA4">
        <w:rPr>
          <w:lang w:val="en-US"/>
        </w:rPr>
        <w:fldChar w:fldCharType="separate"/>
      </w:r>
      <w:r w:rsidR="00F45F97" w:rsidRPr="00F06EA4">
        <w:rPr>
          <w:noProof/>
          <w:vertAlign w:val="superscript"/>
          <w:lang w:val="en-US"/>
        </w:rPr>
        <w:t>[33]</w:t>
      </w:r>
      <w:r w:rsidR="005B6BE0" w:rsidRPr="00F06EA4">
        <w:rPr>
          <w:lang w:val="en-US"/>
        </w:rPr>
        <w:fldChar w:fldCharType="end"/>
      </w:r>
      <w:r w:rsidR="005B6BE0" w:rsidRPr="00F06EA4">
        <w:rPr>
          <w:lang w:val="en-US"/>
        </w:rPr>
        <w:t>. Both CSF1 and CSF2 stimulate the proliferation, differentiation, and survival of monocytes</w:t>
      </w:r>
      <w:r w:rsidR="00110539" w:rsidRPr="00F06EA4">
        <w:rPr>
          <w:lang w:val="en-US"/>
        </w:rPr>
        <w:t xml:space="preserve"> and </w:t>
      </w:r>
      <w:r w:rsidR="005B6BE0" w:rsidRPr="00F06EA4">
        <w:rPr>
          <w:lang w:val="en-US"/>
        </w:rPr>
        <w:t>macrophages</w:t>
      </w:r>
      <w:r w:rsidR="00110539" w:rsidRPr="00F06EA4">
        <w:rPr>
          <w:lang w:val="en-US"/>
        </w:rPr>
        <w:t>,</w:t>
      </w:r>
      <w:r w:rsidR="005B6BE0" w:rsidRPr="00F06EA4">
        <w:rPr>
          <w:lang w:val="en-US"/>
        </w:rPr>
        <w:t xml:space="preserve"> but </w:t>
      </w:r>
      <w:r w:rsidR="00110539" w:rsidRPr="00F06EA4">
        <w:rPr>
          <w:lang w:val="en-US"/>
        </w:rPr>
        <w:t xml:space="preserve">while </w:t>
      </w:r>
      <w:r w:rsidR="005B6BE0" w:rsidRPr="00F06EA4">
        <w:rPr>
          <w:lang w:val="en-US"/>
        </w:rPr>
        <w:t>CSF1 is involved in M2-like anti-inflammatory macrophage polarization, CSF2 contributes to M1-like pro-inflammatory macrophage polarization</w:t>
      </w:r>
      <w:r w:rsidR="005B6BE0" w:rsidRPr="00F06EA4">
        <w:rPr>
          <w:lang w:val="en-US"/>
        </w:rPr>
        <w:fldChar w:fldCharType="begin" w:fldLock="1"/>
      </w:r>
      <w:r w:rsidR="00F45F97" w:rsidRPr="00F06EA4">
        <w:rPr>
          <w:lang w:val="en-US"/>
        </w:rPr>
        <w:instrText>ADDIN CSL_CITATION {"citationItems":[{"id":"ITEM-1","itemData":{"DOI":"10.3389/fimmu.2014.00554","ISBN":"1664-3224 (Electronic) 1664-3224 (Linking)","ISSN":"1664-3224","PMID":"25484881","abstract":"The scope of functional heterogeneity in macrophages has been defined by two polarized end states known as M1 and M2, which exhibit the proinflammatory activities necessary for host defense and the tissue repair activities required for restoration of homeostasis, respectively. Macrophage populations in different tissue locations exist in distinct phenotypic states across this M1/M2 spectrum and the development and abundance of individual subsets result from the local and systemic action of myeloid colony-stimulating factors (CSFs) including M-CSF and GM-CSF. These factors have relatively non-overlapping roles in the differentiation and maintenance of specific macrophage subsets. Furthermore, there is now evidence that CSFs may also regulate macrophage phenotype during challenge. Cell culture studies from multiple laboratories demonstrate that macrophages developed in the presence of GM-CSF exhibit amplified response to M1 polarizing stimuli while M-CSF potentiates responses to M2 stimuli. As a consequence, these factors can be important determinants of the magnitude and duration of both acute and chronic inflammatory pathology and may, therefore, be potential targets for therapeutic manipulation in specific human disease settings.","author":[{"dropping-particle":"","family":"Hamilton","given":"Thomas A.","non-dropping-particle":"","parse-names":false,"suffix":""},{"dropping-particle":"","family":"Zhao","given":"Chenyang","non-dropping-particle":"","parse-names":false,"suffix":""},{"dropping-particle":"","family":"Pavicic","given":"Paul G.","non-dropping-particle":"","parse-names":false,"suffix":""},{"dropping-particle":"","family":"Datta","given":"Shyamasree","non-dropping-particle":"","parse-names":false,"suffix":""}],"container-title":"Frontiers in immunology","id":"ITEM-1","issue":"NOV","issued":{"date-parts":[["2014"]]},"page":"554","title":"Myeloid colony-stimulating factors as regulators of macrophage polarization.","type":"article-journal","volume":"5"},"uris":["http://www.mendeley.com/documents/?uuid=7cca910a-a3cc-402d-83e2-11c184568840","http://www.mendeley.com/documents/?uuid=ceb81ce9-5a7a-4324-a480-79c4767ea677"]}],"mendeley":{"formattedCitation":"&lt;sup&gt;[34]&lt;/sup&gt;","plainTextFormattedCitation":"[34]","previouslyFormattedCitation":"&lt;sup&gt;[34]&lt;/sup&gt;"},"properties":{"noteIndex":0},"schema":"https://github.com/citation-style-language/schema/raw/master/csl-citation.json"}</w:instrText>
      </w:r>
      <w:r w:rsidR="005B6BE0" w:rsidRPr="00F06EA4">
        <w:rPr>
          <w:lang w:val="en-US"/>
        </w:rPr>
        <w:fldChar w:fldCharType="separate"/>
      </w:r>
      <w:r w:rsidR="00F45F97" w:rsidRPr="00F06EA4">
        <w:rPr>
          <w:noProof/>
          <w:vertAlign w:val="superscript"/>
          <w:lang w:val="en-US"/>
        </w:rPr>
        <w:t>[34]</w:t>
      </w:r>
      <w:r w:rsidR="005B6BE0" w:rsidRPr="00F06EA4">
        <w:rPr>
          <w:lang w:val="en-US"/>
        </w:rPr>
        <w:fldChar w:fldCharType="end"/>
      </w:r>
      <w:r w:rsidR="008D2808" w:rsidRPr="00F06EA4">
        <w:rPr>
          <w:lang w:val="en-US"/>
        </w:rPr>
        <w:t>.</w:t>
      </w:r>
    </w:p>
    <w:p w14:paraId="36C2BFA8" w14:textId="2FFE8CBA" w:rsidR="00967608" w:rsidRPr="00F06EA4" w:rsidRDefault="00F723CC" w:rsidP="00F67ED8">
      <w:pPr>
        <w:spacing w:after="0"/>
        <w:ind w:firstLineChars="100" w:firstLine="240"/>
        <w:rPr>
          <w:lang w:val="en-US"/>
        </w:rPr>
      </w:pPr>
      <w:r w:rsidRPr="00F06EA4">
        <w:rPr>
          <w:lang w:val="en-US"/>
        </w:rPr>
        <w:t>Tumor-derived extracellular vesicles have recently gained more and more interest as potential regulators of tumor</w:t>
      </w:r>
      <w:r w:rsidR="003A5F0E" w:rsidRPr="00F06EA4">
        <w:rPr>
          <w:lang w:val="en-US"/>
        </w:rPr>
        <w:t xml:space="preserve"> cell-immune cell interactions</w:t>
      </w:r>
      <w:r w:rsidR="003A5F0E" w:rsidRPr="00F06EA4">
        <w:rPr>
          <w:lang w:val="en-US"/>
        </w:rPr>
        <w:fldChar w:fldCharType="begin" w:fldLock="1"/>
      </w:r>
      <w:r w:rsidR="00F45F97" w:rsidRPr="00F06EA4">
        <w:rPr>
          <w:lang w:val="en-US"/>
        </w:rPr>
        <w:instrText>ADDIN CSL_CITATION {"citationItems":[{"id":"ITEM-1","itemData":{"DOI":"10.1111/imcb.12038","ISSN":"1440-1711","PMID":"29575270","abstract":"Colorectal cancer (CRC) is one of the most prevalent cancers worldwide with rising mortality rates predicted in the coming decades. In light of this, there is a continued need for improvement in our understanding of CRC biology and the development of novel treatment options. Tumor-derived extracellular vesicles (tEVs) have emerged as both novel cancer biomarkers and functional mediators of carcinogenesis. tEVs are released by tumor cells in abundance and play an important role in mediating tumor cell-immune cell interactions in the tumor microenvironment. Furthermore, tEVs are released into the circulation in humans where they could also interact with circulating immune cells. This review aims to describe CRC-specific tEVs and what is currently known about their role in immunomodulation. In particular, we discuss the ability of CRC-derived tEVs to affect monocyte differentiation into macrophages and dendritic cells, and their effects on T-cell viability and activity. Finally, the potential for tEVs in the development of immunotherapies will be discussed.","author":[{"dropping-particle":"","family":"Manning","given":"Stephanie","non-dropping-particle":"","parse-names":false,"suffix":""},{"dropping-particle":"","family":"Danielson","given":"Kirsty M.","non-dropping-particle":"","parse-names":false,"suffix":""}],"container-title":"Immunology and cell biology","id":"ITEM-1","issue":"7","issued":{"date-parts":[["2018","3"]]},"page":"733-741","title":"The immunomodulatory role of tumor-derived extracellular vesicles in colorectal cancer.","type":"article-journal","volume":"96"},"uris":["http://www.mendeley.com/documents/?uuid=23c2e877-b809-474e-81d9-525e76e8e908"]},{"id":"ITEM-2","itemData":{"DOI":"10.1016/j.ccell.2016.10.009","ISSN":"1878-3686","PMID":"27960084","abstract":"Tumor-secreted extracellular vesicles (EVs) are critical mediators of intercellular communication between tumor cells and stromal cells in local and distant microenvironments. Accordingly, EVs play an essential role in both primary tumor growth and metastatic evolution. EVs orchestrate multiple systemic pathophysiological processes, such as coagulation, vascular leakiness, and reprogramming of stromal recipient cells to support pre-metastatic niche formation and subsequent metastasis. Clinically, EVs may be biomarkers and novel therapeutic targets for cancer progression, particularly for predicting and preventing future metastatic development.","author":[{"dropping-particle":"","family":"Becker","given":"Annette","non-dropping-particle":"","parse-names":false,"suffix":""},{"dropping-particle":"","family":"Thakur","given":"Basant Kumar","non-dropping-particle":"","parse-names":false,"suffix":""},{"dropping-particle":"","family":"Weiss","given":"Joshua Mitchell","non-dropping-particle":"","parse-names":false,"suffix":""},{"dropping-particle":"","family":"Kim","given":"Han Sang","non-dropping-particle":"","parse-names":false,"suffix":""},{"dropping-particle":"","family":"Peinado","given":"Hector","non-dropping-particle":"","parse-names":false,"suffix":""},{"dropping-particle":"","family":"Lyden","given":"David","non-dropping-particle":"","parse-names":false,"suffix":""}],"container-title":"Cancer cell","id":"ITEM-2","issue":"6","issued":{"date-parts":[["2016","12"]]},"page":"836-848","title":"Extracellular Vesicles in Cancer: Cell-to-Cell Mediators of Metastasis.","type":"article-journal","volume":"30"},"uris":["http://www.mendeley.com/documents/?uuid=c8ba7ec9-ab5e-48a7-8d77-75c5a46e4656"]}],"mendeley":{"formattedCitation":"&lt;sup&gt;[35,36]&lt;/sup&gt;","plainTextFormattedCitation":"[35,36]","previouslyFormattedCitation":"&lt;sup&gt;[35,36]&lt;/sup&gt;"},"properties":{"noteIndex":0},"schema":"https://github.com/citation-style-language/schema/raw/master/csl-citation.json"}</w:instrText>
      </w:r>
      <w:r w:rsidR="003A5F0E" w:rsidRPr="00F06EA4">
        <w:rPr>
          <w:lang w:val="en-US"/>
        </w:rPr>
        <w:fldChar w:fldCharType="separate"/>
      </w:r>
      <w:r w:rsidR="00F45F97" w:rsidRPr="00F06EA4">
        <w:rPr>
          <w:noProof/>
          <w:vertAlign w:val="superscript"/>
          <w:lang w:val="en-US"/>
        </w:rPr>
        <w:t>[35,36]</w:t>
      </w:r>
      <w:r w:rsidR="003A5F0E" w:rsidRPr="00F06EA4">
        <w:rPr>
          <w:lang w:val="en-US"/>
        </w:rPr>
        <w:fldChar w:fldCharType="end"/>
      </w:r>
      <w:r w:rsidR="003A5F0E" w:rsidRPr="00F06EA4">
        <w:rPr>
          <w:lang w:val="en-US"/>
        </w:rPr>
        <w:t>.</w:t>
      </w:r>
      <w:r w:rsidR="001E6231" w:rsidRPr="00F06EA4">
        <w:rPr>
          <w:lang w:val="en-US"/>
        </w:rPr>
        <w:t xml:space="preserve"> They are </w:t>
      </w:r>
      <w:r w:rsidR="004E1500" w:rsidRPr="00F06EA4">
        <w:rPr>
          <w:lang w:val="en-US"/>
        </w:rPr>
        <w:t>a heterogen</w:t>
      </w:r>
      <w:r w:rsidR="002A65CE" w:rsidRPr="00F06EA4">
        <w:rPr>
          <w:lang w:val="en-US"/>
        </w:rPr>
        <w:t>e</w:t>
      </w:r>
      <w:r w:rsidR="004E1500" w:rsidRPr="00F06EA4">
        <w:rPr>
          <w:lang w:val="en-US"/>
        </w:rPr>
        <w:t xml:space="preserve">ous group of </w:t>
      </w:r>
      <w:r w:rsidR="0057080A" w:rsidRPr="00F06EA4">
        <w:rPr>
          <w:lang w:val="en-US"/>
        </w:rPr>
        <w:t>lipid bilayer-delimited particles released by tumor cell</w:t>
      </w:r>
      <w:r w:rsidR="004E1500" w:rsidRPr="00F06EA4">
        <w:rPr>
          <w:lang w:val="en-US"/>
        </w:rPr>
        <w:t>s</w:t>
      </w:r>
      <w:r w:rsidR="0057080A" w:rsidRPr="00F06EA4">
        <w:rPr>
          <w:lang w:val="en-US"/>
        </w:rPr>
        <w:t xml:space="preserve"> in</w:t>
      </w:r>
      <w:r w:rsidR="002A65CE" w:rsidRPr="00F06EA4">
        <w:rPr>
          <w:lang w:val="en-US"/>
        </w:rPr>
        <w:t xml:space="preserve"> the </w:t>
      </w:r>
      <w:r w:rsidR="0057080A" w:rsidRPr="00F06EA4">
        <w:rPr>
          <w:lang w:val="en-US"/>
        </w:rPr>
        <w:t>tumor microenvironment and into the circulation</w:t>
      </w:r>
      <w:r w:rsidR="00930A10" w:rsidRPr="00F06EA4">
        <w:rPr>
          <w:lang w:val="en-US"/>
        </w:rPr>
        <w:fldChar w:fldCharType="begin" w:fldLock="1"/>
      </w:r>
      <w:r w:rsidR="00F45F97" w:rsidRPr="00F06EA4">
        <w:rPr>
          <w:lang w:val="en-US"/>
        </w:rPr>
        <w:instrText>ADDIN CSL_CITATION {"citationItems":[{"id":"ITEM-1","itemData":{"DOI":"10.1111/imcb.12038","ISSN":"1440-1711","PMID":"29575270","abstract":"Colorectal cancer (CRC) is one of the most prevalent cancers worldwide with rising mortality rates predicted in the coming decades. In light of this, there is a continued need for improvement in our understanding of CRC biology and the development of novel treatment options. Tumor-derived extracellular vesicles (tEVs) have emerged as both novel cancer biomarkers and functional mediators of carcinogenesis. tEVs are released by tumor cells in abundance and play an important role in mediating tumor cell-immune cell interactions in the tumor microenvironment. Furthermore, tEVs are released into the circulation in humans where they could also interact with circulating immune cells. This review aims to describe CRC-specific tEVs and what is currently known about their role in immunomodulation. In particular, we discuss the ability of CRC-derived tEVs to affect monocyte differentiation into macrophages and dendritic cells, and their effects on T-cell viability and activity. Finally, the potential for tEVs in the development of immunotherapies will be discussed.","author":[{"dropping-particle":"","family":"Manning","given":"Stephanie","non-dropping-particle":"","parse-names":false,"suffix":""},{"dropping-particle":"","family":"Danielson","given":"Kirsty M.","non-dropping-particle":"","parse-names":false,"suffix":""}],"container-title":"Immunology and cell biology","id":"ITEM-1","issue":"7","issued":{"date-parts":[["2018","3"]]},"page":"733-741","title":"The immunomodulatory role of tumor-derived extracellular vesicles in colorectal cancer.","type":"article-journal","volume":"96"},"uris":["http://www.mendeley.com/documents/?uuid=23c2e877-b809-474e-81d9-525e76e8e908"]},{"id":"ITEM-2","itemData":{"DOI":"10.1016/j.ccell.2016.10.009","ISSN":"1878-3686","PMID":"27960084","abstract":"Tumor-secreted extracellular vesicles (EVs) are critical mediators of intercellular communication between tumor cells and stromal cells in local and distant microenvironments. Accordingly, EVs play an essential role in both primary tumor growth and metastatic evolution. EVs orchestrate multiple systemic pathophysiological processes, such as coagulation, vascular leakiness, and reprogramming of stromal recipient cells to support pre-metastatic niche formation and subsequent metastasis. Clinically, EVs may be biomarkers and novel therapeutic targets for cancer progression, particularly for predicting and preventing future metastatic development.","author":[{"dropping-particle":"","family":"Becker","given":"Annette","non-dropping-particle":"","parse-names":false,"suffix":""},{"dropping-particle":"","family":"Thakur","given":"Basant Kumar","non-dropping-particle":"","parse-names":false,"suffix":""},{"dropping-particle":"","family":"Weiss","given":"Joshua Mitchell","non-dropping-particle":"","parse-names":false,"suffix":""},{"dropping-particle":"","family":"Kim","given":"Han Sang","non-dropping-particle":"","parse-names":false,"suffix":""},{"dropping-particle":"","family":"Peinado","given":"Hector","non-dropping-particle":"","parse-names":false,"suffix":""},{"dropping-particle":"","family":"Lyden","given":"David","non-dropping-particle":"","parse-names":false,"suffix":""}],"container-title":"Cancer cell","id":"ITEM-2","issue":"6","issued":{"date-parts":[["2016","12"]]},"page":"836-848","title":"Extracellular Vesicles in Cancer: Cell-to-Cell Mediators of Metastasis.","type":"article-journal","volume":"30"},"uris":["http://www.mendeley.com/documents/?uuid=c8ba7ec9-ab5e-48a7-8d77-75c5a46e4656"]}],"mendeley":{"formattedCitation":"&lt;sup&gt;[35,36]&lt;/sup&gt;","plainTextFormattedCitation":"[35,36]","previouslyFormattedCitation":"&lt;sup&gt;[35,36]&lt;/sup&gt;"},"properties":{"noteIndex":0},"schema":"https://github.com/citation-style-language/schema/raw/master/csl-citation.json"}</w:instrText>
      </w:r>
      <w:r w:rsidR="00930A10" w:rsidRPr="00F06EA4">
        <w:rPr>
          <w:lang w:val="en-US"/>
        </w:rPr>
        <w:fldChar w:fldCharType="separate"/>
      </w:r>
      <w:r w:rsidR="00F45F97" w:rsidRPr="00F06EA4">
        <w:rPr>
          <w:noProof/>
          <w:vertAlign w:val="superscript"/>
          <w:lang w:val="en-US"/>
        </w:rPr>
        <w:t>[35,36]</w:t>
      </w:r>
      <w:r w:rsidR="00930A10" w:rsidRPr="00F06EA4">
        <w:rPr>
          <w:lang w:val="en-US"/>
        </w:rPr>
        <w:fldChar w:fldCharType="end"/>
      </w:r>
      <w:r w:rsidR="00930A10" w:rsidRPr="00F06EA4">
        <w:rPr>
          <w:lang w:val="en-US"/>
        </w:rPr>
        <w:t>.</w:t>
      </w:r>
      <w:r w:rsidR="00F275E8" w:rsidRPr="00F06EA4">
        <w:rPr>
          <w:lang w:val="en-US"/>
        </w:rPr>
        <w:t xml:space="preserve"> They have been implicated in a variety of functions in tumor progression, such as contributing to </w:t>
      </w:r>
      <w:r w:rsidR="005C5267" w:rsidRPr="00F06EA4">
        <w:rPr>
          <w:lang w:val="en-US"/>
        </w:rPr>
        <w:t xml:space="preserve">angiogenesis, </w:t>
      </w:r>
      <w:r w:rsidR="00F275E8" w:rsidRPr="00F06EA4">
        <w:rPr>
          <w:lang w:val="en-US"/>
        </w:rPr>
        <w:t xml:space="preserve">vascular leakiness, </w:t>
      </w:r>
      <w:r w:rsidR="005C5267" w:rsidRPr="00F06EA4">
        <w:rPr>
          <w:lang w:val="en-US"/>
        </w:rPr>
        <w:t xml:space="preserve">regulation of immune responses, </w:t>
      </w:r>
      <w:r w:rsidR="00F275E8" w:rsidRPr="00F06EA4">
        <w:rPr>
          <w:lang w:val="en-US"/>
        </w:rPr>
        <w:t>and reprogramming of stromal recipient cells</w:t>
      </w:r>
      <w:r w:rsidR="005C5267" w:rsidRPr="00F06EA4">
        <w:rPr>
          <w:lang w:val="en-US"/>
        </w:rPr>
        <w:t xml:space="preserve"> in subsequent metastatic areas</w:t>
      </w:r>
      <w:r w:rsidR="005B2A3B" w:rsidRPr="00F06EA4">
        <w:rPr>
          <w:lang w:val="en-US"/>
        </w:rPr>
        <w:fldChar w:fldCharType="begin" w:fldLock="1"/>
      </w:r>
      <w:r w:rsidR="00F45F97" w:rsidRPr="00F06EA4">
        <w:rPr>
          <w:lang w:val="en-US"/>
        </w:rPr>
        <w:instrText>ADDIN CSL_CITATION {"citationItems":[{"id":"ITEM-1","itemData":{"DOI":"10.1111/imcb.12038","ISSN":"1440-1711","PMID":"29575270","abstract":"Colorectal cancer (CRC) is one of the most prevalent cancers worldwide with rising mortality rates predicted in the coming decades. In light of this, there is a continued need for improvement in our understanding of CRC biology and the development of novel treatment options. Tumor-derived extracellular vesicles (tEVs) have emerged as both novel cancer biomarkers and functional mediators of carcinogenesis. tEVs are released by tumor cells in abundance and play an important role in mediating tumor cell-immune cell interactions in the tumor microenvironment. Furthermore, tEVs are released into the circulation in humans where they could also interact with circulating immune cells. This review aims to describe CRC-specific tEVs and what is currently known about their role in immunomodulation. In particular, we discuss the ability of CRC-derived tEVs to affect monocyte differentiation into macrophages and dendritic cells, and their effects on T-cell viability and activity. Finally, the potential for tEVs in the development of immunotherapies will be discussed.","author":[{"dropping-particle":"","family":"Manning","given":"Stephanie","non-dropping-particle":"","parse-names":false,"suffix":""},{"dropping-particle":"","family":"Danielson","given":"Kirsty M.","non-dropping-particle":"","parse-names":false,"suffix":""}],"container-title":"Immunology and cell biology","id":"ITEM-1","issue":"7","issued":{"date-parts":[["2018","3"]]},"page":"733-741","title":"The immunomodulatory role of tumor-derived extracellular vesicles in colorectal cancer.","type":"article-journal","volume":"96"},"uris":["http://www.mendeley.com/documents/?uuid=23c2e877-b809-474e-81d9-525e76e8e908"]},{"id":"ITEM-2","itemData":{"DOI":"10.1016/j.ccell.2016.10.009","ISSN":"1878-3686","PMID":"27960084","abstract":"Tumor-secreted extracellular vesicles (EVs) are critical mediators of intercellular communication between tumor cells and stromal cells in local and distant microenvironments. Accordingly, EVs play an essential role in both primary tumor growth and metastatic evolution. EVs orchestrate multiple systemic pathophysiological processes, such as coagulation, vascular leakiness, and reprogramming of stromal recipient cells to support pre-metastatic niche formation and subsequent metastasis. Clinically, EVs may be biomarkers and novel therapeutic targets for cancer progression, particularly for predicting and preventing future metastatic development.","author":[{"dropping-particle":"","family":"Becker","given":"Annette","non-dropping-particle":"","parse-names":false,"suffix":""},{"dropping-particle":"","family":"Thakur","given":"Basant Kumar","non-dropping-particle":"","parse-names":false,"suffix":""},{"dropping-particle":"","family":"Weiss","given":"Joshua Mitchell","non-dropping-particle":"","parse-names":false,"suffix":""},{"dropping-particle":"","family":"Kim","given":"Han Sang","non-dropping-particle":"","parse-names":false,"suffix":""},{"dropping-particle":"","family":"Peinado","given":"Hector","non-dropping-particle":"","parse-names":false,"suffix":""},{"dropping-particle":"","family":"Lyden","given":"David","non-dropping-particle":"","parse-names":false,"suffix":""}],"container-title":"Cancer cell","id":"ITEM-2","issue":"6","issued":{"date-parts":[["2016","12"]]},"page":"836-848","title":"Extracellular Vesicles in Cancer: Cell-to-Cell Mediators of Metastasis.","type":"article-journal","volume":"30"},"uris":["http://www.mendeley.com/documents/?uuid=c8ba7ec9-ab5e-48a7-8d77-75c5a46e4656"]}],"mendeley":{"formattedCitation":"&lt;sup&gt;[35,36]&lt;/sup&gt;","plainTextFormattedCitation":"[35,36]","previouslyFormattedCitation":"&lt;sup&gt;[35,36]&lt;/sup&gt;"},"properties":{"noteIndex":0},"schema":"https://github.com/citation-style-language/schema/raw/master/csl-citation.json"}</w:instrText>
      </w:r>
      <w:r w:rsidR="005B2A3B" w:rsidRPr="00F06EA4">
        <w:rPr>
          <w:lang w:val="en-US"/>
        </w:rPr>
        <w:fldChar w:fldCharType="separate"/>
      </w:r>
      <w:r w:rsidR="00F45F97" w:rsidRPr="00F06EA4">
        <w:rPr>
          <w:noProof/>
          <w:vertAlign w:val="superscript"/>
          <w:lang w:val="en-US"/>
        </w:rPr>
        <w:t>[35,36]</w:t>
      </w:r>
      <w:r w:rsidR="005B2A3B" w:rsidRPr="00F06EA4">
        <w:rPr>
          <w:lang w:val="en-US"/>
        </w:rPr>
        <w:fldChar w:fldCharType="end"/>
      </w:r>
      <w:r w:rsidR="005B2A3B" w:rsidRPr="00F06EA4">
        <w:rPr>
          <w:lang w:val="en-US"/>
        </w:rPr>
        <w:t xml:space="preserve">. Based on their size and contents, they can be divided into </w:t>
      </w:r>
      <w:r w:rsidR="005B3B83" w:rsidRPr="00F06EA4">
        <w:rPr>
          <w:lang w:val="en-US"/>
        </w:rPr>
        <w:t xml:space="preserve">subcategories, such as </w:t>
      </w:r>
      <w:r w:rsidR="002B3CC5" w:rsidRPr="00F06EA4">
        <w:rPr>
          <w:lang w:val="en-US"/>
        </w:rPr>
        <w:t xml:space="preserve">microvesicles, exosomes, ectosomes, </w:t>
      </w:r>
      <w:r w:rsidR="005B3B83" w:rsidRPr="00F06EA4">
        <w:rPr>
          <w:lang w:val="en-US"/>
        </w:rPr>
        <w:t xml:space="preserve">and </w:t>
      </w:r>
      <w:r w:rsidR="002B3CC5" w:rsidRPr="00F06EA4">
        <w:rPr>
          <w:lang w:val="en-US"/>
        </w:rPr>
        <w:t>oncosomes</w:t>
      </w:r>
      <w:r w:rsidR="005B3B83" w:rsidRPr="00F06EA4">
        <w:rPr>
          <w:lang w:val="en-US"/>
        </w:rPr>
        <w:t>.</w:t>
      </w:r>
    </w:p>
    <w:p w14:paraId="71CCCC98" w14:textId="622CAC4F" w:rsidR="00B42585" w:rsidRPr="00F06EA4" w:rsidRDefault="00B42585" w:rsidP="00F67ED8">
      <w:pPr>
        <w:spacing w:after="0"/>
        <w:ind w:firstLineChars="100" w:firstLine="240"/>
        <w:rPr>
          <w:lang w:val="en-US"/>
        </w:rPr>
      </w:pPr>
      <w:r w:rsidRPr="00F06EA4">
        <w:rPr>
          <w:lang w:val="en-US"/>
        </w:rPr>
        <w:t xml:space="preserve">The contents of </w:t>
      </w:r>
      <w:r w:rsidR="002A65CE" w:rsidRPr="00F06EA4">
        <w:rPr>
          <w:lang w:val="en-US"/>
        </w:rPr>
        <w:t>tumor-</w:t>
      </w:r>
      <w:r w:rsidRPr="00F06EA4">
        <w:rPr>
          <w:lang w:val="en-US"/>
        </w:rPr>
        <w:t>derived extracellular vesicles can be highly variabl</w:t>
      </w:r>
      <w:r w:rsidR="008D7D4D" w:rsidRPr="00F06EA4">
        <w:rPr>
          <w:lang w:val="en-US"/>
        </w:rPr>
        <w:t>e. For example, they have been reported to contain</w:t>
      </w:r>
      <w:r w:rsidR="00D82BD9" w:rsidRPr="00F06EA4">
        <w:rPr>
          <w:lang w:val="en-US"/>
        </w:rPr>
        <w:t xml:space="preserve"> immunosuppressive </w:t>
      </w:r>
      <w:r w:rsidR="00E26292" w:rsidRPr="00F06EA4">
        <w:rPr>
          <w:lang w:val="en-US"/>
        </w:rPr>
        <w:t>proteins</w:t>
      </w:r>
      <w:r w:rsidR="00D82BD9" w:rsidRPr="00F06EA4">
        <w:rPr>
          <w:lang w:val="en-US"/>
        </w:rPr>
        <w:t xml:space="preserve"> such as</w:t>
      </w:r>
      <w:r w:rsidR="008D7D4D" w:rsidRPr="00F06EA4">
        <w:rPr>
          <w:lang w:val="en-US"/>
        </w:rPr>
        <w:t xml:space="preserve"> TGFB</w:t>
      </w:r>
      <w:r w:rsidR="004F4CD0" w:rsidRPr="00F06EA4">
        <w:rPr>
          <w:lang w:val="en-US"/>
        </w:rPr>
        <w:fldChar w:fldCharType="begin" w:fldLock="1"/>
      </w:r>
      <w:r w:rsidR="008413B5" w:rsidRPr="00F06EA4">
        <w:rPr>
          <w:lang w:val="en-US"/>
        </w:rPr>
        <w:instrText>ADDIN CSL_CITATION {"citationItems":[{"id":"ITEM-1","itemData":{"DOI":"10.18632/oncotarget.7041","ISSN":"1949-2553","PMID":"27081032","abstract":"Emerging studies on tumor cell-derived extracellular vesicles (EVs) have shown the biological significance in tumor development and microenvironment through reprogramming immune cells around cancer cells. In this study, we used colorectal cancer cells as EVs donor, and T cells as recipients to examine whether EVs impair the T cell function. As a result, we found that colorectal cancer cell-derived EVs (CRC-EVs) were enriched with TGF-β1. Interestingly, CRC-EVs induced phenotypic alteration of the T cells to Treg-like cells through activating TGF-β/Smad signaling and inactivating SAPK signaling. Furthermore, the CRC-EVs-induced-Treg-like cells had a remarkable tumor-growth promoting activity in vitro and in vivo. These results suggest that colorectal cancer cells utilize EVs to tame immune cells for their prosperity.","author":[{"dropping-particle":"","family":"Yamada","given":"Nami","non-dropping-particle":"","parse-names":false,"suffix":""},{"dropping-particle":"","family":"Kuranaga","given":"Yuki","non-dropping-particle":"","parse-names":false,"suffix":""},{"dropping-particle":"","family":"Kumazaki","given":"Minami","non-dropping-particle":"","parse-names":false,"suffix":""},{"dropping-particle":"","family":"Shinohara","given":"Haruka","non-dropping-particle":"","parse-names":false,"suffix":""},{"dropping-particle":"","family":"Taniguchi","given":"Kohei","non-dropping-particle":"","parse-names":false,"suffix":""},{"dropping-particle":"","family":"Akao","given":"Yukihiro","non-dropping-particle":"","parse-names":false,"suffix":""}],"container-title":"Oncotarget","id":"ITEM-1","issue":"19","issued":{"date-parts":[["2016","5","10"]]},"page":"27033-43","title":"Colorectal cancer cell-derived extracellular vesicles induce phenotypic alteration of T cells into tumor-growth supporting cells with transforming growth factor-β1-mediated suppression.","type":"article-journal","volume":"7"},"uris":["http://www.mendeley.com/documents/?uuid=b146e6bb-e6ea-4807-a97a-fd1b7730c0f1"]},{"id":"ITEM-2","itemData":{"DOI":"10.1002/ijc.30496","ISSN":"1097-0215","PMID":"27813080","abstract":"Tumor cells of colorectal cancer (CRC) release exosomes into the circulation. These exosomes can mediate communication between cells and affect various tumor-related processes in their target cells. We present a quantitative proteomics analysis of the exosomes purified from serum of patients with CRC and normal volunteers; data are available via ProteomeXchange with identifier PXD003875. We identified 918 proteins with an overlap of 725 Gene IDs in the Exocarta proteins list. Compared with the serum-purified exosomes (SPEs) of normal volunteers, we found 36 proteins upregulated and 22 proteins downregulated in the SPEs of CRC patients. Bioinformatics analysis revealed that upregulated proteins are involved in processes that modulate the pretumorigenic microenvironment for metastasis. In contrast, differentially expressed proteins (DEPs) that play critical roles in tumor growth and cell survival were principally downregulated. Our study demonstrates that SPEs of CRC patients play a pivotal role in promoting the tumor invasiveness, but have minimal influence on putative alterations in tumor survival or proliferation. According to bioinformatics analysis, we speculate that the protein contents of exosomes might be associated with whether they are involved in premetastatic niche establishment or growth and survival of metastatic tumor cells. This information will be helpful in elucidating the pathophysiological functions of tumor-derived exosomes, and aid in the development of CRC diagnostics and therapeutics.","author":[{"dropping-particle":"","family":"Chen","given":"Yanyu","non-dropping-particle":"","parse-names":false,"suffix":""},{"dropping-particle":"","family":"Xie","given":"Yong","non-dropping-particle":"","parse-names":false,"suffix":""},{"dropping-particle":"","family":"Xu","given":"Lai","non-dropping-particle":"","parse-names":false,"suffix":""},{"dropping-particle":"","family":"Zhan","given":"Shaohua","non-dropping-particle":"","parse-names":false,"suffix":""},{"dropping-particle":"","family":"Xiao","given":"Yi","non-dropping-particle":"","parse-names":false,"suffix":""},{"dropping-particle":"","family":"Gao","given":"Yanpan","non-dropping-particle":"","parse-names":false,"suffix":""},{"dropping-particle":"","family":"Wu","given":"Bin","non-dropping-particle":"","parse-names":false,"suffix":""},{"dropping-particle":"","family":"Ge","given":"Wei","non-dropping-particle":"","parse-names":false,"suffix":""}],"container-title":"International journal of cancer","id":"ITEM-2","issue":"4","issued":{"date-parts":[["2017"]]},"page":"900-913","title":"Protein content and functional characteristics of serum-purified exosomes from patients with colorectal cancer revealed by quantitative proteomics.","type":"article-journal","volume":"140"},"uris":["http://www.mendeley.com/documents/?uuid=977c6c6b-0a7c-4589-8aba-43a1932aae29"]}],"mendeley":{"formattedCitation":"&lt;sup&gt;[37,38]&lt;/sup&gt;","plainTextFormattedCitation":"[37,38]","previouslyFormattedCitation":"&lt;sup&gt;[37,38]&lt;/sup&gt;"},"properties":{"noteIndex":0},"schema":"https://github.com/citation-style-language/schema/raw/master/csl-citation.json"}</w:instrText>
      </w:r>
      <w:r w:rsidR="004F4CD0" w:rsidRPr="00F06EA4">
        <w:rPr>
          <w:lang w:val="en-US"/>
        </w:rPr>
        <w:fldChar w:fldCharType="separate"/>
      </w:r>
      <w:r w:rsidR="00F45F97" w:rsidRPr="00F06EA4">
        <w:rPr>
          <w:noProof/>
          <w:vertAlign w:val="superscript"/>
          <w:lang w:val="en-US"/>
        </w:rPr>
        <w:t>[37,38]</w:t>
      </w:r>
      <w:r w:rsidR="004F4CD0" w:rsidRPr="00F06EA4">
        <w:rPr>
          <w:lang w:val="en-US"/>
        </w:rPr>
        <w:fldChar w:fldCharType="end"/>
      </w:r>
      <w:r w:rsidR="008D7D4D" w:rsidRPr="00F06EA4">
        <w:rPr>
          <w:lang w:val="en-US"/>
        </w:rPr>
        <w:t>,</w:t>
      </w:r>
      <w:r w:rsidR="00E42396" w:rsidRPr="00F06EA4">
        <w:rPr>
          <w:lang w:val="en-US"/>
        </w:rPr>
        <w:t xml:space="preserve"> </w:t>
      </w:r>
      <w:r w:rsidR="00E42396" w:rsidRPr="00F06EA4">
        <w:rPr>
          <w:lang w:val="en-US"/>
        </w:rPr>
        <w:lastRenderedPageBreak/>
        <w:t>protease enzymes such as MMP9</w:t>
      </w:r>
      <w:r w:rsidR="00E42396" w:rsidRPr="00F06EA4">
        <w:rPr>
          <w:lang w:val="en-US"/>
        </w:rPr>
        <w:fldChar w:fldCharType="begin" w:fldLock="1"/>
      </w:r>
      <w:r w:rsidR="00F45F97" w:rsidRPr="00F06EA4">
        <w:rPr>
          <w:lang w:val="en-US"/>
        </w:rPr>
        <w:instrText>ADDIN CSL_CITATION {"citationItems":[{"id":"ITEM-1","itemData":{"DOI":"10.1002/ijc.30496","ISSN":"1097-0215","PMID":"27813080","abstract":"Tumor cells of colorectal cancer (CRC) release exosomes into the circulation. These exosomes can mediate communication between cells and affect various tumor-related processes in their target cells. We present a quantitative proteomics analysis of the exosomes purified from serum of patients with CRC and normal volunteers; data are available via ProteomeXchange with identifier PXD003875. We identified 918 proteins with an overlap of 725 Gene IDs in the Exocarta proteins list. Compared with the serum-purified exosomes (SPEs) of normal volunteers, we found 36 proteins upregulated and 22 proteins downregulated in the SPEs of CRC patients. Bioinformatics analysis revealed that upregulated proteins are involved in processes that modulate the pretumorigenic microenvironment for metastasis. In contrast, differentially expressed proteins (DEPs) that play critical roles in tumor growth and cell survival were principally downregulated. Our study demonstrates that SPEs of CRC patients play a pivotal role in promoting the tumor invasiveness, but have minimal influence on putative alterations in tumor survival or proliferation. According to bioinformatics analysis, we speculate that the protein contents of exosomes might be associated with whether they are involved in premetastatic niche establishment or growth and survival of metastatic tumor cells. This information will be helpful in elucidating the pathophysiological functions of tumor-derived exosomes, and aid in the development of CRC diagnostics and therapeutics.","author":[{"dropping-particle":"","family":"Chen","given":"Yanyu","non-dropping-particle":"","parse-names":false,"suffix":""},{"dropping-particle":"","family":"Xie","given":"Yong","non-dropping-particle":"","parse-names":false,"suffix":""},{"dropping-particle":"","family":"Xu","given":"Lai","non-dropping-particle":"","parse-names":false,"suffix":""},{"dropping-particle":"","family":"Zhan","given":"Shaohua","non-dropping-particle":"","parse-names":false,"suffix":""},{"dropping-particle":"","family":"Xiao","given":"Yi","non-dropping-particle":"","parse-names":false,"suffix":""},{"dropping-particle":"","family":"Gao","given":"Yanpan","non-dropping-particle":"","parse-names":false,"suffix":""},{"dropping-particle":"","family":"Wu","given":"Bin","non-dropping-particle":"","parse-names":false,"suffix":""},{"dropping-particle":"","family":"Ge","given":"Wei","non-dropping-particle":"","parse-names":false,"suffix":""}],"container-title":"International journal of cancer","id":"ITEM-1","issue":"4","issued":{"date-parts":[["2017"]]},"page":"900-913","title":"Protein content and functional characteristics of serum-purified exosomes from patients with colorectal cancer revealed by quantitative proteomics.","type":"article-journal","volume":"140"},"uris":["http://www.mendeley.com/documents/?uuid=977c6c6b-0a7c-4589-8aba-43a1932aae29"]}],"mendeley":{"formattedCitation":"&lt;sup&gt;[38]&lt;/sup&gt;","plainTextFormattedCitation":"[38]","previouslyFormattedCitation":"&lt;sup&gt;[38]&lt;/sup&gt;"},"properties":{"noteIndex":0},"schema":"https://github.com/citation-style-language/schema/raw/master/csl-citation.json"}</w:instrText>
      </w:r>
      <w:r w:rsidR="00E42396" w:rsidRPr="00F06EA4">
        <w:rPr>
          <w:lang w:val="en-US"/>
        </w:rPr>
        <w:fldChar w:fldCharType="separate"/>
      </w:r>
      <w:r w:rsidR="00F45F97" w:rsidRPr="00F06EA4">
        <w:rPr>
          <w:noProof/>
          <w:vertAlign w:val="superscript"/>
          <w:lang w:val="en-US"/>
        </w:rPr>
        <w:t>[38]</w:t>
      </w:r>
      <w:r w:rsidR="00E42396" w:rsidRPr="00F06EA4">
        <w:rPr>
          <w:lang w:val="en-US"/>
        </w:rPr>
        <w:fldChar w:fldCharType="end"/>
      </w:r>
      <w:r w:rsidR="00E42396" w:rsidRPr="00F06EA4">
        <w:rPr>
          <w:lang w:val="en-US"/>
        </w:rPr>
        <w:t>,</w:t>
      </w:r>
      <w:r w:rsidR="00D82BD9" w:rsidRPr="00F06EA4">
        <w:rPr>
          <w:lang w:val="en-US"/>
        </w:rPr>
        <w:t xml:space="preserve"> and </w:t>
      </w:r>
      <w:r w:rsidR="00520A72" w:rsidRPr="00F06EA4">
        <w:rPr>
          <w:lang w:val="en-US"/>
        </w:rPr>
        <w:t>growth factors such as IGF1</w:t>
      </w:r>
      <w:r w:rsidR="00941A7E" w:rsidRPr="00F06EA4">
        <w:rPr>
          <w:lang w:val="en-US"/>
        </w:rPr>
        <w:fldChar w:fldCharType="begin" w:fldLock="1"/>
      </w:r>
      <w:r w:rsidR="00F45F97" w:rsidRPr="00F06EA4">
        <w:rPr>
          <w:lang w:val="en-US"/>
        </w:rPr>
        <w:instrText>ADDIN CSL_CITATION {"citationItems":[{"id":"ITEM-1","itemData":{"DOI":"10.1002/ijc.30496","ISSN":"1097-0215","PMID":"27813080","abstract":"Tumor cells of colorectal cancer (CRC) release exosomes into the circulation. These exosomes can mediate communication between cells and affect various tumor-related processes in their target cells. We present a quantitative proteomics analysis of the exosomes purified from serum of patients with CRC and normal volunteers; data are available via ProteomeXchange with identifier PXD003875. We identified 918 proteins with an overlap of 725 Gene IDs in the Exocarta proteins list. Compared with the serum-purified exosomes (SPEs) of normal volunteers, we found 36 proteins upregulated and 22 proteins downregulated in the SPEs of CRC patients. Bioinformatics analysis revealed that upregulated proteins are involved in processes that modulate the pretumorigenic microenvironment for metastasis. In contrast, differentially expressed proteins (DEPs) that play critical roles in tumor growth and cell survival were principally downregulated. Our study demonstrates that SPEs of CRC patients play a pivotal role in promoting the tumor invasiveness, but have minimal influence on putative alterations in tumor survival or proliferation. According to bioinformatics analysis, we speculate that the protein contents of exosomes might be associated with whether they are involved in premetastatic niche establishment or growth and survival of metastatic tumor cells. This information will be helpful in elucidating the pathophysiological functions of tumor-derived exosomes, and aid in the development of CRC diagnostics and therapeutics.","author":[{"dropping-particle":"","family":"Chen","given":"Yanyu","non-dropping-particle":"","parse-names":false,"suffix":""},{"dropping-particle":"","family":"Xie","given":"Yong","non-dropping-particle":"","parse-names":false,"suffix":""},{"dropping-particle":"","family":"Xu","given":"Lai","non-dropping-particle":"","parse-names":false,"suffix":""},{"dropping-particle":"","family":"Zhan","given":"Shaohua","non-dropping-particle":"","parse-names":false,"suffix":""},{"dropping-particle":"","family":"Xiao","given":"Yi","non-dropping-particle":"","parse-names":false,"suffix":""},{"dropping-particle":"","family":"Gao","given":"Yanpan","non-dropping-particle":"","parse-names":false,"suffix":""},{"dropping-particle":"","family":"Wu","given":"Bin","non-dropping-particle":"","parse-names":false,"suffix":""},{"dropping-particle":"","family":"Ge","given":"Wei","non-dropping-particle":"","parse-names":false,"suffix":""}],"container-title":"International journal of cancer","id":"ITEM-1","issue":"4","issued":{"date-parts":[["2017"]]},"page":"900-913","title":"Protein content and functional characteristics of serum-purified exosomes from patients with colorectal cancer revealed by quantitative proteomics.","type":"article-journal","volume":"140"},"uris":["http://www.mendeley.com/documents/?uuid=977c6c6b-0a7c-4589-8aba-43a1932aae29"]}],"mendeley":{"formattedCitation":"&lt;sup&gt;[38]&lt;/sup&gt;","plainTextFormattedCitation":"[38]","previouslyFormattedCitation":"&lt;sup&gt;[38]&lt;/sup&gt;"},"properties":{"noteIndex":0},"schema":"https://github.com/citation-style-language/schema/raw/master/csl-citation.json"}</w:instrText>
      </w:r>
      <w:r w:rsidR="00941A7E" w:rsidRPr="00F06EA4">
        <w:rPr>
          <w:lang w:val="en-US"/>
        </w:rPr>
        <w:fldChar w:fldCharType="separate"/>
      </w:r>
      <w:r w:rsidR="00F45F97" w:rsidRPr="00F06EA4">
        <w:rPr>
          <w:noProof/>
          <w:vertAlign w:val="superscript"/>
          <w:lang w:val="en-US"/>
        </w:rPr>
        <w:t>[38]</w:t>
      </w:r>
      <w:r w:rsidR="00941A7E" w:rsidRPr="00F06EA4">
        <w:rPr>
          <w:lang w:val="en-US"/>
        </w:rPr>
        <w:fldChar w:fldCharType="end"/>
      </w:r>
      <w:r w:rsidR="0011262B" w:rsidRPr="00F06EA4">
        <w:rPr>
          <w:lang w:val="en-US"/>
        </w:rPr>
        <w:t>.</w:t>
      </w:r>
      <w:r w:rsidR="00D82BD9" w:rsidRPr="00F06EA4">
        <w:rPr>
          <w:lang w:val="en-US"/>
        </w:rPr>
        <w:t xml:space="preserve"> </w:t>
      </w:r>
      <w:r w:rsidR="0069504F" w:rsidRPr="00F06EA4">
        <w:rPr>
          <w:lang w:val="en-US"/>
        </w:rPr>
        <w:t>Moreover</w:t>
      </w:r>
      <w:r w:rsidR="007044C9" w:rsidRPr="00F06EA4">
        <w:rPr>
          <w:lang w:val="en-US"/>
        </w:rPr>
        <w:t>, nucleic acids</w:t>
      </w:r>
      <w:r w:rsidR="00EA7690" w:rsidRPr="00F06EA4">
        <w:rPr>
          <w:lang w:val="en-US"/>
        </w:rPr>
        <w:t xml:space="preserve"> (mi</w:t>
      </w:r>
      <w:r w:rsidR="00201AFB" w:rsidRPr="00F06EA4">
        <w:rPr>
          <w:lang w:val="en-US"/>
        </w:rPr>
        <w:t xml:space="preserve">cro </w:t>
      </w:r>
      <w:r w:rsidR="00EA7690" w:rsidRPr="00F06EA4">
        <w:rPr>
          <w:lang w:val="en-US"/>
        </w:rPr>
        <w:t>RNAs</w:t>
      </w:r>
      <w:r w:rsidR="00CC32A7" w:rsidRPr="00F06EA4">
        <w:rPr>
          <w:lang w:val="en-US"/>
        </w:rPr>
        <w:t>, miRNAs;</w:t>
      </w:r>
      <w:r w:rsidR="00EA7690" w:rsidRPr="00F06EA4">
        <w:rPr>
          <w:lang w:val="en-US"/>
        </w:rPr>
        <w:t xml:space="preserve"> and </w:t>
      </w:r>
      <w:r w:rsidR="00201AFB" w:rsidRPr="00F06EA4">
        <w:rPr>
          <w:lang w:val="en-US"/>
        </w:rPr>
        <w:t>long non</w:t>
      </w:r>
      <w:r w:rsidR="00FA49BF" w:rsidRPr="00F06EA4">
        <w:rPr>
          <w:lang w:val="en-US"/>
        </w:rPr>
        <w:t>-</w:t>
      </w:r>
      <w:r w:rsidR="00201AFB" w:rsidRPr="00F06EA4">
        <w:rPr>
          <w:lang w:val="en-US"/>
        </w:rPr>
        <w:t>coding RNAs</w:t>
      </w:r>
      <w:r w:rsidR="00821D1F" w:rsidRPr="00F06EA4">
        <w:rPr>
          <w:lang w:val="en-US"/>
        </w:rPr>
        <w:t>, lncRNAs</w:t>
      </w:r>
      <w:r w:rsidR="00201AFB" w:rsidRPr="00F06EA4">
        <w:rPr>
          <w:lang w:val="en-US"/>
        </w:rPr>
        <w:t>)</w:t>
      </w:r>
      <w:r w:rsidR="007044C9" w:rsidRPr="00F06EA4">
        <w:rPr>
          <w:lang w:val="en-US"/>
        </w:rPr>
        <w:t xml:space="preserve"> </w:t>
      </w:r>
      <w:r w:rsidR="00201AFB" w:rsidRPr="00F06EA4">
        <w:rPr>
          <w:lang w:val="en-US"/>
        </w:rPr>
        <w:t xml:space="preserve">can be found </w:t>
      </w:r>
      <w:r w:rsidR="007044C9" w:rsidRPr="00F06EA4">
        <w:rPr>
          <w:lang w:val="en-US"/>
        </w:rPr>
        <w:t xml:space="preserve">in </w:t>
      </w:r>
      <w:r w:rsidR="002A65CE" w:rsidRPr="00F06EA4">
        <w:rPr>
          <w:lang w:val="en-US"/>
        </w:rPr>
        <w:t>tumor-</w:t>
      </w:r>
      <w:r w:rsidR="007044C9" w:rsidRPr="00F06EA4">
        <w:rPr>
          <w:lang w:val="en-US"/>
        </w:rPr>
        <w:t>derived extracellular vesicles</w:t>
      </w:r>
      <w:r w:rsidR="00201AFB" w:rsidRPr="00F06EA4">
        <w:rPr>
          <w:lang w:val="en-US"/>
        </w:rPr>
        <w:t xml:space="preserve">, and these can contribute to </w:t>
      </w:r>
      <w:r w:rsidR="00FA49BF" w:rsidRPr="00F06EA4">
        <w:rPr>
          <w:lang w:val="en-US"/>
        </w:rPr>
        <w:t>tumor</w:t>
      </w:r>
      <w:r w:rsidR="002032BE" w:rsidRPr="00F06EA4">
        <w:rPr>
          <w:lang w:val="en-US"/>
        </w:rPr>
        <w:t xml:space="preserve"> cell</w:t>
      </w:r>
      <w:r w:rsidR="00767037" w:rsidRPr="00F06EA4">
        <w:rPr>
          <w:lang w:val="en-US"/>
        </w:rPr>
        <w:t xml:space="preserve"> and stromal cell</w:t>
      </w:r>
      <w:r w:rsidR="00FA49BF" w:rsidRPr="00F06EA4">
        <w:rPr>
          <w:lang w:val="en-US"/>
        </w:rPr>
        <w:t xml:space="preserve"> proliferation</w:t>
      </w:r>
      <w:r w:rsidR="00767037" w:rsidRPr="00F06EA4">
        <w:rPr>
          <w:lang w:val="en-US"/>
        </w:rPr>
        <w:t xml:space="preserve"> and</w:t>
      </w:r>
      <w:r w:rsidR="00FA49BF" w:rsidRPr="00F06EA4">
        <w:rPr>
          <w:lang w:val="en-US"/>
        </w:rPr>
        <w:t xml:space="preserve"> apoptosis, and the regulation of immune responses against </w:t>
      </w:r>
      <w:r w:rsidR="002A65CE" w:rsidRPr="00F06EA4">
        <w:rPr>
          <w:lang w:val="en-US"/>
        </w:rPr>
        <w:t xml:space="preserve">the </w:t>
      </w:r>
      <w:r w:rsidR="00FA49BF" w:rsidRPr="00F06EA4">
        <w:rPr>
          <w:lang w:val="en-US"/>
        </w:rPr>
        <w:t>tumor</w:t>
      </w:r>
      <w:r w:rsidR="00FA49BF" w:rsidRPr="00F06EA4">
        <w:rPr>
          <w:lang w:val="en-US"/>
        </w:rPr>
        <w:fldChar w:fldCharType="begin" w:fldLock="1"/>
      </w:r>
      <w:r w:rsidR="00F45F97" w:rsidRPr="00F06EA4">
        <w:rPr>
          <w:lang w:val="en-US"/>
        </w:rPr>
        <w:instrText>ADDIN CSL_CITATION {"citationItems":[{"id":"ITEM-1","itemData":{"DOI":"10.1111/imcb.12038","ISSN":"1440-1711","PMID":"29575270","abstract":"Colorectal cancer (CRC) is one of the most prevalent cancers worldwide with rising mortality rates predicted in the coming decades. In light of this, there is a continued need for improvement in our understanding of CRC biology and the development of novel treatment options. Tumor-derived extracellular vesicles (tEVs) have emerged as both novel cancer biomarkers and functional mediators of carcinogenesis. tEVs are released by tumor cells in abundance and play an important role in mediating tumor cell-immune cell interactions in the tumor microenvironment. Furthermore, tEVs are released into the circulation in humans where they could also interact with circulating immune cells. This review aims to describe CRC-specific tEVs and what is currently known about their role in immunomodulation. In particular, we discuss the ability of CRC-derived tEVs to affect monocyte differentiation into macrophages and dendritic cells, and their effects on T-cell viability and activity. Finally, the potential for tEVs in the development of immunotherapies will be discussed.","author":[{"dropping-particle":"","family":"Manning","given":"Stephanie","non-dropping-particle":"","parse-names":false,"suffix":""},{"dropping-particle":"","family":"Danielson","given":"Kirsty M.","non-dropping-particle":"","parse-names":false,"suffix":""}],"container-title":"Immunology and cell biology","id":"ITEM-1","issue":"7","issued":{"date-parts":[["2018","3"]]},"page":"733-741","title":"The immunomodulatory role of tumor-derived extracellular vesicles in colorectal cancer.","type":"article-journal","volume":"96"},"uris":["http://www.mendeley.com/documents/?uuid=23c2e877-b809-474e-81d9-525e76e8e908"]},{"id":"ITEM-2","itemData":{"DOI":"10.1016/j.ccell.2016.10.009","ISSN":"1878-3686","PMID":"27960084","abstract":"Tumor-secreted extracellular vesicles (EVs) are critical mediators of intercellular communication between tumor cells and stromal cells in local and distant microenvironments. Accordingly, EVs play an essential role in both primary tumor growth and metastatic evolution. EVs orchestrate multiple systemic pathophysiological processes, such as coagulation, vascular leakiness, and reprogramming of stromal recipient cells to support pre-metastatic niche formation and subsequent metastasis. Clinically, EVs may be biomarkers and novel therapeutic targets for cancer progression, particularly for predicting and preventing future metastatic development.","author":[{"dropping-particle":"","family":"Becker","given":"Annette","non-dropping-particle":"","parse-names":false,"suffix":""},{"dropping-particle":"","family":"Thakur","given":"Basant Kumar","non-dropping-particle":"","parse-names":false,"suffix":""},{"dropping-particle":"","family":"Weiss","given":"Joshua Mitchell","non-dropping-particle":"","parse-names":false,"suffix":""},{"dropping-particle":"","family":"Kim","given":"Han Sang","non-dropping-particle":"","parse-names":false,"suffix":""},{"dropping-particle":"","family":"Peinado","given":"Hector","non-dropping-particle":"","parse-names":false,"suffix":""},{"dropping-particle":"","family":"Lyden","given":"David","non-dropping-particle":"","parse-names":false,"suffix":""}],"container-title":"Cancer cell","id":"ITEM-2","issue":"6","issued":{"date-parts":[["2016","12"]]},"page":"836-848","title":"Extracellular Vesicles in Cancer: Cell-to-Cell Mediators of Metastasis.","type":"article-journal","volume":"30"},"uris":["http://www.mendeley.com/documents/?uuid=c8ba7ec9-ab5e-48a7-8d77-75c5a46e4656"]}],"mendeley":{"formattedCitation":"&lt;sup&gt;[35,36]&lt;/sup&gt;","plainTextFormattedCitation":"[35,36]","previouslyFormattedCitation":"&lt;sup&gt;[35,36]&lt;/sup&gt;"},"properties":{"noteIndex":0},"schema":"https://github.com/citation-style-language/schema/raw/master/csl-citation.json"}</w:instrText>
      </w:r>
      <w:r w:rsidR="00FA49BF" w:rsidRPr="00F06EA4">
        <w:rPr>
          <w:lang w:val="en-US"/>
        </w:rPr>
        <w:fldChar w:fldCharType="separate"/>
      </w:r>
      <w:r w:rsidR="00F45F97" w:rsidRPr="00F06EA4">
        <w:rPr>
          <w:noProof/>
          <w:vertAlign w:val="superscript"/>
          <w:lang w:val="en-US"/>
        </w:rPr>
        <w:t>[35,36]</w:t>
      </w:r>
      <w:r w:rsidR="00FA49BF" w:rsidRPr="00F06EA4">
        <w:rPr>
          <w:lang w:val="en-US"/>
        </w:rPr>
        <w:fldChar w:fldCharType="end"/>
      </w:r>
      <w:r w:rsidR="00FA49BF" w:rsidRPr="00F06EA4">
        <w:rPr>
          <w:lang w:val="en-US"/>
        </w:rPr>
        <w:t>.</w:t>
      </w:r>
      <w:r w:rsidR="00E50948" w:rsidRPr="00F06EA4">
        <w:rPr>
          <w:lang w:val="en-US"/>
        </w:rPr>
        <w:t xml:space="preserve"> For example,</w:t>
      </w:r>
      <w:r w:rsidR="006F6882" w:rsidRPr="00F06EA4">
        <w:rPr>
          <w:lang w:val="en-US"/>
        </w:rPr>
        <w:t xml:space="preserve"> exosome-carried</w:t>
      </w:r>
      <w:r w:rsidR="007F7470" w:rsidRPr="00F06EA4">
        <w:rPr>
          <w:lang w:val="en-US"/>
        </w:rPr>
        <w:t xml:space="preserve"> </w:t>
      </w:r>
      <w:r w:rsidR="00F66467" w:rsidRPr="00F06EA4">
        <w:rPr>
          <w:lang w:val="en-US"/>
        </w:rPr>
        <w:t>miR-21</w:t>
      </w:r>
      <w:r w:rsidR="00412CBB" w:rsidRPr="00F06EA4">
        <w:rPr>
          <w:lang w:val="en-US"/>
        </w:rPr>
        <w:t xml:space="preserve">, miR-29a, and </w:t>
      </w:r>
      <w:r w:rsidR="005B53DA" w:rsidRPr="00F06EA4">
        <w:rPr>
          <w:lang w:val="en-US"/>
        </w:rPr>
        <w:t>miR-222-3p have been associated with immunoregulatory functions</w:t>
      </w:r>
      <w:r w:rsidR="007F7470" w:rsidRPr="00F06EA4">
        <w:rPr>
          <w:lang w:val="en-US"/>
        </w:rPr>
        <w:t xml:space="preserve"> in various tumor types</w:t>
      </w:r>
      <w:r w:rsidR="006F6882" w:rsidRPr="00F06EA4">
        <w:rPr>
          <w:lang w:val="en-US"/>
        </w:rPr>
        <w:fldChar w:fldCharType="begin" w:fldLock="1"/>
      </w:r>
      <w:r w:rsidR="00F45F97" w:rsidRPr="00F06EA4">
        <w:rPr>
          <w:lang w:val="en-US"/>
        </w:rPr>
        <w:instrText>ADDIN CSL_CITATION {"citationItems":[{"id":"ITEM-1","itemData":{"DOI":"10.3390/ijms19041183","ISSN":"1422-0067","PMID":"29652798","abstract":"In recent years many articles have underlined the key role of nanovesicles, i.e., exosomes, as information carriers among biological systems including cancer. Tumor-derived exosomes (TEXs) are key players in the dynamic crosstalk between cancer cells and the microenvironment while promote immune system control evasion. In fact, tumors are undoubtedly capable of silencing the immune response through multiple mechanisms, including the release of exosomes. TEXs have been shown to boost tumor growth and promote progression and metastatic spreading via suppression or stimulation of the immune response towards cancer cells. The advantage of immunotherapeutic treatment alone over combining immuno- and conventional therapy is currently debated. Understanding the role of tumor exosome-cargo is of crucial importance for our full comprehension of neoplastic immonosuppression and for the construction of novel therapies and vaccines based on (nano-) vesicles. Furthermore, to devise new anti-cancer approaches, diverse groups investigated the possibility of engineering TEXs by conditioning cancer cells&amp;rsquo; own cargo. In this review, we summarize the state of art of TEX-based immunomodulation with a particular focus on the molecular function of non-coding family genes, microRNAs. Finally, we will report on recent efforts in the study of potential applications of engineered exosomes in cancer immunotherapy.","author":[{"dropping-particle":"","family":"Alfonsi","given":"Romina","non-dropping-particle":"","parse-names":false,"suffix":""},{"dropping-particle":"","family":"Grassi","given":"Ludovica","non-dropping-particle":"","parse-names":false,"suffix":""},{"dropping-particle":"","family":"Signore","given":"Michele","non-dropping-particle":"","parse-names":false,"suffix":""},{"dropping-particle":"","family":"Bonci","given":"Désirée","non-dropping-particle":"","parse-names":false,"suffix":""}],"container-title":"International journal of molecular sciences","id":"ITEM-1","issue":"4","issued":{"date-parts":[["2018","4"]]},"title":"The Double Face of Exosome-Carried MicroRNAs in Cancer Immunomodulation.","type":"article-journal","volume":"19"},"uris":["http://www.mendeley.com/documents/?uuid=e7aed796-833b-4526-bebb-6907823decfc"]}],"mendeley":{"formattedCitation":"&lt;sup&gt;[39]&lt;/sup&gt;","plainTextFormattedCitation":"[39]","previouslyFormattedCitation":"&lt;sup&gt;[39]&lt;/sup&gt;"},"properties":{"noteIndex":0},"schema":"https://github.com/citation-style-language/schema/raw/master/csl-citation.json"}</w:instrText>
      </w:r>
      <w:r w:rsidR="006F6882" w:rsidRPr="00F06EA4">
        <w:rPr>
          <w:lang w:val="en-US"/>
        </w:rPr>
        <w:fldChar w:fldCharType="separate"/>
      </w:r>
      <w:r w:rsidR="00F45F97" w:rsidRPr="00F06EA4">
        <w:rPr>
          <w:noProof/>
          <w:vertAlign w:val="superscript"/>
          <w:lang w:val="en-US"/>
        </w:rPr>
        <w:t>[39]</w:t>
      </w:r>
      <w:r w:rsidR="006F6882" w:rsidRPr="00F06EA4">
        <w:rPr>
          <w:lang w:val="en-US"/>
        </w:rPr>
        <w:fldChar w:fldCharType="end"/>
      </w:r>
      <w:r w:rsidR="007F7470" w:rsidRPr="00F06EA4">
        <w:rPr>
          <w:lang w:val="en-US"/>
        </w:rPr>
        <w:t>.</w:t>
      </w:r>
      <w:r w:rsidR="0069504F" w:rsidRPr="00F06EA4">
        <w:rPr>
          <w:lang w:val="en-US"/>
        </w:rPr>
        <w:t xml:space="preserve"> </w:t>
      </w:r>
      <w:r w:rsidR="009918F8" w:rsidRPr="00F06EA4">
        <w:rPr>
          <w:lang w:val="en-US"/>
        </w:rPr>
        <w:t xml:space="preserve">However, current knowledge of miRNAs in the regulation of immune reactions </w:t>
      </w:r>
      <w:r w:rsidR="00767037" w:rsidRPr="00F06EA4">
        <w:rPr>
          <w:lang w:val="en-US"/>
        </w:rPr>
        <w:t>is limited</w:t>
      </w:r>
      <w:r w:rsidR="00A737A8" w:rsidRPr="00F06EA4">
        <w:rPr>
          <w:lang w:val="en-US"/>
        </w:rPr>
        <w:t xml:space="preserve">, and further investigation is required to </w:t>
      </w:r>
      <w:r w:rsidR="002A65CE" w:rsidRPr="00F06EA4">
        <w:rPr>
          <w:lang w:val="en-US"/>
        </w:rPr>
        <w:t xml:space="preserve">show </w:t>
      </w:r>
      <w:r w:rsidR="00A737A8" w:rsidRPr="00F06EA4">
        <w:rPr>
          <w:lang w:val="en-US"/>
        </w:rPr>
        <w:t xml:space="preserve">more clearly the </w:t>
      </w:r>
      <w:r w:rsidR="007B6192" w:rsidRPr="00F06EA4">
        <w:rPr>
          <w:lang w:val="en-US"/>
        </w:rPr>
        <w:t>significance of exosome-carried mRNAs in systemic inflammatory reactions</w:t>
      </w:r>
      <w:r w:rsidR="00767037" w:rsidRPr="00F06EA4">
        <w:rPr>
          <w:lang w:val="en-US"/>
        </w:rPr>
        <w:t>,</w:t>
      </w:r>
      <w:r w:rsidR="007B6192" w:rsidRPr="00F06EA4">
        <w:rPr>
          <w:lang w:val="en-US"/>
        </w:rPr>
        <w:t xml:space="preserve"> relative to other </w:t>
      </w:r>
      <w:r w:rsidR="00767037" w:rsidRPr="00F06EA4">
        <w:rPr>
          <w:lang w:val="en-US"/>
        </w:rPr>
        <w:t>factors</w:t>
      </w:r>
      <w:r w:rsidR="00384EF1" w:rsidRPr="00F06EA4">
        <w:rPr>
          <w:lang w:val="en-US"/>
        </w:rPr>
        <w:fldChar w:fldCharType="begin" w:fldLock="1"/>
      </w:r>
      <w:r w:rsidR="00F45F97" w:rsidRPr="00F06EA4">
        <w:rPr>
          <w:lang w:val="en-US"/>
        </w:rPr>
        <w:instrText>ADDIN CSL_CITATION {"citationItems":[{"id":"ITEM-1","itemData":{"DOI":"10.1111/imcb.12038","ISSN":"1440-1711","PMID":"29575270","abstract":"Colorectal cancer (CRC) is one of the most prevalent cancers worldwide with rising mortality rates predicted in the coming decades. In light of this, there is a continued need for improvement in our understanding of CRC biology and the development of novel treatment options. Tumor-derived extracellular vesicles (tEVs) have emerged as both novel cancer biomarkers and functional mediators of carcinogenesis. tEVs are released by tumor cells in abundance and play an important role in mediating tumor cell-immune cell interactions in the tumor microenvironment. Furthermore, tEVs are released into the circulation in humans where they could also interact with circulating immune cells. This review aims to describe CRC-specific tEVs and what is currently known about their role in immunomodulation. In particular, we discuss the ability of CRC-derived tEVs to affect monocyte differentiation into macrophages and dendritic cells, and their effects on T-cell viability and activity. Finally, the potential for tEVs in the development of immunotherapies will be discussed.","author":[{"dropping-particle":"","family":"Manning","given":"Stephanie","non-dropping-particle":"","parse-names":false,"suffix":""},{"dropping-particle":"","family":"Danielson","given":"Kirsty M.","non-dropping-particle":"","parse-names":false,"suffix":""}],"container-title":"Immunology and cell biology","id":"ITEM-1","issue":"7","issued":{"date-parts":[["2018","3"]]},"page":"733-741","title":"The immunomodulatory role of tumor-derived extracellular vesicles in colorectal cancer.","type":"article-journal","volume":"96"},"uris":["http://www.mendeley.com/documents/?uuid=23c2e877-b809-474e-81d9-525e76e8e908"]}],"mendeley":{"formattedCitation":"&lt;sup&gt;[35]&lt;/sup&gt;","plainTextFormattedCitation":"[35]","previouslyFormattedCitation":"&lt;sup&gt;[35]&lt;/sup&gt;"},"properties":{"noteIndex":0},"schema":"https://github.com/citation-style-language/schema/raw/master/csl-citation.json"}</w:instrText>
      </w:r>
      <w:r w:rsidR="00384EF1" w:rsidRPr="00F06EA4">
        <w:rPr>
          <w:lang w:val="en-US"/>
        </w:rPr>
        <w:fldChar w:fldCharType="separate"/>
      </w:r>
      <w:r w:rsidR="00F45F97" w:rsidRPr="00F06EA4">
        <w:rPr>
          <w:noProof/>
          <w:vertAlign w:val="superscript"/>
          <w:lang w:val="en-US"/>
        </w:rPr>
        <w:t>[35]</w:t>
      </w:r>
      <w:r w:rsidR="00384EF1" w:rsidRPr="00F06EA4">
        <w:rPr>
          <w:lang w:val="en-US"/>
        </w:rPr>
        <w:fldChar w:fldCharType="end"/>
      </w:r>
      <w:r w:rsidR="009918F8" w:rsidRPr="00F06EA4">
        <w:rPr>
          <w:lang w:val="en-US"/>
        </w:rPr>
        <w:t>.</w:t>
      </w:r>
    </w:p>
    <w:p w14:paraId="1018CD06" w14:textId="77777777" w:rsidR="00F723CC" w:rsidRPr="00F06EA4" w:rsidRDefault="00F723CC" w:rsidP="00F67ED8">
      <w:pPr>
        <w:spacing w:after="0"/>
        <w:rPr>
          <w:lang w:val="en-US"/>
        </w:rPr>
      </w:pPr>
    </w:p>
    <w:p w14:paraId="657F418E" w14:textId="06841BF0" w:rsidR="00960937" w:rsidRPr="00F06EA4" w:rsidRDefault="002A65CE" w:rsidP="00F67ED8">
      <w:pPr>
        <w:pStyle w:val="2"/>
        <w:spacing w:before="0" w:after="0"/>
        <w:rPr>
          <w:i/>
        </w:rPr>
      </w:pPr>
      <w:r w:rsidRPr="00F06EA4">
        <w:rPr>
          <w:i/>
        </w:rPr>
        <w:t>Tumor-</w:t>
      </w:r>
      <w:r w:rsidR="00CE5EAD" w:rsidRPr="00F06EA4">
        <w:rPr>
          <w:i/>
        </w:rPr>
        <w:t>infiltrating</w:t>
      </w:r>
      <w:r w:rsidR="00960937" w:rsidRPr="00F06EA4">
        <w:rPr>
          <w:i/>
        </w:rPr>
        <w:t xml:space="preserve"> immune cells</w:t>
      </w:r>
      <w:r w:rsidR="009755FD" w:rsidRPr="00F06EA4">
        <w:rPr>
          <w:i/>
        </w:rPr>
        <w:t xml:space="preserve"> produce inflammatory mediators</w:t>
      </w:r>
    </w:p>
    <w:p w14:paraId="02028865" w14:textId="7F87EAE7" w:rsidR="00960937" w:rsidRPr="00F06EA4" w:rsidRDefault="008735D8" w:rsidP="00F67ED8">
      <w:pPr>
        <w:spacing w:after="0"/>
        <w:rPr>
          <w:lang w:val="en-US"/>
        </w:rPr>
      </w:pPr>
      <w:r w:rsidRPr="00F06EA4">
        <w:rPr>
          <w:lang w:val="en-US"/>
        </w:rPr>
        <w:t>CRC</w:t>
      </w:r>
      <w:r w:rsidR="00051330" w:rsidRPr="00F06EA4">
        <w:rPr>
          <w:lang w:val="en-US"/>
        </w:rPr>
        <w:t xml:space="preserve">s </w:t>
      </w:r>
      <w:r w:rsidR="00190099" w:rsidRPr="00F06EA4">
        <w:rPr>
          <w:lang w:val="en-US"/>
        </w:rPr>
        <w:t>are infiltrated by a heterogen</w:t>
      </w:r>
      <w:r w:rsidR="002A65CE" w:rsidRPr="00F06EA4">
        <w:rPr>
          <w:lang w:val="en-US"/>
        </w:rPr>
        <w:t>e</w:t>
      </w:r>
      <w:r w:rsidR="00190099" w:rsidRPr="00F06EA4">
        <w:rPr>
          <w:lang w:val="en-US"/>
        </w:rPr>
        <w:t>ous population of immune</w:t>
      </w:r>
      <w:r w:rsidR="006E53AF" w:rsidRPr="00F06EA4">
        <w:rPr>
          <w:lang w:val="en-US"/>
        </w:rPr>
        <w:t xml:space="preserve"> and </w:t>
      </w:r>
      <w:r w:rsidR="00190099" w:rsidRPr="00F06EA4">
        <w:rPr>
          <w:lang w:val="en-US"/>
        </w:rPr>
        <w:t xml:space="preserve">inflammatory cells, including </w:t>
      </w:r>
      <w:r w:rsidR="008E0E2F" w:rsidRPr="00F06EA4">
        <w:rPr>
          <w:lang w:val="en-US"/>
        </w:rPr>
        <w:t xml:space="preserve">proinflammatory </w:t>
      </w:r>
      <w:r w:rsidR="009F79DB" w:rsidRPr="00F06EA4">
        <w:rPr>
          <w:lang w:val="en-US"/>
        </w:rPr>
        <w:t>cells</w:t>
      </w:r>
      <w:r w:rsidR="006E53AF" w:rsidRPr="00F06EA4">
        <w:rPr>
          <w:lang w:val="en-US"/>
        </w:rPr>
        <w:t xml:space="preserve">, </w:t>
      </w:r>
      <w:r w:rsidR="00190099" w:rsidRPr="00F06EA4">
        <w:rPr>
          <w:lang w:val="en-US"/>
        </w:rPr>
        <w:t>such as CD8</w:t>
      </w:r>
      <w:r w:rsidR="00190099" w:rsidRPr="00F06EA4">
        <w:rPr>
          <w:vertAlign w:val="superscript"/>
          <w:lang w:val="en-US"/>
        </w:rPr>
        <w:t>+</w:t>
      </w:r>
      <w:r w:rsidR="00190099" w:rsidRPr="00F06EA4">
        <w:rPr>
          <w:lang w:val="en-US"/>
        </w:rPr>
        <w:t xml:space="preserve"> cytotoxic T cells,</w:t>
      </w:r>
      <w:r w:rsidR="006844F7" w:rsidRPr="00F06EA4">
        <w:rPr>
          <w:lang w:val="en-US"/>
        </w:rPr>
        <w:t xml:space="preserve"> type 1</w:t>
      </w:r>
      <w:r w:rsidR="00190099" w:rsidRPr="00F06EA4">
        <w:rPr>
          <w:lang w:val="en-US"/>
        </w:rPr>
        <w:t xml:space="preserve"> CD4</w:t>
      </w:r>
      <w:r w:rsidR="00190099" w:rsidRPr="00F06EA4">
        <w:rPr>
          <w:vertAlign w:val="superscript"/>
          <w:lang w:val="en-US"/>
        </w:rPr>
        <w:t>+</w:t>
      </w:r>
      <w:r w:rsidR="00190099" w:rsidRPr="00F06EA4">
        <w:rPr>
          <w:lang w:val="en-US"/>
        </w:rPr>
        <w:t xml:space="preserve"> helper T cells (Th</w:t>
      </w:r>
      <w:r w:rsidR="006E53AF" w:rsidRPr="00F06EA4">
        <w:rPr>
          <w:lang w:val="en-US"/>
        </w:rPr>
        <w:t>1</w:t>
      </w:r>
      <w:r w:rsidR="00190099" w:rsidRPr="00F06EA4">
        <w:rPr>
          <w:lang w:val="en-US"/>
        </w:rPr>
        <w:t xml:space="preserve"> cells)</w:t>
      </w:r>
      <w:r w:rsidR="00384EF1" w:rsidRPr="00F06EA4">
        <w:rPr>
          <w:lang w:val="en-US"/>
        </w:rPr>
        <w:t>,</w:t>
      </w:r>
      <w:r w:rsidR="006E53AF" w:rsidRPr="00F06EA4">
        <w:rPr>
          <w:lang w:val="en-US"/>
        </w:rPr>
        <w:t xml:space="preserve"> NK cells</w:t>
      </w:r>
      <w:r w:rsidR="00384EF1" w:rsidRPr="00F06EA4">
        <w:rPr>
          <w:lang w:val="en-US"/>
        </w:rPr>
        <w:t>,</w:t>
      </w:r>
      <w:r w:rsidR="005B6060" w:rsidRPr="00F06EA4">
        <w:rPr>
          <w:lang w:val="en-US"/>
        </w:rPr>
        <w:t xml:space="preserve"> and M1 macrophages</w:t>
      </w:r>
      <w:r w:rsidR="00190099" w:rsidRPr="00F06EA4">
        <w:rPr>
          <w:lang w:val="en-US"/>
        </w:rPr>
        <w:t>,</w:t>
      </w:r>
      <w:r w:rsidR="00D15368" w:rsidRPr="00F06EA4">
        <w:rPr>
          <w:lang w:val="en-US"/>
        </w:rPr>
        <w:t xml:space="preserve"> </w:t>
      </w:r>
      <w:r w:rsidR="008A3DAD" w:rsidRPr="00F06EA4">
        <w:rPr>
          <w:lang w:val="en-US"/>
        </w:rPr>
        <w:t>anti-inflammatory</w:t>
      </w:r>
      <w:r w:rsidR="00190099" w:rsidRPr="00F06EA4">
        <w:rPr>
          <w:lang w:val="en-US"/>
        </w:rPr>
        <w:t xml:space="preserve"> </w:t>
      </w:r>
      <w:r w:rsidR="00831DAD" w:rsidRPr="00F06EA4">
        <w:rPr>
          <w:lang w:val="en-US"/>
        </w:rPr>
        <w:t xml:space="preserve">cells such as </w:t>
      </w:r>
      <w:r w:rsidR="00884A44" w:rsidRPr="00F06EA4">
        <w:rPr>
          <w:lang w:val="en-US"/>
        </w:rPr>
        <w:t>regulatory T cells (Treg),</w:t>
      </w:r>
      <w:r w:rsidR="00ED7130" w:rsidRPr="00F06EA4">
        <w:rPr>
          <w:lang w:val="en-US"/>
        </w:rPr>
        <w:t xml:space="preserve"> </w:t>
      </w:r>
      <w:r w:rsidR="00036B92" w:rsidRPr="00F06EA4">
        <w:rPr>
          <w:lang w:val="en-US"/>
        </w:rPr>
        <w:t>type 2 helper T cells (Th2 cells)</w:t>
      </w:r>
      <w:r w:rsidR="00D45F09" w:rsidRPr="00F06EA4">
        <w:rPr>
          <w:lang w:val="en-US"/>
        </w:rPr>
        <w:t xml:space="preserve">, </w:t>
      </w:r>
      <w:r w:rsidR="00243BED" w:rsidRPr="00F06EA4">
        <w:rPr>
          <w:lang w:val="en-US"/>
        </w:rPr>
        <w:t>M2 macrophages</w:t>
      </w:r>
      <w:r w:rsidR="00D45F09" w:rsidRPr="00F06EA4">
        <w:rPr>
          <w:lang w:val="en-US"/>
        </w:rPr>
        <w:t xml:space="preserve">, and myeloid derived suppressor cells </w:t>
      </w:r>
      <w:r w:rsidR="000E0724" w:rsidRPr="00F06EA4">
        <w:rPr>
          <w:lang w:val="en-US"/>
        </w:rPr>
        <w:t>(MDSCs)</w:t>
      </w:r>
      <w:r w:rsidR="00036B92" w:rsidRPr="00F06EA4">
        <w:rPr>
          <w:lang w:val="en-US"/>
        </w:rPr>
        <w:t xml:space="preserve">. </w:t>
      </w:r>
      <w:r w:rsidR="00574821" w:rsidRPr="00F06EA4">
        <w:rPr>
          <w:lang w:val="en-US"/>
        </w:rPr>
        <w:t>Other cells</w:t>
      </w:r>
      <w:r w:rsidR="005F7ED3" w:rsidRPr="00F06EA4">
        <w:rPr>
          <w:lang w:val="en-US"/>
        </w:rPr>
        <w:t xml:space="preserve"> include</w:t>
      </w:r>
      <w:r w:rsidR="00243BED" w:rsidRPr="00F06EA4">
        <w:rPr>
          <w:lang w:val="en-US"/>
        </w:rPr>
        <w:t xml:space="preserve"> </w:t>
      </w:r>
      <w:r w:rsidR="00190099" w:rsidRPr="00F06EA4">
        <w:rPr>
          <w:lang w:val="en-US"/>
        </w:rPr>
        <w:t>B lymphocytes, plasma cells, neutrophils, eosinophils</w:t>
      </w:r>
      <w:r w:rsidR="002A65CE" w:rsidRPr="00F06EA4">
        <w:rPr>
          <w:lang w:val="en-US"/>
        </w:rPr>
        <w:t xml:space="preserve"> and </w:t>
      </w:r>
      <w:r w:rsidR="00190099" w:rsidRPr="00F06EA4">
        <w:rPr>
          <w:lang w:val="en-US"/>
        </w:rPr>
        <w:t>mast cells</w:t>
      </w:r>
      <w:r w:rsidR="005F7ED3" w:rsidRPr="00F06EA4">
        <w:rPr>
          <w:lang w:val="en-US"/>
        </w:rPr>
        <w:t xml:space="preserve"> </w:t>
      </w:r>
      <w:r w:rsidR="1FCF307B" w:rsidRPr="00F06EA4">
        <w:rPr>
          <w:lang w:val="en-US"/>
        </w:rPr>
        <w:t xml:space="preserve">that </w:t>
      </w:r>
      <w:r w:rsidR="00D6B116" w:rsidRPr="00F06EA4">
        <w:rPr>
          <w:lang w:val="en-US"/>
        </w:rPr>
        <w:t>co-operate with b</w:t>
      </w:r>
      <w:r w:rsidR="12F76B0E" w:rsidRPr="00F06EA4">
        <w:rPr>
          <w:lang w:val="en-US"/>
        </w:rPr>
        <w:t xml:space="preserve">oth </w:t>
      </w:r>
      <w:r w:rsidR="1A104E92" w:rsidRPr="00F06EA4">
        <w:rPr>
          <w:lang w:val="en-US"/>
        </w:rPr>
        <w:t>immunoenhancing and immunosuppressing cells</w:t>
      </w:r>
      <w:r w:rsidR="00190099" w:rsidRPr="00F06EA4">
        <w:rPr>
          <w:lang w:val="en-US"/>
        </w:rPr>
        <w:fldChar w:fldCharType="begin" w:fldLock="1"/>
      </w:r>
      <w:r w:rsidR="00F45F97" w:rsidRPr="00F06EA4">
        <w:rPr>
          <w:lang w:val="en-US"/>
        </w:rPr>
        <w:instrText>ADDIN CSL_CITATION {"citationItems":[{"id":"ITEM-1","itemData":{"DOI":"10.1038/bjc.2013.508 [doi]","ISSN":"1532-1827; 0007-0920","abstract":"BACKGROUND: Higher-grade inflammatory infiltrate is a promising marker for better prognosis in colorectal cancer (CRC). However, the knowledge on the interrelationships between different inflammatory cells and classifications is fragmentary. METHODS: We analysed the densities of eight types of inflammatory cells in a prospectively recruited group of 117 CRC patients and determined their interrelationships and contributions to Klintrup-Makinen (K-M) score of overall peritumoural inflammation. We characterised the inflammatory infiltrate in relation to stage and recurrences in 24-month follow-up. RESULTS: There were high positive correlations between the inflammatory cell densities, with the exception of mast cells and CD1a+ immature dendritic cells. High K-M score associated with high peri- and intratumoural densities of CD3+, CD8+, CD68+, CD83+, and FoxP3+ cells and neutrophils. Advanced stage associated with low K-M score, as well as low CD3+, CD8+, CD83+, and FoxP3+ cell counts, of which low K-M score, low CD3(+) T-cell count, and low FoxP3+ T-cell count were linked to higher recurrence rate. CONCLUSION: The density of CRC inflammatory infiltrate declines as stage advances. Especially, low K-M score and low T-cell counts predict higher recurrence rate. The high positive correlations between the individual inflammatory markers support the value of overall inflammatory reaction scoring.","author":[{"dropping-particle":"","family":"Väyrynen","given":"J P","non-dropping-particle":"","parse-names":false,"suffix":""},{"dropping-particle":"","family":"Tuomisto","given":"A","non-dropping-particle":"","parse-names":false,"suffix":""},{"dropping-particle":"","family":"Klintrup","given":"K","non-dropping-particle":"","parse-names":false,"suffix":""},{"dropping-particle":"","family":"Mäkelä","given":"J","non-dropping-particle":"","parse-names":false,"suffix":""},{"dropping-particle":"","family":"Karttunen","given":"T J","non-dropping-particle":"","parse-names":false,"suffix":""},{"dropping-particle":"","family":"Mäkinen","given":"M J","non-dropping-particle":"","parse-names":false,"suffix":""}],"container-title":"British journal of cancer","id":"ITEM-1","issue":"7","issued":{"date-parts":[["2013"]]},"page":"1839-1847","publisher-place":"1] Department of Pathology, University of Oulu, POB 5000, 90014 Oulu, Finland [2] Oulu University Hospital and Medical Research Center Oulu, POB 21, 90029 Oulu, Finland.","title":"Detailed analysis of inflammatory cell infiltration in colorectal cancer","type":"article-journal","volume":"109"},"uris":["http://www.mendeley.com/documents/?uuid=248c0e80-21e6-4ddc-a6c1-31fcc8ee9d3f"]},{"id":"ITEM-2","itemData":{"DOI":"10.1016/j.immuni.2013.10.003","ISSN":"1097-4180","PMID":"24138885","abstract":"The complex interactions between tumors and their microenvironment remain to be elucidated. Combining large-scale approaches, we examined the spatio-temporal dynamics of 28 different immune cell types (immunome) infiltrating tumors. We found that the immune infiltrate composition changed at each tumor stage and that particular cells had a major impact on survival. Densities of T follicular helper (Tfh) cells and innate cells increased, whereas most T cell densities decreased along with tumor progression. The number of B cells, which are key players in the core immune network and are associated with prolonged survival, increased at a late stage and showed a dual effect on recurrence and tumor progression. The immune control relevance was demonstrated in three endoscopic orthotopic colon-cancer mouse models. Genomic instability of the chemokine CXCL13 was a mechanism associated with Tfh and B cell infiltration. CXCL13 and IL21 were pivotal factors for the Tfh/B cell axis correlating with survival. This integrative study reveals the immune landscape in human colorectal cancer and the major hallmarks of the microenvironment associated with tumor progression and recurrence.","author":[{"dropping-particle":"","family":"Bindea","given":"Gabriela","non-dropping-particle":"","parse-names":false,"suffix":""},{"dropping-particle":"","family":"Mlecnik","given":"Bernhard","non-dropping-particle":"","parse-names":false,"suffix":""},{"dropping-particle":"","family":"Tosolini","given":"Marie","non-dropping-particle":"","parse-names":false,"suffix":""},{"dropping-particle":"","family":"Kirilovsky","given":"Amos","non-dropping-particle":"","parse-names":false,"suffix":""},{"dropping-particle":"","family":"Waldner","given":"Maximilian","non-dropping-particle":"","parse-names":false,"suffix":""},{"dropping-particle":"","family":"Obenauf","given":"Anna C","non-dropping-particle":"","parse-names":false,"suffix":""},{"dropping-particle":"","family":"Angell","given":"Helen","non-dropping-particle":"","parse-names":false,"suffix":""},{"dropping-particle":"","family":"Fredriksen","given":"Tessa","non-dropping-particle":"","parse-names":false,"suffix":""},{"dropping-particle":"","family":"Lafontaine","given":"Lucie","non-dropping-particle":"","parse-names":false,"suffix":""},{"dropping-particle":"","family":"Berger","given":"Anne","non-dropping-particle":"","parse-names":false,"suffix":""},{"dropping-particle":"","family":"Bruneval","given":"Patrick","non-dropping-particle":"","parse-names":false,"suffix":""},{"dropping-particle":"","family":"Fridman","given":"Wolf Herman","non-dropping-particle":"","parse-names":false,"suffix":""},{"dropping-particle":"","family":"Becker","given":"Christoph","non-dropping-particle":"","parse-names":false,"suffix":""},{"dropping-particle":"","family":"Pagès","given":"Franck","non-dropping-particle":"","parse-names":false,"suffix":""},{"dropping-particle":"","family":"Speicher","given":"Michael R","non-dropping-particle":"","parse-names":false,"suffix":""},{"dropping-particle":"","family":"Trajanoski","given":"Zlatko","non-dropping-particle":"","parse-names":false,"suffix":""},{"dropping-particle":"","family":"Galon","given":"Jérôme","non-dropping-particle":"","parse-names":false,"suffix":""}],"container-title":"Immunity","id":"ITEM-2","issue":"4","issued":{"date-parts":[["2013","10"]]},"page":"782-95","title":"Spatiotemporal dynamics of intratumoral immune cells reveal the immune landscape in human cancer.","type":"article-journal","volume":"39"},"uris":["http://www.mendeley.com/documents/?uuid=0b6ecbdb-06fb-4428-a248-65bfc60b1651"]}],"mendeley":{"formattedCitation":"&lt;sup&gt;[40,41]&lt;/sup&gt;","plainTextFormattedCitation":"[40,41]","previouslyFormattedCitation":"&lt;sup&gt;[40,41]&lt;/sup&gt;"},"properties":{"noteIndex":0},"schema":"https://github.com/citation-style-language/schema/raw/master/csl-citation.json"}</w:instrText>
      </w:r>
      <w:r w:rsidR="00190099" w:rsidRPr="00F06EA4">
        <w:rPr>
          <w:lang w:val="en-US"/>
        </w:rPr>
        <w:fldChar w:fldCharType="separate"/>
      </w:r>
      <w:r w:rsidR="00F45F97" w:rsidRPr="00F06EA4">
        <w:rPr>
          <w:noProof/>
          <w:vertAlign w:val="superscript"/>
          <w:lang w:val="en-US"/>
        </w:rPr>
        <w:t>[40,41]</w:t>
      </w:r>
      <w:r w:rsidR="00190099" w:rsidRPr="00F06EA4">
        <w:rPr>
          <w:lang w:val="en-US"/>
        </w:rPr>
        <w:fldChar w:fldCharType="end"/>
      </w:r>
      <w:r w:rsidR="00190099" w:rsidRPr="00F06EA4">
        <w:rPr>
          <w:lang w:val="en-US"/>
        </w:rPr>
        <w:t xml:space="preserve">. </w:t>
      </w:r>
      <w:r w:rsidR="00711700" w:rsidRPr="00F06EA4">
        <w:rPr>
          <w:lang w:val="en-US"/>
        </w:rPr>
        <w:t>In contrast to systemic inflammatory response, which is associated with adverse outcome</w:t>
      </w:r>
      <w:r w:rsidR="00711700" w:rsidRPr="00F06EA4">
        <w:rPr>
          <w:lang w:val="en-US"/>
        </w:rPr>
        <w:fldChar w:fldCharType="begin" w:fldLock="1"/>
      </w:r>
      <w:r w:rsidR="00F45F97" w:rsidRPr="00F06EA4">
        <w:rPr>
          <w:lang w:val="en-US"/>
        </w:rPr>
        <w:instrText>ADDIN CSL_CITATION {"citationItems":[{"id":"ITEM-1","itemData":{"DOI":"10.1038/s41598-017-16955-5","ISSN":"2045-2322","PMID":"29196718","abstract":"Cancer remains a leading causes of death worldwide and an elevated systemic inflammatory response (SIR) is associated with reduced survival in patients with operable cancer. This review aims to examine the evidence for the role of systemic inflammation based prognostic scores in patients with operable cancers. A wide-ranging literature review using targeted medical subject headings for human studies in English was carried out in the MEDLINE, EMBASE, and CDSR databases until the end of 2016. The SIR has independent prognostic value, across tumour types and geographical locations. In particular neutrophil lymphocyte ratio (NLR) (n = 158), platelet lymphocyte ratio (PLR) (n = 68), lymphocyte monocyte ratio (LMR) (n = 21) and Glasgow Prognostic Score/ modified Glasgow Prognostic Score (GPS/mGPS) (n = 60) were consistently validated. On meta-analysis there was a significant relationship between elevated NLR and overall survival (OS) (p &lt; 0.00001)/ cancer specific survival (CSS) (p &lt; 0.00001), between elevated LMR and OS (p &lt; 0.00001)/CSS (p &lt; 0.00001), and elevated PLR and OS (p &lt; 0.00001)/CSS (p = 0.005). There was also a significant relationship between elevated GPS/mGPS and OS (p &lt; 0.00001)/CSS (p &lt; 0.00001). These results consolidate the prognostic value of the NLR, PLR, LMR and GPS/mGPS in patients with resectable cancers. This is particularly true for the NLR/GPS/mGPS which should form part of the routine preoperative and postoperative workup.","author":[{"dropping-particle":"","family":"Dolan","given":"Ross D.","non-dropping-particle":"","parse-names":false,"suffix":""},{"dropping-particle":"","family":"Lim","given":"Jason","non-dropping-particle":"","parse-names":false,"suffix":""},{"dropping-particle":"","family":"McSorley","given":"Stephen T.","non-dropping-particle":"","parse-names":false,"suffix":""},{"dropping-particle":"","family":"Horgan","given":"Paul G.","non-dropping-particle":"","parse-names":false,"suffix":""},{"dropping-particle":"","family":"McMillan","given":"Donald C.","non-dropping-particle":"","parse-names":false,"suffix":""}],"container-title":"Scientific Reports","id":"ITEM-1","issue":"1","issued":{"date-parts":[["2017"]]},"page":"16717","title":"The role of the systemic inflammatory response in predicting outcomes in patients with operable cancer: Systematic review and meta-analysis","type":"article-journal","volume":"7"},"uris":["http://www.mendeley.com/documents/?uuid=e98ed373-a7fa-3e17-9f2d-a8293a972288"]}],"mendeley":{"formattedCitation":"&lt;sup&gt;[12]&lt;/sup&gt;","plainTextFormattedCitation":"[12]","previouslyFormattedCitation":"&lt;sup&gt;[12]&lt;/sup&gt;"},"properties":{"noteIndex":0},"schema":"https://github.com/citation-style-language/schema/raw/master/csl-citation.json"}</w:instrText>
      </w:r>
      <w:r w:rsidR="00711700" w:rsidRPr="00F06EA4">
        <w:rPr>
          <w:lang w:val="en-US"/>
        </w:rPr>
        <w:fldChar w:fldCharType="separate"/>
      </w:r>
      <w:r w:rsidR="00F45F97" w:rsidRPr="00F06EA4">
        <w:rPr>
          <w:noProof/>
          <w:vertAlign w:val="superscript"/>
          <w:lang w:val="en-US"/>
        </w:rPr>
        <w:t>[12]</w:t>
      </w:r>
      <w:r w:rsidR="00711700" w:rsidRPr="00F06EA4">
        <w:rPr>
          <w:lang w:val="en-US"/>
        </w:rPr>
        <w:fldChar w:fldCharType="end"/>
      </w:r>
      <w:r w:rsidR="00711700" w:rsidRPr="00F06EA4">
        <w:rPr>
          <w:lang w:val="en-US"/>
        </w:rPr>
        <w:t xml:space="preserve">, </w:t>
      </w:r>
      <w:r w:rsidR="002A65CE" w:rsidRPr="00F06EA4">
        <w:rPr>
          <w:lang w:val="en-US"/>
        </w:rPr>
        <w:t xml:space="preserve">an </w:t>
      </w:r>
      <w:r w:rsidR="00711700" w:rsidRPr="00F06EA4">
        <w:rPr>
          <w:lang w:val="en-US"/>
        </w:rPr>
        <w:t>i</w:t>
      </w:r>
      <w:r w:rsidR="00190099" w:rsidRPr="00F06EA4">
        <w:rPr>
          <w:lang w:val="en-US"/>
        </w:rPr>
        <w:t>ntense immune cell infiltrate, evaluated using hematoxylin and eosin stained sections</w:t>
      </w:r>
      <w:r w:rsidR="00190099" w:rsidRPr="00F06EA4">
        <w:rPr>
          <w:lang w:val="en-US"/>
        </w:rPr>
        <w:fldChar w:fldCharType="begin" w:fldLock="1"/>
      </w:r>
      <w:r w:rsidR="00F45F97" w:rsidRPr="00F06EA4">
        <w:rPr>
          <w:lang w:val="en-US"/>
        </w:rPr>
        <w:instrText>ADDIN CSL_CITATION {"citationItems":[{"id":"ITEM-1","itemData":{"DOI":"10.1016/j.ejca.2005.07.017","ISSN":"0959-8049; 0959-8049","PMID":"16239109","abstract":"AIM OF THE STUDY: Previous work has indicated that quantification of inflammatory cell reaction is of prognostic value in colorectal cancer. We evaluated the prognostic significance of inflammatory cell reaction patterns in colorectal cancer and developed a grading method which could be used in the routine assessment of tumours. METHODS: The intensity of overall inflammatory cell reaction, numbers of neutrophilic and eosinophilic granulocytes, lymphoid cells and macrophages in both the central region and the invasive margin were estimated in 386 colorectal cancer patients. Prognostic significance was analysed by uni- and multivariate analysis. RESULTS: Our method for classification of inflammatory reaction was reliable. High-grade inflammation at the invasive margin in Dukes' stage A and B cancers (pT1-2N0 and pT3N0, respectively) was associated with better 5-year-survival (87.6%) than low-grade inflammation (47.0%). CONCLUSIONS: Inflammatory cell response at the invasive border is a relevant prognostic indicator and could be easily incorporated into the routine evaluation of histopathological specimens.","author":[{"dropping-particle":"","family":"Klintrup","given":"Kai","non-dropping-particle":"","parse-names":false,"suffix":""},{"dropping-particle":"","family":"Mäkinen","given":"Johanna M","non-dropping-particle":"","parse-names":false,"suffix":""},{"dropping-particle":"","family":"Kauppila","given":"Saila","non-dropping-particle":"","parse-names":false,"suffix":""},{"dropping-particle":"","family":"Väre","given":"Päivi O","non-dropping-particle":"","parse-names":false,"suffix":""},{"dropping-particle":"","family":"Melkko","given":"Jukka","non-dropping-particle":"","parse-names":false,"suffix":""},{"dropping-particle":"","family":"Tuominen","given":"Hannu","non-dropping-particle":"","parse-names":false,"suffix":""},{"dropping-particle":"","family":"Tuppurainen","given":"Karoliina","non-dropping-particle":"","parse-names":false,"suffix":""},{"dropping-particle":"","family":"Mäkelä","given":"Jyrki","non-dropping-particle":"","parse-names":false,"suffix":""},{"dropping-particle":"","family":"Karttunen","given":"Tuomo J","non-dropping-particle":"","parse-names":false,"suffix":""},{"dropping-particle":"","family":"Mäkinen","given":"Markus J","non-dropping-particle":"","parse-names":false,"suffix":""}],"container-title":"European journal of cancer (Oxford, England : 1990)","id":"ITEM-1","issue":"17","issued":{"date-parts":[["2005","11"]]},"page":"2645-2654","publisher-place":"Department of Surgery, Oulu University Hospital, Oulu, Finland.","title":"Inflammation and prognosis in colorectal cancer","type":"article-journal","volume":"41"},"uris":["http://www.mendeley.com/documents/?uuid=52d538db-f8e5-4d56-9290-3492fe0897d9"]},{"id":"ITEM-2","itemData":{"ISSN":"0140-6736","PMID":"2884421","abstract":"Only 60% of patients having radical surgery for rectal cancer are cured of their disease. The ideal system of classification would identify just two categories--the cured and those who will die of their disease. Specimens from 379 patients who had undergone radical surgery for rectal cancer more than 20 years ago were re-examined in order to identify discrete pathological variables that independently influence long-term survival. The selected variables were given weighted scores and the score range was divided to provide four prognostic groups. The model was tested on a second data set comprising 331 patients and gave similar results. The new prognostic classification is simple to use and is superior to staging by the method of Dukes because it places twice as many patients into groups that provide a confident prediction of clinical outcome.","author":[{"dropping-particle":"","family":"Jass","given":"J R","non-dropping-particle":"","parse-names":false,"suffix":""},{"dropping-particle":"","family":"Love","given":"S B","non-dropping-particle":"","parse-names":false,"suffix":""},{"dropping-particle":"","family":"Northover","given":"J M","non-dropping-particle":"","parse-names":false,"suffix":""}],"container-title":"Lancet (London, England)","id":"ITEM-2","issue":"8545","issued":{"date-parts":[["1987"]]},"page":"1303-6","title":"A new prognostic classification of rectal cancer.","type":"article-journal","volume":"1"},"uris":["http://www.mendeley.com/documents/?uuid=310f9f2f-ceb7-3f29-8da3-2450f1519359"]},{"id":"ITEM-3","itemData":{"DOI":"10.1002/ijc.28533","ISSN":"1097-0215","PMID":"24154855","abstract":"A subset of colorectal cancers (CRCs) exhibits so-called Crohn's like lymphoid reaction (CLR), an inflammatory reaction pattern that consists of numerous transmural lymphoid aggregates. However, the composition of these aggregates, their biological mechanisms and their prognostic significance are not well-defined. We analyzed two CRC cohorts (418 and 149 patients) and determined clinicopathological features including survival. A new method for evaluating CLR based on counting the areal density of the lymphoid follicles (CLR density) was adopted. Immune cell densities at intratumoral and peritumoral regions, as well as the composition of the lymphoid follicles, were studied by immunohistochemistry. We found that CLR comprised of lymphoid aggregates with no evidence of granuloma formation. High CLR density associated with lower tumor stage, lack of preoperative radiotherapy or chemoradiotherapy and deficient mismatch repair enzyme expression. CLR density had positive correlations with peritumoral and intratumoral densities of CD83(+) mature dendritic cells and T cells. High CLR density associated with better survival and had prognostic value that was independent of stage, Klintrup-Mäkinen score for peritumoral inflammation and the numbers of tumor infiltrating T cells. CLR density evaluation had excellent intraobserver and interobserver agreement. In conclusion, the results suggest that CLR contributes to the adaptive antitumor immunity. Quantitative evaluation of CLR density is a relevant prognostic indicator in CRC.","author":[{"dropping-particle":"","family":"Väyrynen","given":"Juha P","non-dropping-particle":"","parse-names":false,"suffix":""},{"dropping-particle":"","family":"Sajanti","given":"Sara A","non-dropping-particle":"","parse-names":false,"suffix":""},{"dropping-particle":"","family":"Klintrup","given":"Kai","non-dropping-particle":"","parse-names":false,"suffix":""},{"dropping-particle":"","family":"Mäkelä","given":"Jyrki","non-dropping-particle":"","parse-names":false,"suffix":""},{"dropping-particle":"","family":"Herzig","given":"Karl-Heinz","non-dropping-particle":"","parse-names":false,"suffix":""},{"dropping-particle":"","family":"Karttunen","given":"Tuomo J","non-dropping-particle":"","parse-names":false,"suffix":""},{"dropping-particle":"","family":"Tuomisto","given":"Anne","non-dropping-particle":"","parse-names":false,"suffix":""},{"dropping-particle":"","family":"Mäkinen","given":"Markus J","non-dropping-particle":"","parse-names":false,"suffix":""}],"container-title":"International journal of cancer. Journal international du cancer","id":"ITEM-3","issue":"9","issued":{"date-parts":[["2014","5","1"]]},"page":"2126-35","title":"Characteristics and significance of colorectal cancer associated lymphoid reaction.","type":"article-journal","volume":"134"},"uris":["http://www.mendeley.com/documents/?uuid=771bdc69-f0be-4650-ba63-47f6b41c4275"]},{"id":"ITEM-4","itemData":{"DOI":"10.1158/1078-0432.CCR-09-1438","ISSN":"1078-0432","PMID":"19825961","abstract":"PURPOSE Host immune response to tumor may be an important prognostic factor for colon cancer patients. However, little is known on prognostic significance of histopathologic lymphoid reaction to tumor, independent of the number of lymph nodes examined and tumoral molecular alterations, including microsatellite instability (MSI) and the CpG island methylator phenotype (CIMP), both of which are associated with lymphocytic reaction and clinical outcome. EXPERIMENTAL DESIGN Using 843 colorectal cancer patients in two independent prospective cohorts, we examined patient prognosis in relation to four components of lymphocytic reaction (i.e., Crohn's-like reaction, peritumoral reaction, intratumoral periglandular reaction, and tumor-infiltrating lymphocytes) and overall lymphocytic score (0-12). CIMP was determined using eight markers including CACNA1G, CDKN2A (p16), CRABP1, IGF2, MLH1, NEUROG1, RUNX3, and SOCS1. Cox proportional hazard models computed hazard ratio for mortality, adjusted for covariates including tumor stage, body mass index, lymph node count, KRAS, BRAF, p53, cyclooxygenase-2 (PTGS2), MSI, CIMP, and LINE-1 methylation. RESULTS Increasing overall lymphocytic reaction score including tumor-infiltrating lymphocytes was associated with a significant improvement in colorectal cancer-specific and overall survival (log-rank P &lt; 0.003). These findings remained significant (adjusted hazard ratio estimates, 0.49-0.71; P(trend) &lt; 0.009) in multivariate models that adjusted for covariates, including body mass index, MSI, CIMP, LINE-1 hypomethylation, and cyclooxygenase-2. The beneficial effect of tumoral lymphocytic reaction was consistent across strata of clinical, pathologic, and molecular characteristics. CONCLUSIONS Lymphocytic reactions to tumor were associated with improved prognosis among colorectal cancer patients, independent of lymph node count and other clinical, pathologic, and molecular characteristics.","author":[{"dropping-particle":"","family":"Ogino","given":"Shuji","non-dropping-particle":"","parse-names":false,"suffix":""},{"dropping-particle":"","family":"Nosho","given":"Katsuhiko","non-dropping-particle":"","parse-names":false,"suffix":""},{"dropping-particle":"","family":"Irahara","given":"Natsumi","non-dropping-particle":"","parse-names":false,"suffix":""},{"dropping-particle":"","family":"Meyerhardt","given":"Jeffrey A","non-dropping-particle":"","parse-names":false,"suffix":""},{"dropping-particle":"","family":"Baba","given":"Yoshifumi","non-dropping-particle":"","parse-names":false,"suffix":""},{"dropping-particle":"","family":"Shima","given":"Kaori","non-dropping-particle":"","parse-names":false,"suffix":""},{"dropping-particle":"","family":"Glickman","given":"Jonathan N","non-dropping-particle":"","parse-names":false,"suffix":""},{"dropping-particle":"","family":"Ferrone","given":"Cristina R","non-dropping-particle":"","parse-names":false,"suffix":""},{"dropping-particle":"","family":"Mino-Kenudson","given":"Mari","non-dropping-particle":"","parse-names":false,"suffix":""},{"dropping-particle":"","family":"Tanaka","given":"Noriko","non-dropping-particle":"","parse-names":false,"suffix":""},{"dropping-particle":"","family":"Dranoff","given":"Glenn","non-dropping-particle":"","parse-names":false,"suffix":""},{"dropping-particle":"","family":"Giovannucci","given":"Edward L","non-dropping-particle":"","parse-names":false,"suffix":""},{"dropping-particle":"","family":"Fuchs","given":"Charles S","non-dropping-particle":"","parse-names":false,"suffix":""}],"container-title":"Clinical cancer research : an official journal of the American Association for Cancer Research","id":"ITEM-4","issue":"20","issued":{"date-parts":[["2009"]]},"page":"6412-20","title":"Lymphocytic reaction to colorectal cancer is associated with longer survival, independent of lymph node count, microsatellite instability, and CpG island methylator phenotype.","type":"article-journal","volume":"15"},"uris":["http://www.mendeley.com/documents/?uuid=982579c8-b7cd-3a06-8744-7dc4c07a7e79"]}],"mendeley":{"formattedCitation":"&lt;sup&gt;[42–45]&lt;/sup&gt;","plainTextFormattedCitation":"[42–45]","previouslyFormattedCitation":"&lt;sup&gt;[42–45]&lt;/sup&gt;"},"properties":{"noteIndex":0},"schema":"https://github.com/citation-style-language/schema/raw/master/csl-citation.json"}</w:instrText>
      </w:r>
      <w:r w:rsidR="00190099" w:rsidRPr="00F06EA4">
        <w:rPr>
          <w:lang w:val="en-US"/>
        </w:rPr>
        <w:fldChar w:fldCharType="separate"/>
      </w:r>
      <w:r w:rsidR="00F45F97" w:rsidRPr="00F06EA4">
        <w:rPr>
          <w:noProof/>
          <w:vertAlign w:val="superscript"/>
          <w:lang w:val="en-US"/>
        </w:rPr>
        <w:t>[42–45]</w:t>
      </w:r>
      <w:r w:rsidR="00190099" w:rsidRPr="00F06EA4">
        <w:rPr>
          <w:lang w:val="en-US"/>
        </w:rPr>
        <w:fldChar w:fldCharType="end"/>
      </w:r>
      <w:r w:rsidR="00190099" w:rsidRPr="00F06EA4">
        <w:rPr>
          <w:lang w:val="en-US"/>
        </w:rPr>
        <w:t xml:space="preserve"> or by immunohistochemistry using antibodies to specific immune cell markers</w:t>
      </w:r>
      <w:r w:rsidR="00190099" w:rsidRPr="00F06EA4">
        <w:rPr>
          <w:lang w:val="en-US"/>
        </w:rPr>
        <w:fldChar w:fldCharType="begin" w:fldLock="1"/>
      </w:r>
      <w:r w:rsidR="00F45F97" w:rsidRPr="00F06EA4">
        <w:rPr>
          <w:lang w:val="en-US"/>
        </w:rPr>
        <w:instrText>ADDIN CSL_CITATION {"citationItems":[{"id":"ITEM-1","itemData":{"DOI":"10.1007/s00428-012-1232-0","ISSN":"1432-2307; 0945-6317","PMID":"22527018","abstract":"Numerous immunohistochemically detectable proteins, such as immune cell surface (CD) proteins, vascular endothelial growth factor, and matrix metalloproteinases, have been proposed as potential prognostic markers in colorectal cancer (CRC) and other malignancies. However, the lack of reproducibility has been a major problem in validating the clinical use of such markers, and this has been attributed to insufficiently robust methods used in immunohistochemical staining or its assessment. In this study, we assessed how computer-assisted image analysis might contribute to the reliable assessment of positive area percentage and immune cell density in CRC specimens, and subsequently, we applied the computer-assisted cell counting method in assessing the prognostic value of T cell infiltration in CRC. The computer-assisted analysis methods were based on separating hematoxylin and diaminobenzidine color layers and then applying a brightness threshold using open source image analysis software ImageJ. We found that computer-based analysis results in a more reproducible assessment of the immune positive area percentage than visual semiquantitative estimation. Computer-assisted immune cell counting was rapid to perform and accurate (Pearson r &gt; 0.96 with exact manual cell counts). Moreover, the computer-assisted determination of peritumoral and stromal T cell density had independent prognostic value. Our results suggest that computer-assisted image analysis, utilizing freely available image analysis software, provides a valuable alternative to semiquantitative assessment of immunohistochemical results in cancer research, as well as in clinical practice. The advantages of using computer-assisted analysis include objectivity, accuracy, reproducibility, and time efficiency. This study supports the prognostic value of assessing T cell infiltration in CRC.","author":[{"dropping-particle":"","family":"Väyrynen","given":"Juha P","non-dropping-particle":"","parse-names":false,"suffix":""},{"dropping-particle":"","family":"Vornanen","given":"Juha O","non-dropping-particle":"","parse-names":false,"suffix":""},{"dropping-particle":"","family":"Sajanti","given":"Sara","non-dropping-particle":"","parse-names":false,"suffix":""},{"dropping-particle":"","family":"Böhm","given":"Jan P","non-dropping-particle":"","parse-names":false,"suffix":""},{"dropping-particle":"","family":"Tuomisto","given":"Anne","non-dropping-particle":"","parse-names":false,"suffix":""},{"dropping-particle":"","family":"Mäkinen","given":"Markus J","non-dropping-particle":"","parse-names":false,"suffix":""}],"container-title":"Virchows Archiv : an international journal of pathology","id":"ITEM-1","issue":"5","issued":{"date-parts":[["2012","5"]]},"page":"455-465","publisher-place":"Department of Pathology, University of Oulu, POB 5000, 90014, Oulu, Finland.","title":"An improved image analysis method for cell counting lends credibility to the prognostic significance of T cells in colorectal cancer","type":"article-journal","volume":"460"},"uris":["http://www.mendeley.com/documents/?uuid=9cae27d7-79a2-4125-b6ee-782dec667157"]},{"id":"ITEM-2","itemData":{"DOI":"10.1002/cjp2.71","ISSN":"2056-4538","PMID":"28770104","abstract":"The aim of this study was to investigate immune response and its prognostic significance in colon carcinomas using the previously described Immunoscore (IS). A population-based series of 779 colorectal cancers, operated on between 2000 and 2010, were classified according to tumour, node, metastasis (TNM) status, mismatch repair (MMR), and BRAF mutation status. Rectal cancer cases (n = 203) were excluded as a high proportion of these patients received preoperative neoadjuvant chemoradiotherapy. Tissue microarray (TMA) samples collected from the tumour centre and invasive front were immunostained for CD3 and CD8. Lymphocytes were then digitally calculated to categorize IS from grade 0 to 4. Samples adequate for IS were available from 510 tumours. IS was significantly associated with AJCC/UICC stage, T stage, lymph node and distant metastases, perineural and lymphovascular invasion, MMR status, and BRAF mutation status. For IS0, IS1, IS2, IS3 and IS4, respectively, the 5-year disease-free survival (DFS) rates were 59, 68, 78, 83 and 94% (p &lt; 0.001); 5-year disease-specific survival (DSS) rates were 47, 55, 75, 80, and 89% (p &lt; 0.001); and 5-year overall survival (OS) rates were 40, 44, 66, 61, and 76% (p &lt; 0.001). IS was also prognostic for DFS, DSS, and OS within subsets of microsatellite-stable (MSS) and microsatellite-instable (MSI) disease. Multivariable analysis showed that IS, AJCC/UICC stage, lymphovascular invasion, and lymph node ratio in AJCC/UICC stage III disease were independent prognostic factors for DFS, DSS, and OS. Age was an independent prognostic factor for DSS and OS. Gender and BRAF mutation were independent prognostic factors for OS. In conclusion, IS differentiated patients with poor versus improved prognosis in MSS and MSI disease and across AJCC/UICC stages. IS, AJCC/UICC stage, lymphovascular invasion, and lymph node ratio in AJCC/UICC stage III disease were independent prognostic factors for DFS, DSS, and OS.","author":[{"dropping-particle":"","family":"Wirta","given":"Erkki-Ville","non-dropping-particle":"","parse-names":false,"suffix":""},{"dropping-particle":"","family":"Seppälä","given":"Toni","non-dropping-particle":"","parse-names":false,"suffix":""},{"dropping-particle":"","family":"Friman","given":"Marjukka","non-dropping-particle":"","parse-names":false,"suffix":""},{"dropping-particle":"","family":"Väyrynen","given":"Juha","non-dropping-particle":"","parse-names":false,"suffix":""},{"dropping-particle":"","family":"Ahtiainen","given":"Maarit","non-dropping-particle":"","parse-names":false,"suffix":""},{"dropping-particle":"","family":"Kautiainen","given":"Hannu","non-dropping-particle":"","parse-names":false,"suffix":""},{"dropping-particle":"","family":"Kuopio","given":"Teijo","non-dropping-particle":"","parse-names":false,"suffix":""},{"dropping-particle":"","family":"Kellokumpu","given":"Ilmo","non-dropping-particle":"","parse-names":false,"suffix":""},{"dropping-particle":"","family":"Mecklin","given":"Jukka-Pekka","non-dropping-particle":"","parse-names":false,"suffix":""},{"dropping-particle":"","family":"Böhm","given":"Jan","non-dropping-particle":"","parse-names":false,"suffix":""}],"container-title":"The journal of pathology. Clinical research","id":"ITEM-2","issue":"3","issued":{"date-parts":[["2017"]]},"page":"203-213","title":"Immunoscore in mismatch repair-proficient and -deficient colon cancer.","type":"article-journal","volume":"3"},"uris":["http://www.mendeley.com/documents/?uuid=506128c5-29cb-496f-9743-a3457d063549"]},{"id":"ITEM-3","itemData":{"DOI":"10.1016/S0140-6736(18)30789-X","ISSN":"1474-547X","PMID":"29754777","abstract":"BACKGROUND The estimation of risk of recurrence for patients with colon carcinoma must be improved. A robust immune score quantification is needed to introduce immune parameters into cancer classification. The aim of the study was to assess the prognostic value of total tumour-infiltrating T-cell counts and cytotoxic tumour-infiltrating T-cells counts with the consensus Immunoscore assay in patients with stage I-III colon cancer. METHODS An international consortium of 14 centres in 13 countries, led by the Society for Immunotherapy of Cancer, assessed the Immunoscore assay in patients with TNM stage I-III colon cancer. Patients were randomly assigned to a training set, an internal validation set, or an external validation set. Paraffin sections of the colon tumour and invasive margin from each patient were processed by immunohistochemistry, and the densities of CD3+ and cytotoxic CD8+ T cells in the tumour and in the invasive margin were quantified by digital pathology. An Immunoscore for each patient was derived from the mean of four density percentiles. The primary endpoint was to evaluate the prognostic value of the Immunoscore for time to recurrence, defined as time from surgery to disease recurrence. Stratified multivariable Cox models were used to assess the associations between Immunoscore and outcomes, adjusting for potential confounders. Harrell's C-statistics was used to assess model performance. FINDINGS Tissue samples from 3539 patients were processed, and samples from 2681 patients were included in the analyses after quality controls (700 patients in the training set, 636 patients in the internal validation set, and 1345 patients in the external validation set). The Immunoscore assay showed a high level of reproducibility between observers and centres (r=0·97 for colon tumour; r=0·97 for invasive margin; p&lt;0·0001). In the training set, patients with a high Immunoscore had the lowest risk of recurrence at 5 years (14 [8%] patients with a high Immunoscore vs 65 (19%) patients with an intermediate Immunoscore vs 51 (32%) patients with a low Immunoscore; hazard ratio [HR] for high vs low Immunoscore 0·20, 95% CI 0·10-0·38; p&lt;0·0001). The findings were confirmed in the two validation sets (n=1981). In the stratified Cox multivariable analysis, the Immunoscore association with time to recurrence was independent of patient age, sex, T stage, N stage, microsatellite instability, and existing prognostic factors (p&lt;0·0001). Of 1434 patients with stag…","author":[{"dropping-particle":"","family":"Pagès","given":"Franck","non-dropping-particle":"","parse-names":false,"suffix":""},{"dropping-particle":"","family":"Mlecnik","given":"Bernhard","non-dropping-particle":"","parse-names":false,"suffix":""},{"dropping-particle":"","family":"Marliot","given":"Florence","non-dropping-particle":"","parse-names":false,"suffix":""},{"dropping-particle":"","family":"Bindea","given":"Gabriela","non-dropping-particle":"","parse-names":false,"suffix":""},{"dropping-particle":"","family":"Ou","given":"Fang-shu","non-dropping-particle":"","parse-names":false,"suffix":""},{"dropping-particle":"","family":"Bifulco","given":"Carlo","non-dropping-particle":"","parse-names":false,"suffix":""},{"dropping-particle":"","family":"Lugli","given":"Alessandro","non-dropping-particle":"","parse-names":false,"suffix":""},{"dropping-particle":"","family":"Zlobec","given":"Inti","non-dropping-particle":"","parse-names":false,"suffix":""},{"dropping-particle":"","family":"Rau","given":"Tilman T","non-dropping-particle":"","parse-names":false,"suffix":""},{"dropping-particle":"","family":"Berger","given":"Martin D","non-dropping-particle":"","parse-names":false,"suffix":""},{"dropping-particle":"","family":"Nagtegaal","given":"Iris D","non-dropping-particle":"","parse-names":false,"suffix":""},{"dropping-particle":"","family":"Vink-Börger","given":"Elisa","non-dropping-particle":"","parse-names":false,"suffix":""},{"dropping-particle":"","family":"Hartmann","given":"Arndt","non-dropping-particle":"","parse-names":false,"suffix":""},{"dropping-particle":"","family":"Geppert","given":"Carol","non-dropping-particle":"","parse-names":false,"suffix":""},{"dropping-particle":"","family":"Kolwelter","given":"Julie","non-dropping-particle":"","parse-names":false,"suffix":""},{"dropping-particle":"","family":"Merkel","given":"Susanne","non-dropping-particle":"","parse-names":false,"suffix":""},{"dropping-particle":"","family":"Grützmann","given":"Robert","non-dropping-particle":"","parse-names":false,"suffix":""},{"dropping-particle":"","family":"Eynde","given":"Marc","non-dropping-particle":"Van den","parse-names":false,"suffix":""},{"dropping-particle":"","family":"Jouret-Mourin","given":"Anne","non-dropping-particle":"","parse-names":false,"suffix":""},{"dropping-particle":"","family":"Kartheuser","given":"Alex","non-dropping-particle":"","parse-names":false,"suffix":""},{"dropping-particle":"","family":"Léonard","given":"Daniel","non-dropping-particle":"","parse-names":false,"suffix":""},{"dropping-particle":"","family":"Remue","given":"Christophe","non-dropping-particle":"","parse-names":false,"suffix":""},{"dropping-particle":"","family":"Wang","given":"Julia Y","non-dropping-particle":"","parse-names":false,"suffix":""},{"dropping-particle":"","family":"Bavi","given":"Prashant","non-dropping-particle":"","parse-names":false,"suffix":""},{"dropping-particle":"","family":"Roehrl","given":"Michael H A","non-dropping-particle":"","parse-names":false,"suffix":""},{"dropping-particle":"","family":"Ohashi","given":"Pamela S","non-dropping-particle":"","parse-names":false,"suffix":""},{"dropping-particle":"","family":"Nguyen","given":"Linh T","non-dropping-particle":"","parse-names":false,"suffix":""},{"dropping-particle":"","family":"Han","given":"Seongjun","non-dropping-particle":"","parse-names":false,"suffix":""},{"dropping-particle":"","family":"MacGregor","given":"Heather L","non-dropping-particle":"","parse-names":false,"suffix":""},{"dropping-particle":"","family":"Hafezi-Bakhtiari","given":"Sara","non-dropping-particle":"","parse-names":false,"suffix":""},{"dropping-particle":"","family":"Wouters","given":"Bradly G","non-dropping-particle":"","parse-names":false,"suffix":""},{"dropping-particle":"V","family":"Masucci","given":"Giuseppe","non-dropping-particle":"","parse-names":false,"suffix":""},{"dropping-particle":"","family":"Andersson","given":"Emilia K","non-dropping-particle":"","parse-names":false,"suffix":""},{"dropping-particle":"","family":"Zavadova","given":"Eva","non-dropping-particle":"","parse-names":false,"suffix":""},{"dropping-particle":"","family":"Vocka","given":"Michal","non-dropping-particle":"","parse-names":false,"suffix":""},{"dropping-particle":"","family":"Spacek","given":"Jan","non-dropping-particle":"","parse-names":false,"suffix":""},{"dropping-particle":"","family":"Petruzelka","given":"Lubos","non-dropping-particle":"","parse-names":false,"suffix":""},{"dropping-particle":"","family":"Konopasek","given":"Bohuslav","non-dropping-particle":"","parse-names":false,"suffix":""},{"dropping-particle":"","family":"Dundr","given":"Pavel","non-dropping-particle":"","parse-names":false,"suffix":""},{"dropping-particle":"","family":"Skalova","given":"Helena","non-dropping-particle":"","parse-names":false,"suffix":""},{"dropping-particle":"","family":"Nemejcova","given":"Kristyna","non-dropping-particle":"","parse-names":false,"suffix":""},{"dropping-particle":"","family":"Botti","given":"Gerardo","non-dropping-particle":"","parse-names":false,"suffix":""},{"dropping-particle":"","family":"Tatangelo","given":"Fabiana","non-dropping-particle":"","parse-names":false,"suffix":""},{"dropping-particle":"","family":"Delrio","given":"Paolo","non-dropping-particle":"","parse-names":false,"suffix":""},{"dropping-particle":"","family":"Ciliberto","given":"Gennaro","non-dropping-particle":"","parse-names":false,"suffix":""},{"dropping-particle":"","family":"Maio","given":"Michele","non-dropping-particle":"","parse-names":false,"suffix":""},{"dropping-particle":"","family":"Laghi","given":"Luigi","non-dropping-particle":"","parse-names":false,"suffix":""},{"dropping-particle":"","family":"Grizzi","given":"Fabio","non-dropping-particle":"","parse-names":false,"suffix":""},{"dropping-particle":"","family":"Fredriksen","given":"Tessa","non-dropping-particle":"","parse-names":false,"suffix":""},{"dropping-particle":"","family":"Buttard","given":"Bénédicte","non-dropping-particle":"","parse-names":false,"suffix":""},{"dropping-particle":"","family":"Angelova","given":"Mihaela","non-dropping-particle":"","parse-names":false,"suffix":""},{"dropping-particle":"","family":"Vasaturo","given":"Angela","non-dropping-particle":"","parse-names":false,"suffix":""},{"dropping-particle":"","family":"Maby","given":"Pauline","non-dropping-particle":"","parse-names":false,"suffix":""},{"dropping-particle":"","family":"Church","given":"Sarah E","non-dropping-particle":"","parse-names":false,"suffix":""},{"dropping-particle":"","family":"Angell","given":"Helen K","non-dropping-particle":"","parse-names":false,"suffix":""},{"dropping-particle":"","family":"Lafontaine","given":"Lucie","non-dropping-particle":"","parse-names":false,"suffix":""},{"dropping-particle":"","family":"Bruni","given":"Daniela","non-dropping-particle":"","parse-names":false,"suffix":""},{"dropping-particle":"","family":"Sissy","given":"Carine","non-dropping-particle":"El","parse-names":false,"suffix":""},{"dropping-particle":"","family":"Haicheur","given":"Nacilla","non-dropping-particle":"","parse-names":false,"suffix":""},{"dropping-particle":"","family":"Kirilovsky","given":"Amos","non-dropping-particle":"","parse-names":false,"suffix":""},{"dropping-particle":"","family":"Berger","given":"Anne","non-dropping-particle":"","parse-names":false,"suffix":""},{"dropping-particle":"","family":"Lagorce","given":"Christine","non-dropping-particle":"","parse-names":false,"suffix":""},{"dropping-particle":"","family":"Meyers","given":"Jeffrey P","non-dropping-particle":"","parse-names":false,"suffix":""},{"dropping-particle":"","family":"Paustian","given":"Christopher","non-dropping-particle":"","parse-names":false,"suffix":""},{"dropping-particle":"","family":"Feng","given":"Zipei","non-dropping-particle":"","parse-names":false,"suffix":""},{"dropping-particle":"","family":"Ballesteros-Merino","given":"Carmen","non-dropping-particle":"","parse-names":false,"suffix":""},{"dropping-particle":"","family":"Dijkstra","given":"Jeroen","non-dropping-particle":"","parse-names":false,"suffix":""},{"dropping-particle":"","family":"Water","given":"Carlijn","non-dropping-particle":"van de","parse-names":false,"suffix":""},{"dropping-particle":"","family":"Lent-van Vliet","given":"Shannon","non-dropping-particle":"van","parse-names":false,"suffix":""},{"dropping-particle":"","family":"Knijn","given":"Nikki","non-dropping-particle":"","parse-names":false,"suffix":""},{"dropping-particle":"","family":"Mu</w:instrText>
      </w:r>
      <w:r w:rsidR="00F45F97" w:rsidRPr="00F06EA4">
        <w:rPr>
          <w:rFonts w:ascii="Cambria" w:hAnsi="Cambria" w:cs="Cambria"/>
          <w:lang w:val="en-US"/>
        </w:rPr>
        <w:instrText>ș</w:instrText>
      </w:r>
      <w:r w:rsidR="00F45F97" w:rsidRPr="00F06EA4">
        <w:rPr>
          <w:lang w:val="en-US"/>
        </w:rPr>
        <w:instrText>in</w:instrText>
      </w:r>
      <w:r w:rsidR="00F45F97" w:rsidRPr="00F06EA4">
        <w:rPr>
          <w:rFonts w:cs="Book Antiqua"/>
          <w:lang w:val="en-US"/>
        </w:rPr>
        <w:instrText>ă</w:instrText>
      </w:r>
      <w:r w:rsidR="00F45F97" w:rsidRPr="00F06EA4">
        <w:rPr>
          <w:lang w:val="en-US"/>
        </w:rPr>
        <w:instrText>","given":"Ana-Maria","non-dropping-particle":"","parse-names":false,"suffix":""},{"dropping-particle":"","family":"Scripcariu","given":"Dragos-Viorel","non-dropping-particle":"","parse-names":false,"suffix":""},{"dropping-particle":"","family":"Popivanova","given":"Boryana","non-dropping-particle":"","parse-names":false,"suffix":""},{"dropping-particle":"","family":"Xu","given":"Mingli","non-dropping-particle":"","parse-names":false,"suffix":""},{"dropping-particle":"","family":"Fujita","given":"Tomonobu","non-dropping-particle":"","parse-names":false,"suffix":""},{"dropping-particle":"","family":"Hazama","given":"Shoichi","non-dropping-particle":"","parse-names":false,"suffix":""},{"dropping-particle":"","family":"Suzuki","given":"Nobuaki","non-dropping-particle":"","parse-names":false,"suffix":""},{"dropping-particle":"","family":"Nagano","given":"Hiroaki","non-dropping-particle":"","parse-names":false,"suffix":""},{"dropping-particle":"","family":"Okuno","given":"Kiyotaka","non-dropping-particle":"","parse-names":false,"suffix":""},{"dropping-particle":"","family":"Torigoe","given":"Toshihiko","non-dropping-particle":"","parse-names":false,"suffix":""},{"dropping-particle":"","family":"Sato","given":"Noriyuki","non-dropping-particle":"","parse-names":false,"suffix":""},{"dropping-particle":"","family":"Furuhata","given":"Tomohisa","non-dropping-particle":"","parse-names":false,"suffix":""},{"dropping-particle":"","family":"Takemasa","given":"Ichiro","non-dropping-particle":"","parse-names":false,"suffix":""},{"dropping-particle":"","family":"Itoh","given":"Kyogo","non-dropping-particle":"","parse-names":false,"suffix":""},{"dropping-particle":"","family":"Patel","given":"Prabhu S","non-dropping-particle":"","parse-names":false,"suffix":""},{"dropping-particle":"","family":"Vora","given":"Hemangini H","non-dropping-particle":"","parse-names":false,"suffix":""},{"dropping-particle":"","family":"Shah","given":"Birva","non-dropping-particle":"","parse-names":false,"suffix":""},{"dropping-particle":"","family":"Patel","given":"Jayendrakumar B","non-dropping-particle":"","parse-names":false,"suffix":""},{"dropping-particle":"","family":"Rajvik","given":"Kruti N","non-dropping-particle":"","parse-names":false,"suffix":""},{"dropping-particle":"","family":"Pandya","given":"Shashank J","non-dropping-particle":"","parse-names":false,"suffix":""},{"dropping-particle":"","family":"Shukla","given":"Shilin N","non-dropping-particle":"","parse-names":false,"suffix":""},{"dropping-particle":"","family":"Wang","given":"Yili","non-dropping-particle":"","parse-names":false,"suffix":""},{"dropping-particle":"","family":"Zhang","given":"Guanjun","non-dropping-particle":"","parse-names":false,"suffix":""},{"dropping-particle":"","family":"Kawakami","given":"Yutaka","non-dropping-particle":"","parse-names":false,"suffix":""},{"dropping-particle":"","family":"Marincola","given":"Francesco M","non-dropping-particle":"","parse-names":false,"suffix":""},{"dropping-particle":"","family":"Ascierto","given":"Paolo A","non-dropping-particle":"","parse-names":false,"suffix":""},{"dropping-particle":"","family":"Sargent","given":"Daniel J","non-dropping-particle":"","parse-names":false,"suffix":""},{"dropping-particle":"","family":"Fox","given":"Bernard A","non-dropping-particle":"","parse-names":false,"suffix":""},{"dropping-particle":"","family":"Galon","given":"Jérôme","non-dropping-particle":"","parse-names":false,"suffix":""}],"container-title":"Lancet (London, England)","id":"ITEM-3","issue":"10135","issued":{"date-parts":[["2018"]]},"page":"2128-2139","title":"International validation of the consensus Immunoscore for the classification of colon cancer: a prognostic and accuracy study.","type":"article-journal","volume":"391"},"uris":["http://www.mendeley.com/documents/?uuid=dd2b34ce-5fce-4b51-9b81-becb45b218a7","http://www.mendeley.com/documents/?uuid=00b6d398-a024-46b8-a45a-9410dcf5f9e3"]},{"id":"ITEM-4","itemData":{"DOI":"10.1056/NEJMoa051424","ISSN":"1533-4406","PMID":"16371631","abstract":"The role of tumor-infiltrating immune cells in the early metastatic invasion of colorectal cancer is unknown.","author":[{"dropping-particle":"","family":"Pagès","given":"Franck","non-dropping-particle":"","parse-names":false,"suffix":""},{"dropping-particle":"","family":"Berger","given":"Anne","non-dropping-particle":"","parse-names":false,"suffix":""},{"dropping-particle":"","family":"Camus","given":"Matthieu","non-dropping-particle":"","parse-names":false,"suffix":""},{"dropping-particle":"","family":"Sanchez-Cabo","given":"Fatima","non-dropping-particle":"","parse-names":false,"suffix":""},{"dropping-particle":"","family":"Costes","given":"Anne","non-dropping-particle":"","parse-names":false,"suffix":""},{"dropping-particle":"","family":"Molidor","given":"Robert","non-dropping-particle":"","parse-names":false,"suffix":""},{"dropping-particle":"","family":"Mlecnik","given":"Bernhard","non-dropping-particle":"","parse-names":false,"suffix":""},{"dropping-particle":"","family":"Kirilovsky","given":"Amos","non-dropping-particle":"","parse-names":false,"suffix":""},{"dropping-particle":"","family":"Nilsson","given":"Malin","non-dropping-particle":"","parse-names":false,"suffix":""},{"dropping-particle":"","family":"Damotte","given":"Diane","non-dropping-particle":"","parse-names":false,"suffix":""},{"dropping-particle":"","family":"Meatchi","given":"Tchao","non-dropping-particle":"","parse-names":false,"suffix":""},{"dropping-particle":"","family":"Bruneval","given":"Patrick","non-dropping-particle":"","parse-names":false,"suffix":""},{"dropping-particle":"","family":"Cugnenc","given":"Paul-Henri","non-dropping-particle":"","parse-names":false,"suffix":""},{"dropping-particle":"","family":"Trajanoski","given":"Zlatko","non-dropping-particle":"","parse-names":false,"suffix":""},{"dropping-particle":"","family":"Fridman","given":"Wolf-Herman","non-dropping-particle":"","parse-names":false,"suffix":""},{"dropping-particle":"","family":"Galon","given":"Jérôme","non-dropping-particle":"","parse-names":false,"suffix":""}],"container-title":"The New England journal of medicine","id":"ITEM-4","issue":"25","issued":{"date-parts":[["2005","12","22"]]},"page":"2654-66","title":"Effector memory T cells, early metastasis, and survival in colorectal cancer.","type":"article-journal","volume":"353"},"uris":["http://www.mendeley.com/documents/?uuid=1df0fbe0-d1e3-4faa-bed6-3804fc41044d"]},{"id":"ITEM-5","itemData":{"DOI":"10.1158/1078-0432.CCR-06-2073","ISSN":"1078-0432","PMID":"17332291","abstract":"PURPOSE The role of macrophages in tumorigenesis is complex because they can both prevent and promote tumor development. EXPERIMENTAL DESIGN Four hundred forty-six colorectal cancer specimens were stained with the pan-monocyte/macrophage marker CD68, and average infiltration along the tumor front was semiquantitatively evaluated using a four-grade scale. Each section was similarly scored for the presence of CD68 hotspots. Some aspects of macrophage-tumor cell interactions were also studied using in vitro coculture systems. RESULTS Including all patients, regardless of surgical outcome and localization, survival increased incrementally with CD68TF(Mean) infiltration grade (P = 0.0001) but not in curatively resected colon cancers (P = 0.28). CD68 hotspot score (CD68TF(Hotspot)) was divided into high and low. A high hotspot score conferred a highly significant survival advantage also in curatively resected colon cancer cases (n = 199, P = 0.0002) but not in rectal cancers. CD68TF(Hotspot) high turned out as an independent prognostic marker for colon cancer in multivariate analyses including gender, age, localization, grade, stage, tumor type, and lymphocytes at the tumor front, conferring a relative risk of 0.49 (P = 0.007). In vitro coculture experiments, using phorbol 12-myristate 13-acetate-activated U937 cells as macrophage model, revealed that a high ratio of macrophages to colon cancer cells inhibited cancer cell growth. This was partially dependent on cell-to-cell contact, whereas Boyden chamber cocultivation without cell-to-cell contact promoted cancer cell spread. CONCLUSIONS In conclusion, our data indicate that a dense macrophage infiltration at the tumor front positively influences prognosis in colon cancer and that the degree of cell-to-cell contact may influence the balance between protumorigenic and antitumorigenic properties of macrophages.","author":[{"dropping-particle":"","family":"Forssell","given":"J.","non-dropping-particle":"","parse-names":false,"suffix":""},{"dropping-particle":"","family":"Oberg","given":"A.","non-dropping-particle":"","parse-names":false,"suffix":""},{"dropping-particle":"","family":"Henriksson","given":"M. L.","non-dropping-particle":"","parse-names":false,"suffix":""},{"dropping-particle":"","family":"Stenling","given":"R.","non-dropping-particle":"","parse-names":false,"suffix":""},{"dropping-particle":"","family":"Jung","given":"A.","non-dropping-particle":"","parse-names":false,"suffix":""},{"dropping-particle":"","family":"Palmqvist","given":"R.","non-dropping-particle":"","parse-names":false,"suffix":""}],"container-title":"Clinical Cancer Research","id":"ITEM-5","issue":"5","issued":{"date-parts":[["2007"]]},"page":"1472-1479","title":"High Macrophage Infiltration along the Tumor Front Correlates with Improved Survival in Colon Cancer","type":"article-journal","volume":"13"},"uris":["http://www.mendeley.com/documents/?uuid=d05c5100-bec0-3d81-bd3a-377228a67af9"]}],"mendeley":{"formattedCitation":"&lt;sup&gt;[46–50]&lt;/sup&gt;","plainTextFormattedCitation":"[46–50]","previouslyFormattedCitation":"&lt;sup&gt;[46–50]&lt;/sup&gt;"},"properties":{"noteIndex":0},"schema":"https://github.com/citation-style-language/schema/raw/master/csl-citation.json"}</w:instrText>
      </w:r>
      <w:r w:rsidR="00190099" w:rsidRPr="00F06EA4">
        <w:rPr>
          <w:lang w:val="en-US"/>
        </w:rPr>
        <w:fldChar w:fldCharType="separate"/>
      </w:r>
      <w:r w:rsidR="00F45F97" w:rsidRPr="00F06EA4">
        <w:rPr>
          <w:noProof/>
          <w:vertAlign w:val="superscript"/>
          <w:lang w:val="en-US"/>
        </w:rPr>
        <w:t>[46–50]</w:t>
      </w:r>
      <w:r w:rsidR="00190099" w:rsidRPr="00F06EA4">
        <w:rPr>
          <w:lang w:val="en-US"/>
        </w:rPr>
        <w:fldChar w:fldCharType="end"/>
      </w:r>
      <w:r w:rsidR="00190099" w:rsidRPr="00F06EA4">
        <w:rPr>
          <w:lang w:val="en-US"/>
        </w:rPr>
        <w:t xml:space="preserve">, has frequently been associated with improved survival </w:t>
      </w:r>
      <w:r w:rsidR="00711700" w:rsidRPr="00F06EA4">
        <w:rPr>
          <w:lang w:val="en-US"/>
        </w:rPr>
        <w:t xml:space="preserve">in CRC, </w:t>
      </w:r>
      <w:r w:rsidR="00190099" w:rsidRPr="00F06EA4">
        <w:rPr>
          <w:lang w:val="en-US"/>
        </w:rPr>
        <w:t>independent of tumor stage or other prognostic parameters.</w:t>
      </w:r>
      <w:r w:rsidR="00711700" w:rsidRPr="00F06EA4">
        <w:rPr>
          <w:lang w:val="en-US"/>
        </w:rPr>
        <w:t xml:space="preserve"> This has been attributed to the ability of immune cells to recognize transformed malignant cells and restrict tumor growth (immunosurveillance hypothesis)</w:t>
      </w:r>
      <w:r w:rsidR="00711700" w:rsidRPr="00F06EA4">
        <w:rPr>
          <w:lang w:val="en-US"/>
        </w:rPr>
        <w:fldChar w:fldCharType="begin" w:fldLock="1"/>
      </w:r>
      <w:r w:rsidR="00107AAC" w:rsidRPr="00F06EA4">
        <w:rPr>
          <w:lang w:val="en-US"/>
        </w:rPr>
        <w:instrText>ADDIN CSL_CITATION {"citationItems":[{"id":"ITEM-1","itemData":{"DOI":"10.1146/annurev.immunol.22.012703.104803","ISSN":"0732-0582","PMID":"15032581","abstract":"After a century of controversy, the notion that the immune system regulates cancer development is experiencing a new resurgence. An overwhelming amount of data from animal models--together with compelling data from human patients--indicate that a functional cancer immunosurveillance process indeed exists that acts as an extrinsic tumor suppressor. However, it has also become clear that the immune system can facilitate tumor progression, at least in part, by sculpting the immunogenic phenotype of tumors as they develop. The recognition that immunity plays a dual role in the complex interactions between tumors and the host prompted a refinement of the cancer immunosurveillance hypothesis into one termed \"cancer immunoediting.\" In this review, we summarize the history of the cancer immunosurveillance controversy and discuss its resolution and evolution into the three Es of cancer immunoediting--elimination, equilibrium, and escape.","author":[{"dropping-particle":"","family":"Dunn","given":"Gavin P.","non-dropping-particle":"","parse-names":false,"suffix":""},{"dropping-particle":"","family":"Old","given":"Lloyd J.","non-dropping-particle":"","parse-names":false,"suffix":""},{"dropping-particle":"","family":"Schreiber","given":"Robert D.","non-dropping-particle":"","parse-names":false,"suffix":""}],"container-title":"Annual Review of Immunology","id":"ITEM-1","issue":"1","issued":{"date-parts":[["2004"]]},"page":"329-360","title":"The Three Es of Cancer Immunoediting","type":"article-journal","volume":"22"},"uris":["http://www.mendeley.com/documents/?uuid=79d68a11-1b28-3cb0-9874-254db3a5fbee"]},{"id":"ITEM-2","itemData":{"DOI":"10.1126/science.1203486","ISSN":"1095-9203; 0036-8075","PMID":"21436444","abstract":"Understanding how the immune system affects cancer development and progression has been one of the most challenging questions in immunology. Research over the past two decades has helped explain why the answer to this question has evaded us for so long. We now appreciate that the immune system plays a dual role in cancer: It can not only suppress tumor growth by destroying cancer cells or inhibiting their outgrowth but also promote tumor progression either by selecting for tumor cells that are more fit to survive in an immunocompetent host or by establishing conditions within the tumor microenvironment that facilitate tumor outgrowth. Here, we discuss a unifying conceptual framework called \"cancer immunoediting,\" which integrates the immune system's dual host-protective and tumor-promoting roles.","author":[{"dropping-particle":"","family":"Schreiber","given":"Robert D","non-dropping-particle":"","parse-names":false,"suffix":""},{"dropping-particle":"","family":"Old","given":"Lloyd J","non-dropping-particle":"","parse-names":false,"suffix":""},{"dropping-particle":"","family":"Smyth","given":"Mark J","non-dropping-particle":"","parse-names":false,"suffix":""}],"container-title":"Science (New York, N.Y.)","id":"ITEM-2","issue":"6024","issued":{"date-parts":[["2011"]]},"page":"1565-70","publisher-place":"Department of Pathology and Immunology, Washington University School of Medicine, St. Louis, MO 63110, USA. schreiber@immunology.wustl.edu","title":"Cancer immunoediting: integrating immunity's roles in cancer suppression and promotion","type":"article-journal","volume":"331"},"uris":["http://www.mendeley.com/documents/?uuid=95cb3e56-6fbe-49e2-8109-33306d82a597"]}],"mendeley":{"formattedCitation":"&lt;sup&gt;[3,51]&lt;/sup&gt;","plainTextFormattedCitation":"[3,51]","previouslyFormattedCitation":"&lt;sup&gt;[3,51]&lt;/sup&gt;"},"properties":{"noteIndex":0},"schema":"https://github.com/citation-style-language/schema/raw/master/csl-citation.json"}</w:instrText>
      </w:r>
      <w:r w:rsidR="00711700" w:rsidRPr="00F06EA4">
        <w:rPr>
          <w:lang w:val="en-US"/>
        </w:rPr>
        <w:fldChar w:fldCharType="separate"/>
      </w:r>
      <w:r w:rsidR="00F45F97" w:rsidRPr="00F06EA4">
        <w:rPr>
          <w:noProof/>
          <w:vertAlign w:val="superscript"/>
          <w:lang w:val="en-US"/>
        </w:rPr>
        <w:t>[3,51]</w:t>
      </w:r>
      <w:r w:rsidR="00711700" w:rsidRPr="00F06EA4">
        <w:rPr>
          <w:lang w:val="en-US"/>
        </w:rPr>
        <w:fldChar w:fldCharType="end"/>
      </w:r>
      <w:r w:rsidR="00711700" w:rsidRPr="00F06EA4">
        <w:rPr>
          <w:lang w:val="en-US"/>
        </w:rPr>
        <w:t xml:space="preserve">. However, some types of immune cells such as Th17 cells, characterized by their production of </w:t>
      </w:r>
      <w:r w:rsidR="321CFBB4" w:rsidRPr="00F06EA4">
        <w:rPr>
          <w:lang w:val="en-US"/>
        </w:rPr>
        <w:t>I</w:t>
      </w:r>
      <w:r w:rsidR="1B690452" w:rsidRPr="00F06EA4">
        <w:rPr>
          <w:lang w:val="en-US"/>
        </w:rPr>
        <w:t>L</w:t>
      </w:r>
      <w:r w:rsidR="00711700" w:rsidRPr="00F06EA4">
        <w:rPr>
          <w:lang w:val="en-US"/>
        </w:rPr>
        <w:t>17, a proinflammatory cytokine, have been associated with poor survival</w:t>
      </w:r>
      <w:r w:rsidR="00711700" w:rsidRPr="00F06EA4">
        <w:rPr>
          <w:lang w:val="en-US"/>
        </w:rPr>
        <w:fldChar w:fldCharType="begin" w:fldLock="1"/>
      </w:r>
      <w:r w:rsidR="00107AAC" w:rsidRPr="00F06EA4">
        <w:rPr>
          <w:lang w:val="en-US"/>
        </w:rPr>
        <w:instrText>ADDIN CSL_CITATION {"citationItems":[{"id":"ITEM-1","itemData":{"DOI":"10.1158/0008-5472.CAN-10-2907","ISSN":"0008-5472","PMID":"21303976","abstract":"The tumor microenvironment includes a complex network of immune T-cell subpopulations. In this study, we systematically analyzed the balance between cytotoxic T cells and different subsets of helper T cells in human colorectal cancers and we correlated their impact on disease-free survival. A panel of immune related genes were analyzed in 125 frozen colorectal tumor specimens. Infiltrating cytotoxic T cells, Treg, Th1, and Th17 cells were also quantified in the center and the invasive margin of the tumors. By hierarchical clustering of a correlation matrix we identified functional clusters of genes associated with Th17 (RORC, IL17A), Th2 (IL4, IL5, IL13), Th1 (Tbet, IRF1, IL12Rb2, STAT4), and cytotoxicity (GNLY, GZMB, PRF1). Patients with high expression of the Th17 cluster had a poor prognosis, whereas patients with high expression of the Th1 cluster had prolonged disease-free survival. In contrast, none of the Th2 clusters were predictive of prognosis. Combined analysis of cytotoxic/Th1 and Th17 clusters improved the ability to discriminate relapse. In situ analysis of the density of IL17+ cells and CD8+ cells in tumor tissues confirmed the results. Our findings argue that functional Th1 and Th17 clusters yield opposite effects on patient survival in colorectal cancer, and they provide complementary information that may improve prognosis.","author":[{"dropping-particle":"","family":"Tosolini","given":"Marie","non-dropping-particle":"","parse-names":false,"suffix":""},{"dropping-particle":"","family":"Kirilovsky","given":"Amos","non-dropping-particle":"","parse-names":false,"suffix":""},{"dropping-particle":"","family":"Mlecnik","given":"Bernhard","non-dropping-particle":"","parse-names":false,"suffix":""},{"dropping-particle":"","family":"Fredriksen","given":"Tessa","non-dropping-particle":"","parse-names":false,"suffix":""},{"dropping-particle":"","family":"Mauger","given":"Stéphanie","non-dropping-particle":"","parse-names":false,"suffix":""},{"dropping-particle":"","family":"Bindea","given":"Gabriela","non-dropping-particle":"","parse-names":false,"suffix":""},{"dropping-particle":"","family":"Berger","given":"Anne","non-dropping-particle":"","parse-names":false,"suffix":""},{"dropping-particle":"","family":"Bruneval","given":"Patrick","non-dropping-particle":"","parse-names":false,"suffix":""},{"dropping-particle":"","family":"Fridman","given":"Wolf-Herman","non-dropping-particle":"","parse-names":false,"suffix":""},{"dropping-particle":"","family":"Pagès","given":"Franck","non-dropping-particle":"","parse-names":false,"suffix":""},{"dropping-particle":"","family":"Galon","given":"Jérôme","non-dropping-particle":"","parse-names":false,"suffix":""}],"container-title":"Cancer Research","id":"ITEM-1","issue":"4","issued":{"date-parts":[["2011"]]},"page":"1263-1271","title":"Clinical Impact of Different Classes of Infiltrating T Cytotoxic and Helper Cells (Th1, Th2, Treg, Th17) in Patients with Colorectal Cancer","type":"article-journal","volume":"71"},"uris":["http://www.mendeley.com/documents/?uuid=4a98b76f-6d33-32bc-a687-89568932d009"]}],"mendeley":{"formattedCitation":"&lt;sup&gt;[52]&lt;/sup&gt;","plainTextFormattedCitation":"[52]","previouslyFormattedCitation":"&lt;sup&gt;[52]&lt;/sup&gt;"},"properties":{"noteIndex":0},"schema":"https://github.com/citation-style-language/schema/raw/master/csl-citation.json"}</w:instrText>
      </w:r>
      <w:r w:rsidR="00711700" w:rsidRPr="00F06EA4">
        <w:rPr>
          <w:lang w:val="en-US"/>
        </w:rPr>
        <w:fldChar w:fldCharType="separate"/>
      </w:r>
      <w:r w:rsidR="00F45F97" w:rsidRPr="00F06EA4">
        <w:rPr>
          <w:noProof/>
          <w:vertAlign w:val="superscript"/>
          <w:lang w:val="en-US"/>
        </w:rPr>
        <w:t>[52]</w:t>
      </w:r>
      <w:r w:rsidR="00711700" w:rsidRPr="00F06EA4">
        <w:rPr>
          <w:lang w:val="en-US"/>
        </w:rPr>
        <w:fldChar w:fldCharType="end"/>
      </w:r>
      <w:r w:rsidR="00711700" w:rsidRPr="00F06EA4">
        <w:rPr>
          <w:lang w:val="en-US"/>
        </w:rPr>
        <w:t>.</w:t>
      </w:r>
    </w:p>
    <w:p w14:paraId="125140C5" w14:textId="5055A2D4" w:rsidR="00B8589A" w:rsidRPr="00F06EA4" w:rsidRDefault="00711700" w:rsidP="00F67ED8">
      <w:pPr>
        <w:spacing w:after="0"/>
        <w:ind w:firstLineChars="100" w:firstLine="240"/>
        <w:rPr>
          <w:lang w:val="en-US"/>
        </w:rPr>
      </w:pPr>
      <w:r w:rsidRPr="00F06EA4">
        <w:rPr>
          <w:lang w:val="en-US"/>
        </w:rPr>
        <w:t>Immune cells are considered an important source of cytokines, chemokines, and growth factors in tumor microenvironment</w:t>
      </w:r>
      <w:r w:rsidR="001204F6" w:rsidRPr="00F06EA4">
        <w:rPr>
          <w:lang w:val="en-US"/>
        </w:rPr>
        <w:t xml:space="preserve"> (Table 3)</w:t>
      </w:r>
      <w:r w:rsidR="006608BF" w:rsidRPr="00F06EA4">
        <w:rPr>
          <w:lang w:val="en-US"/>
        </w:rPr>
        <w:t xml:space="preserve">, but a </w:t>
      </w:r>
      <w:r w:rsidR="00F95CE0" w:rsidRPr="00F06EA4">
        <w:rPr>
          <w:lang w:val="en-US"/>
        </w:rPr>
        <w:t>few</w:t>
      </w:r>
      <w:r w:rsidR="006608BF" w:rsidRPr="00F06EA4">
        <w:rPr>
          <w:lang w:val="en-US"/>
        </w:rPr>
        <w:t xml:space="preserve"> r</w:t>
      </w:r>
      <w:r w:rsidR="00FB099E" w:rsidRPr="00F06EA4">
        <w:rPr>
          <w:lang w:val="en-US"/>
        </w:rPr>
        <w:t xml:space="preserve">ecent studies have shown </w:t>
      </w:r>
      <w:r w:rsidR="00B30B6A" w:rsidRPr="00F06EA4">
        <w:rPr>
          <w:lang w:val="en-US"/>
        </w:rPr>
        <w:t>an inverse correlation or lack of correlation bet</w:t>
      </w:r>
      <w:r w:rsidR="1B690452" w:rsidRPr="00F06EA4">
        <w:rPr>
          <w:lang w:val="en-US"/>
        </w:rPr>
        <w:t>w</w:t>
      </w:r>
      <w:r w:rsidR="00B30B6A" w:rsidRPr="00F06EA4">
        <w:rPr>
          <w:lang w:val="en-US"/>
        </w:rPr>
        <w:t>een local</w:t>
      </w:r>
      <w:r w:rsidR="00FB099E" w:rsidRPr="00F06EA4">
        <w:rPr>
          <w:lang w:val="en-US"/>
        </w:rPr>
        <w:t xml:space="preserve"> immune response </w:t>
      </w:r>
      <w:r w:rsidR="00B30B6A" w:rsidRPr="00F06EA4">
        <w:rPr>
          <w:lang w:val="en-US"/>
        </w:rPr>
        <w:t>and systemic inflammation.</w:t>
      </w:r>
      <w:r w:rsidR="00543ADA" w:rsidRPr="00F06EA4">
        <w:rPr>
          <w:lang w:val="en-US"/>
        </w:rPr>
        <w:t xml:space="preserve"> </w:t>
      </w:r>
      <w:r w:rsidR="00B074E9" w:rsidRPr="00F06EA4">
        <w:rPr>
          <w:lang w:val="en-US"/>
        </w:rPr>
        <w:t>A recent study</w:t>
      </w:r>
      <w:r w:rsidR="00F92342" w:rsidRPr="00F06EA4">
        <w:rPr>
          <w:lang w:val="en-US"/>
        </w:rPr>
        <w:t xml:space="preserve"> evaluated the relationships between serum levels of 13 cytokines and the densities of eight types of </w:t>
      </w:r>
      <w:r w:rsidR="002A65CE" w:rsidRPr="00F06EA4">
        <w:rPr>
          <w:lang w:val="en-US"/>
        </w:rPr>
        <w:t>tumor-</w:t>
      </w:r>
      <w:r w:rsidR="00F92342" w:rsidRPr="00F06EA4">
        <w:rPr>
          <w:lang w:val="en-US"/>
        </w:rPr>
        <w:t>infiltrating immune cells (CD3</w:t>
      </w:r>
      <w:r w:rsidR="00F92342" w:rsidRPr="00F06EA4">
        <w:rPr>
          <w:vertAlign w:val="superscript"/>
          <w:lang w:val="en-US"/>
        </w:rPr>
        <w:t>+</w:t>
      </w:r>
      <w:r w:rsidR="00F92342" w:rsidRPr="00F06EA4">
        <w:rPr>
          <w:lang w:val="en-US"/>
        </w:rPr>
        <w:t>, CD8</w:t>
      </w:r>
      <w:r w:rsidR="00F92342" w:rsidRPr="00F06EA4">
        <w:rPr>
          <w:vertAlign w:val="superscript"/>
          <w:lang w:val="en-US"/>
        </w:rPr>
        <w:t>+</w:t>
      </w:r>
      <w:r w:rsidR="00F92342" w:rsidRPr="00F06EA4">
        <w:rPr>
          <w:lang w:val="en-US"/>
        </w:rPr>
        <w:t xml:space="preserve">, </w:t>
      </w:r>
      <w:r w:rsidR="00F92342" w:rsidRPr="00F06EA4">
        <w:rPr>
          <w:lang w:val="en-US"/>
        </w:rPr>
        <w:lastRenderedPageBreak/>
        <w:t>and FOXP3</w:t>
      </w:r>
      <w:r w:rsidR="00F92342" w:rsidRPr="00F06EA4">
        <w:rPr>
          <w:vertAlign w:val="superscript"/>
          <w:lang w:val="en-US"/>
        </w:rPr>
        <w:t>+</w:t>
      </w:r>
      <w:r w:rsidR="00F92342" w:rsidRPr="00F06EA4">
        <w:rPr>
          <w:lang w:val="en-US"/>
        </w:rPr>
        <w:t xml:space="preserve"> T cells, CD68</w:t>
      </w:r>
      <w:r w:rsidR="00F92342" w:rsidRPr="00F06EA4">
        <w:rPr>
          <w:vertAlign w:val="superscript"/>
          <w:lang w:val="en-US"/>
        </w:rPr>
        <w:t>+</w:t>
      </w:r>
      <w:r w:rsidR="00F92342" w:rsidRPr="00F06EA4">
        <w:rPr>
          <w:lang w:val="en-US"/>
        </w:rPr>
        <w:t xml:space="preserve"> macrophages, CD1a</w:t>
      </w:r>
      <w:r w:rsidR="00F92342" w:rsidRPr="00F06EA4">
        <w:rPr>
          <w:vertAlign w:val="superscript"/>
          <w:lang w:val="en-US"/>
        </w:rPr>
        <w:t>+</w:t>
      </w:r>
      <w:r w:rsidR="00F92342" w:rsidRPr="00F06EA4">
        <w:rPr>
          <w:lang w:val="en-US"/>
        </w:rPr>
        <w:t xml:space="preserve"> dendritic cells, CD83</w:t>
      </w:r>
      <w:r w:rsidR="00F92342" w:rsidRPr="00F06EA4">
        <w:rPr>
          <w:vertAlign w:val="superscript"/>
          <w:lang w:val="en-US"/>
        </w:rPr>
        <w:t>+</w:t>
      </w:r>
      <w:r w:rsidR="00F92342" w:rsidRPr="00F06EA4">
        <w:rPr>
          <w:lang w:val="en-US"/>
        </w:rPr>
        <w:t xml:space="preserve"> dendritic cells, ELANE</w:t>
      </w:r>
      <w:r w:rsidR="00F92342" w:rsidRPr="00F06EA4">
        <w:rPr>
          <w:vertAlign w:val="superscript"/>
          <w:lang w:val="en-US"/>
        </w:rPr>
        <w:t>+</w:t>
      </w:r>
      <w:r w:rsidR="00F92342" w:rsidRPr="00F06EA4">
        <w:rPr>
          <w:lang w:val="en-US"/>
        </w:rPr>
        <w:t xml:space="preserve"> neutrophils, and tryptase</w:t>
      </w:r>
      <w:r w:rsidR="00F92342" w:rsidRPr="00F06EA4">
        <w:rPr>
          <w:vertAlign w:val="superscript"/>
          <w:lang w:val="en-US"/>
        </w:rPr>
        <w:t>+</w:t>
      </w:r>
      <w:r w:rsidR="00945734" w:rsidRPr="00F06EA4">
        <w:rPr>
          <w:vertAlign w:val="superscript"/>
          <w:lang w:val="en-US"/>
        </w:rPr>
        <w:t xml:space="preserve"> </w:t>
      </w:r>
      <w:r w:rsidR="00F92342" w:rsidRPr="00F06EA4">
        <w:rPr>
          <w:lang w:val="en-US"/>
        </w:rPr>
        <w:t>mast cells) in a cohort of 147 stage I</w:t>
      </w:r>
      <w:r w:rsidR="002A65CE" w:rsidRPr="00F06EA4">
        <w:rPr>
          <w:lang w:val="en-US"/>
        </w:rPr>
        <w:t>–</w:t>
      </w:r>
      <w:r w:rsidR="00F92342" w:rsidRPr="00F06EA4">
        <w:rPr>
          <w:lang w:val="en-US"/>
        </w:rPr>
        <w:t xml:space="preserve">IV CRC patients. </w:t>
      </w:r>
      <w:r w:rsidR="00514000" w:rsidRPr="00F06EA4">
        <w:rPr>
          <w:lang w:val="en-US"/>
        </w:rPr>
        <w:t xml:space="preserve">In that study, </w:t>
      </w:r>
      <w:r w:rsidR="00F92342" w:rsidRPr="00F06EA4">
        <w:rPr>
          <w:lang w:val="en-US"/>
        </w:rPr>
        <w:t xml:space="preserve">serum cytokines and </w:t>
      </w:r>
      <w:r w:rsidR="002A65CE" w:rsidRPr="00F06EA4">
        <w:rPr>
          <w:lang w:val="en-US"/>
        </w:rPr>
        <w:t>tumor-</w:t>
      </w:r>
      <w:r w:rsidR="00F92342" w:rsidRPr="00F06EA4">
        <w:rPr>
          <w:lang w:val="en-US"/>
        </w:rPr>
        <w:t>infiltrating immune cells in CRC represent</w:t>
      </w:r>
      <w:r w:rsidR="00514000" w:rsidRPr="00F06EA4">
        <w:rPr>
          <w:lang w:val="en-US"/>
        </w:rPr>
        <w:t>ed</w:t>
      </w:r>
      <w:r w:rsidR="00F92342" w:rsidRPr="00F06EA4">
        <w:rPr>
          <w:lang w:val="en-US"/>
        </w:rPr>
        <w:t xml:space="preserve"> entities with high intra-group correlations but relatively weak </w:t>
      </w:r>
      <w:r w:rsidR="006C09EC" w:rsidRPr="00F06EA4">
        <w:rPr>
          <w:lang w:val="en-US"/>
        </w:rPr>
        <w:t xml:space="preserve">positive </w:t>
      </w:r>
      <w:r w:rsidR="00F92342" w:rsidRPr="00F06EA4">
        <w:rPr>
          <w:lang w:val="en-US"/>
        </w:rPr>
        <w:t>inter-group correlations. High macrophage density was associated with increased serum CCL4 levels (which could reflect CCL4 production by macrophages or recruitment of CCR5</w:t>
      </w:r>
      <w:r w:rsidR="00F92342" w:rsidRPr="00F06EA4">
        <w:rPr>
          <w:vertAlign w:val="superscript"/>
          <w:lang w:val="en-US"/>
        </w:rPr>
        <w:t>+</w:t>
      </w:r>
      <w:r w:rsidR="00F92342" w:rsidRPr="00F06EA4">
        <w:rPr>
          <w:lang w:val="en-US"/>
        </w:rPr>
        <w:t xml:space="preserve"> macrophages in tumors as a response </w:t>
      </w:r>
      <w:r w:rsidR="002A65CE" w:rsidRPr="00F06EA4">
        <w:rPr>
          <w:lang w:val="en-US"/>
        </w:rPr>
        <w:t xml:space="preserve">to </w:t>
      </w:r>
      <w:r w:rsidR="00F92342" w:rsidRPr="00F06EA4">
        <w:rPr>
          <w:lang w:val="en-US"/>
        </w:rPr>
        <w:t>CCL4) and high densities of CD3</w:t>
      </w:r>
      <w:r w:rsidR="00F92342" w:rsidRPr="00F06EA4">
        <w:rPr>
          <w:vertAlign w:val="superscript"/>
          <w:lang w:val="en-US"/>
        </w:rPr>
        <w:t>+</w:t>
      </w:r>
      <w:r w:rsidR="00F92342" w:rsidRPr="00F06EA4">
        <w:rPr>
          <w:lang w:val="en-US"/>
        </w:rPr>
        <w:t xml:space="preserve"> and CD8</w:t>
      </w:r>
      <w:r w:rsidR="00F92342" w:rsidRPr="00F06EA4">
        <w:rPr>
          <w:vertAlign w:val="superscript"/>
          <w:lang w:val="en-US"/>
        </w:rPr>
        <w:t>+</w:t>
      </w:r>
      <w:r w:rsidR="00F92342" w:rsidRPr="00F06EA4">
        <w:rPr>
          <w:lang w:val="en-US"/>
        </w:rPr>
        <w:t xml:space="preserve"> T cells were associated with increased serum IL12 levels (which indicates that systemic IL-12 levels may contribute to or reflect tumor-associated Th1 response).</w:t>
      </w:r>
      <w:r w:rsidR="006C09EC" w:rsidRPr="00F06EA4">
        <w:rPr>
          <w:lang w:val="en-US"/>
        </w:rPr>
        <w:t xml:space="preserve"> </w:t>
      </w:r>
      <w:r w:rsidR="00590172" w:rsidRPr="00F06EA4">
        <w:rPr>
          <w:lang w:val="en-US"/>
        </w:rPr>
        <w:t>Yet another study reported a trend towards an inverse relationship between local inflammation and systemic inflammation in a cohort of stage II colon cancer patients</w:t>
      </w:r>
      <w:r w:rsidR="00590172" w:rsidRPr="00F06EA4">
        <w:rPr>
          <w:lang w:val="en-US"/>
        </w:rPr>
        <w:fldChar w:fldCharType="begin" w:fldLock="1"/>
      </w:r>
      <w:r w:rsidR="00F45F97" w:rsidRPr="00F06EA4">
        <w:rPr>
          <w:lang w:val="en-US"/>
        </w:rPr>
        <w:instrText>ADDIN CSL_CITATION {"citationItems":[{"id":"ITEM-1","itemData":{"DOI":"10.1002/ijc.29805","ISSN":"00207136","PMID":"26270488","abstract":"In Stage II colon cancer, multiple independent studies have shown that a dense intratumoural immune infiltrate (local inflammation) is associated with improved outcomes, while systemic inflammation, measured by various markers, has been associated with poorer outcomes. However, previous studies have not considered the interaction between local and systemic inflammation, nor have they assessed the type of inflammatory response compared with standard clinicopathologic criteria. In order to evaluate the potential clinical utility of inflammatory markers in Stage II colon cancer, we examined local and systemic inflammation in a consecutive series of patients with resected Stage II colon cancer between 2000 and 2010 who were identified from a prospective clinical database. Increased intratumoural chronic inflammatory cell (CIC) density, as assessed by pathologist review of hematoxylin and eosin stained slides, was used to represent local inflammation. Neutrophil-to-lymphocyte ratio (NLR) &gt;5, as calculated from pre-operative full blood counts, was used to represent systemic inflammation. In 396 eligible patients identified, there was a non-significant inverse relationship between local and systemic inflammation. Increased CIC density was significantly associated with improved overall (HR 0.45, p = 0.001) and recurrence-free survival (HR 0.37, p = 0.003). High NLR was significantly associated with poorer overall survival (HR 2.56, p &lt; 0.001). The combination of these markers further stratified prognosis independent of standard high-risk criteria, with a dominant systemic inflammatory response (low CIC/high NLR) associated with the worst outcome (5-year overall survival 55.8%). With further validation this simple, inexpensive combined inflammatory biomarker might assist in patient selection for adjuvant chemotherapy in Stage II colon cancer.","author":[{"dropping-particle":"","family":"Turner","given":"Natalie","non-dropping-particle":"","parse-names":false,"suffix":""},{"dropping-particle":"","family":"Wong","given":"Hui-Li","non-dropping-particle":"","parse-names":false,"suffix":""},{"dropping-particle":"","family":"Templeton","given":"Arnoud","non-dropping-particle":"","parse-names":false,"suffix":""},{"dropping-particle":"","family":"Tripathy","given":"Sagarika","non-dropping-particle":"","parse-names":false,"suffix":""},{"dropping-particle":"","family":"Whiti Rogers","given":"Te","non-dropping-particle":"","parse-names":false,"suffix":""},{"dropping-particle":"","family":"Croxford","given":"Matthew","non-dropping-particle":"","parse-names":false,"suffix":""},{"dropping-particle":"","family":"Jones","given":"Ian","non-dropping-particle":"","parse-names":false,"suffix":""},{"dropping-particle":"","family":"Sinnathamby","given":"Mathuranthakan","non-dropping-particle":"","parse-names":false,"suffix":""},{"dropping-particle":"","family":"Desai","given":"Jayesh","non-dropping-particle":"","parse-names":false,"suffix":""},{"dropping-particle":"","family":"Tie","given":"Jeanne","non-dropping-particle":"","parse-names":false,"suffix":""},{"dropping-particle":"","family":"Bae","given":"Susie","non-dropping-particle":"","parse-names":false,"suffix":""},{"dropping-particle":"","family":"Christie","given":"Michael","non-dropping-particle":"","parse-names":false,"suffix":""},{"dropping-particle":"","family":"Gibbs","given":"Peter","non-dropping-particle":"","parse-names":false,"suffix":""},{"dropping-particle":"","family":"Tran","given":"Ben","non-dropping-particle":"","parse-names":false,"suffix":""}],"container-title":"International Journal of Cancer","id":"ITEM-1","issue":"3","issued":{"date-parts":[["2016"]]},"page":"671-678","title":"Analysis of local chronic inflammatory cell infiltrate combined with systemic inflammation improves prognostication in stage II colon cancer independent of standard clinicopathologic criteria","type":"article-journal","volume":"138"},"uris":["http://www.mendeley.com/documents/?uuid=b09e8ba6-1250-3717-8176-fe3a504c5fa3","http://www.mendeley.com/documents/?uuid=e02d064d-8b55-44d2-89f2-41913800f604"]}],"mendeley":{"formattedCitation":"&lt;sup&gt;[53]&lt;/sup&gt;","plainTextFormattedCitation":"[53]","previouslyFormattedCitation":"&lt;sup&gt;[53]&lt;/sup&gt;"},"properties":{"noteIndex":0},"schema":"https://github.com/citation-style-language/schema/raw/master/csl-citation.json"}</w:instrText>
      </w:r>
      <w:r w:rsidR="00590172" w:rsidRPr="00F06EA4">
        <w:rPr>
          <w:lang w:val="en-US"/>
        </w:rPr>
        <w:fldChar w:fldCharType="separate"/>
      </w:r>
      <w:r w:rsidR="00F45F97" w:rsidRPr="00F06EA4">
        <w:rPr>
          <w:noProof/>
          <w:vertAlign w:val="superscript"/>
          <w:lang w:val="en-US"/>
        </w:rPr>
        <w:t>[53]</w:t>
      </w:r>
      <w:r w:rsidR="00590172" w:rsidRPr="00F06EA4">
        <w:rPr>
          <w:lang w:val="en-US"/>
        </w:rPr>
        <w:fldChar w:fldCharType="end"/>
      </w:r>
      <w:r w:rsidR="00590172" w:rsidRPr="00F06EA4">
        <w:rPr>
          <w:lang w:val="en-US"/>
        </w:rPr>
        <w:t>.</w:t>
      </w:r>
    </w:p>
    <w:p w14:paraId="19BFB360" w14:textId="345C8E4D" w:rsidR="00AF59FD" w:rsidRPr="00F06EA4" w:rsidRDefault="4CBA860F" w:rsidP="00F67ED8">
      <w:pPr>
        <w:spacing w:after="0"/>
        <w:ind w:firstLineChars="100" w:firstLine="240"/>
        <w:rPr>
          <w:rFonts w:eastAsia="Book Antiqua" w:cs="Book Antiqua"/>
          <w:lang w:val="en-US"/>
        </w:rPr>
      </w:pPr>
      <w:r w:rsidRPr="00F06EA4">
        <w:rPr>
          <w:rFonts w:eastAsia="Book Antiqua" w:cs="Book Antiqua"/>
          <w:lang w:val="en-US"/>
        </w:rPr>
        <w:t>The reasons underlying the relative weakness of the observed associations</w:t>
      </w:r>
      <w:r w:rsidR="00590172" w:rsidRPr="00F06EA4">
        <w:rPr>
          <w:rFonts w:eastAsia="Book Antiqua" w:cs="Book Antiqua"/>
          <w:lang w:val="en-US"/>
        </w:rPr>
        <w:t xml:space="preserve"> between tumor immune cell densities</w:t>
      </w:r>
      <w:r w:rsidR="0079249B" w:rsidRPr="00F06EA4">
        <w:rPr>
          <w:rFonts w:eastAsia="Book Antiqua" w:cs="Book Antiqua"/>
          <w:lang w:val="en-US"/>
        </w:rPr>
        <w:t xml:space="preserve"> and serum levels of inflammatory markers</w:t>
      </w:r>
      <w:r w:rsidRPr="00F06EA4">
        <w:rPr>
          <w:rFonts w:eastAsia="Book Antiqua" w:cs="Book Antiqua"/>
          <w:lang w:val="en-US"/>
        </w:rPr>
        <w:t xml:space="preserve"> are unclear. However, more precise definition of immune cell categories may be needed to show more closely defined associations with circulating inflammatory mediators. For example, general macrophage markers, such as CD68, do not adequately reflect the phenotypic diversity of macrophages, which can produce copious amounts of various cytokines depending on their polarization status</w:t>
      </w:r>
      <w:r w:rsidR="00AF59FD" w:rsidRPr="00F06EA4">
        <w:rPr>
          <w:rFonts w:eastAsia="Book Antiqua" w:cs="Book Antiqua"/>
          <w:lang w:val="en-US"/>
        </w:rPr>
        <w:t xml:space="preserve"> (</w:t>
      </w:r>
      <w:r w:rsidR="004675EC" w:rsidRPr="00F06EA4">
        <w:rPr>
          <w:rFonts w:eastAsia="Book Antiqua" w:cs="Book Antiqua"/>
          <w:lang w:val="en-US"/>
        </w:rPr>
        <w:t>Figure</w:t>
      </w:r>
      <w:r w:rsidR="00AF59FD" w:rsidRPr="00F06EA4">
        <w:rPr>
          <w:rFonts w:eastAsia="Book Antiqua" w:cs="Book Antiqua"/>
          <w:lang w:val="en-US"/>
        </w:rPr>
        <w:t xml:space="preserve"> 1)</w:t>
      </w:r>
      <w:r w:rsidR="0079249B"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{"citationItems":[{"id":"ITEM-1","itemData":{"DOI":"10.1016/j.immuni.2014.06.008","ISBN":"1097-4180 (Electronic)\\r1074-7613 (Linking)","ISSN":"1097-4180","PMID":"25035950","abstract":"Description of macrophage activation is currently contentious and confusing. Like the biblical Tower of Babel, macrophage activation encompasses a panoply of descriptors used in different ways. The lack of consensus on how to define macrophage activation in experiments in vitro and in vivo impedes progress in multiple ways, including the fact that many researchers still consider there to be only two types of activated macrophages, often termed M1 and M2. Here, we describe a set of standards encompassing three principles-the source of macrophages, definition of the activators, and a consensus collection of markers to describe macrophage activation-with the goal of unifying experimental standards for diverse experimental scenarios. Collectively, we propose a common framework for macrophage-activation nomenclature.","author":[{"dropping-particle":"","family":"Murray","given":"Peter J.","non-dropping-particle":"","parse-names":false,"suffix":""},{"dropping-particle":"","family":"Allen","given":"Judith E.","non-dropping-particle":"","parse-names":false,"suffix":""},{"dropping-particle":"","family":"Biswas","given":"Subhra K.","non-dropping-particle":"","parse-names":false,"suffix":""},{"dropping-particle":"","family":"Fisher","given":"Edward A.","non-dropping-particle":"","parse-names":false,"suffix":""},{"dropping-particle":"","family":"Gilroy","given":"Derek W.","non-dropping-particle":"","parse-names":false,"suffix":""},{"dropping-particle":"","family":"Goerdt","given":"Sergij","non-dropping-particle":"","parse-names":false,"suffix":""},{"dropping-particle":"","family":"Gordon","given":"Siamon","non-dropping-particle":"","parse-names":false,"suffix":""},{"dropping-particle":"","family":"Hamilton","given":"John A.","non-dropping-particle":"","parse-names":false,"suffix":""},{"dropping-particle":"","family":"Ivashkiv","given":"Lionel B.","non-dropping-particle":"","parse-names":false,"suffix":""},{"dropping-particle":"","family":"Lawrence","given":"Toby","non-dropping-particle":"","parse-names":false,"suffix":""},{"dropping-particle":"","family":"Locati","given":"Massimo","non-dropping-particle":"","parse-names":false,"suffix":""},{"dropping-particle":"","family":"Mantovani","given":"Alberto","non-dropping-particle":"","parse-names":false,"suffix":""},{"dropping-particle":"","family":"Martinez","given":"Fernando O.","non-dropping-particle":"","parse-names":false,"suffix":""},{"dropping-particle":"","family":"Mege","given":"Jean-Louis","non-dropping-particle":"","parse-names":false,"suffix":""},{"dropping-particle":"","family":"Mosser","given":"David M.","non-dropping-particle":"","parse-names":false,"suffix":""},{"dropping-particle":"","family":"Natoli","given":"Gioacchino","non-dropping-particle":"","parse-names":false,"suffix":""},{"dropping-particle":"","family":"Saeij","given":"Jeroen P.","non-dropping-particle":"","parse-names":false,"suffix":""},{"dropping-particle":"","family":"Schultze","given":"Joachim L.","non-dropping-particle":"","parse-names":false,"suffix":""},{"dropping-particle":"","family":"Shirey","given":"Kari Ann","non-dropping-particle":"","parse-names":false,"suffix":""},{"dropping-particle":"","family":"Sica","given":"Antonio","non-dropping-particle":"","parse-names":false,"suffix":""},{"dropping-particle":"","family":"Suttles","given":"Jill","non-dropping-particle":"","parse-names":false,"suffix":""},{"dropping-particle":"","family":"Udalova","given":"Irina","non-dropping-particle":"","parse-names":false,"suffix":""},{"dropping-particle":"","family":"Ginderachter","given":"Jo A","non-dropping-particle":"van","parse-names":false,"suffix":""},{"dropping-particle":"","family":"Vogel","given":"Stefanie N.","non-dropping-particle":"","parse-names":false,"suffix":""},{"dropping-particle":"","family":"Wynn","given":"Thomas A.","non-dropping-particle":"","parse-names":false,"suffix":""}],"container-title":"Immunity","id":"ITEM-1","issue":"1","issued":{"date-parts":[["2014"]]},"page":"14-20","title":"Macrophage activation and polarization: nomenclature and experimental guidelines.","type":"article-journal","volume":"41"},"uris":["http://www.mendeley.com/documents/?uuid=a7e22b7a-97ae-4cdb-a93e-26a691aaacf4"]},{"id":"ITEM-2","itemData":{"DOI":"10.1016/j.molmed.2018.03.006","ISBN":"1471-4914","ISSN":"1471-499X","PMID":"29655673","abstract":"Macrophages are present in all vertebrate tissues and have emerged as multifarious cells with complex roles in development, tissue homeostasis, and disease. Macrophages are a major constituent of the tumor microenvironment, where they either promote or inhibit tumorigenesis and metastasis depending on their state. Successful preclinical strategies to target macrophages for anticancer therapy are now being evaluated in the clinic and provide proof of concept that targeting macrophages may enhance current therapies; however, clinical success has been limited. This review discusses the promise of targeting macrophages for anticancer therapy, yet highlights how much is unknown regarding their ontogeny, regulation, and tissue-specific diversity. Further work might identify subsets of macrophages within different tissues, which could reveal novel therapeutic opportunities for anticancer therapy.","author":[{"dropping-particle":"","family":"Guerriero","given":"Jennifer L.","non-dropping-particle":"","parse-names":false,"suffix":""}],"container-title":"Trends in molecular medicine","id":"ITEM-2","issue":"5","issued":{"date-parts":[["2018"]]},"page":"472-489","title":"Macrophages: The Road Less Traveled, Changing Anticancer Therapy.","type":"article-journal","volume":"24"},"uris":["http://www.mendeley.com/documents/?uuid=4f4362f7-28ab-4e38-bc5e-8a0af02c8969"]}],"mendeley":{"formattedCitation":"&lt;sup&gt;[28,54]&lt;/sup&gt;","plainTextFormattedCitation":"[28,54]","previouslyFormattedCitation":"&lt;sup&gt;[28,54]&lt;/sup&gt;"},"properties":{"noteIndex":0},"schema":"https://github.com/citation-style-language/schema/raw/master/csl-citation.json"}</w:instrText>
      </w:r>
      <w:r w:rsidR="0079249B" w:rsidRPr="00F06EA4">
        <w:rPr>
          <w:rFonts w:eastAsia="Book Antiqua" w:cs="Book Antiqua"/>
          <w:lang w:val="en-US"/>
        </w:rPr>
        <w:fldChar w:fldCharType="separate"/>
      </w:r>
      <w:r w:rsidR="00F45F97" w:rsidRPr="00F06EA4">
        <w:rPr>
          <w:rFonts w:eastAsia="Book Antiqua" w:cs="Book Antiqua"/>
          <w:noProof/>
          <w:vertAlign w:val="superscript"/>
          <w:lang w:val="en-US"/>
        </w:rPr>
        <w:t>[28,54]</w:t>
      </w:r>
      <w:r w:rsidR="0079249B" w:rsidRPr="00F06EA4">
        <w:rPr>
          <w:rFonts w:eastAsia="Book Antiqua" w:cs="Book Antiqua"/>
          <w:lang w:val="en-US"/>
        </w:rPr>
        <w:fldChar w:fldCharType="end"/>
      </w:r>
      <w:r w:rsidR="00AF59FD" w:rsidRPr="00F06EA4">
        <w:rPr>
          <w:rFonts w:eastAsia="Book Antiqua" w:cs="Book Antiqua"/>
          <w:lang w:val="en-US"/>
        </w:rPr>
        <w:t>. A</w:t>
      </w:r>
      <w:r w:rsidR="0079249B" w:rsidRPr="00F06EA4">
        <w:rPr>
          <w:rFonts w:eastAsia="Book Antiqua" w:cs="Book Antiqua"/>
          <w:lang w:val="en-US"/>
        </w:rPr>
        <w:t>lso</w:t>
      </w:r>
      <w:r w:rsidR="002B0A4E" w:rsidRPr="00F06EA4">
        <w:rPr>
          <w:rFonts w:eastAsia="Book Antiqua" w:cs="Book Antiqua"/>
          <w:lang w:val="en-US"/>
        </w:rPr>
        <w:t xml:space="preserve"> other immune cells, including</w:t>
      </w:r>
      <w:r w:rsidR="0079249B" w:rsidRPr="00F06EA4">
        <w:rPr>
          <w:rFonts w:eastAsia="Book Antiqua" w:cs="Book Antiqua"/>
          <w:lang w:val="en-US"/>
        </w:rPr>
        <w:t xml:space="preserve"> T helper cells</w:t>
      </w:r>
      <w:r w:rsidR="0079249B" w:rsidRPr="00F06EA4">
        <w:rPr>
          <w:rFonts w:eastAsia="Book Antiqua" w:cs="Book Antiqua"/>
          <w:lang w:val="en-US"/>
        </w:rPr>
        <w:fldChar w:fldCharType="begin" w:fldLock="1"/>
      </w:r>
      <w:r w:rsidR="00107AAC" w:rsidRPr="00F06EA4">
        <w:rPr>
          <w:rFonts w:eastAsia="Book Antiqua" w:cs="Book Antiqua"/>
          <w:lang w:val="en-US"/>
        </w:rPr>
        <w:instrText>ADDIN CSL_CITATION {"citationItems":[{"id":"ITEM-1","itemData":{"DOI":"10.1038/cr.2009.138","ISSN":"1001-0602","PMID":"20010916","abstract":"CD4 T helper (Th) cells play critical roles in adaptive immune responses. They recruit and activate other immune cells including B cells, CD8 T cells, macrophages, mast cells, neutrophils, eosinophils and basophils. Based on their functions, their pattern of cytokine secretion and their expression of specific transcription factors, Th cells, differentiated from naïve CD4 T cells, are classified into four major lineages, Th1, Th2, Th17 and T regulatory (Treg) cells, although other Th lineages may exist. Subsets of the same lineage may express different effector cytokines, reside at different locations or give rise to cells with different fates, whereas cells from different lineages may secrete common cytokines, such as IL-2, IL-9 and IL-10, resulting in massive heterogeneity of the Th cell population. In addition, the pattern of cytokine secretion may switch from that of one lineage toward another under certain circumstances, suggesting that Th cells are plastic. Tregs are also more heterogeneous and plastic than were originally thought. In this review, we summarize recent reports on heterogeneity and plasticity of Th cells, and discuss potential mechanisms and implications of such features that Th cells display.","author":[{"dropping-particle":"","family":"Zhu","given":"Jinfang","non-dropping-particle":"","parse-names":false,"suffix":""},{"dropping-particle":"","family":"Paul","given":"William E","non-dropping-particle":"","parse-names":false,"suffix":""}],"container-title":"Cell Research","id":"ITEM-1","issue":"1","issued":{"date-parts":[["2010"]]},"page":"4-12","title":"Heterogeneity and plasticity of T helper cells","type":"article-journal","volume":"20"},"uris":["http://www.mendeley.com/documents/?uuid=c92eea6a-d266-3826-bae3-6dda048ea733"]}],"mendeley":{"formattedCitation":"&lt;sup&gt;[55]&lt;/sup&gt;","plainTextFormattedCitation":"[55]","previouslyFormattedCitation":"&lt;sup&gt;[55]&lt;/sup&gt;"},"properties":{"noteIndex":0},"schema":"https://github.com/citation-style-language/schema/raw/master/csl-citation.json"}</w:instrText>
      </w:r>
      <w:r w:rsidR="0079249B" w:rsidRPr="00F06EA4">
        <w:rPr>
          <w:rFonts w:eastAsia="Book Antiqua" w:cs="Book Antiqua"/>
          <w:lang w:val="en-US"/>
        </w:rPr>
        <w:fldChar w:fldCharType="separate"/>
      </w:r>
      <w:r w:rsidR="00F45F97" w:rsidRPr="00F06EA4">
        <w:rPr>
          <w:rFonts w:eastAsia="Book Antiqua" w:cs="Book Antiqua"/>
          <w:noProof/>
          <w:vertAlign w:val="superscript"/>
          <w:lang w:val="en-US"/>
        </w:rPr>
        <w:t>[55]</w:t>
      </w:r>
      <w:r w:rsidR="0079249B" w:rsidRPr="00F06EA4">
        <w:rPr>
          <w:rFonts w:eastAsia="Book Antiqua" w:cs="Book Antiqua"/>
          <w:lang w:val="en-US"/>
        </w:rPr>
        <w:fldChar w:fldCharType="end"/>
      </w:r>
      <w:r w:rsidR="0079249B" w:rsidRPr="00F06EA4">
        <w:rPr>
          <w:rFonts w:eastAsia="Book Antiqua" w:cs="Book Antiqua"/>
          <w:lang w:val="en-US"/>
        </w:rPr>
        <w:t>, B cells</w:t>
      </w:r>
      <w:r w:rsidR="0079249B"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{"citationItems":[{"id":"ITEM-1","itemData":{"DOI":"10.1016/j.coi.2008.03.003","ISSN":"0952-7915","PMID":"18417336","abstract":"The successful use of B cell depletion therapy for the treatment of autoimmune disease has led to a resurgent appreciation of B cells as powerful regulators of immunity. However, to the surprise of many, B cells appear to regulate autoimmune conditions independently of their ability to produce autoantibodies. Indeed, disturbances in the ability of B cell subsets to present antigen, produce cytokines, and regulate the activities of T cells is emerging as a key feature in many inflammatory diseases. Here we review the recent literature describing cytokine-producing regulatory and effector B cell subsets in health and disease and discuss how future B cell-directed therapies might target the pathologic cytokine-producing effector B cell subsets without impacting the protective regulatory subsets.","author":[{"dropping-particle":"","family":"Lund","given":"Frances E.","non-dropping-particle":"","parse-names":false,"suffix":""}],"container-title":"Current opinion in immunology","id":"ITEM-1","issue":"3","issued":{"date-parts":[["2008","6"]]},"page":"332-8","title":"Cytokine-producing B lymphocytes-key regulators of immunity.","type":"article-journal","volume":"20"},"uris":["http://www.mendeley.com/documents/?uuid=062a90f2-73cd-4ce6-b4b3-2828229be167"]}],"mendeley":{"formattedCitation":"&lt;sup&gt;[56]&lt;/sup&gt;","plainTextFormattedCitation":"[56]","previouslyFormattedCitation":"&lt;sup&gt;[56]&lt;/sup&gt;"},"properties":{"noteIndex":0},"schema":"https://github.com/citation-style-language/schema/raw/master/csl-citation.json"}</w:instrText>
      </w:r>
      <w:r w:rsidR="0079249B" w:rsidRPr="00F06EA4">
        <w:rPr>
          <w:rFonts w:eastAsia="Book Antiqua" w:cs="Book Antiqua"/>
          <w:lang w:val="en-US"/>
        </w:rPr>
        <w:fldChar w:fldCharType="separate"/>
      </w:r>
      <w:r w:rsidR="00F45F97" w:rsidRPr="00F06EA4">
        <w:rPr>
          <w:rFonts w:eastAsia="Book Antiqua" w:cs="Book Antiqua"/>
          <w:noProof/>
          <w:vertAlign w:val="superscript"/>
          <w:lang w:val="en-US"/>
        </w:rPr>
        <w:t>[56]</w:t>
      </w:r>
      <w:r w:rsidR="0079249B" w:rsidRPr="00F06EA4">
        <w:rPr>
          <w:rFonts w:eastAsia="Book Antiqua" w:cs="Book Antiqua"/>
          <w:lang w:val="en-US"/>
        </w:rPr>
        <w:fldChar w:fldCharType="end"/>
      </w:r>
      <w:r w:rsidR="00852111" w:rsidRPr="00F06EA4">
        <w:rPr>
          <w:rFonts w:eastAsia="Book Antiqua" w:cs="Book Antiqua"/>
          <w:lang w:val="en-US"/>
        </w:rPr>
        <w:t>, neutrophils</w:t>
      </w:r>
      <w:r w:rsidR="00852111"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{"citationItems":[{"id":"ITEM-1","itemData":{"DOI":"10.1038/nri2649","ISSN":"14741733","abstract":"New research published in Cancer Cell suggests that tumour -associated neutrophils can have antitumorigenic ('N1') or protumorigenic ('N2') functions, a plasticity that has been well described for M1 and M2 macrophage subsets. It is suggested that the presence of ... \\n","author":[{"dropping-particle":"","family":"Bird","given":"Lucy","non-dropping-particle":"","parse-names":false,"suffix":""}],"container-title":"Nature Reviews Immunology","id":"ITEM-1","issue":"10","issued":{"date-parts":[["2009"]]},"page":"672","publisher":"Nature Publishing Group","title":"Tumour immunology: Neutrophil plasticity","type":"article-journal","volume":"9"},"uris":["http://www.mendeley.com/documents/?uuid=9e293cdc-ad94-4c91-94b9-ed69be7cff53"]},{"id":"ITEM-2","itemData":{"DOI":"10.3389/fimmu.2014.00508","ISBN":"1664-3224 (Electronic)\\r1664-3224 (Linking)","ISSN":"1664-3224","PMID":"25374568","abstract":"Polymorphonuclear neutrophils, besides their involvement in primary defense against infections - mainly through phagocytosis, generation of toxic molecules, release of enzymes, and formation of extracellular traps - are also becoming increasingly important for their contribution to the fine regulation in development of inflammatory and immune responses. These latter functions of neutrophils occur, in part, via their de novo production and release of a large variety of cytokines, including chemotactic cytokines (chemokines). Accordingly, the improvement in technologies for molecular and functional cell analysis, along with concomitant advances in cell purification techniques, have allowed the identification of a continuously growing list of neutrophil-derived cytokines, as well as the characterization of their biological implications in vitro and/or in vivo. This short review summarizes crucial concepts regarding the modalities of expression, release, and regulation of neutrophil-derived cytokines. It also highlights examples illustrating the potential implications of neutrophil-derived cytokines according to recent observations made in humans and/or in experimental animal models.","author":[{"dropping-particle":"","family":"Tecchio","given":"Cristina","non-dropping-particle":"","parse-names":false,"suffix":""},{"dropping-particle":"","family":"Micheletti","given":"Alessandra","non-dropping-particle":"","parse-names":false,"suffix":""},{"dropping-particle":"","family":"Cassatella","given":"Marco A.","non-dropping-particle":"","parse-names":false,"suffix":""}],"container-title":"Frontiers in immunology","id":"ITEM-2","issue":"OCT","issued":{"date-parts":[["2014"]]},"page":"508","title":"Neutrophil-derived cytokines: facts beyond expression.","type":"article-journal","volume":"5"},"uris":["http://www.mendeley.com/documents/?uuid=a26761b8-ff79-4023-8cff-f3753e24ab92"]}],"mendeley":{"formattedCitation":"&lt;sup&gt;[57,58]&lt;/sup&gt;","plainTextFormattedCitation":"[57,58]","previouslyFormattedCitation":"&lt;sup&gt;[57,58]&lt;/sup&gt;"},"properties":{"noteIndex":0},"schema":"https://github.com/citation-style-language/schema/raw/master/csl-citation.json"}</w:instrText>
      </w:r>
      <w:r w:rsidR="00852111" w:rsidRPr="00F06EA4">
        <w:rPr>
          <w:rFonts w:eastAsia="Book Antiqua" w:cs="Book Antiqua"/>
          <w:lang w:val="en-US"/>
        </w:rPr>
        <w:fldChar w:fldCharType="separate"/>
      </w:r>
      <w:r w:rsidR="00F45F97" w:rsidRPr="00F06EA4">
        <w:rPr>
          <w:rFonts w:eastAsia="Book Antiqua" w:cs="Book Antiqua"/>
          <w:noProof/>
          <w:vertAlign w:val="superscript"/>
          <w:lang w:val="en-US"/>
        </w:rPr>
        <w:t>[57,58]</w:t>
      </w:r>
      <w:r w:rsidR="00852111" w:rsidRPr="00F06EA4">
        <w:rPr>
          <w:rFonts w:eastAsia="Book Antiqua" w:cs="Book Antiqua"/>
          <w:lang w:val="en-US"/>
        </w:rPr>
        <w:fldChar w:fldCharType="end"/>
      </w:r>
      <w:r w:rsidR="002B0A4E" w:rsidRPr="00F06EA4">
        <w:rPr>
          <w:rFonts w:eastAsia="Book Antiqua" w:cs="Book Antiqua"/>
          <w:lang w:val="en-US"/>
        </w:rPr>
        <w:t>, produce different types</w:t>
      </w:r>
      <w:r w:rsidR="001A521A" w:rsidRPr="00F06EA4">
        <w:rPr>
          <w:rFonts w:eastAsia="Book Antiqua" w:cs="Book Antiqua"/>
          <w:lang w:val="en-US"/>
        </w:rPr>
        <w:t xml:space="preserve"> and quantities</w:t>
      </w:r>
      <w:r w:rsidR="002B0A4E" w:rsidRPr="00F06EA4">
        <w:rPr>
          <w:rFonts w:eastAsia="Book Antiqua" w:cs="Book Antiqua"/>
          <w:lang w:val="en-US"/>
        </w:rPr>
        <w:t xml:space="preserve"> of cytokines</w:t>
      </w:r>
      <w:r w:rsidR="001A521A" w:rsidRPr="00F06EA4">
        <w:rPr>
          <w:rFonts w:eastAsia="Book Antiqua" w:cs="Book Antiqua"/>
          <w:lang w:val="en-US"/>
        </w:rPr>
        <w:t xml:space="preserve"> and chemokines</w:t>
      </w:r>
      <w:r w:rsidR="00265EAD" w:rsidRPr="00F06EA4">
        <w:rPr>
          <w:rFonts w:eastAsia="Book Antiqua" w:cs="Book Antiqua"/>
          <w:lang w:val="en-US"/>
        </w:rPr>
        <w:t xml:space="preserve"> related to the type of their activation.</w:t>
      </w:r>
      <w:r w:rsidR="002B0A4E" w:rsidRPr="00F06EA4">
        <w:rPr>
          <w:rFonts w:eastAsia="Book Antiqua" w:cs="Book Antiqua"/>
          <w:lang w:val="en-US"/>
        </w:rPr>
        <w:t xml:space="preserve"> </w:t>
      </w:r>
      <w:r w:rsidR="002A4B1A" w:rsidRPr="00F06EA4">
        <w:rPr>
          <w:rFonts w:eastAsia="Book Antiqua" w:cs="Book Antiqua"/>
          <w:lang w:val="en-US"/>
        </w:rPr>
        <w:t>Based on this, f</w:t>
      </w:r>
      <w:r w:rsidR="005D2347" w:rsidRPr="00F06EA4">
        <w:rPr>
          <w:rFonts w:eastAsia="Book Antiqua" w:cs="Book Antiqua"/>
          <w:lang w:val="en-US"/>
        </w:rPr>
        <w:t>or example, neutrophil categorization into proinflammatory N1 and anti-inflammatory N2 subsets has been suggested</w:t>
      </w:r>
      <w:r w:rsidR="00260982"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{"citationItems":[{"id":"ITEM-1","itemData":{"DOI":"10.1016/j.ccr.2009.06.017","ISBN":"1878-3686","ISSN":"1878-3686","PMID":"19732719","abstract":"TGF-beta blockade significantly slows tumor growth through many mechanisms, including activation of CD8(+) T cells and macrophages. Here, we show that TGF-beta blockade also increases neutrophil-attracting chemokines, resulting in an influx of CD11b(+)/Ly6G(+) tumor-associated neutrophils (TANs) that are hypersegmented, more cytotoxic to tumor cells, and express higher levels of proinflammatory cytokines. Accordingly, following TGF-beta blockade, depletion of these neutrophils significantly blunts antitumor effects of treatment and reduces CD8(+) T cell activation. In contrast, in control tumors, neutrophil depletion decreases tumor growth and results in more activated CD8(+) T cells intratumorally. Together, these data suggest that TGF-beta within the tumor microenvironment induces a population of TAN with a protumor phenotype. TGF-beta blockade results in the recruitment and activation of TANs with an antitumor phenotype.","author":[{"dropping-particle":"","family":"Fridlender","given":"Zvi G.","non-dropping-particle":"","parse-names":false,"suffix":""},{"dropping-particle":"","family":"Sun","given":"Jing","non-dropping-particle":"","parse-names":false,"suffix":""},{"dropping-particle":"","family":"Kim","given":"Samuel","non-dropping-particle":"","parse-names":false,"suffix":""},{"dropping-particle":"","family":"Kapoor","given":"Veena","non-dropping-particle":"","parse-names":false,"suffix":""},{"dropping-particle":"","family":"Cheng","given":"Guanjun","non-dropping-particle":"","parse-names":false,"suffix":""},{"dropping-particle":"","family":"Ling","given":"Leona","non-dropping-particle":"","parse-names":false,"suffix":""},{"dropping-particle":"","family":"Worthen","given":"G. Scott","non-dropping-particle":"","parse-names":false,"suffix":""},{"dropping-particle":"","family":"Albelda","given":"Steven M.","non-dropping-particle":"","parse-names":false,"suffix":""}],"container-title":"Cancer cell","id":"ITEM-1","issue":"3","issued":{"date-parts":[["2009","9"]]},"page":"183-94","title":"Polarization of tumor-associated neutrophil phenotype by TGF-beta: \"N1\" versus \"N2\" TAN.","type":"article-journal","volume":"16"},"uris":["http://www.mendeley.com/documents/?uuid=8f27b4fa-b24e-49e4-b823-ccaed77ada3b"]}],"mendeley":{"formattedCitation":"&lt;sup&gt;[59]&lt;/sup&gt;","plainTextFormattedCitation":"[59]","previouslyFormattedCitation":"&lt;sup&gt;[59]&lt;/sup&gt;"},"properties":{"noteIndex":0},"schema":"https://github.com/citation-style-language/schema/raw/master/csl-citation.json"}</w:instrText>
      </w:r>
      <w:r w:rsidR="00260982" w:rsidRPr="00F06EA4">
        <w:rPr>
          <w:rFonts w:eastAsia="Book Antiqua" w:cs="Book Antiqua"/>
          <w:lang w:val="en-US"/>
        </w:rPr>
        <w:fldChar w:fldCharType="separate"/>
      </w:r>
      <w:r w:rsidR="00F45F97" w:rsidRPr="00F06EA4">
        <w:rPr>
          <w:rFonts w:eastAsia="Book Antiqua" w:cs="Book Antiqua"/>
          <w:noProof/>
          <w:vertAlign w:val="superscript"/>
          <w:lang w:val="en-US"/>
        </w:rPr>
        <w:t>[59]</w:t>
      </w:r>
      <w:r w:rsidR="00260982" w:rsidRPr="00F06EA4">
        <w:rPr>
          <w:rFonts w:eastAsia="Book Antiqua" w:cs="Book Antiqua"/>
          <w:lang w:val="en-US"/>
        </w:rPr>
        <w:fldChar w:fldCharType="end"/>
      </w:r>
      <w:r w:rsidR="005D2347" w:rsidRPr="00F06EA4">
        <w:rPr>
          <w:rFonts w:eastAsia="Book Antiqua" w:cs="Book Antiqua"/>
          <w:lang w:val="en-US"/>
        </w:rPr>
        <w:t xml:space="preserve">, but it is not as well established </w:t>
      </w:r>
      <w:r w:rsidR="00260982" w:rsidRPr="00F06EA4">
        <w:rPr>
          <w:rFonts w:eastAsia="Book Antiqua" w:cs="Book Antiqua"/>
          <w:lang w:val="en-US"/>
        </w:rPr>
        <w:t>as T helper cell classification (Th1, Th2, Th17, Treg) or macrophage classification (M1 and M2)</w:t>
      </w:r>
      <w:r w:rsidR="00260982"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{"citationItems":[{"id":"ITEM-1","itemData":{"DOI":"10.1016/j.trecan.2016.12.006","ISBN":"0000000000","ISSN":"2405-8025","PMID":"28718445","abstract":"Many types of cancer recruit neutrophils that could have protumor or antitumor effects on tumor development. Numerous findings in murine models suggest a predominantly protumoral role for neutrophils in cancer development. However, there are fundamental differences between mouse and human tumors in the evolution of tumors, genetic diversity, immune response, and also in the intrinsic biology of neutrophils that might have a profound impact on tumor development and the function of these cells. A crucial difference is that the majority of mouse tumor models lack the prolonged initial phases of multistage tumor evolution present in humans when antitumoral mechanisms are activated. In this review, we discuss the challenges specific to cross-species extrapolation of neutrophil function during mouse versus human tumor development.","author":[{"dropping-particle":"","family":"Eruslanov","given":"Evgeniy B","non-dropping-particle":"","parse-names":false,"suffix":""},{"dropping-particle":"","family":"Singhal","given":"Sunil","non-dropping-particle":"","parse-names":false,"suffix":""},{"dropping-particle":"","family":"Albelda","given":"Steven M","non-dropping-particle":"","parse-names":false,"suffix":""}],"container-title":"Trends in cancer","id":"ITEM-1","issue":"2","issued":{"date-parts":[["2017","2"]]},"page":"149-160","title":"Mouse versus Human Neutrophils in Cancer: A Major Knowledge Gap.","type":"article-journal","volume":"3"},"uris":["http://www.mendeley.com/documents/?uuid=e2601708-ff7a-4988-b8fc-04173fd6ac84"]}],"mendeley":{"formattedCitation":"&lt;sup&gt;[60]&lt;/sup&gt;","plainTextFormattedCitation":"[60]","previouslyFormattedCitation":"&lt;sup&gt;[60]&lt;/sup&gt;"},"properties":{"noteIndex":0},"schema":"https://github.com/citation-style-language/schema/raw/master/csl-citation.json"}</w:instrText>
      </w:r>
      <w:r w:rsidR="00260982" w:rsidRPr="00F06EA4">
        <w:rPr>
          <w:rFonts w:eastAsia="Book Antiqua" w:cs="Book Antiqua"/>
          <w:lang w:val="en-US"/>
        </w:rPr>
        <w:fldChar w:fldCharType="separate"/>
      </w:r>
      <w:r w:rsidR="00F45F97" w:rsidRPr="00F06EA4">
        <w:rPr>
          <w:rFonts w:eastAsia="Book Antiqua" w:cs="Book Antiqua"/>
          <w:noProof/>
          <w:vertAlign w:val="superscript"/>
          <w:lang w:val="en-US"/>
        </w:rPr>
        <w:t>[60]</w:t>
      </w:r>
      <w:r w:rsidR="00260982" w:rsidRPr="00F06EA4">
        <w:rPr>
          <w:rFonts w:eastAsia="Book Antiqua" w:cs="Book Antiqua"/>
          <w:lang w:val="en-US"/>
        </w:rPr>
        <w:fldChar w:fldCharType="end"/>
      </w:r>
      <w:r w:rsidR="00260982" w:rsidRPr="00F06EA4">
        <w:rPr>
          <w:rFonts w:eastAsia="Book Antiqua" w:cs="Book Antiqua"/>
          <w:lang w:val="en-US"/>
        </w:rPr>
        <w:t>.</w:t>
      </w:r>
    </w:p>
    <w:p w14:paraId="111F101B" w14:textId="5E06C7E5" w:rsidR="00AF59FD" w:rsidRPr="00F06EA4" w:rsidRDefault="00AF59FD" w:rsidP="00F67ED8">
      <w:pPr>
        <w:spacing w:after="0"/>
        <w:rPr>
          <w:rFonts w:eastAsia="Book Antiqua" w:cs="Book Antiqua"/>
          <w:lang w:val="en-US"/>
        </w:rPr>
      </w:pPr>
    </w:p>
    <w:p w14:paraId="62B92507" w14:textId="05F00E27" w:rsidR="0054774B" w:rsidRPr="00F06EA4" w:rsidRDefault="00627D7E" w:rsidP="00F67ED8">
      <w:pPr>
        <w:pStyle w:val="2"/>
        <w:spacing w:before="0" w:after="0"/>
        <w:rPr>
          <w:i/>
        </w:rPr>
      </w:pPr>
      <w:r w:rsidRPr="00F06EA4">
        <w:rPr>
          <w:i/>
        </w:rPr>
        <w:t>Cancer-</w:t>
      </w:r>
      <w:r w:rsidR="0054774B" w:rsidRPr="00F06EA4">
        <w:rPr>
          <w:i/>
        </w:rPr>
        <w:t>associated fibroblasts</w:t>
      </w:r>
      <w:r w:rsidR="009755FD" w:rsidRPr="00F06EA4">
        <w:rPr>
          <w:i/>
        </w:rPr>
        <w:t xml:space="preserve"> produce inflammatory mediators</w:t>
      </w:r>
    </w:p>
    <w:p w14:paraId="73CE695D" w14:textId="57535F72" w:rsidR="0054774B" w:rsidRPr="00F06EA4" w:rsidRDefault="00627D7E" w:rsidP="00F67ED8">
      <w:pPr>
        <w:spacing w:after="0"/>
        <w:rPr>
          <w:lang w:val="en-US"/>
        </w:rPr>
      </w:pPr>
      <w:r w:rsidRPr="00F06EA4">
        <w:rPr>
          <w:lang w:val="en-US"/>
        </w:rPr>
        <w:t>Cancer-</w:t>
      </w:r>
      <w:r w:rsidR="00DA1246" w:rsidRPr="00F06EA4">
        <w:rPr>
          <w:lang w:val="en-US"/>
        </w:rPr>
        <w:t xml:space="preserve">associated fibroblasts </w:t>
      </w:r>
      <w:r w:rsidR="005D3E9F" w:rsidRPr="00F06EA4">
        <w:rPr>
          <w:lang w:val="en-US"/>
        </w:rPr>
        <w:t xml:space="preserve">(CAFs) </w:t>
      </w:r>
      <w:r w:rsidR="00DA1246" w:rsidRPr="00F06EA4">
        <w:rPr>
          <w:lang w:val="en-US"/>
        </w:rPr>
        <w:t>contribute to proliferative signaling, invasion and metastasis, angiogenesis, and inflammatory reactions</w:t>
      </w:r>
      <w:r w:rsidR="00DA1246" w:rsidRPr="00F06EA4">
        <w:rPr>
          <w:lang w:val="en-US"/>
        </w:rPr>
        <w:fldChar w:fldCharType="begin" w:fldLock="1"/>
      </w:r>
      <w:r w:rsidR="00F45F97" w:rsidRPr="00F06EA4">
        <w:rPr>
          <w:lang w:val="en-US"/>
        </w:rPr>
        <w:instrText>ADDIN CSL_CITATION {"citationItems":[{"id":"ITEM-1","itemData":{"DOI":"10.3892/ol.2017.6497","ISSN":"1792-1074","PMID":"28927027","abstract":"Fibroblasts in the tumor stroma are well recognized as having an indispensable role in carcinogenesis, including in the initiation of epithelial tumor formation. The association between cancer cells and fibroblasts has been highlighted in several previous studies. Regulation factors released from cancer-associated fibroblasts (CAFs) into the tumor microenvironment have essential roles, including the support of tumor growth, angiogenesis, metastasis and therapy resistance. A mutual interaction between tumor-induced fibroblast activation, and fibroblast-induced tumor proliferation and metastasis occurs, thus CAFs act as tumor supporters. Previous studies have reported that by developing fibroblast-targeting drugs, it may be possible to interrupt the interaction between fibroblasts and the tumor, thus resulting in the suppression of tumor growth, and metastasis. The present review focused on the reciprocal feedback loop between fibroblasts and cancer cells, and evaluated the potential application of anti-CAF agents in the treatment of cancer.","author":[{"dropping-particle":"","family":"Tao","given":"Leilei","non-dropping-particle":"","parse-names":false,"suffix":""},{"dropping-particle":"","family":"Huang","given":"Guichun","non-dropping-particle":"","parse-names":false,"suffix":""},{"dropping-particle":"","family":"Song","given":"Haizhu","non-dropping-particle":"","parse-names":false,"suffix":""},{"dropping-particle":"","family":"Chen","given":"Yitian","non-dropping-particle":"","parse-names":false,"suffix":""},{"dropping-particle":"","family":"Chen","given":"Longbang","non-dropping-particle":"","parse-names":false,"suffix":""}],"container-title":"Oncology letters","id":"ITEM-1","issue":"3","issued":{"date-parts":[["2017","9"]]},"page":"2611-2620","title":"Cancer associated fibroblasts: An essential role in the tumor microenvironment.","type":"article-journal","volume":"14"},"uris":["http://www.mendeley.com/documents/?uuid=c8557ee0-4c5e-4501-bd2e-f8f868277f7d","http://www.mendeley.com/documents/?uuid=1a0a83b5-be73-498f-bc3a-db821ae20d78","http://www.mendeley.com/documents/?uuid=90b9e932-d33f-4cbe-87ec-d5cdb4cddcb2"]},{"id":"ITEM-2","itemData":{"DOI":"10.1016/j.cell.2011.02.013","ISSN":"1097-4172; 0092-8674","PMID":"21376230","abstract":"The hallmarks of cancer comprise six biological capabilities acquired during the multistep development of human tumors. The hallmarks constitute an organizing principle for rationalizing the complexities of neoplastic disease. They include sustaining proliferative signaling, evading growth suppressors, resisting cell death, enabling replicative immortality, inducing angiogenesis, and activating invasion and metastasis. Underlying these hallmarks are genome instability, which generates the genetic diversity that expedites their acquisition, and inflammation, which fosters multiple hallmark functions. Conceptual progress in the last decade has added two emerging hallmarks of potential generality to this list-reprogramming of energy metabolism and evading immune destruction. In addition to cancer cells, tumors exhibit another dimension of complexity: they contain a repertoire of recruited, ostensibly normal cells that contribute to the acquisition of hallmark traits by creating the \"tumor microenvironment.\" Recognition of the widespread applicability of these concepts will increasingly affect the development of new means to treat human cancer.","author":[{"dropping-particle":"","family":"Hanahan","given":"Douglas","non-dropping-particle":"","parse-names":false,"suffix":""},{"dropping-particle":"","family":"Weinberg","given":"Robert A","non-dropping-particle":"","parse-names":false,"suffix":""}],"container-title":"Cell","id":"ITEM-2","issue":"5","issued":{"date-parts":[["2011"]]},"page":"646-674","publisher":"Elsevier Inc.","publisher-place":"The Swiss Institute for Experimental Cancer Research (ISREC), School of Life Sciences, EPFL, Lausanne CH-1015, Switzerland. dh@epfl.ch","title":"Hallmarks of cancer: the next generation.","type":"article-journal","volume":"144"},"uris":["http://www.mendeley.com/documents/?uuid=8a02cd23-1642-4ae5-8815-8a2c6092b6e7"]}],"mendeley":{"formattedCitation":"&lt;sup&gt;[1,27]&lt;/sup&gt;","plainTextFormattedCitation":"[1,27]","previouslyFormattedCitation":"&lt;sup&gt;[1,27]&lt;/sup&gt;"},"properties":{"noteIndex":0},"schema":"https://github.com/citation-style-language/schema/raw/master/csl-citation.json"}</w:instrText>
      </w:r>
      <w:r w:rsidR="00DA1246" w:rsidRPr="00F06EA4">
        <w:rPr>
          <w:lang w:val="en-US"/>
        </w:rPr>
        <w:fldChar w:fldCharType="separate"/>
      </w:r>
      <w:r w:rsidR="00F45F97" w:rsidRPr="00F06EA4">
        <w:rPr>
          <w:noProof/>
          <w:vertAlign w:val="superscript"/>
          <w:lang w:val="en-US"/>
        </w:rPr>
        <w:t>[1,27]</w:t>
      </w:r>
      <w:r w:rsidR="00DA1246" w:rsidRPr="00F06EA4">
        <w:rPr>
          <w:lang w:val="en-US"/>
        </w:rPr>
        <w:fldChar w:fldCharType="end"/>
      </w:r>
      <w:r w:rsidR="00DA1246" w:rsidRPr="00F06EA4">
        <w:rPr>
          <w:lang w:val="en-US"/>
        </w:rPr>
        <w:t xml:space="preserve">. </w:t>
      </w:r>
      <w:r w:rsidR="008128C5" w:rsidRPr="00F06EA4">
        <w:rPr>
          <w:lang w:val="en-US"/>
        </w:rPr>
        <w:t xml:space="preserve">Cancer </w:t>
      </w:r>
      <w:r w:rsidR="00DA1246" w:rsidRPr="00F06EA4">
        <w:rPr>
          <w:lang w:val="en-US"/>
        </w:rPr>
        <w:t>cells</w:t>
      </w:r>
      <w:r w:rsidR="005D3E9F" w:rsidRPr="00F06EA4">
        <w:rPr>
          <w:lang w:val="en-US"/>
        </w:rPr>
        <w:t xml:space="preserve"> and fibroblasts may form a reciprocal positive feedback loop where tumor cells release growth factors activating fibroblasts and, in return, fibroblasts secrete growth factors, such as IGF</w:t>
      </w:r>
      <w:r w:rsidR="7165579B" w:rsidRPr="00F06EA4">
        <w:rPr>
          <w:lang w:val="en-US"/>
        </w:rPr>
        <w:t>1</w:t>
      </w:r>
      <w:r w:rsidR="005D3E9F" w:rsidRPr="00F06EA4">
        <w:rPr>
          <w:lang w:val="en-US"/>
        </w:rPr>
        <w:t xml:space="preserve">, which stimulate the proliferation of cancer cells. Recently, such </w:t>
      </w:r>
      <w:r w:rsidRPr="00F06EA4">
        <w:rPr>
          <w:lang w:val="en-US"/>
        </w:rPr>
        <w:t xml:space="preserve">an </w:t>
      </w:r>
      <w:r w:rsidR="005D3E9F" w:rsidRPr="00F06EA4">
        <w:rPr>
          <w:lang w:val="en-US"/>
        </w:rPr>
        <w:t xml:space="preserve">IGF1-dependent feedback loop, </w:t>
      </w:r>
      <w:r w:rsidR="005D3E9F" w:rsidRPr="00F06EA4">
        <w:rPr>
          <w:lang w:val="en-US"/>
        </w:rPr>
        <w:lastRenderedPageBreak/>
        <w:t>promoting disease progression, was demonstrated in radiotherapy-activated CAFs in CRC mouse model and human CRC samples</w:t>
      </w:r>
      <w:r w:rsidR="005D3E9F" w:rsidRPr="00F06EA4">
        <w:rPr>
          <w:lang w:val="en-US"/>
        </w:rPr>
        <w:fldChar w:fldCharType="begin" w:fldLock="1"/>
      </w:r>
      <w:r w:rsidR="00F45F97" w:rsidRPr="00F06EA4">
        <w:rPr>
          <w:lang w:val="en-US"/>
        </w:rPr>
        <w:instrText>ADDIN CSL_CITATION {"citationItems":[{"id":"ITEM-1","itemData":{"DOI":"10.1158/0008-5472.CAN-17-0524","ISBN":"3293324991","ISSN":"1538-7445","PMID":"29217764","abstract":"Preoperative radiotherapy (RT) is a mainstay in the management of rectal cancer, a tumor characterized by desmoplastic stroma containing cancer-associated fibroblasts (CAF). Although CAFs are abundantly present, the effects of RT to CAF and its impact on cancer cells are unknown. We evaluated the damage responses of CAF to RT and investigated changes in colorectal cancer cell growth, transcriptome, metabolome, and kinome in response to paracrine signals emerging from irradiated CAF. RT to CAF induced DNA damage, p53 activation, cell-cycle arrest, and secretion of paracrine mediators, including insulin-like growth factor-1 (IGF1). Subsequently, RT-activated CAFs promoted survival of colorectal cancer cells, as well as a metabolic switch favoring glutamine consumption through IGF1 receptor (IGF1R) activation. RT followed by IGF1R neutralization in orthotopic colorectal cancer models reduced the number of mice with organ metastases. Activation of the downstream IGF1R mediator mTOR was significantly higher in matched (intrapatient) samples and in unmatched (interpatient) samples from rectal cancer patients after neoadjuvant chemoradiotherapy. Taken together, our data support the notion that paracrine IGF1/IGF1R signaling initiated by RT-activated CAF worsens colorectal cancer progression, establishing a preclinical rationale to target this activation loop to further improve clinical responses and patient survival.Significance: These findings reveal that paracrine IGF1/IGF1R signaling promotes colorectal cancer progression, establishing a preclinical rationale to target this activation loop. Cancer Res; 78(3); 659-70. ©2017 AACR.","author":[{"dropping-particle":"","family":"Tommelein","given":"Joke","non-dropping-particle":"","parse-names":false,"suffix":""},{"dropping-particle":"","family":"Vlieghere","given":"Elly","non-dropping-particle":"De","parse-names":false,"suffix":""},{"dropping-particle":"","family":"Verset","given":"Laurine","non-dropping-particle":"","parse-names":false,"suffix":""},{"dropping-particle":"","family":"Melsens","given":"Elodie","non-dropping-particle":"","parse-names":false,"suffix":""},{"dropping-particle":"","family":"Leenders","given":"Justine","non-dropping-particle":"","parse-names":false,"suffix":""},{"dropping-particle":"","family":"Descamps","given":"Benedicte","non-dropping-particle":"","parse-names":false,"suffix":""},{"dropping-particle":"","family":"Debucquoy","given":"Annelies","non-dropping-particle":"","parse-names":false,"suffix":""},{"dropping-particle":"","family":"Vanhove","given":"Christian","non-dropping-particle":"","parse-names":false,"suffix":""},{"dropping-particle":"","family":"Pauwels","given":"Patrick","non-dropping-particle":"","parse-names":false,"suffix":""},{"dropping-particle":"","family":"Gespach","given":"Christian P.","non-dropping-particle":"","parse-names":false,"suffix":""},{"dropping-particle":"","family":"Vral","given":"Anne","non-dropping-particle":"","parse-names":false,"suffix":""},{"dropping-particle":"","family":"Boeck","given":"Astrid","non-dropping-particle":"De","parse-names":false,"suffix":""},{"dropping-particle":"","family":"Haustermans","given":"Karin","non-dropping-particle":"","parse-names":false,"suffix":""},{"dropping-particle":"","family":"Tullio","given":"Pascal","non-dropping-particle":"de","parse-names":false,"suffix":""},{"dropping-particle":"","family":"Ceelen","given":"Wim","non-dropping-particle":"","parse-names":false,"suffix":""},{"dropping-particle":"","family":"Demetter","given":"Pieter","non-dropping-particle":"","parse-names":false,"suffix":""},{"dropping-particle":"","family":"Boterberg","given":"Tom","non-dropping-particle":"","parse-names":false,"suffix":""},{"dropping-particle":"","family":"Bracke","given":"Marc","non-dropping-particle":"","parse-names":false,"suffix":""},{"dropping-particle":"","family":"Wever","given":"Olivier","non-dropping-particle":"De","parse-names":false,"suffix":""}],"container-title":"Cancer research","id":"ITEM-1","issue":"3","issued":{"date-parts":[["2018"]]},"page":"659-670","title":"Radiotherapy-Activated Cancer-Associated Fibroblasts Promote Tumor Progression through Paracrine IGF1R Activation.","type":"article-journal","volume":"78"},"uris":["http://www.mendeley.com/documents/?uuid=36f91500-80c1-4562-8356-910847bdc2bb","http://www.mendeley.com/documents/?uuid=b31ea4d2-4ae1-462f-a44f-337501771f09"]}],"mendeley":{"formattedCitation":"&lt;sup&gt;[61]&lt;/sup&gt;","plainTextFormattedCitation":"[61]","previouslyFormattedCitation":"&lt;sup&gt;[61]&lt;/sup&gt;"},"properties":{"noteIndex":0},"schema":"https://github.com/citation-style-language/schema/raw/master/csl-citation.json"}</w:instrText>
      </w:r>
      <w:r w:rsidR="005D3E9F" w:rsidRPr="00F06EA4">
        <w:rPr>
          <w:lang w:val="en-US"/>
        </w:rPr>
        <w:fldChar w:fldCharType="separate"/>
      </w:r>
      <w:r w:rsidR="00F45F97" w:rsidRPr="00F06EA4">
        <w:rPr>
          <w:noProof/>
          <w:vertAlign w:val="superscript"/>
          <w:lang w:val="en-US"/>
        </w:rPr>
        <w:t>[61]</w:t>
      </w:r>
      <w:r w:rsidR="005D3E9F" w:rsidRPr="00F06EA4">
        <w:rPr>
          <w:lang w:val="en-US"/>
        </w:rPr>
        <w:fldChar w:fldCharType="end"/>
      </w:r>
      <w:r w:rsidR="005D3E9F" w:rsidRPr="00F06EA4">
        <w:rPr>
          <w:lang w:val="en-US"/>
        </w:rPr>
        <w:t>.</w:t>
      </w:r>
    </w:p>
    <w:p w14:paraId="5701B2B5" w14:textId="0FC997FD" w:rsidR="005D3E9F" w:rsidRPr="00F06EA4" w:rsidRDefault="005D3E9F" w:rsidP="00F67ED8">
      <w:pPr>
        <w:spacing w:after="0"/>
        <w:ind w:firstLineChars="100" w:firstLine="240"/>
        <w:rPr>
          <w:lang w:val="en-US"/>
        </w:rPr>
      </w:pPr>
      <w:r w:rsidRPr="00F06EA4">
        <w:rPr>
          <w:lang w:val="en-US"/>
        </w:rPr>
        <w:t xml:space="preserve">CAFs also produce several factors contributing to </w:t>
      </w:r>
      <w:r w:rsidR="00AF4D35" w:rsidRPr="00F06EA4">
        <w:rPr>
          <w:lang w:val="en-US"/>
        </w:rPr>
        <w:t>tumor inflammatory reactions</w:t>
      </w:r>
      <w:r w:rsidRPr="00F06EA4">
        <w:rPr>
          <w:lang w:val="en-US"/>
        </w:rPr>
        <w:t xml:space="preserve"> (Table</w:t>
      </w:r>
      <w:r w:rsidR="00504271" w:rsidRPr="00F06EA4">
        <w:rPr>
          <w:lang w:val="en-US"/>
        </w:rPr>
        <w:t xml:space="preserve"> 4</w:t>
      </w:r>
      <w:r w:rsidRPr="00F06EA4">
        <w:rPr>
          <w:lang w:val="en-US"/>
        </w:rPr>
        <w:t>). For example, two recent stud</w:t>
      </w:r>
      <w:r w:rsidR="00AF4D35" w:rsidRPr="00F06EA4">
        <w:rPr>
          <w:lang w:val="en-US"/>
        </w:rPr>
        <w:t>ies</w:t>
      </w:r>
      <w:r w:rsidRPr="00F06EA4">
        <w:rPr>
          <w:lang w:val="en-US"/>
        </w:rPr>
        <w:t xml:space="preserve"> indicated that stromal fibroblasts are </w:t>
      </w:r>
      <w:r w:rsidR="00AF4D35" w:rsidRPr="00F06EA4">
        <w:rPr>
          <w:lang w:val="en-US"/>
        </w:rPr>
        <w:t>an important</w:t>
      </w:r>
      <w:r w:rsidRPr="00F06EA4">
        <w:rPr>
          <w:lang w:val="en-US"/>
        </w:rPr>
        <w:t xml:space="preserve"> </w:t>
      </w:r>
      <w:r w:rsidR="00AF4D35" w:rsidRPr="00F06EA4">
        <w:rPr>
          <w:lang w:val="en-US"/>
        </w:rPr>
        <w:t>source of IL</w:t>
      </w:r>
      <w:r w:rsidRPr="00F06EA4">
        <w:rPr>
          <w:lang w:val="en-US"/>
        </w:rPr>
        <w:t>6 in CRC</w:t>
      </w:r>
      <w:r w:rsidRPr="00F06EA4">
        <w:rPr>
          <w:lang w:val="en-US"/>
        </w:rPr>
        <w:fldChar w:fldCharType="begin" w:fldLock="1"/>
      </w:r>
      <w:r w:rsidR="00F45F97" w:rsidRPr="00F06EA4">
        <w:rPr>
          <w:lang w:val="en-US"/>
        </w:rPr>
        <w:instrText>ADDIN CSL_CITATION {"citationItems":[{"id":"ITEM-1","itemData":{"DOI":"10.1002/ijc.29939","ISSN":"00207136","PMID":"26595254","abstract":"IL-6 is a pleiotropic cytokine increased in CRC and known to directly promote tumor growth. Colonic myofibroblasts/fibroblasts (CMFs or stromal cells) are CD90(+) innate immune cells representing up to 30% of normal colonic mucosal lamina propria cells. They are expanded in CRC tumor stroma, where they also known as a cancer associated fibroblasts (CAFs). Cells of mesenchymal origin, such as normal myofibroblasts/fibroblasts, are known to secrete IL-6; however, their contribution to the increase in IL-6 in CRC and to tumor-promoting inflammation is not well defined. Using in situ, ex vivo and coculture analyses we have demonstrated that the number of IL-6 producing CMFs is increased in CRC (C-CMFs) and they represent the major source of IL-6 in T2-T3 CRC tumors. Activity/expression of stem cell markers-aldehyde dehydrogenase and LGR5- was significantly up-regulated in colon cancer cells (SW480, Caco-2 or HT29) cultured in the presence of conditioned medium from tumor isolated C-CMFs in an IL-6 dependent manner. C-CMF and its derived condition medium, but not normal CMF isolated from syngeneic normal colons, induced differentiation of tumor promoting inflammatory T helper 17 cells (Th17) cell responses in an IL-6 dependent manner. Our study suggests that CD90(+) fibroblasts/myofibroblasts may be the major source of IL-6 in T2-T3 CRC tumors, which supports the stemness of tumor cells and induces an immune adaptive inflammatory response (a.k.a. Th17) favoring tumor growth. Taken together our data supports the notion that IL-6 producing CAFs (a.k.a. C-CMFs) may provide a useful target for treating or preventing CRCs.","author":[{"dropping-particle":"","family":"Huynh","given":"Phuong T.","non-dropping-particle":"","parse-names":false,"suffix":""},{"dropping-particle":"","family":"Beswick","given":"Ellen J.","non-dropping-particle":"","parse-names":false,"suffix":""},{"dropping-particle":"","family":"Coronado","given":"Yun A.","non-dropping-particle":"","parse-names":false,"suffix":""},{"dropping-particle":"","family":"Johnson","given":"Paul","non-dropping-particle":"","parse-names":false,"suffix":""},{"dropping-particle":"","family":"O'Connell","given":"Malaney R.","non-dropping-particle":"","parse-names":false,"suffix":""},{"dropping-particle":"","family":"Watts","given":"Tammara","non-dropping-particle":"","parse-names":false,"suffix":""},{"dropping-particle":"","family":"Singh","given":"Pomila","non-dropping-particle":"","parse-names":false,"suffix":""},{"dropping-particle":"","family":"Qiu","given":"Suimin","non-dropping-particle":"","parse-names":false,"suffix":""},{"dropping-particle":"","family":"Morris","given":"Katherine","non-dropping-particle":"","parse-names":false,"suffix":""},{"dropping-particle":"","family":"Powell","given":"Don W.","non-dropping-particle":"","parse-names":false,"suffix":""},{"dropping-particle":"V.","family":"Pinchuk","given":"Irina","non-dropping-particle":"","parse-names":false,"suffix":""}],"container-title":"International Journal of Cancer","id":"ITEM-1","issue":"8","issued":{"date-parts":[["2016"]]},"page":"1971-1981","title":"CD90 + stromal cells are the major source of IL-6, which supports cancer stem-like cells and inflammation in colorectal cancer","type":"article-journal","volume":"138"},"uris":["http://www.mendeley.com/documents/?uuid=e4fc796e-b141-3267-97a0-41104d6cff3f","http://www.mendeley.com/documents/?uuid=939e5ef9-7942-4d07-bf59-e30c3219f74f"]},{"id":"ITEM-2","itemData":{"DOI":"10.1038/bjc.2013.748","ISSN":"0007-0920","PMID":"24346288","abstract":"BACKGROUND Interleukin-6 (IL-6) has an important role in cancer progression, and high levels of plasma IL-6 are correlated with a poor prognosis in a variety of cancers. It has also been reported that tumour stromal fibroblasts are necessary for steps in cancer progression, such as angiogenesis. There have been few reports of a correlation between fibroblast actions and IL-6 levels. In this study, we examined the correlation between cancer stromal fibroblasts and IL-6 and the utility of IL-6 as a therapeutic target in human colon cancer. METHODS The expression levels of IL-6 and VEGF of fibroblasts and cancer cell lines were evaluated using real-time PCR and ELISA. The anti-angiogenic effect of inhibiting IL-6 signalling was measured in an angiogenesis model and animal experiment. RESULTS We demonstrate that stromal fibroblasts isolated from colon cancer produced significant amounts of IL-6 and that colon cancer cells enhanced IL-6 production by stromal fibroblasts. Moreover, IL-6 enhanced VEGF production by fibroblasts, thereby inducing angiogenesis. In vivo, anti-IL6 receptor antibody targeting stromal tissue showed greater anti-tumour activity than did anti-IL6 receptor antibody targeting xenografted cancer cells. CONCLUSION Cancer stromal fibroblasts were an important source of IL-6 in colon cancer. IL-6 produced by activated fibroblasts induced tumour angiogenesis by stimulating adjacent stromal fibroblasts. The relationship between IL-6 and stromal fibroblasts offers new approaches to cancer therapy.","author":[{"dropping-particle":"","family":"Nagasaki","given":"T","non-dropping-particle":"","parse-names":false,"suffix":""},{"dropping-particle":"","family":"Hara","given":"M","non-dropping-particle":"","parse-names":false,"suffix":""},{"dropping-particle":"","family":"Nakanishi","given":"H","non-dropping-particle":"","parse-names":false,"suffix":""},{"dropping-particle":"","family":"Takahashi","given":"H","non-dropping-particle":"","parse-names":false,"suffix":""},{"dropping-particle":"","family":"Sato","given":"M","non-dropping-particle":"","parse-names":false,"suffix":""},{"dropping-particle":"","family":"Takeyama","given":"H","non-dropping-particle":"","parse-names":false,"suffix":""}],"container-title":"British Journal of Cancer","id":"ITEM-2","issue":"2","issued":{"date-parts":[["2014"]]},"page":"469-478","title":"Interleukin-6 released by colon cancer-associated fibroblasts is critical for tumour angiogenesis: anti-interleukin-6 receptor antibody suppressed angiogenesis and inhibited tumour–stroma interaction","type":"article-journal","volume":"110"},"uris":["http://www.mendeley.com/documents/?uuid=430a7d46-63a6-3eda-9e02-b214bf57d770"]}],"mendeley":{"formattedCitation":"&lt;sup&gt;[29,62]&lt;/sup&gt;","plainTextFormattedCitation":"[29,62]","previouslyFormattedCitation":"&lt;sup&gt;[29,62]&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[29,62]</w:t>
      </w:r>
      <w:r w:rsidRPr="00F06EA4">
        <w:rPr>
          <w:lang w:val="en-US"/>
        </w:rPr>
        <w:fldChar w:fldCharType="end"/>
      </w:r>
      <w:r w:rsidRPr="00F06EA4">
        <w:rPr>
          <w:lang w:val="en-US"/>
        </w:rPr>
        <w:t xml:space="preserve">. Nagasaki </w:t>
      </w:r>
      <w:r w:rsidRPr="00F06EA4">
        <w:rPr>
          <w:i/>
          <w:lang w:val="en-US"/>
        </w:rPr>
        <w:t>et al</w:t>
      </w:r>
      <w:r w:rsidRPr="00F06EA4">
        <w:rPr>
          <w:lang w:val="en-US"/>
        </w:rPr>
        <w:fldChar w:fldCharType="begin" w:fldLock="1"/>
      </w:r>
      <w:r w:rsidR="00F45F97" w:rsidRPr="00F06EA4">
        <w:rPr>
          <w:lang w:val="en-US"/>
        </w:rPr>
        <w:instrText>ADDIN CSL_CITATION {"citationItems":[{"id":"ITEM-1","itemData":{"DOI":"10.1038/bjc.2013.748","ISSN":"0007-0920","PMID":"24346288","abstract":"BACKGROUND Interleukin-6 (IL-6) has an important role in cancer progression, and high levels of plasma IL-6 are correlated with a poor prognosis in a variety of cancers. It has also been reported that tumour stromal fibroblasts are necessary for steps in cancer progression, such as angiogenesis. There have been few reports of a correlation between fibroblast actions and IL-6 levels. In this study, we examined the correlation between cancer stromal fibroblasts and IL-6 and the utility of IL-6 as a therapeutic target in human colon cancer. METHODS The expression levels of IL-6 and VEGF of fibroblasts and cancer cell lines were evaluated using real-time PCR and ELISA. The anti-angiogenic effect of inhibiting IL-6 signalling was measured in an angiogenesis model and animal experiment. RESULTS We demonstrate that stromal fibroblasts isolated from colon cancer produced significant amounts of IL-6 and that colon cancer cells enhanced IL-6 production by stromal fibroblasts. Moreover, IL-6 enhanced VEGF production by fibroblasts, thereby inducing angiogenesis. In vivo, anti-IL6 receptor antibody targeting stromal tissue showed greater anti-tumour activity than did anti-IL6 receptor antibody targeting xenografted cancer cells. CONCLUSION Cancer stromal fibroblasts were an important source of IL-6 in colon cancer. IL-6 produced by activated fibroblasts induced tumour angiogenesis by stimulating adjacent stromal fibroblasts. The relationship between IL-6 and stromal fibroblasts offers new approaches to cancer therapy.","author":[{"dropping-particle":"","family":"Nagasaki","given":"T","non-dropping-particle":"","parse-names":false,"suffix":""},{"dropping-particle":"","family":"Hara","given":"M","non-dropping-particle":"","parse-names":false,"suffix":""},{"dropping-particle":"","family":"Nakanishi","given":"H","non-dropping-particle":"","parse-names":false,"suffix":""},{"dropping-particle":"","family":"Takahashi","given":"H","non-dropping-particle":"","parse-names":false,"suffix":""},{"dropping-particle":"","family":"Sato","given":"M","non-dropping-particle":"","parse-names":false,"suffix":""},{"dropping-particle":"","family":"Takeyama","given":"H","non-dropping-particle":"","parse-names":false,"suffix":""}],"container-title":"British Journal of Cancer","id":"ITEM-1","issue":"2","issued":{"date-parts":[["2014"]]},"page":"469-478","title":"Interleukin-6 released by colon cancer-associated fibroblasts is critical for tumour angiogenesis: anti-interleukin-6 receptor antibody suppressed angiogenesis and inhibited tumour–stroma interaction","type":"article-journal","volume":"110"},"uris":["http://www.mendeley.com/documents/?uuid=430a7d46-63a6-3eda-9e02-b214bf57d770"]}],"mendeley":{"formattedCitation":"&lt;sup&gt;[29]&lt;/sup&gt;","plainTextFormattedCitation":"[29]","previouslyFormattedCitation":"&lt;sup&gt;[29]&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[29]</w:t>
      </w:r>
      <w:r w:rsidRPr="00F06EA4">
        <w:rPr>
          <w:lang w:val="en-US"/>
        </w:rPr>
        <w:fldChar w:fldCharType="end"/>
      </w:r>
      <w:r w:rsidR="00AF4D35" w:rsidRPr="00F06EA4">
        <w:rPr>
          <w:lang w:val="en-US"/>
        </w:rPr>
        <w:t xml:space="preserve"> found that stromal fibroblasts had higher IL6 production than tumor cells, and that colon cancer cells enhanced IL6 production by isolated stromal fibroblasts. Moreover, in a xenograft mouse model, anti-IL6R antibody targeting stromal tissue showed greater anti-tumor activity than anti-IL6R antibody targeting xenografted cancer cells. Huynh </w:t>
      </w:r>
      <w:r w:rsidR="00AF4D35" w:rsidRPr="00F06EA4">
        <w:rPr>
          <w:i/>
          <w:lang w:val="en-US"/>
        </w:rPr>
        <w:t>et al</w:t>
      </w:r>
      <w:r w:rsidR="00AF4D35" w:rsidRPr="00F06EA4">
        <w:rPr>
          <w:lang w:val="en-US"/>
        </w:rPr>
        <w:fldChar w:fldCharType="begin" w:fldLock="1"/>
      </w:r>
      <w:r w:rsidR="00F45F97" w:rsidRPr="00F06EA4">
        <w:rPr>
          <w:lang w:val="en-US"/>
        </w:rPr>
        <w:instrText>ADDIN CSL_CITATION {"citationItems":[{"id":"ITEM-1","itemData":{"DOI":"10.1002/ijc.29939","ISSN":"00207136","PMID":"26595254","abstract":"IL-6 is a pleiotropic cytokine increased in CRC and known to directly promote tumor growth. Colonic myofibroblasts/fibroblasts (CMFs or stromal cells) are CD90(+) innate immune cells representing up to 30% of normal colonic mucosal lamina propria cells. They are expanded in CRC tumor stroma, where they also known as a cancer associated fibroblasts (CAFs). Cells of mesenchymal origin, such as normal myofibroblasts/fibroblasts, are known to secrete IL-6; however, their contribution to the increase in IL-6 in CRC and to tumor-promoting inflammation is not well defined. Using in situ, ex vivo and coculture analyses we have demonstrated that the number of IL-6 producing CMFs is increased in CRC (C-CMFs) and they represent the major source of IL-6 in T2-T3 CRC tumors. Activity/expression of stem cell markers-aldehyde dehydrogenase and LGR5- was significantly up-regulated in colon cancer cells (SW480, Caco-2 or HT29) cultured in the presence of conditioned medium from tumor isolated C-CMFs in an IL-6 dependent manner. C-CMF and its derived condition medium, but not normal CMF isolated from syngeneic normal colons, induced differentiation of tumor promoting inflammatory T helper 17 cells (Th17) cell responses in an IL-6 dependent manner. Our study suggests that CD90(+) fibroblasts/myofibroblasts may be the major source of IL-6 in T2-T3 CRC tumors, which supports the stemness of tumor cells and induces an immune adaptive inflammatory response (a.k.a. Th17) favoring tumor growth. Taken together our data supports the notion that IL-6 producing CAFs (a.k.a. C-CMFs) may provide a useful target for treating or preventing CRCs.","author":[{"dropping-particle":"","family":"Huynh","given":"Phuong T.","non-dropping-particle":"","parse-names":false,"suffix":""},{"dropping-particle":"","family":"Beswick","given":"Ellen J.","non-dropping-particle":"","parse-names":false,"suffix":""},{"dropping-particle":"","family":"Coronado","given":"Yun A.","non-dropping-particle":"","parse-names":false,"suffix":""},{"dropping-particle":"","family":"Johnson","given":"Paul","non-dropping-particle":"","parse-names":false,"suffix":""},{"dropping-particle":"","family":"O'Connell","given":"Malaney R.","non-dropping-particle":"","parse-names":false,"suffix":""},{"dropping-particle":"","family":"Watts","given":"Tammara","non-dropping-particle":"","parse-names":false,"suffix":""},{"dropping-particle":"","family":"Singh","given":"Pomila","non-dropping-particle":"","parse-names":false,"suffix":""},{"dropping-particle":"","family":"Qiu","given":"Suimin","non-dropping-particle":"","parse-names":false,"suffix":""},{"dropping-particle":"","family":"Morris","given":"Katherine","non-dropping-particle":"","parse-names":false,"suffix":""},{"dropping-particle":"","family":"Powell","given":"Don W.","non-dropping-particle":"","parse-names":false,"suffix":""},{"dropping-particle":"V.","family":"Pinchuk","given":"Irina","non-dropping-particle":"","parse-names":false,"suffix":""}],"container-title":"International Journal of Cancer","id":"ITEM-1","issue":"8","issued":{"date-parts":[["2016"]]},"page":"1971-1981","title":"CD90 + stromal cells are the major source of IL-6, which supports cancer stem-like cells and inflammation in colorectal cancer","type":"article-journal","volume":"138"},"uris":["http://www.mendeley.com/documents/?uuid=e4fc796e-b141-3267-97a0-41104d6cff3f"]}],"mendeley":{"formattedCitation":"&lt;sup&gt;[62]&lt;/sup&gt;","plainTextFormattedCitation":"[62]","previouslyFormattedCitation":"&lt;sup&gt;[62]&lt;/sup&gt;"},"properties":{"noteIndex":0},"schema":"https://github.com/citation-style-language/schema/raw/master/csl-citation.json"}</w:instrText>
      </w:r>
      <w:r w:rsidR="00AF4D35" w:rsidRPr="00F06EA4">
        <w:rPr>
          <w:lang w:val="en-US"/>
        </w:rPr>
        <w:fldChar w:fldCharType="separate"/>
      </w:r>
      <w:r w:rsidR="00F45F97" w:rsidRPr="00F06EA4">
        <w:rPr>
          <w:noProof/>
          <w:vertAlign w:val="superscript"/>
          <w:lang w:val="en-US"/>
        </w:rPr>
        <w:t>[62]</w:t>
      </w:r>
      <w:r w:rsidR="00AF4D35" w:rsidRPr="00F06EA4">
        <w:rPr>
          <w:lang w:val="en-US"/>
        </w:rPr>
        <w:fldChar w:fldCharType="end"/>
      </w:r>
      <w:r w:rsidR="00AF4D35" w:rsidRPr="00F06EA4">
        <w:rPr>
          <w:lang w:val="en-US"/>
        </w:rPr>
        <w:t xml:space="preserve"> also demonstrated that CAFs are a major source of IL6 in human CRC samples, and found that IL6 production </w:t>
      </w:r>
      <w:r w:rsidR="00244275" w:rsidRPr="00F06EA4">
        <w:rPr>
          <w:lang w:val="en-US"/>
        </w:rPr>
        <w:t>was associated with</w:t>
      </w:r>
      <w:r w:rsidR="00AF4D35" w:rsidRPr="00F06EA4">
        <w:rPr>
          <w:lang w:val="en-US"/>
        </w:rPr>
        <w:t xml:space="preserve"> tumor promoting Th17 immune response.</w:t>
      </w:r>
      <w:r w:rsidR="00244275" w:rsidRPr="00F06EA4">
        <w:rPr>
          <w:lang w:val="en-US"/>
        </w:rPr>
        <w:t xml:space="preserve"> </w:t>
      </w:r>
      <w:r w:rsidR="0066734C" w:rsidRPr="00F06EA4">
        <w:rPr>
          <w:lang w:val="en-US"/>
        </w:rPr>
        <w:t xml:space="preserve">De Boeck </w:t>
      </w:r>
      <w:r w:rsidR="0066734C" w:rsidRPr="00F06EA4">
        <w:rPr>
          <w:i/>
          <w:lang w:val="en-US"/>
        </w:rPr>
        <w:t>et al</w:t>
      </w:r>
      <w:r w:rsidR="0066734C" w:rsidRPr="00F06EA4">
        <w:rPr>
          <w:lang w:val="en-US"/>
        </w:rPr>
        <w:fldChar w:fldCharType="begin" w:fldLock="1"/>
      </w:r>
      <w:r w:rsidR="00F45F97" w:rsidRPr="00F06EA4">
        <w:rPr>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0066734C" w:rsidRPr="00F06EA4">
        <w:rPr>
          <w:lang w:val="en-US"/>
        </w:rPr>
        <w:fldChar w:fldCharType="separate"/>
      </w:r>
      <w:r w:rsidR="00F45F97" w:rsidRPr="00F06EA4">
        <w:rPr>
          <w:noProof/>
          <w:vertAlign w:val="superscript"/>
          <w:lang w:val="en-US"/>
        </w:rPr>
        <w:t>[63]</w:t>
      </w:r>
      <w:r w:rsidR="0066734C" w:rsidRPr="00F06EA4">
        <w:rPr>
          <w:lang w:val="en-US"/>
        </w:rPr>
        <w:fldChar w:fldCharType="end"/>
      </w:r>
      <w:r w:rsidR="00523974" w:rsidRPr="00F06EA4">
        <w:rPr>
          <w:lang w:val="en-US"/>
        </w:rPr>
        <w:t xml:space="preserve"> performed secretome profiling of </w:t>
      </w:r>
      <w:r w:rsidR="00762D6E" w:rsidRPr="00F06EA4">
        <w:rPr>
          <w:lang w:val="en-US"/>
        </w:rPr>
        <w:t>CAFs</w:t>
      </w:r>
      <w:r w:rsidR="005D6E2C" w:rsidRPr="00F06EA4">
        <w:rPr>
          <w:lang w:val="en-US"/>
        </w:rPr>
        <w:t xml:space="preserve"> isolated from human CRC samples</w:t>
      </w:r>
      <w:r w:rsidR="00762D6E" w:rsidRPr="00F06EA4">
        <w:rPr>
          <w:lang w:val="en-US"/>
        </w:rPr>
        <w:t xml:space="preserve">, and found </w:t>
      </w:r>
      <w:r w:rsidR="00CD3930" w:rsidRPr="00F06EA4">
        <w:rPr>
          <w:lang w:val="en-US"/>
        </w:rPr>
        <w:t xml:space="preserve">that in these experimental conditions, CAFs represent a rich source of </w:t>
      </w:r>
      <w:r w:rsidR="00CE7C43" w:rsidRPr="00F06EA4">
        <w:rPr>
          <w:lang w:val="en-US"/>
        </w:rPr>
        <w:t>cytokines, chemokines, proteases, and growth factors, such as C</w:t>
      </w:r>
      <w:r w:rsidR="00D9416E" w:rsidRPr="00F06EA4">
        <w:rPr>
          <w:lang w:val="en-US"/>
        </w:rPr>
        <w:t>X</w:t>
      </w:r>
      <w:r w:rsidR="00CE7C43" w:rsidRPr="00F06EA4">
        <w:rPr>
          <w:lang w:val="en-US"/>
        </w:rPr>
        <w:t>CL8 involved in neutrophil recruitment, C</w:t>
      </w:r>
      <w:r w:rsidR="00D9416E" w:rsidRPr="00F06EA4">
        <w:rPr>
          <w:lang w:val="en-US"/>
        </w:rPr>
        <w:t>CL5 involved in T cell recruitment, VEGFA involved in angiogenesis</w:t>
      </w:r>
      <w:r w:rsidR="004536CC" w:rsidRPr="00F06EA4">
        <w:rPr>
          <w:lang w:val="en-US"/>
        </w:rPr>
        <w:t>, and various matrix metalloproteinases (MMPs)</w:t>
      </w:r>
      <w:r w:rsidR="00A9293B" w:rsidRPr="00F06EA4">
        <w:rPr>
          <w:lang w:val="en-US"/>
        </w:rPr>
        <w:t xml:space="preserve"> (Table 4)</w:t>
      </w:r>
      <w:r w:rsidR="00D9416E" w:rsidRPr="00F06EA4">
        <w:rPr>
          <w:lang w:val="en-US"/>
        </w:rPr>
        <w:t>.</w:t>
      </w:r>
      <w:r w:rsidR="00CA2E78" w:rsidRPr="00F06EA4">
        <w:rPr>
          <w:lang w:val="en-US"/>
        </w:rPr>
        <w:t xml:space="preserve"> </w:t>
      </w:r>
      <w:r w:rsidR="004536CC" w:rsidRPr="00F06EA4">
        <w:rPr>
          <w:lang w:val="en-US"/>
        </w:rPr>
        <w:t xml:space="preserve">MMPs </w:t>
      </w:r>
      <w:r w:rsidR="000E27E9" w:rsidRPr="00F06EA4">
        <w:rPr>
          <w:lang w:val="en-US"/>
        </w:rPr>
        <w:t xml:space="preserve">play an </w:t>
      </w:r>
      <w:r w:rsidR="004536CC" w:rsidRPr="00F06EA4">
        <w:rPr>
          <w:lang w:val="en-US"/>
        </w:rPr>
        <w:t>important</w:t>
      </w:r>
      <w:r w:rsidR="000E27E9" w:rsidRPr="00F06EA4">
        <w:rPr>
          <w:lang w:val="en-US"/>
        </w:rPr>
        <w:t xml:space="preserve"> role</w:t>
      </w:r>
      <w:r w:rsidR="004536CC" w:rsidRPr="00F06EA4">
        <w:rPr>
          <w:lang w:val="en-US"/>
        </w:rPr>
        <w:t xml:space="preserve"> in extracellular matrix remodeling during tumor invasion, but can also contribute to inflammatory regulation by, for example, cleaving chemokines and cytokines</w:t>
      </w:r>
      <w:r w:rsidR="004536CC" w:rsidRPr="00F06EA4">
        <w:rPr>
          <w:lang w:val="en-US"/>
        </w:rPr>
        <w:fldChar w:fldCharType="begin" w:fldLock="1"/>
      </w:r>
      <w:r w:rsidR="00F45F97" w:rsidRPr="00F06EA4">
        <w:rPr>
          <w:lang w:val="en-US"/>
        </w:rPr>
        <w:instrText>ADDIN CSL_CITATION {"citationItems":[{"id":"ITEM-1","itemData":{"DOI":"10.1016/j.cytogfr.2006.04.001","ISSN":"1359-6101; 1359-6101","PMID":"16820317","abstract":"Matrix metalloproteinase-8 (MMP-8), also known as collagenase-2 or neutrophil collagenase, was long thought to be expressed solely by maturing neutrophils, and functionally restricted to ECM breakdown. Recent experiments, however, have revealed that this protease can be expressed by a wide variety of cell types and that it plays an important regulatory role in both acute and chronic inflammation. This review intends to give the reader an overview of the most interesting recent findings concerning the role of MMP-8 in inflammation and in cancer progression.","author":[{"dropping-particle":"","family":"Lint","given":"Philippe","non-dropping-particle":"Van","parse-names":false,"suffix":""},{"dropping-particle":"","family":"Libert","given":"Claude","non-dropping-particle":"","parse-names":false,"suffix":""}],"container-title":"Cytokine &amp; growth factor reviews","id":"ITEM-1","issue":"4","issued":{"date-parts":[["2006","8"]]},"page":"217-223","publisher-place":"Department for Molecular Biomedical Research, Flanders Interuniversity Institute for Biotechnology and Ghent University, FSVM Building, Technologiepark 927, B-9052 Ghent (Zwijnaarde), Belgium. Philippe.VanLint@dmbr.UGent.be","title":"Matrix metalloproteinase-8: cleavage can be decisive","type":"article-journal","volume":"17"},"uris":["http://www.mendeley.com/documents/?uuid=f0be41f0-8b5d-47f3-9dcc-9649dee49c92"]},{"id":"ITEM-2","itemData":{"DOI":"10.1016/j.gendis.2014.12.002","ISBN":"2352-3042","ISSN":"2352-4820","PMID":"26097889","abstract":"Since the identification of matrix metalloproteinases (MMPs), a family of zinc-dependent endopeptidases, as being a driving factor for cancer progression and patient prognosis, MMPs have been studied extensively. Although early programs targeting MMPs were largely unsuccessful in clinical trials, they remain a viable and highly desirable therapeutic target based on preclinical studies and their role in disease progression. As information regarding the structure and function of these proteinases is compiled and biotechnology evolves, tools to develop better inhibitors is within our grasp. Improved methods for high throughput screening and in silico drug design programs have identified compounds which are highly potent, have high binding affinities, and exhibit favorable pharmacokinetic profiles. More recently, advances in drug delivery methods or compounds which bind outside the active site have brought new light to the field. In this review, we highlight the role of MMPs in cancer, clinical trials for MMP inhibitors, and novel approaches to targeting MMPs in cancer.","author":[{"dropping-particle":"","family":"Cathcart","given":"Jillian","non-dropping-particle":"","parse-names":false,"suffix":""},{"dropping-particle":"","family":"Pulkoski-Gross","given":"Ashleigh","non-dropping-particle":"","parse-names":false,"suffix":""},{"dropping-particle":"","family":"Cao","given":"Jian","non-dropping-particle":"","parse-names":false,"suffix":""}],"container-title":"Genes &amp; diseases","id":"ITEM-2","issue":"`1","issued":{"date-parts":[["2015","3"]]},"page":"26-34","title":"Targeting Matrix Metalloproteinases in Cancer: Bringing New Life to Old Ideas.","type":"article-journal","volume":"2"},"uris":["http://www.mendeley.com/documents/?uuid=96ae3f96-0745-4bd7-80b5-48eca7af598b"]}],"mendeley":{"formattedCitation":"&lt;sup&gt;[64,65]&lt;/sup&gt;","plainTextFormattedCitation":"[64,65]","previouslyFormattedCitation":"&lt;sup&gt;[64,65]&lt;/sup&gt;"},"properties":{"noteIndex":0},"schema":"https://github.com/citation-style-language/schema/raw/master/csl-citation.json"}</w:instrText>
      </w:r>
      <w:r w:rsidR="004536CC" w:rsidRPr="00F06EA4">
        <w:rPr>
          <w:lang w:val="en-US"/>
        </w:rPr>
        <w:fldChar w:fldCharType="separate"/>
      </w:r>
      <w:r w:rsidR="00F45F97" w:rsidRPr="00F06EA4">
        <w:rPr>
          <w:noProof/>
          <w:vertAlign w:val="superscript"/>
          <w:lang w:val="en-US"/>
        </w:rPr>
        <w:t>[64,65]</w:t>
      </w:r>
      <w:r w:rsidR="004536CC" w:rsidRPr="00F06EA4">
        <w:rPr>
          <w:lang w:val="en-US"/>
        </w:rPr>
        <w:fldChar w:fldCharType="end"/>
      </w:r>
      <w:r w:rsidR="004536CC" w:rsidRPr="00F06EA4">
        <w:rPr>
          <w:lang w:val="en-US"/>
        </w:rPr>
        <w:t>.</w:t>
      </w:r>
    </w:p>
    <w:p w14:paraId="4C0CBA74" w14:textId="1238D1F8" w:rsidR="004536CC" w:rsidRPr="00F06EA4" w:rsidRDefault="00AE08BE" w:rsidP="00F67ED8">
      <w:pPr>
        <w:spacing w:after="0"/>
        <w:ind w:firstLineChars="100" w:firstLine="240"/>
        <w:rPr>
          <w:lang w:val="en-US"/>
        </w:rPr>
      </w:pPr>
      <w:r w:rsidRPr="00F06EA4">
        <w:rPr>
          <w:lang w:val="en-US"/>
        </w:rPr>
        <w:t>TGFB signaling is a central immunosuppressive pathway in CRC progression</w:t>
      </w:r>
      <w:r w:rsidRPr="00F06EA4">
        <w:rPr>
          <w:lang w:val="en-US"/>
        </w:rPr>
        <w:fldChar w:fldCharType="begin" w:fldLock="1"/>
      </w:r>
      <w:r w:rsidR="00F45F97" w:rsidRPr="00F06EA4">
        <w:rPr>
          <w:lang w:val="en-US"/>
        </w:rPr>
        <w:instrText>ADDIN CSL_CITATION {"citationItems":[{"id":"ITEM-1","itemData":{"DOI":"10.1038/nature25492","ISSN":"1476-4687","PMID":"29443964","abstract":"Most patients with colorectal cancer die as a result of the disease spreading to other organs. However, no prevalent mutations have been associated with metastatic colorectal cancers. Instead, particular features of the tumour microenvironment, such as lack of T-cell infiltration, low type 1 T-helper cell (TH1) activity and reduced immune cytotoxicity or increased TGFβ levels predict adverse outcomes in patients with colorectal cancer. Here we analyse the interplay between genetic alterations and the tumour microenvironment by crossing mice bearing conditional alleles of four main colorectal cancer mutations in intestinal stem cells. Quadruple-mutant mice developed metastatic intestinal tumours that display key hallmarks of human microsatellite-stable colorectal cancers, including low mutational burden, T-cell exclusion and TGFβ-activated stroma. Inhibition of the PD-1-PD-L1 immune checkpoint provoked a limited response in this model system. By contrast, inhibition of TGFβ unleashed a potent and enduring cytotoxic T-cell response against tumour cells that prevented metastasis. In mice with progressive liver metastatic disease, blockade of TGFβ signalling rendered tumours susceptible to anti-PD-1-PD-L1 therapy. Our data show that increased TGFβ in the tumour microenvironment represents a primary mechanism of immune evasion that promotes T-cell exclusion and blocks acquisition of the TH1-effector phenotype. Immunotherapies directed against TGFβ signalling may therefore have broad applications in treating patients with advanced colorectal cancer.","author":[{"dropping-particle":"","family":"Tauriello","given":"Daniele V. F.","non-dropping-particle":"","parse-names":false,"suffix":""},{"dropping-particle":"","family":"Palomo-Ponce","given":"Sergio","non-dropping-particle":"","parse-names":false,"suffix":""},{"dropping-particle":"","family":"Stork","given":"Diana","non-dropping-particle":"","parse-names":false,"suffix":""},{"dropping-particle":"","family":"Berenguer-Llergo","given":"Antonio","non-dropping-particle":"","parse-names":false,"suffix":""},{"dropping-particle":"","family":"Badia-Ramentol","given":"Jordi","non-dropping-particle":"","parse-names":false,"suffix":""},{"dropping-particle":"","family":"Iglesias","given":"Mar","non-dropping-particle":"","parse-names":false,"suffix":""},{"dropping-particle":"","family":"Sevillano","given":"Marta","non-dropping-particle":"","parse-names":false,"suffix":""},{"dropping-particle":"","family":"Ibiza","given":"Sales","non-dropping-particle":"","parse-names":false,"suffix":""},{"dropping-particle":"","family":"Cañellas","given":"Adrià","non-dropping-particle":"","parse-names":false,"suffix":""},{"dropping-particle":"","family":"Hernando-Momblona","given":"Xavier","non-dropping-particle":"","parse-names":false,"suffix":""},{"dropping-particle":"","family":"Byrom","given":"Daniel","non-dropping-particle":"","parse-names":false,"suffix":""},{"dropping-particle":"","family":"Matarin","given":"Joan A.","non-dropping-particle":"","parse-names":false,"suffix":""},{"dropping-particle":"","family":"Calon","given":"Alexandre","non-dropping-particle":"","parse-names":false,"suffix":""},{"dropping-particle":"","family":"Rivas","given":"Elisa I.","non-dropping-particle":"","parse-names":false,"suffix":""},{"dropping-particle":"","family":"Nebreda","given":"Angel R.","non-dropping-particle":"","parse-names":false,"suffix":""},{"dropping-particle":"","family":"Riera","given":"Antoni","non-dropping-particle":"","parse-names":false,"suffix":""},{"dropping-particle":"","family":"Attolini","given":"Camille Stephan-Otto","non-dropping-particle":"","parse-names":false,"suffix":""},{"dropping-particle":"","family":"Batlle","given":"Eduard","non-dropping-particle":"","parse-names":false,"suffix":""}],"container-title":"Nature","id":"ITEM-1","issue":"7693","issued":{"date-parts":[["2018"]]},"page":"538-543","publisher":"Nature Publishing Group","title":"TGFβ drives immune evasion in genetically reconstituted colon cancer metastasis.","type":"article-journal","volume":"554"},"uris":["http://www.mendeley.com/documents/?uuid=fdaa74f5-dd86-4ceb-b5e2-39d647925b68"]},{"id":"ITEM-2","itemData":{"DOI":"10.1016/j.trecan.2018.03.005","ISSN":"2405-8025","PMID":"29709256","abstract":"Novel immune therapeutic tools are rapidly expanding the anticancer arsenal. Despite this progress, patients with colorectal cancer (CRC) that spreads to vital parts of the body still have a dismal outcome. Transforming growth factor-β (TGF-β) plays a pivotal role in the development of CRC and metastasis. Important new work by Tauriello and colleagues has revealed that inhibition of TGF-β prevents tumor metastasis by enhancing a cytotoxic T cell response, suggesting that TGF-β inhibition is a promising pro-immunogenic therapy.","author":[{"dropping-particle":"","family":"Ros","given":"Xavier Romero","non-dropping-particle":"","parse-names":false,"suffix":""},{"dropping-particle":"","family":"Vermeulen","given":"Louis","non-dropping-particle":"","parse-names":false,"suffix":""}],"container-title":"Trends in cancer","id":"ITEM-2","issue":"5","issued":{"date-parts":[["2018"]]},"page":"335-337","publisher":"Elsevier Inc.","title":"Turning Cold Tumors Hot by Blocking TGF-β.","type":"article-journal","volume":"4"},"uris":["http://www.mendeley.com/documents/?uuid=d3b7ba8c-dadd-4f86-9f08-4209d2e576e3"]}],"mendeley":{"formattedCitation":"&lt;sup&gt;[66,67]&lt;/sup&gt;","plainTextFormattedCitation":"[66,67]","previouslyFormattedCitation":"&lt;sup&gt;[66,67]&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[66,67]</w:t>
      </w:r>
      <w:r w:rsidRPr="00F06EA4">
        <w:rPr>
          <w:lang w:val="en-US"/>
        </w:rPr>
        <w:fldChar w:fldCharType="end"/>
      </w:r>
      <w:r w:rsidRPr="00F06EA4">
        <w:rPr>
          <w:lang w:val="en-US"/>
        </w:rPr>
        <w:t xml:space="preserve">. Recently, Hawinkels </w:t>
      </w:r>
      <w:r w:rsidR="0046007C" w:rsidRPr="00F06EA4">
        <w:rPr>
          <w:i/>
          <w:iCs/>
          <w:lang w:val="en-US"/>
        </w:rPr>
        <w:t>et al</w:t>
      </w:r>
      <w:r w:rsidR="00657174" w:rsidRPr="00F06EA4">
        <w:rPr>
          <w:lang w:val="en-US"/>
        </w:rPr>
        <w:fldChar w:fldCharType="begin" w:fldLock="1"/>
      </w:r>
      <w:r w:rsidR="00657174" w:rsidRPr="00F06EA4">
        <w:rPr>
          <w:lang w:val="en-US"/>
        </w:rPr>
        <w:instrText>ADDIN CSL_CITATION {"citationItems":[{"id":"ITEM-1","itemData":{"DOI":"10.1038/onc.2012.536","ISSN":"1476-5594","PMID":"23208491","abstract":"The interaction between epithelial cancer cells and cancer-associated fibroblasts (CAFs) has a major role in cancer progression and eventually in metastasis. In colorectal cancer (CRC), CAFs are present in high abundance, but their origin and functional interaction with epithelial tumor cells has not been elucidated. In this study we observed strong activation of the transforming growth factor-β (TGF-β)/Smad signaling pathway in CRC CAFs, accompanied by decreased signaling in epithelial tumor cells. We evaluated the TGF-β1 response and the expression of target genes including matrix metalloproteinases (MMPs) and plasminogen activator inhibitor (PAI)-1 of various epithelial CRC cell lines and primary CAFs in vitro. TGF-β1 stimulation caused high upregulation of MMPs, PAI-1 and TGF-β1 itself. Next we showed that incubation of CAFs with conditioned medium (CM) from epithelial cancer cells led to hyperactivation of the TGF-β signaling pathway, enhanced expression of target genes like PAI-1, and the expression of α-smooth muscle actin (α-SMA). We propose that the interaction of tumor cells with resident fibroblasts results in hyperactivated TGF-β1 signaling and subsequent transdifferentiation of the fibroblasts into α-SMA-positive CAFs. In turn this leads to cumulative production of TGF-β and proteinases within the tumor microenvironment, creating a cancer-promoting feedback loop.","author":[{"dropping-particle":"","family":"Hawinkels","given":"L. J A C","non-dropping-particle":"","parse-names":false,"suffix":""},{"dropping-particle":"","family":"Paauwe","given":"M.","non-dropping-particle":"","parse-names":false,"suffix":""},{"dropping-particle":"","family":"Verspaget","given":"H. W.","non-dropping-particle":"","parse-names":false,"suffix":""},{"dropping-particle":"","family":"Wiercinska","given":"E.","non-dropping-particle":"","parse-names":false,"suffix":""},{"dropping-particle":"","family":"Zon","given":"J M","non-dropping-particle":"van der","parse-names":false,"suffix":""},{"dropping-particle":"","family":"Ploeg","given":"K","non-dropping-particle":"van der","parse-names":false,"suffix":""},{"dropping-particle":"","family":"Koelink","given":"P. J.","non-dropping-particle":"","parse-names":false,"suffix":""},{"dropping-particle":"","family":"Lindeman","given":"J. H N","non-dropping-particle":"","parse-names":false,"suffix":""},{"dropping-particle":"","family":"Mesker","given":"W.","non-dropping-particle":"","parse-names":false,"suffix":""},{"dropping-particle":"","family":"Dijke","given":"P","non-dropping-particle":"ten","parse-names":false,"suffix":""},{"dropping-particle":"","family":"Sier","given":"C. F M","non-dropping-particle":"","parse-names":false,"suffix":""}],"container-title":"Oncogene","id":"ITEM-1","issue":"1","issued":{"date-parts":[["2014","1"]]},"page":"97-107","title":"Interaction with colon cancer cells hyperactivates TGF-β signaling in cancer-associated fibroblasts.","type":"article-journal","volume":"33"},"uris":["http://www.mendeley.com/documents/?uuid=3d5407a0-2a46-4d7b-a93e-51de6375bd07"]}],"mendeley":{"formattedCitation":"&lt;sup&gt;[68]&lt;/sup&gt;","plainTextFormattedCitation":"[68]","previouslyFormattedCitation":"&lt;sup&gt;[68]&lt;/sup&gt;"},"properties":{"noteIndex":0},"schema":"https://github.com/citation-style-language/schema/raw/master/csl-citation.json"}</w:instrText>
      </w:r>
      <w:r w:rsidR="00657174" w:rsidRPr="00F06EA4">
        <w:rPr>
          <w:lang w:val="en-US"/>
        </w:rPr>
        <w:fldChar w:fldCharType="separate"/>
      </w:r>
      <w:r w:rsidR="00657174" w:rsidRPr="00F06EA4">
        <w:rPr>
          <w:noProof/>
          <w:vertAlign w:val="superscript"/>
          <w:lang w:val="en-US"/>
        </w:rPr>
        <w:t>[68]</w:t>
      </w:r>
      <w:r w:rsidR="00657174" w:rsidRPr="00F06EA4">
        <w:rPr>
          <w:lang w:val="en-US"/>
        </w:rPr>
        <w:fldChar w:fldCharType="end"/>
      </w:r>
      <w:r w:rsidRPr="00F06EA4">
        <w:rPr>
          <w:lang w:val="en-US"/>
        </w:rPr>
        <w:t xml:space="preserve"> demonstrated a positive feedback loop, where the interaction of tumor cells with resident fibroblasts results in hyperactivated TGFB signaling</w:t>
      </w:r>
      <w:r w:rsidR="00EF1F9C" w:rsidRPr="00F06EA4">
        <w:rPr>
          <w:lang w:val="en-US"/>
        </w:rPr>
        <w:t xml:space="preserve"> in both cell types</w:t>
      </w:r>
      <w:r w:rsidRPr="00F06EA4">
        <w:rPr>
          <w:lang w:val="en-US"/>
        </w:rPr>
        <w:t xml:space="preserve">. </w:t>
      </w:r>
      <w:r w:rsidRPr="00F06EA4">
        <w:rPr>
          <w:i/>
          <w:lang w:val="en-US"/>
        </w:rPr>
        <w:t>In vitro</w:t>
      </w:r>
      <w:r w:rsidRPr="00F06EA4">
        <w:rPr>
          <w:lang w:val="en-US"/>
        </w:rPr>
        <w:t>, the treatment of CAFs with TGFB increased their expression of collagen-1, PLAU (urokinase type plasminogen activator), various matrix MMPs</w:t>
      </w:r>
      <w:r w:rsidR="004536CC" w:rsidRPr="00F06EA4">
        <w:rPr>
          <w:lang w:val="en-US"/>
        </w:rPr>
        <w:t>,</w:t>
      </w:r>
      <w:r w:rsidRPr="00F06EA4">
        <w:rPr>
          <w:lang w:val="en-US"/>
        </w:rPr>
        <w:t xml:space="preserve"> including MMP2, MMP3, and MMP9, tissue inhibitors of matrix metalloproteinases (TIMPs), and TGFB itself</w:t>
      </w:r>
      <w:r w:rsidRPr="00F06EA4">
        <w:rPr>
          <w:lang w:val="en-US"/>
        </w:rPr>
        <w:fldChar w:fldCharType="begin" w:fldLock="1"/>
      </w:r>
      <w:r w:rsidR="00F45F97" w:rsidRPr="00F06EA4">
        <w:rPr>
          <w:lang w:val="en-US"/>
        </w:rPr>
        <w:instrText>ADDIN CSL_CITATION {"citationItems":[{"id":"ITEM-1","itemData":{"DOI":"10.1038/onc.2012.536","ISSN":"1476-5594","PMID":"23208491","abstract":"The interaction between epithelial cancer cells and cancer-associated fibroblasts (CAFs) has a major role in cancer progression and eventually in metastasis. In colorectal cancer (CRC), CAFs are present in high abundance, but their origin and functional interaction with epithelial tumor cells has not been elucidated. In this study we observed strong activation of the transforming growth factor-β (TGF-β)/Smad signaling pathway in CRC CAFs, accompanied by decreased signaling in epithelial tumor cells. We evaluated the TGF-β1 response and the expression of target genes including matrix metalloproteinases (MMPs) and plasminogen activator inhibitor (PAI)-1 of various epithelial CRC cell lines and primary CAFs in vitro. TGF-β1 stimulation caused high upregulation of MMPs, PAI-1 and TGF-β1 itself. Next we showed that incubation of CAFs with conditioned medium (CM) from epithelial cancer cells led to hyperactivation of the TGF-β signaling pathway, enhanced expression of target genes like PAI-1, and the expression of α-smooth muscle actin (α-SMA). We propose that the interaction of tumor cells with resident fibroblasts results in hyperactivated TGF-β1 signaling and subsequent transdifferentiation of the fibroblasts into α-SMA-positive CAFs. In turn this leads to cumulative production of TGF-β and proteinases within the tumor microenvironment, creating a cancer-promoting feedback loop.","author":[{"dropping-particle":"","family":"Hawinkels","given":"L. J A C","non-dropping-particle":"","parse-names":false,"suffix":""},{"dropping-particle":"","family":"Paauwe","given":"M.","non-dropping-particle":"","parse-names":false,"suffix":""},{"dropping-particle":"","family":"Verspaget","given":"H. W.","non-dropping-particle":"","parse-names":false,"suffix":""},{"dropping-particle":"","family":"Wiercinska","given":"E.","non-dropping-particle":"","parse-names":false,"suffix":""},{"dropping-particle":"","family":"Zon","given":"J M","non-dropping-particle":"van der","parse-names":false,"suffix":""},{"dropping-particle":"","family":"Ploeg","given":"K","non-dropping-particle":"van der","parse-names":false,"suffix":""},{"dropping-particle":"","family":"Koelink","given":"P. J.","non-dropping-particle":"","parse-names":false,"suffix":""},{"dropping-particle":"","family":"Lindeman","given":"J. H N","non-dropping-particle":"","parse-names":false,"suffix":""},{"dropping-particle":"","family":"Mesker","given":"W.","non-dropping-particle":"","parse-names":false,"suffix":""},{"dropping-particle":"","family":"Dijke","given":"P","non-dropping-particle":"ten","parse-names":false,"suffix":""},{"dropping-particle":"","family":"Sier","given":"C. F M","non-dropping-particle":"","parse-names":false,"suffix":""}],"container-title":"Oncogene","id":"ITEM-1","issue":"1","issued":{"date-parts":[["2014","1"]]},"page":"97-107","title":"Interaction with colon cancer cells hyperactivates TGF-β signaling in cancer-associated fibroblasts.","type":"article-journal","volume":"33"},"uris":["http://www.mendeley.com/documents/?uuid=3d5407a0-2a46-4d7b-a93e-51de6375bd07"]}],"mendeley":{"formattedCitation":"&lt;sup&gt;[68]&lt;/sup&gt;","plainTextFormattedCitation":"[68]","previouslyFormattedCitation":"&lt;sup&gt;[68]&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[68]</w:t>
      </w:r>
      <w:r w:rsidRPr="00F06EA4">
        <w:rPr>
          <w:lang w:val="en-US"/>
        </w:rPr>
        <w:fldChar w:fldCharType="end"/>
      </w:r>
      <w:r w:rsidRPr="00F06EA4">
        <w:rPr>
          <w:lang w:val="en-US"/>
        </w:rPr>
        <w:t xml:space="preserve">. </w:t>
      </w:r>
      <w:r w:rsidR="004536CC" w:rsidRPr="00F06EA4">
        <w:rPr>
          <w:lang w:val="en-US"/>
        </w:rPr>
        <w:t xml:space="preserve">Collectively, these data </w:t>
      </w:r>
      <w:r w:rsidR="000917FB" w:rsidRPr="00F06EA4">
        <w:rPr>
          <w:lang w:val="en-US"/>
        </w:rPr>
        <w:t xml:space="preserve">support the role of CAFs in the regulation of </w:t>
      </w:r>
      <w:r w:rsidR="00F6717A" w:rsidRPr="00F06EA4">
        <w:rPr>
          <w:lang w:val="en-US"/>
        </w:rPr>
        <w:t>cancer associate inflammatory reactions.</w:t>
      </w:r>
    </w:p>
    <w:p w14:paraId="162D3EC2" w14:textId="5F951555" w:rsidR="009D2946" w:rsidRPr="00F06EA4" w:rsidRDefault="009D2946" w:rsidP="00F67ED8">
      <w:pPr>
        <w:spacing w:after="0"/>
        <w:rPr>
          <w:lang w:val="en-US"/>
        </w:rPr>
      </w:pPr>
    </w:p>
    <w:p w14:paraId="05C512D8" w14:textId="3439B435" w:rsidR="00C9687A" w:rsidRPr="00F06EA4" w:rsidRDefault="00C9687A" w:rsidP="00F67ED8">
      <w:pPr>
        <w:pStyle w:val="2"/>
        <w:spacing w:before="0" w:after="0"/>
        <w:rPr>
          <w:i/>
        </w:rPr>
      </w:pPr>
      <w:r w:rsidRPr="00F06EA4">
        <w:rPr>
          <w:i/>
        </w:rPr>
        <w:t>T</w:t>
      </w:r>
      <w:r w:rsidR="00D02B5B" w:rsidRPr="00F06EA4">
        <w:rPr>
          <w:i/>
        </w:rPr>
        <w:t>he role of t</w:t>
      </w:r>
      <w:r w:rsidRPr="00F06EA4">
        <w:rPr>
          <w:i/>
        </w:rPr>
        <w:t>umor necrosis</w:t>
      </w:r>
      <w:r w:rsidR="003144B4" w:rsidRPr="00F06EA4">
        <w:rPr>
          <w:i/>
        </w:rPr>
        <w:t xml:space="preserve"> </w:t>
      </w:r>
      <w:r w:rsidR="00D02B5B" w:rsidRPr="00F06EA4">
        <w:rPr>
          <w:i/>
        </w:rPr>
        <w:t>in</w:t>
      </w:r>
      <w:r w:rsidR="003144B4" w:rsidRPr="00F06EA4">
        <w:rPr>
          <w:i/>
        </w:rPr>
        <w:t xml:space="preserve"> systemic inflammation</w:t>
      </w:r>
    </w:p>
    <w:p w14:paraId="5F37D8D9" w14:textId="5FF630C4" w:rsidR="00676FCD" w:rsidRPr="00F06EA4" w:rsidRDefault="00C9687A" w:rsidP="00F67ED8">
      <w:pPr>
        <w:spacing w:after="0"/>
        <w:rPr>
          <w:lang w:val="en-US"/>
        </w:rPr>
      </w:pPr>
      <w:r w:rsidRPr="00F06EA4">
        <w:rPr>
          <w:lang w:val="en-US"/>
        </w:rPr>
        <w:t>Necrosis, an uncontrolled process of cell death,</w:t>
      </w:r>
      <w:r w:rsidR="0095471D" w:rsidRPr="00F06EA4">
        <w:rPr>
          <w:lang w:val="en-US"/>
        </w:rPr>
        <w:t xml:space="preserve"> provokes a rapid</w:t>
      </w:r>
      <w:r w:rsidR="006C4EC8" w:rsidRPr="00F06EA4">
        <w:rPr>
          <w:lang w:val="en-US"/>
        </w:rPr>
        <w:t xml:space="preserve"> systemic inflammatory response that is necessary for the removal of </w:t>
      </w:r>
      <w:r w:rsidR="00291C52" w:rsidRPr="00F06EA4">
        <w:rPr>
          <w:lang w:val="en-US"/>
        </w:rPr>
        <w:t xml:space="preserve">dead tissues from the body by phagocytic cells like neutrophilic granulocytes and macrophages. </w:t>
      </w:r>
      <w:r w:rsidR="00CF7DC8" w:rsidRPr="00F06EA4">
        <w:rPr>
          <w:lang w:val="en-US"/>
        </w:rPr>
        <w:t xml:space="preserve"> </w:t>
      </w:r>
      <w:r w:rsidR="00291C52" w:rsidRPr="00F06EA4">
        <w:rPr>
          <w:lang w:val="en-US"/>
        </w:rPr>
        <w:t>Necrosis</w:t>
      </w:r>
      <w:r w:rsidRPr="00F06EA4">
        <w:rPr>
          <w:lang w:val="en-US"/>
        </w:rPr>
        <w:t xml:space="preserve"> is </w:t>
      </w:r>
      <w:r w:rsidR="00291C52" w:rsidRPr="00F06EA4">
        <w:rPr>
          <w:lang w:val="en-US"/>
        </w:rPr>
        <w:t xml:space="preserve">also </w:t>
      </w:r>
      <w:r w:rsidRPr="00F06EA4">
        <w:rPr>
          <w:lang w:val="en-US"/>
        </w:rPr>
        <w:t>prevalent</w:t>
      </w:r>
      <w:r w:rsidR="00505415" w:rsidRPr="00F06EA4">
        <w:rPr>
          <w:lang w:val="en-US"/>
        </w:rPr>
        <w:t xml:space="preserve"> </w:t>
      </w:r>
      <w:r w:rsidRPr="00F06EA4">
        <w:rPr>
          <w:lang w:val="en-US"/>
        </w:rPr>
        <w:t xml:space="preserve">and </w:t>
      </w:r>
      <w:r w:rsidR="005C6179" w:rsidRPr="00F06EA4">
        <w:rPr>
          <w:lang w:val="en-US"/>
        </w:rPr>
        <w:t xml:space="preserve">represents </w:t>
      </w:r>
      <w:r w:rsidR="005C6179" w:rsidRPr="00F06EA4">
        <w:rPr>
          <w:lang w:val="en-US"/>
        </w:rPr>
        <w:lastRenderedPageBreak/>
        <w:t>an</w:t>
      </w:r>
      <w:r w:rsidR="0059441A" w:rsidRPr="00F06EA4">
        <w:rPr>
          <w:lang w:val="en-US"/>
        </w:rPr>
        <w:t xml:space="preserve"> indicator of less </w:t>
      </w:r>
      <w:r w:rsidR="006759CF" w:rsidRPr="00F06EA4">
        <w:rPr>
          <w:lang w:val="en-US"/>
        </w:rPr>
        <w:t>favorable</w:t>
      </w:r>
      <w:r w:rsidR="0059441A" w:rsidRPr="00F06EA4">
        <w:rPr>
          <w:lang w:val="en-US"/>
        </w:rPr>
        <w:t xml:space="preserve"> outcome in</w:t>
      </w:r>
      <w:r w:rsidRPr="00F06EA4">
        <w:rPr>
          <w:lang w:val="en-US"/>
        </w:rPr>
        <w:t xml:space="preserve"> colorectal, renal, lung, and breast cancer</w:t>
      </w:r>
      <w:r w:rsidRPr="00F06EA4">
        <w:rPr>
          <w:lang w:val="en-US"/>
        </w:rPr>
        <w:fldChar w:fldCharType="begin" w:fldLock="1"/>
      </w:r>
      <w:r w:rsidR="00F45F97" w:rsidRPr="00F06EA4">
        <w:rPr>
          <w:lang w:val="en-US"/>
        </w:rPr>
        <w:instrText>ADDIN CSL_CITATION {"citationItems":[{"id":"ITEM-1","itemData":{"DOI":"10.1002/bjs.7755","ISSN":"1365-2168","PMID":"22086662","abstract":"BACKGROUND Tumour necrosis is a marker of poor prognosis in some tumours but the mechanism is unclear. This study examined the prognostic value of tumour necrosis and host inflammatory responses in colorectal cancer. METHODS This was a retrospective study of patients undergoing potentially curative resection of colorectal cancer at a single surgical institution over a 10-year period. Patients who underwent preoperative radiotherapy were excluded. The systemic and local inflammatory responses were assessed using the modified Glasgow Prognostic Score and Klintrup-Makinen criteria respectively. Original tumour sections were retrieved and necrosis graded as absent, focal, moderate or extensive. Associations between necrosis and clinicopathological variables were examined, and multivariable survival analyses carried out. RESULTS A total of 343 patients were included between 1997 and 2007. Tumour necrosis was graded as absent in 32 (9·3 per cent), focal in 166 (48·4 per cent), moderate in 101 (29·4 per cent) and extensive in 44 (12·8 per cent). There were significant associations between tumour necrosis and anaemia (P = 0·022), white cell count (P = 0·006), systemic inflammatory response (P &lt; 0·001), local inflammatory cell infiltrate (P = 0·004), tumour node metastasis (TNM) stage (P = 0·015) and Petersen Index (P = 0·003). On univariable survival analysis, tumour necrosis was associated with cancer-specific survival (P &lt; 0·001). On multivariable survival analysis, age (hazard ratio (HR) 1·29, 95 per cent confidence interval 1·00 to 1·66), systemic inflammatory response (HR 1·74, 1·27 to 2·39), low-grade local inflammatory cell infiltrate (HR 2·65, 1·52 to 4·63), TNM stage (HR 1·55, 1·02 to 2·35) and high-risk Petersen Index (HR 3·50, 2·21 to 5·55) were associated with reduced cancer-specific survival. CONCLUSION The impact of tumour necrosis on colorectal cancer survival may be due to close associations with the host systemic and local inflammatory responses.","author":[{"dropping-particle":"","family":"Richards","given":"C H","non-dropping-particle":"","parse-names":false,"suffix":""},{"dropping-particle":"","family":"Roxburgh","given":"C S D","non-dropping-particle":"","parse-names":false,"suffix":""},{"dropping-particle":"","family":"Anderson","given":"J H","non-dropping-particle":"","parse-names":false,"suffix":""},{"dropping-particle":"","family":"McKee","given":"R F","non-dropping-particle":"","parse-names":false,"suffix":""},{"dropping-particle":"","family":"Foulis","given":"A K","non-dropping-particle":"","parse-names":false,"suffix":""},{"dropping-particle":"","family":"Horgan","given":"P G","non-dropping-particle":"","parse-names":false,"suffix":""},{"dropping-particle":"","family":"McMillan","given":"D C","non-dropping-particle":"","parse-names":false,"suffix":""}],"container-title":"The British journal of surgery","id":"ITEM-1","issue":"2","issued":{"date-parts":[["2012","2"]]},"page":"287-94","title":"Prognostic value of tumour necrosis and host inflammatory responses in colorectal cancer.","type":"article-journal","volume":"99"},"uris":["http://www.mendeley.com/documents/?uuid=858c7213-73be-472b-a0b9-aed3e08a0390","http://www.mendeley.com/documents/?uuid=105e6a91-28ee-4504-aa88-28fe7c2037a4"]},{"id":"ITEM-2","itemData":{"DOI":"10.1038/bjc.2016.128","ISSN":"1532-1827","PMID":"27195424","abstract":"BACKGROUND The disease outcome in colorectal cancer (CRC) can vary in a wide range within the same tumour stage. The aim of this study was to clarify the prognostic value and the determinants of tumour necrosis in CRC. METHODS The areal proportion (%) of tumour tissue showing coagulative necrosis was evaluated in a cohort of 147 CRC patients and correlated with basic clinicopathological characteristics, microvascular density (MVD), cell proliferation rate, KRAS and BRAF mutations, and survival. To validate the prognostic significance of tumour necrosis, an independent cohort of 418 CRC patients was analysed. RESULTS Tumour necrosis positively correlated with tumour stage (P=8.5E-4)-especially with T class (4.0E-6)-and inversely correlated with serrated histology (P=0.014), but did not significantly associate with cell proliferation rate, MVD, and KRAS or BRAF mutation. Abundant (10% or more) tumour necrosis associated with worse disease-free survival independent of stage and other biological or clinicopathological characteristics in both cohorts, and the adverse effect was directly related to its extent. High CD105 MVD was also a stage independent marker for worse disease-free survival. CONCLUSIONS Tumour necrosis percentage is a relevant histomorphological prognostic indicator in CRC. More studies are needed to disclose the mechanisms of tumour necrosis.","author":[{"dropping-particle":"","family":"Väyrynen","given":"Sara A","non-dropping-particle":"","parse-names":false,"suffix":""},{"dropping-particle":"","family":"Väyrynen","given":"Juha P","non-dropping-particle":"","parse-names":false,"suffix":""},{"dropping-particle":"","family":"Klintrup","given":"Kai","non-dropping-particle":"","parse-names":false,"suffix":""},{"dropping-particle":"","family":"Mäkelä","given":"Jyrki","non-dropping-particle":"","parse-names":false,"suffix":""},{"dropping-particle":"","family":"Karttunen","given":"Tuomo J","non-dropping-particle":"","parse-names":false,"suffix":""},{"dropping-particle":"","family":"Tuomisto","given":"Anne","non-dropping-particle":"","parse-names":false,"suffix":""},{"dropping-particle":"","family":"Mäkinen","given":"Markus J","non-dropping-particle":"","parse-names":false,"suffix":""}],"container-title":"British journal of cancer","id":"ITEM-2","issue":"12","issued":{"date-parts":[["2016","6"]]},"page":"1334-42","title":"Clinical impact and network of determinants of tumour necrosis in colorectal cancer.","type":"article-journal","volume":"114"},"uris":["http://www.mendeley.com/documents/?uuid=92086da8-803c-4093-8bb3-1b9fe3b244a6"]},{"id":"ITEM-3","itemData":{"DOI":"10.1016/j.humpath.2010.04.018","ISSN":"1532-8392; 0046-8177","PMID":"20869096","abstract":"The prognostic significance of tumor necrosis in colorectal cancer is unclear. Our study aimed to analyze the prognostic value of tumor necrosis with respect to progression-free and cancer-specific survival and to relate findings to expression of proteins involved in the control of cancer cell death, such as p53 and bcl-2. A total of 381 colorectal cancer specimens were retrospectively reevaluated. The extent of tumor necrosis was semiquantitatively assessed and recorded as either absent, focal (/=30%). Expression of p53 and bcl-2 was assessed immunohistochemically and recorded as either positive (using a cutoff value of 10%) or negative. In addition, mismatch repair protein status was assessed by immunohistochemistry using antibodies directed against hMLH1, hMSH2, and hMSH6. Tumor necrosis was observed in 365 (96%) cases, with 180 (47%) tumors showing focal necrosis, 119 (31%) moderate necrosis, and 66 (17%) extensive necrosis, respectively. Extent of necrosis was significantly associated with high T classification (P","author":[{"dropping-particle":"","family":"Pollheimer","given":"Marion J.","non-dropping-particle":"","parse-names":false,"suffix":""},{"dropping-particle":"","family":"Kornprat","given":"Peter","non-dropping-particle":"","parse-names":false,"suffix":""},{"dropping-particle":"","family":"Lindtner","given":"Richard A.","non-dropping-particle":"","parse-names":false,"suffix":""},{"dropping-particle":"","family":"Harbaum","given":"Lars","non-dropping-particle":"","parse-names":false,"suffix":""},{"dropping-particle":"","family":"Schlemmer","given":"Andrea","non-dropping-particle":"","parse-names":false,"suffix":""},{"dropping-particle":"","family":"Rehak","given":"Peter","non-dropping-particle":"","parse-names":false,"suffix":""},{"dropping-particle":"","family":"Langner","given":"Cord","non-dropping-particle":"","parse-names":false,"suffix":""}],"container-title":"Human pathology","id":"ITEM-3","issue":"12","issued":{"date-parts":[["2010","12"]]},"page":"1749-1757","publisher":"Elsevier Inc","publisher-place":"Institute of Pathology, Medical University, Auenbruggerplatz 25, Graz, Austria.","title":"Tumor necrosis is a new promising prognostic factor in colorectal cancer","type":"article-journal","volume":"41"},"uris":["http://www.mendeley.com/documents/?uuid=15817e02-db74-4091-abc5-f0df3b1be7d5"]}],"mendeley":{"formattedCitation":"&lt;sup&gt;[69–71]&lt;/sup&gt;","plainTextFormattedCitation":"[69–71]","previouslyFormattedCitation":"&lt;sup&gt;[69–71]&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[69–71]</w:t>
      </w:r>
      <w:r w:rsidRPr="00F06EA4">
        <w:rPr>
          <w:lang w:val="en-US"/>
        </w:rPr>
        <w:fldChar w:fldCharType="end"/>
      </w:r>
      <w:r w:rsidRPr="00F06EA4">
        <w:rPr>
          <w:lang w:val="en-US"/>
        </w:rPr>
        <w:t xml:space="preserve">. </w:t>
      </w:r>
      <w:r w:rsidR="003A1F05" w:rsidRPr="00F06EA4">
        <w:rPr>
          <w:lang w:val="en-US"/>
        </w:rPr>
        <w:t xml:space="preserve">Irreversible </w:t>
      </w:r>
      <w:r w:rsidR="004D6657" w:rsidRPr="00F06EA4">
        <w:rPr>
          <w:lang w:val="en-US"/>
        </w:rPr>
        <w:t xml:space="preserve">cell </w:t>
      </w:r>
      <w:r w:rsidR="00280CD6" w:rsidRPr="00F06EA4">
        <w:rPr>
          <w:lang w:val="en-US"/>
        </w:rPr>
        <w:t>injury induces</w:t>
      </w:r>
      <w:r w:rsidR="004D6657" w:rsidRPr="00F06EA4">
        <w:rPr>
          <w:lang w:val="en-US"/>
        </w:rPr>
        <w:t xml:space="preserve"> the systemic </w:t>
      </w:r>
      <w:r w:rsidR="003A1F05" w:rsidRPr="00F06EA4">
        <w:rPr>
          <w:lang w:val="en-US"/>
        </w:rPr>
        <w:t>inflammatory response</w:t>
      </w:r>
      <w:r w:rsidR="004D6657" w:rsidRPr="00F06EA4">
        <w:rPr>
          <w:lang w:val="en-US"/>
        </w:rPr>
        <w:t>, w</w:t>
      </w:r>
      <w:r w:rsidR="00E66E7A" w:rsidRPr="00F06EA4">
        <w:rPr>
          <w:lang w:val="en-US"/>
        </w:rPr>
        <w:t>h</w:t>
      </w:r>
      <w:r w:rsidR="004D6657" w:rsidRPr="00F06EA4">
        <w:rPr>
          <w:lang w:val="en-US"/>
        </w:rPr>
        <w:t xml:space="preserve">en dying cells </w:t>
      </w:r>
      <w:r w:rsidRPr="00F06EA4">
        <w:rPr>
          <w:lang w:val="en-US"/>
        </w:rPr>
        <w:t>release proinflammatory molecules into the extracellular space</w:t>
      </w:r>
      <w:r w:rsidR="00CD115A" w:rsidRPr="00F06EA4">
        <w:rPr>
          <w:lang w:val="en-US"/>
        </w:rPr>
        <w:t xml:space="preserve">, and this is further propagated </w:t>
      </w:r>
      <w:r w:rsidR="000E2764" w:rsidRPr="00F06EA4">
        <w:rPr>
          <w:lang w:val="en-US"/>
        </w:rPr>
        <w:t xml:space="preserve">when intracellular contents of the cells are </w:t>
      </w:r>
      <w:r w:rsidR="00E66E7A" w:rsidRPr="00F06EA4">
        <w:rPr>
          <w:lang w:val="en-US"/>
        </w:rPr>
        <w:t>exposed</w:t>
      </w:r>
      <w:r w:rsidRPr="00F06EA4">
        <w:rPr>
          <w:lang w:val="en-US"/>
        </w:rPr>
        <w:fldChar w:fldCharType="begin" w:fldLock="1"/>
      </w:r>
      <w:r w:rsidR="00F45F97" w:rsidRPr="00F06EA4">
        <w:rPr>
          <w:lang w:val="en-US"/>
        </w:rPr>
        <w:instrText>ADDIN CSL_CITATION {"citationItems":[{"id":"ITEM-1","itemData":{"DOI":"10.1038/nm1603","ISSN":"1078-8956","PMID":"17572686","abstract":"Dying cells stimulate inflammation, and this response is thought to contribute to the pathogenesis of many diseases. Very little has been known, however, about how cell death triggers inflammation. We found here that the acute neutrophilic inflammatory response to cell injury requires the signaling protein myeloid differentiation primary response gene 88 (Myd88). Analysis of the contribution of Myd88-dependent receptors to this response revealed only a minor reduction in mice doubly deficient in Toll-like receptor 2 (Tlr2) and Tlr4 and normal responses in mice lacking Tlr1, Tlr3, Tlr6, Tlr7, Tlr9, Tlr11 or the interleukin-18 receptor (IL-18R). However, mice lacking IL-1R showed a markedly reduced neutrophilic inflammatory response to dead cells and tissue injury in vivo as well as greatly decreased collateral damage from inflammation. This inflammatory response required IL-1alpha, and IL-1R function was required on non-bone-marrow-derived cells. Notably, the acute monocyte response to cell death, which is thought to be important for tissue repair, was much less dependent on the IL-1R-Myd88 pathway. Also, this pathway was not required for the neutrophil response to a microbial stimulus. These findings suggest that inhibiting the IL-1R-Myd88 pathway in vivo could block the damage from acute inflammation that occurs in response to sterile cell death, and do so in a way that might not compromise tissue repair or host defense against pathogens.","author":[{"dropping-particle":"","family":"Chen","given":"Chun-Jen","non-dropping-particle":"","parse-names":false,"suffix":""},{"dropping-particle":"","family":"Kono","given":"Hajime","non-dropping-particle":"","parse-names":false,"suffix":""},{"dropping-particle":"","family":"Golenbock","given":"Douglas","non-dropping-particle":"","parse-names":false,"suffix":""},{"dropping-particle":"","family":"Reed","given":"George","non-dropping-particle":"","parse-names":false,"suffix":""},{"dropping-particle":"","family":"Akira","given":"Shizuo","non-dropping-particle":"","parse-names":false,"suffix":""},{"dropping-particle":"","family":"Rock","given":"Kenneth L","non-dropping-particle":"","parse-names":false,"suffix":""}],"container-title":"Nature medicine","id":"ITEM-1","issue":"7","issued":{"date-parts":[["2007"]]},"page":"851-6","title":"Identification of a key pathway required for the sterile inflammatory response triggered by dying cells.","type":"article-journal","volume":"13"},"uris":["http://www.mendeley.com/documents/?uuid=3a5a424a-86ff-3aa1-8570-14f60505cb10","http://www.mendeley.com/documents/?uuid=d8503f29-bde4-495d-844f-72e7dd846745"]}],"mendeley":{"formattedCitation":"&lt;sup&gt;[72]&lt;/sup&gt;","plainTextFormattedCitation":"[72]","previouslyFormattedCitation":"&lt;sup&gt;[72]&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[72]</w:t>
      </w:r>
      <w:r w:rsidRPr="00F06EA4">
        <w:rPr>
          <w:lang w:val="en-US"/>
        </w:rPr>
        <w:fldChar w:fldCharType="end"/>
      </w:r>
      <w:r w:rsidR="00244275" w:rsidRPr="00F06EA4">
        <w:rPr>
          <w:lang w:val="en-US"/>
        </w:rPr>
        <w:t xml:space="preserve">. </w:t>
      </w:r>
      <w:r w:rsidR="004B7401" w:rsidRPr="00F06EA4">
        <w:rPr>
          <w:lang w:val="en-US"/>
        </w:rPr>
        <w:t>I</w:t>
      </w:r>
      <w:r w:rsidR="00244275" w:rsidRPr="00F06EA4">
        <w:rPr>
          <w:lang w:val="en-US"/>
        </w:rPr>
        <w:t>n trauma patients, mitochondrional damage-associated components released to the circulation are able to elicit systemic inflammation</w:t>
      </w:r>
      <w:r w:rsidR="00244275" w:rsidRPr="00F06EA4">
        <w:rPr>
          <w:lang w:val="en-US"/>
        </w:rPr>
        <w:fldChar w:fldCharType="begin" w:fldLock="1"/>
      </w:r>
      <w:r w:rsidR="00F45F97" w:rsidRPr="00F06EA4">
        <w:rPr>
          <w:lang w:val="en-US"/>
        </w:rPr>
        <w:instrText>ADDIN CSL_CITATION {"citationItems":[{"id":"ITEM-1","itemData":{"DOI":"10.1038/nature08780","ISSN":"1476-4687","PMID":"20203610","abstract":"Injury causes a systemic inflammatory response syndrome (SIRS) that is clinically much like sepsis. Microbial pathogen-associated molecular patterns (PAMPs) activate innate immunocytes through pattern recognition receptors. Similarly, cellular injury can release endogenous 'damage'-associated molecular patterns (DAMPs) that activate innate immunity. Mitochondria are evolutionary endosymbionts that were derived from bacteria and so might bear bacterial molecular motifs. Here we show that injury releases mitochondrial DAMPs (MTDs) into the circulation with functionally important immune consequences. MTDs include formyl peptides and mitochondrial DNA. These activate human polymorphonuclear neutrophils (PMNs) through formyl peptide receptor-1 and Toll-like receptor (TLR) 9, respectively. MTDs promote PMN Ca(2+) flux and phosphorylation of mitogen-activated protein (MAP) kinases, thus leading to PMN migration and degranulation in vitro and in vivo. Circulating MTDs can elicit neutrophil-mediated organ injury. Cellular disruption by trauma releases mitochondrial DAMPs with evolutionarily conserved similarities to bacterial PAMPs into the circulation. These signal through innate immune pathways identical to those activated in sepsis to create a sepsis-like state. The release of such mitochondrial 'enemies within' by cellular injury is a key link between trauma, inflammation and SIRS.","author":[{"dropping-particle":"","family":"Zhang","given":"Qin","non-dropping-particle":"","parse-names":false,"suffix":""},{"dropping-particle":"","family":"Raoof","given":"Mustafa","non-dropping-particle":"","parse-names":false,"suffix":""},{"dropping-particle":"","family":"Chen","given":"Yu","non-dropping-particle":"","parse-names":false,"suffix":""},{"dropping-particle":"","family":"Sumi","given":"Yuka","non-dropping-particle":"","parse-names":false,"suffix":""},{"dropping-particle":"","family":"Sursal","given":"Tolga","non-dropping-particle":"","parse-names":false,"suffix":""},{"dropping-particle":"","family":"Junger","given":"Wolfgang","non-dropping-particle":"","parse-names":false,"suffix":""},{"dropping-particle":"","family":"Brohi","given":"Karim","non-dropping-particle":"","parse-names":false,"suffix":""},{"dropping-particle":"","family":"Itagaki","given":"Kiyoshi","non-dropping-particle":"","parse-names":false,"suffix":""},{"dropping-particle":"","family":"Hauser","given":"Carl J","non-dropping-particle":"","parse-names":false,"suffix":""}],"container-title":"Nature","id":"ITEM-1","issue":"7285","issued":{"date-parts":[["2010"]]},"page":"104-7","title":"Circulating mitochondrial DAMPs cause inflammatory responses to injury.","type":"article-journal","volume":"464"},"uris":["http://www.mendeley.com/documents/?uuid=e49a82e0-ec52-4da9-8085-d7fa65f26489"]}],"mendeley":{"formattedCitation":"&lt;sup&gt;[73]&lt;/sup&gt;","plainTextFormattedCitation":"[73]","previouslyFormattedCitation":"&lt;sup&gt;[73]&lt;/sup&gt;"},"properties":{"noteIndex":0},"schema":"https://github.com/citation-style-language/schema/raw/master/csl-citation.json"}</w:instrText>
      </w:r>
      <w:r w:rsidR="00244275" w:rsidRPr="00F06EA4">
        <w:rPr>
          <w:lang w:val="en-US"/>
        </w:rPr>
        <w:fldChar w:fldCharType="separate"/>
      </w:r>
      <w:r w:rsidR="00F45F97" w:rsidRPr="00F06EA4">
        <w:rPr>
          <w:noProof/>
          <w:vertAlign w:val="superscript"/>
          <w:lang w:val="en-US"/>
        </w:rPr>
        <w:t>[73]</w:t>
      </w:r>
      <w:r w:rsidR="00244275" w:rsidRPr="00F06EA4">
        <w:rPr>
          <w:lang w:val="en-US"/>
        </w:rPr>
        <w:fldChar w:fldCharType="end"/>
      </w:r>
      <w:r w:rsidR="00244275" w:rsidRPr="00F06EA4">
        <w:rPr>
          <w:lang w:val="en-US"/>
        </w:rPr>
        <w:t>.</w:t>
      </w:r>
      <w:r w:rsidRPr="00F06EA4">
        <w:rPr>
          <w:lang w:val="en-US"/>
        </w:rPr>
        <w:t xml:space="preserve">  </w:t>
      </w:r>
      <w:r w:rsidR="0020070C" w:rsidRPr="0020070C">
        <w:rPr>
          <w:lang w:val="en-US"/>
        </w:rPr>
        <w:t>Väyrynen</w:t>
      </w:r>
      <w:r w:rsidRPr="00F06EA4">
        <w:rPr>
          <w:lang w:val="en-US"/>
        </w:rPr>
        <w:t xml:space="preserve"> </w:t>
      </w:r>
      <w:r w:rsidR="0046007C" w:rsidRPr="00F06EA4">
        <w:rPr>
          <w:i/>
          <w:iCs/>
          <w:lang w:val="en-US"/>
        </w:rPr>
        <w:t>et al</w:t>
      </w:r>
      <w:r w:rsidR="00244275" w:rsidRPr="00F06EA4">
        <w:rPr>
          <w:lang w:val="en-US"/>
        </w:rPr>
        <w:fldChar w:fldCharType="begin" w:fldLock="1"/>
      </w:r>
      <w:r w:rsidR="00F45F97" w:rsidRPr="00F06EA4">
        <w:rPr>
          <w:lang w:val="en-US"/>
        </w:rPr>
        <w:instrText>ADDIN CSL_CITATION {"citationItems":[{"id":"ITEM-1","itemData":{"DOI":"10.1038/srep36519","ISSN":"2045-2322","PMID":"27819306","abstract":"Deficiency of vitamin D is associated with increased risk of several types of cancer including colorectal cancer (CRC). However, factors contributing to low levels of 25-hydroxyvitamin D [25(OH)D] in CRC are not clear. Therefore, in this study serum 25(OH)D levels in 117 CRC patients and 86 controls were analyzed and correlated with the clinicopathological data including morphological subtype (serrated or conventional), quantity of tumor infiltrating immune cells, levels of systemic inflammatory markers, and disease outcome. We found that the patients had lower serum 25(OH)D levels compared to the controls. Interestingly, among the patients mismatch repair deficiency, serrated morphology, and high body mass index associated with lowest serum 25(OH)D levels. In addition, patients operated in summer or autumn had higher serum 25(OH)D levels. Furthermore, serum 25(OH)D levels inversely correlated with several systemic inflammatory markers, e.g. serum C reactive protein, but did not associate with prognosis. Mechanism leading to vitamin D deficiency in these patients are not clear but could be related to the effects of systemic inflammation. Longitudinal studies are warranted to assess vitamin D deficiency as a potential risk factor for serrated colorectal polyps and adenocarcinoma.","author":[{"dropping-particle":"","family":"Väyrynen","given":"Juha P.","non-dropping-particle":"","parse-names":false,"suffix":""},{"dropping-particle":"","family":"Mutt","given":"Shivaprakash J.","non-dropping-particle":"","parse-names":false,"suffix":""},{"dropping-particle":"","family":"Herzig","given":"Karl-Heinz","non-dropping-particle":"","parse-names":false,"suffix":""},{"dropping-particle":"","family":"Väyrynen","given":"Sara A.","non-dropping-particle":"","parse-names":false,"suffix":""},{"dropping-particle":"","family":"Kantola","given":"Tiina","non-dropping-particle":"","parse-names":false,"suffix":""},{"dropping-particle":"","family":"Karhu","given":"Toni","non-dropping-particle":"","parse-names":false,"suffix":""},{"dropping-particle":"","family":"Karttunen","given":"Tuomo J.","non-dropping-particle":"","parse-names":false,"suffix":""},{"dropping-particle":"","family":"Klintrup","given":"Kai","non-dropping-particle":"","parse-names":false,"suffix":""},{"dropping-particle":"","family":"Mäkelä","given":"Jyrki","non-dropping-particle":"","parse-names":false,"suffix":""},{"dropping-particle":"","family":"Mäkinen","given":"Markus J.","non-dropping-particle":"","parse-names":false,"suffix":""},{"dropping-particle":"","family":"Tuomisto","given":"Anne","non-dropping-particle":"","parse-names":false,"suffix":""}],"container-title":"Scientific reports","id":"ITEM-1","issue":"1","issued":{"date-parts":[["2016"]]},"page":"36519","title":"Decreased preoperative serum 25-Hydroxyvitamin D levels in colorectal cancer are associated with systemic inflammation and serrated morphology.","type":"article-journal","volume":"6"},"uris":["http://www.mendeley.com/documents/?uuid=f70af67d-c3e1-4e6e-b6f7-2c8bec3e10fe"]}],"mendeley":{"formattedCitation":"&lt;sup&gt;[74]&lt;/sup&gt;","plainTextFormattedCitation":"[74]","previouslyFormattedCitation":"&lt;sup&gt;[74]&lt;/sup&gt;"},"properties":{"noteIndex":0},"schema":"https://github.com/citation-style-language/schema/raw/master/csl-citation.json"}</w:instrText>
      </w:r>
      <w:r w:rsidR="00244275" w:rsidRPr="00F06EA4">
        <w:rPr>
          <w:lang w:val="en-US"/>
        </w:rPr>
        <w:fldChar w:fldCharType="separate"/>
      </w:r>
      <w:r w:rsidR="00F45F97" w:rsidRPr="00F06EA4">
        <w:rPr>
          <w:noProof/>
          <w:vertAlign w:val="superscript"/>
          <w:lang w:val="en-US"/>
        </w:rPr>
        <w:t>[74]</w:t>
      </w:r>
      <w:r w:rsidR="00244275" w:rsidRPr="00F06EA4">
        <w:rPr>
          <w:lang w:val="en-US"/>
        </w:rPr>
        <w:fldChar w:fldCharType="end"/>
      </w:r>
      <w:r w:rsidRPr="00F06EA4">
        <w:rPr>
          <w:lang w:val="en-US"/>
        </w:rPr>
        <w:t xml:space="preserve"> </w:t>
      </w:r>
      <w:r w:rsidR="00244275" w:rsidRPr="00F06EA4">
        <w:rPr>
          <w:lang w:val="en-US"/>
        </w:rPr>
        <w:t>and Guthrie</w:t>
      </w:r>
      <w:r w:rsidR="00244275" w:rsidRPr="00F06EA4">
        <w:rPr>
          <w:i/>
          <w:iCs/>
          <w:lang w:val="en-US"/>
        </w:rPr>
        <w:t xml:space="preserve"> </w:t>
      </w:r>
      <w:r w:rsidR="0046007C" w:rsidRPr="00F06EA4">
        <w:rPr>
          <w:i/>
          <w:iCs/>
          <w:lang w:val="en-US"/>
        </w:rPr>
        <w:t>et al</w:t>
      </w:r>
      <w:r w:rsidR="00244275" w:rsidRPr="00F06EA4">
        <w:rPr>
          <w:lang w:val="en-US"/>
        </w:rPr>
        <w:fldChar w:fldCharType="begin" w:fldLock="1"/>
      </w:r>
      <w:r w:rsidR="00F45F97" w:rsidRPr="00F06EA4">
        <w:rPr>
          <w:lang w:val="en-US"/>
        </w:rPr>
        <w:instrText>ADDIN CSL_CITATION {"citationItems":[{"id":"ITEM-1","itemData":{"DOI":"10.1038/bjc.2013.291","ISSN":"1532-1827","PMID":"23756867","abstract":"Background:Cancer-associated inflammation, in the form of local and systemic inflammatory responses, appear to be linked to tumour necrosis and have prognostic value in patients with colorectal cancer. However, their relationship with circulating biochemical mediators is unclear. The aim of the present study was to examine the interrelationships between circulating mediators, in particular interleukin-6 (IL-6) and tumour necrosis, and local and systemic inflammatory responses in patients undergoing resection for colorectal cancer.Methods:Data were collected from preoperative blood tests for 118 patients who underwent resection for colorectal cancer. Analysis of circulating IL-6, IL-10, vascular endothelial growth factor (VEGF), differential white cell count, C-reactive protein, and albumin were carried out. Routine pathology specimens were examined for tumour characteristics including necrosis and the extent of the inflammatory cell infiltrate. Body composition was examined using body mass index (BMI), total body fat, subcutaneous body fat, visceral fat, and skeletal muscle mass.Results:Circulating IL-6 concentrations were significantly associated with increased T stage (P&lt;0.05), tumour necrosis (P&lt;0.001), IL-10 (P&lt;0.001), VEGF (P&lt;0.001), modified Glasgow Prognostic Score (mGPS; P&lt;0.001), white cell (P&lt;0.01) and platelet (P&lt;0.01) counts, and low skeletal muscle index (P&lt;0.01). When normalised for T stage, tumour necrosis was associated with IL-6 (P&lt;0.001), IL-10 (P&lt;0.01), VEGF (P&lt;0.001), mGPS (P&lt;0.001), neutrophil-lymphocyte ratio (NLR; P&lt;0.05), white cell (P&lt;0.001), neutrophil (P&lt;0.05), and platelet counts (P&lt;0.005), and skeletal muscle index (P&lt;0.001).Conclusion:The present study provides, for the first time, supportive evidence for the hypothesis that tumour necrosis, independent of T stage, is associated with elevated circulating IL-6 concentrations, thereby modulating both local and systemic inflammatory responses including angiogenesis that, in turn, may promote tumour progression and metastases.","author":[{"dropping-particle":"","family":"Guthrie","given":"G J K","non-dropping-particle":"","parse-names":false,"suffix":""},{"dropping-particle":"","family":"Roxburgh","given":"C S D","non-dropping-particle":"","parse-names":false,"suffix":""},{"dropping-particle":"","family":"Richards","given":"C H","non-dropping-particle":"","parse-names":false,"suffix":""},{"dropping-particle":"","family":"Horgan","given":"P G","non-dropping-particle":"","parse-names":false,"suffix":""},{"dropping-particle":"","family":"McMillan","given":"D C","non-dropping-particle":"","parse-names":false,"suffix":""}],"container-title":"British journal of cancer","id":"ITEM-1","issue":"1","issued":{"date-parts":[["2013","7","9"]]},"page":"131-7","publisher":"Nature Publishing Group","title":"Circulating IL-6 concentrations link tumour necrosis and systemic and local inflammatory responses in patients undergoing resection for colorectal cancer.","type":"article-journal","volume":"109"},"uris":["http://www.mendeley.com/documents/?uuid=0023d281-5d6e-44c3-8230-7a1e522f0e1f"]}],"mendeley":{"formattedCitation":"&lt;sup&gt;[75]&lt;/sup&gt;","plainTextFormattedCitation":"[75]","previouslyFormattedCitation":"&lt;sup&gt;[75]&lt;/sup&gt;"},"properties":{"noteIndex":0},"schema":"https://github.com/citation-style-language/schema/raw/master/csl-citation.json"}</w:instrText>
      </w:r>
      <w:r w:rsidR="00244275" w:rsidRPr="00F06EA4">
        <w:rPr>
          <w:lang w:val="en-US"/>
        </w:rPr>
        <w:fldChar w:fldCharType="separate"/>
      </w:r>
      <w:r w:rsidR="00F45F97" w:rsidRPr="00F06EA4">
        <w:rPr>
          <w:noProof/>
          <w:vertAlign w:val="superscript"/>
          <w:lang w:val="en-US"/>
        </w:rPr>
        <w:t>[75]</w:t>
      </w:r>
      <w:r w:rsidR="00244275" w:rsidRPr="00F06EA4">
        <w:rPr>
          <w:lang w:val="en-US"/>
        </w:rPr>
        <w:fldChar w:fldCharType="end"/>
      </w:r>
      <w:r w:rsidR="00244275" w:rsidRPr="00F06EA4">
        <w:rPr>
          <w:lang w:val="en-US"/>
        </w:rPr>
        <w:t xml:space="preserve"> </w:t>
      </w:r>
      <w:r w:rsidRPr="00F06EA4">
        <w:rPr>
          <w:lang w:val="en-US"/>
        </w:rPr>
        <w:t xml:space="preserve">found </w:t>
      </w:r>
      <w:r w:rsidR="00244275" w:rsidRPr="00F06EA4">
        <w:rPr>
          <w:lang w:val="en-US"/>
        </w:rPr>
        <w:t>that increasing amount of tumor</w:t>
      </w:r>
      <w:r w:rsidRPr="00F06EA4">
        <w:rPr>
          <w:lang w:val="en-US"/>
        </w:rPr>
        <w:t xml:space="preserve"> necrosis</w:t>
      </w:r>
      <w:r w:rsidR="00244275" w:rsidRPr="00F06EA4">
        <w:rPr>
          <w:lang w:val="en-US"/>
        </w:rPr>
        <w:t xml:space="preserve"> in CRC</w:t>
      </w:r>
      <w:r w:rsidRPr="00F06EA4">
        <w:rPr>
          <w:lang w:val="en-US"/>
        </w:rPr>
        <w:t xml:space="preserve"> </w:t>
      </w:r>
      <w:r w:rsidR="00244275" w:rsidRPr="00F06EA4">
        <w:rPr>
          <w:lang w:val="en-US"/>
        </w:rPr>
        <w:t>is associated with higher levels of</w:t>
      </w:r>
      <w:r w:rsidRPr="00F06EA4">
        <w:rPr>
          <w:lang w:val="en-US"/>
        </w:rPr>
        <w:t xml:space="preserve"> markers of systemic inflammation</w:t>
      </w:r>
      <w:r w:rsidR="00244275" w:rsidRPr="00F06EA4">
        <w:rPr>
          <w:lang w:val="en-US"/>
        </w:rPr>
        <w:t xml:space="preserve">, such as modified Glasgow Prognostic Score (mGPS) and serum IL6, supporting the role of tumor necrosis in the induction of systemic inflammatory response. </w:t>
      </w:r>
      <w:r w:rsidRPr="00F06EA4">
        <w:rPr>
          <w:lang w:val="en-US"/>
        </w:rPr>
        <w:t>In addition</w:t>
      </w:r>
      <w:r w:rsidR="00DF16D7" w:rsidRPr="00F06EA4">
        <w:rPr>
          <w:lang w:val="en-US"/>
        </w:rPr>
        <w:t>,</w:t>
      </w:r>
      <w:r w:rsidR="006D1A37" w:rsidRPr="00F06EA4">
        <w:rPr>
          <w:lang w:val="en-US"/>
        </w:rPr>
        <w:t xml:space="preserve"> further supporting the association between </w:t>
      </w:r>
      <w:r w:rsidR="00DF16D7" w:rsidRPr="00F06EA4">
        <w:rPr>
          <w:lang w:val="en-US"/>
        </w:rPr>
        <w:t>hypoxia and systemic inflammation</w:t>
      </w:r>
      <w:r w:rsidRPr="00F06EA4">
        <w:rPr>
          <w:lang w:val="en-US"/>
        </w:rPr>
        <w:t xml:space="preserve">, </w:t>
      </w:r>
      <w:r w:rsidR="00716953" w:rsidRPr="00716953">
        <w:rPr>
          <w:lang w:val="en-US"/>
        </w:rPr>
        <w:t>Bousquet</w:t>
      </w:r>
      <w:r w:rsidR="008F606D" w:rsidRPr="00F06EA4">
        <w:rPr>
          <w:lang w:val="en-US"/>
        </w:rPr>
        <w:t xml:space="preserve"> </w:t>
      </w:r>
      <w:r w:rsidR="0046007C" w:rsidRPr="00F06EA4">
        <w:rPr>
          <w:i/>
          <w:iCs/>
          <w:lang w:val="en-US"/>
        </w:rPr>
        <w:t>et al</w:t>
      </w:r>
      <w:r w:rsidR="00716953" w:rsidRPr="00F06EA4">
        <w:rPr>
          <w:lang w:val="en-US"/>
        </w:rPr>
        <w:fldChar w:fldCharType="begin" w:fldLock="1"/>
      </w:r>
      <w:r w:rsidR="00716953" w:rsidRPr="00F06EA4">
        <w:rPr>
          <w:lang w:val="en-US"/>
        </w:rPr>
        <w:instrText>ADDIN CSL_CITATION {"citationItems":[{"id":"ITEM-1","itemData":{"DOI":"10.1016/j.tranon.2018.09.010","ISSN":"19365233","PMID":"30273860","abstract":"Tumor hypoxia contributes to therapy resistance and metastatic progression of locally advanced rectal cancer (LARC). We postulated that the tumor mitochondrial metabolism, manifested by reactive oxygen species (ROS) and mitochondrial DNA (mtDNA) damage, reflects how hypoxic conditions connect to cancer-induced systemic inflammation and poor outcome. Levels of ROS and mtDNA damage were analyzed in three colorectal cancer (CRC) cell lines cultured for 24 hours under normoxia (21% O2) or hypoxia (0.2% O2) and serum sampled at the time of diagnosis from 35 LARC patients participating in a prospective therapy study. Compared with normoxia, ROS were significantly repressed and mtDNA damage was significantly enhanced in the hypoxic CRC cell lines; hence, a low ratio of ROS to mtDNA damage was an indicator of hypoxic conditions. In the LARC patients, low serum ROS were associated with elevated levels of circulating carcinoembryonic antigen and tumor choline concentration, both indicative of unfavorable biology, as well as adverse progression-free and overall survival. A low ratio of ROS to mtDNA damage in serum was associated with poor local tumor response to the neoadjuvant treatment and, of note, elevated systemic inflammation factors (C-reactive protein, the interleukin-1 receptor antagonist, and factors involved in tumor necrosis factor signaling), indicating that deficient treatment response locally and detrimental inflammation systemically link to a hypoxic mitochondrial metabolism. In conclusion, serum ROS and damaged mtDNA may be markers of the mitochondrial metabolism driven by the state of oxygenation of the primary tumor and possibly implicated in systemic inflammation and adverse outcome of LARC.","author":[{"dropping-particle":"","family":"Bousquet","given":"Paula A.","non-dropping-particle":"","parse-names":false,"suffix":""},{"dropping-particle":"","family":"Meltzer","given":"Sebastian","non-dropping-particle":"","parse-names":false,"suffix":""},{"dropping-particle":"","family":"Sønstevold","given":"Linda","non-dropping-particle":"","parse-names":false,"suffix":""},{"dropping-particle":"","family":"Esbensen","given":"Ying","non-dropping-particle":"","parse-names":false,"suffix":""},{"dropping-particle":"","family":"Dueland","given":"Svein","non-dropping-particle":"","parse-names":false,"suffix":""},{"dropping-particle":"","family":"Flatmark","given":"Kjersti","non-dropping-particle":"","parse-names":false,"suffix":""},{"dropping-particle":"","family":"Sitter","given":"Beathe","non-dropping-particle":"","parse-names":false,"suffix":""},{"dropping-particle":"","family":"Bathen","given":"Tone Frost","non-dropping-particle":"","parse-names":false,"suffix":""},{"dropping-particle":"","family":"Seierstad","given":"Therese","non-dropping-particle":"","parse-names":false,"suffix":""},{"dropping-particle":"","family":"Redalen","given":"Kathrine Røe","non-dropping-particle":"","parse-names":false,"suffix":""},{"dropping-particle":"","family":"Eide","given":"Lars","non-dropping-particle":"","parse-names":false,"suffix":""},{"dropping-particle":"","family":"Ree","given":"Anne Hansen","non-dropping-particle":"","parse-names":false,"suffix":""}],"container-title":"Translational Oncology","id":"ITEM-1","issue":"1","issued":{"date-parts":[["2019"]]},"page":"76-83","title":"Markers of Mitochondrial Metabolism in Tumor Hypoxia, Systemic Inflammation, and Adverse Outcome of Rectal Cancer","type":"article-journal","volume":"12"},"uris":["http://www.mendeley.com/documents/?uuid=2db9660b-17b3-3736-8e53-cd8d79ba4d9a","http://www.mendeley.com/documents/?uuid=7801bc46-fbba-44df-a2ce-8986a6189f08"]}],"mendeley":{"formattedCitation":"&lt;sup&gt;[76]&lt;/sup&gt;","plainTextFormattedCitation":"[76]","previouslyFormattedCitation":"&lt;sup&gt;[76]&lt;/sup&gt;"},"properties":{"noteIndex":0},"schema":"https://github.com/citation-style-language/schema/raw/master/csl-citation.json"}</w:instrText>
      </w:r>
      <w:r w:rsidR="00716953" w:rsidRPr="00F06EA4">
        <w:rPr>
          <w:lang w:val="en-US"/>
        </w:rPr>
        <w:fldChar w:fldCharType="separate"/>
      </w:r>
      <w:r w:rsidR="00716953" w:rsidRPr="00F06EA4">
        <w:rPr>
          <w:noProof/>
          <w:vertAlign w:val="superscript"/>
          <w:lang w:val="en-US"/>
        </w:rPr>
        <w:t>[76]</w:t>
      </w:r>
      <w:r w:rsidR="00716953" w:rsidRPr="00F06EA4">
        <w:rPr>
          <w:lang w:val="en-US"/>
        </w:rPr>
        <w:fldChar w:fldCharType="end"/>
      </w:r>
      <w:r w:rsidR="008F606D" w:rsidRPr="00F06EA4">
        <w:rPr>
          <w:lang w:val="en-US"/>
        </w:rPr>
        <w:t xml:space="preserve"> </w:t>
      </w:r>
      <w:r w:rsidRPr="00F06EA4">
        <w:rPr>
          <w:lang w:val="en-US"/>
        </w:rPr>
        <w:t xml:space="preserve">showed that </w:t>
      </w:r>
      <w:r w:rsidR="008F606D" w:rsidRPr="00F06EA4">
        <w:rPr>
          <w:lang w:val="en-US"/>
        </w:rPr>
        <w:t>hypoxic conditions are related to a</w:t>
      </w:r>
      <w:r w:rsidRPr="00F06EA4">
        <w:rPr>
          <w:lang w:val="en-US"/>
        </w:rPr>
        <w:t xml:space="preserve"> </w:t>
      </w:r>
      <w:r w:rsidR="008F606D" w:rsidRPr="00F06EA4">
        <w:rPr>
          <w:lang w:val="en-US"/>
        </w:rPr>
        <w:t xml:space="preserve">reduction </w:t>
      </w:r>
      <w:r w:rsidRPr="00F06EA4">
        <w:rPr>
          <w:lang w:val="en-US"/>
        </w:rPr>
        <w:t xml:space="preserve">of reactive oxygen species (ROS) production and increased damaged mitochondrial DNA (mtDNA) generation </w:t>
      </w:r>
      <w:r w:rsidRPr="00F06EA4">
        <w:rPr>
          <w:i/>
          <w:iCs/>
          <w:lang w:val="en-US"/>
        </w:rPr>
        <w:t>in vitro</w:t>
      </w:r>
      <w:r w:rsidRPr="00F06EA4">
        <w:rPr>
          <w:lang w:val="en-US"/>
        </w:rPr>
        <w:t xml:space="preserve"> and that in rectal cancer patients with locally advanced disease</w:t>
      </w:r>
      <w:r w:rsidR="00C15289" w:rsidRPr="00F06EA4">
        <w:rPr>
          <w:lang w:val="en-US"/>
        </w:rPr>
        <w:t>,</w:t>
      </w:r>
      <w:r w:rsidRPr="00F06EA4">
        <w:rPr>
          <w:lang w:val="en-US"/>
        </w:rPr>
        <w:t xml:space="preserve"> a low</w:t>
      </w:r>
      <w:r w:rsidR="008F606D" w:rsidRPr="00F06EA4">
        <w:rPr>
          <w:lang w:val="en-US"/>
        </w:rPr>
        <w:t xml:space="preserve"> circulating</w:t>
      </w:r>
      <w:r w:rsidRPr="00F06EA4">
        <w:rPr>
          <w:lang w:val="en-US"/>
        </w:rPr>
        <w:t xml:space="preserve"> ROS to damaged mtDNA ratio </w:t>
      </w:r>
      <w:r w:rsidR="008F606D" w:rsidRPr="00F06EA4">
        <w:rPr>
          <w:lang w:val="en-US"/>
        </w:rPr>
        <w:t xml:space="preserve">was </w:t>
      </w:r>
      <w:r w:rsidRPr="00F06EA4">
        <w:rPr>
          <w:lang w:val="en-US"/>
        </w:rPr>
        <w:t>associate</w:t>
      </w:r>
      <w:r w:rsidR="008F606D" w:rsidRPr="00F06EA4">
        <w:rPr>
          <w:lang w:val="en-US"/>
        </w:rPr>
        <w:t>d</w:t>
      </w:r>
      <w:r w:rsidRPr="00F06EA4">
        <w:rPr>
          <w:lang w:val="en-US"/>
        </w:rPr>
        <w:t xml:space="preserve"> with systemic inflammation. However, </w:t>
      </w:r>
      <w:r w:rsidR="008F606D" w:rsidRPr="00F06EA4">
        <w:rPr>
          <w:lang w:val="en-US"/>
        </w:rPr>
        <w:t>to our knowledge</w:t>
      </w:r>
      <w:r w:rsidR="00676FCD" w:rsidRPr="00F06EA4">
        <w:rPr>
          <w:lang w:val="en-US"/>
        </w:rPr>
        <w:t>,</w:t>
      </w:r>
      <w:r w:rsidR="008F606D" w:rsidRPr="00F06EA4">
        <w:rPr>
          <w:lang w:val="en-US"/>
        </w:rPr>
        <w:t xml:space="preserve"> the activation of </w:t>
      </w:r>
      <w:r w:rsidRPr="00F06EA4">
        <w:rPr>
          <w:lang w:val="en-US"/>
        </w:rPr>
        <w:t xml:space="preserve">systemic inflammation by tumor necrosis has not been </w:t>
      </w:r>
      <w:r w:rsidR="008F606D" w:rsidRPr="00F06EA4">
        <w:rPr>
          <w:lang w:val="en-US"/>
        </w:rPr>
        <w:t>demonstrated</w:t>
      </w:r>
      <w:r w:rsidRPr="00F06EA4">
        <w:rPr>
          <w:lang w:val="en-US"/>
        </w:rPr>
        <w:t xml:space="preserve"> in </w:t>
      </w:r>
      <w:r w:rsidR="00676FCD" w:rsidRPr="00F06EA4">
        <w:rPr>
          <w:lang w:val="en-US"/>
        </w:rPr>
        <w:t xml:space="preserve">more experimental </w:t>
      </w:r>
      <w:r w:rsidR="00452F91" w:rsidRPr="00F06EA4">
        <w:rPr>
          <w:lang w:val="en-US"/>
        </w:rPr>
        <w:t>studies</w:t>
      </w:r>
      <w:r w:rsidRPr="00F06EA4">
        <w:rPr>
          <w:lang w:val="en-US"/>
        </w:rPr>
        <w:t xml:space="preserve">. </w:t>
      </w:r>
      <w:r w:rsidR="00676FCD" w:rsidRPr="00F06EA4" w:rsidDel="00676FCD">
        <w:rPr>
          <w:lang w:val="en-US"/>
        </w:rPr>
        <w:t xml:space="preserve"> </w:t>
      </w:r>
    </w:p>
    <w:p w14:paraId="60158217" w14:textId="14493634" w:rsidR="00CB49EF" w:rsidRPr="00F06EA4" w:rsidRDefault="00CB49EF" w:rsidP="00F67ED8">
      <w:pPr>
        <w:spacing w:after="0"/>
        <w:rPr>
          <w:b/>
          <w:bCs/>
          <w:lang w:val="en-US"/>
        </w:rPr>
      </w:pPr>
    </w:p>
    <w:p w14:paraId="68E824B9" w14:textId="1E08230A" w:rsidR="00CB49EF" w:rsidRPr="00F06EA4" w:rsidRDefault="00CB49EF" w:rsidP="00F67ED8">
      <w:pPr>
        <w:pStyle w:val="1"/>
        <w:spacing w:before="0" w:after="0"/>
        <w:jc w:val="both"/>
        <w:rPr>
          <w:sz w:val="24"/>
        </w:rPr>
      </w:pPr>
      <w:r w:rsidRPr="00F06EA4">
        <w:rPr>
          <w:sz w:val="24"/>
        </w:rPr>
        <w:t xml:space="preserve">EFFECTS OF SYSTEMIC INFLAMMATION IN </w:t>
      </w:r>
      <w:r w:rsidR="008735D8" w:rsidRPr="00F06EA4">
        <w:rPr>
          <w:sz w:val="24"/>
        </w:rPr>
        <w:t>CRC</w:t>
      </w:r>
    </w:p>
    <w:p w14:paraId="7D5CFD0B" w14:textId="7286B166" w:rsidR="00EB6C60" w:rsidRPr="00F06EA4" w:rsidDel="6CCB5AC0" w:rsidRDefault="00840EB1" w:rsidP="00F67ED8">
      <w:pPr>
        <w:spacing w:after="0"/>
        <w:rPr>
          <w:lang w:val="en-US"/>
        </w:rPr>
      </w:pPr>
      <w:r w:rsidRPr="00F06EA4">
        <w:rPr>
          <w:lang w:val="en-US"/>
        </w:rPr>
        <w:t xml:space="preserve">The effects of systemic inflammation span </w:t>
      </w:r>
      <w:r w:rsidR="00ED2F69" w:rsidRPr="00F06EA4">
        <w:rPr>
          <w:lang w:val="en-US"/>
        </w:rPr>
        <w:t xml:space="preserve">throughout the body; from primary tumors to metastases, </w:t>
      </w:r>
      <w:r w:rsidR="002969F6" w:rsidRPr="00F06EA4">
        <w:rPr>
          <w:lang w:val="en-US"/>
        </w:rPr>
        <w:t xml:space="preserve">liver, bone marrow, </w:t>
      </w:r>
      <w:r w:rsidR="008E7A83" w:rsidRPr="00F06EA4">
        <w:rPr>
          <w:lang w:val="en-US"/>
        </w:rPr>
        <w:t>gut,</w:t>
      </w:r>
      <w:r w:rsidR="00CE0A59" w:rsidRPr="00F06EA4">
        <w:rPr>
          <w:lang w:val="en-US"/>
        </w:rPr>
        <w:t xml:space="preserve"> </w:t>
      </w:r>
      <w:r w:rsidR="002969F6" w:rsidRPr="00F06EA4">
        <w:rPr>
          <w:lang w:val="en-US"/>
        </w:rPr>
        <w:t>skeletal muscle</w:t>
      </w:r>
      <w:r w:rsidR="00EC2A58" w:rsidRPr="00F06EA4">
        <w:rPr>
          <w:lang w:val="en-US"/>
        </w:rPr>
        <w:t>, and other organs</w:t>
      </w:r>
      <w:r w:rsidR="00BB6D4D" w:rsidRPr="00F06EA4">
        <w:rPr>
          <w:lang w:val="en-US"/>
        </w:rPr>
        <w:t xml:space="preserve"> (</w:t>
      </w:r>
      <w:r w:rsidR="004675EC" w:rsidRPr="00F06EA4">
        <w:rPr>
          <w:lang w:val="en-US"/>
        </w:rPr>
        <w:t>Figure</w:t>
      </w:r>
      <w:r w:rsidR="00BB6D4D" w:rsidRPr="00F06EA4">
        <w:rPr>
          <w:lang w:val="en-US"/>
        </w:rPr>
        <w:t xml:space="preserve"> 2)</w:t>
      </w:r>
      <w:r w:rsidR="00CE0A59" w:rsidRPr="00F06EA4">
        <w:rPr>
          <w:lang w:val="en-US"/>
        </w:rPr>
        <w:t xml:space="preserve">. Recent studies have shown that </w:t>
      </w:r>
      <w:r w:rsidR="004363A5" w:rsidRPr="00F06EA4">
        <w:rPr>
          <w:lang w:val="en-US"/>
        </w:rPr>
        <w:t xml:space="preserve">even before metastatic disease, the systemic inflammatory response </w:t>
      </w:r>
      <w:r w:rsidR="002867E3" w:rsidRPr="00F06EA4">
        <w:rPr>
          <w:lang w:val="en-US"/>
        </w:rPr>
        <w:t>promotes tumor progression by modifying</w:t>
      </w:r>
      <w:r w:rsidR="00662E6F" w:rsidRPr="00F06EA4">
        <w:rPr>
          <w:lang w:val="en-US"/>
        </w:rPr>
        <w:t xml:space="preserve"> the interactions </w:t>
      </w:r>
      <w:r w:rsidR="00CD168B" w:rsidRPr="00F06EA4">
        <w:rPr>
          <w:lang w:val="en-US"/>
        </w:rPr>
        <w:t>between neoplastic and non-neoplastic cells.</w:t>
      </w:r>
      <w:r w:rsidR="009435F8" w:rsidRPr="00F06EA4">
        <w:rPr>
          <w:lang w:val="en-US"/>
        </w:rPr>
        <w:t xml:space="preserve"> </w:t>
      </w:r>
      <w:r w:rsidR="00493CCD" w:rsidRPr="00F06EA4">
        <w:rPr>
          <w:lang w:val="en-US"/>
        </w:rPr>
        <w:t xml:space="preserve">The concept of pre-metastatic niche </w:t>
      </w:r>
      <w:r w:rsidR="00B24F89" w:rsidRPr="00F06EA4">
        <w:rPr>
          <w:lang w:val="en-US"/>
        </w:rPr>
        <w:t>describ</w:t>
      </w:r>
      <w:r w:rsidR="00274567" w:rsidRPr="00F06EA4">
        <w:rPr>
          <w:lang w:val="en-US"/>
        </w:rPr>
        <w:t>e</w:t>
      </w:r>
      <w:r w:rsidR="002867E3" w:rsidRPr="00F06EA4">
        <w:rPr>
          <w:lang w:val="en-US"/>
        </w:rPr>
        <w:t>s</w:t>
      </w:r>
      <w:r w:rsidR="00274567" w:rsidRPr="00F06EA4">
        <w:rPr>
          <w:lang w:val="en-US"/>
        </w:rPr>
        <w:t xml:space="preserve"> the process in which</w:t>
      </w:r>
      <w:r w:rsidR="00B24F89" w:rsidRPr="00F06EA4">
        <w:rPr>
          <w:lang w:val="en-US"/>
        </w:rPr>
        <w:t xml:space="preserve"> </w:t>
      </w:r>
      <w:r w:rsidR="001E419E" w:rsidRPr="00F06EA4">
        <w:rPr>
          <w:lang w:val="en-US"/>
        </w:rPr>
        <w:t xml:space="preserve">instead of being passive receivers of circulating tumor cells, the </w:t>
      </w:r>
      <w:r w:rsidR="00274567" w:rsidRPr="00F06EA4">
        <w:rPr>
          <w:lang w:val="en-US"/>
        </w:rPr>
        <w:t>tissues and organs</w:t>
      </w:r>
      <w:r w:rsidR="00B24F89" w:rsidRPr="00F06EA4">
        <w:rPr>
          <w:lang w:val="en-US"/>
        </w:rPr>
        <w:t xml:space="preserve"> of </w:t>
      </w:r>
      <w:r w:rsidR="001E419E" w:rsidRPr="00F06EA4">
        <w:rPr>
          <w:lang w:val="en-US"/>
        </w:rPr>
        <w:t xml:space="preserve">a </w:t>
      </w:r>
      <w:r w:rsidR="00B24F89" w:rsidRPr="00F06EA4">
        <w:rPr>
          <w:lang w:val="en-US"/>
        </w:rPr>
        <w:t>future metastasis are actively modified before the metastatic spread</w:t>
      </w:r>
      <w:r w:rsidR="00CD79DA" w:rsidRPr="00F06EA4">
        <w:rPr>
          <w:lang w:val="en-US"/>
        </w:rPr>
        <w:fldChar w:fldCharType="begin" w:fldLock="1"/>
      </w:r>
      <w:r w:rsidR="00F45F97" w:rsidRPr="00F06EA4">
        <w:rPr>
          <w:lang w:val="en-US"/>
        </w:rPr>
        <w:instrText>ADDIN CSL_CITATION {"citationItems":[{"id":"ITEM-1","itemData":{"DOI":"10.1038/nrc.2017.6","ISSN":"1474-1768","PMID":"28303905","abstract":"It is well established that organs of future metastasis are not passive receivers of circulating tumour cells, but are instead selectively and actively modified by the primary tumour before metastatic spread has even occurred. Sowing the 'seeds' of metastasis requires the action of tumour-secreted factors and tumour-shed extracellular vesicles that enable the 'soil' at distant metastatic sites to encourage the outgrowth of incoming cancer cells. In this Review, we summarize the main processes and new mechanisms involved in the formation of the pre-metastatic niche.","author":[{"dropping-particle":"","family":"Peinado","given":"Héctor","non-dropping-particle":"","parse-names":false,"suffix":""},{"dropping-particle":"","family":"Zhang","given":"Haiying","non-dropping-particle":"","parse-names":false,"suffix":""},{"dropping-particle":"","family":"Matei","given":"Irina R.","non-dropping-particle":"","parse-names":false,"suffix":""},{"dropping-particle":"","family":"Costa-Silva","given":"Bruno","non-dropping-particle":"","parse-names":false,"suffix":""},{"dropping-particle":"","family":"Hoshino","given":"Ayuko","non-dropping-particle":"","parse-names":false,"suffix":""},{"dropping-particle":"","family":"Rodrigues","given":"Goncalo","non-dropping-particle":"","parse-names":false,"suffix":""},{"dropping-particle":"","family":"Psaila","given":"Bethan","non-dropping-particle":"","parse-names":false,"suffix":""},{"dropping-particle":"","family":"Kaplan","given":"Rosandra N.","non-dropping-particle":"","parse-names":false,"suffix":""},{"dropping-particle":"","family":"Bromberg","given":"Jacqueline F.","non-dropping-particle":"","parse-names":false,"suffix":""},{"dropping-particle":"","family":"Kang","given":"Yibin","non-dropping-particle":"","parse-names":false,"suffix":""},{"dropping-particle":"","family":"Bissell","given":"Mina J.","non-dropping-particle":"","parse-names":false,"suffix":""},{"dropping-particle":"","family":"Cox","given":"Thomas R.","non-dropping-particle":"","parse-names":false,"suffix":""},{"dropping-particle":"","family":"Giaccia","given":"Amato J.","non-dropping-particle":"","parse-names":false,"suffix":""},{"dropping-particle":"","family":"Erler","given":"Janine T.","non-dropping-particle":"","parse-names":false,"suffix":""},{"dropping-particle":"","family":"Hiratsuka","given":"Sachie","non-dropping-particle":"","parse-names":false,"suffix":""},{"dropping-particle":"","family":"Ghajar","given":"Cyrus M.","non-dropping-particle":"","parse-names":false,"suffix":""},{"dropping-particle":"","family":"Lyden","given":"David","non-dropping-particle":"","parse-names":false,"suffix":""}],"container-title":"Nature reviews. Cancer","id":"ITEM-1","issue":"5","issued":{"date-parts":[["2017"]]},"page":"302-317","title":"Pre-metastatic niches: organ-specific homes for metastases.","type":"article-journal","volume":"17"},"uris":["http://www.mendeley.com/documents/?uuid=f41bff69-3c55-462f-af8e-04c53aa46291"]}],"mendeley":{"formattedCitation":"&lt;sup&gt;[77]&lt;/sup&gt;","plainTextFormattedCitation":"[77]","previouslyFormattedCitation":"&lt;sup&gt;[77]&lt;/sup&gt;"},"properties":{"noteIndex":0},"schema":"https://github.com/citation-style-language/schema/raw/master/csl-citation.json"}</w:instrText>
      </w:r>
      <w:r w:rsidR="00CD79DA" w:rsidRPr="00F06EA4">
        <w:rPr>
          <w:lang w:val="en-US"/>
        </w:rPr>
        <w:fldChar w:fldCharType="separate"/>
      </w:r>
      <w:r w:rsidR="00F45F97" w:rsidRPr="00F06EA4">
        <w:rPr>
          <w:noProof/>
          <w:vertAlign w:val="superscript"/>
          <w:lang w:val="en-US"/>
        </w:rPr>
        <w:t>[77]</w:t>
      </w:r>
      <w:r w:rsidR="00CD79DA" w:rsidRPr="00F06EA4">
        <w:rPr>
          <w:lang w:val="en-US"/>
        </w:rPr>
        <w:fldChar w:fldCharType="end"/>
      </w:r>
      <w:r w:rsidR="00B24F89" w:rsidRPr="00F06EA4">
        <w:rPr>
          <w:lang w:val="en-US"/>
        </w:rPr>
        <w:t>.</w:t>
      </w:r>
    </w:p>
    <w:p w14:paraId="04F10040" w14:textId="09251062" w:rsidR="00257360" w:rsidRPr="00F06EA4" w:rsidRDefault="00257360" w:rsidP="00F67ED8">
      <w:pPr>
        <w:spacing w:after="0"/>
        <w:rPr>
          <w:lang w:val="en-US"/>
        </w:rPr>
      </w:pPr>
    </w:p>
    <w:p w14:paraId="5FB32072" w14:textId="2017C828" w:rsidR="003E14E5" w:rsidRPr="00F06EA4" w:rsidRDefault="003E14E5" w:rsidP="00F67ED8">
      <w:pPr>
        <w:pStyle w:val="2"/>
        <w:spacing w:before="0" w:after="0"/>
        <w:rPr>
          <w:i/>
        </w:rPr>
      </w:pPr>
      <w:r w:rsidRPr="00F06EA4">
        <w:rPr>
          <w:i/>
        </w:rPr>
        <w:t>Liver</w:t>
      </w:r>
      <w:r w:rsidR="00210F1A" w:rsidRPr="00F06EA4">
        <w:rPr>
          <w:i/>
        </w:rPr>
        <w:t xml:space="preserve"> </w:t>
      </w:r>
    </w:p>
    <w:p w14:paraId="3143C14A" w14:textId="4927BBAB" w:rsidR="009541A5" w:rsidRPr="00F06EA4" w:rsidRDefault="00E73323" w:rsidP="00F67ED8">
      <w:pPr>
        <w:spacing w:after="0"/>
        <w:rPr>
          <w:lang w:val="en-US"/>
        </w:rPr>
      </w:pPr>
      <w:r w:rsidRPr="00F06EA4">
        <w:rPr>
          <w:lang w:val="en-US"/>
        </w:rPr>
        <w:t xml:space="preserve">The </w:t>
      </w:r>
      <w:r w:rsidRPr="00F06EA4">
        <w:rPr>
          <w:bCs/>
          <w:lang w:val="en-US"/>
        </w:rPr>
        <w:t>liver</w:t>
      </w:r>
      <w:r w:rsidRPr="00F06EA4">
        <w:rPr>
          <w:lang w:val="en-US"/>
        </w:rPr>
        <w:t xml:space="preserve"> </w:t>
      </w:r>
      <w:r w:rsidR="00696C81" w:rsidRPr="00F06EA4">
        <w:rPr>
          <w:bCs/>
          <w:lang w:val="en-US"/>
        </w:rPr>
        <w:t>participates in</w:t>
      </w:r>
      <w:r w:rsidRPr="00F06EA4">
        <w:rPr>
          <w:lang w:val="en-US"/>
        </w:rPr>
        <w:t xml:space="preserve"> a large number of tasks</w:t>
      </w:r>
      <w:r w:rsidR="00AF3070" w:rsidRPr="00F06EA4">
        <w:rPr>
          <w:lang w:val="en-US"/>
        </w:rPr>
        <w:t>,</w:t>
      </w:r>
      <w:r w:rsidR="00FA3C57" w:rsidRPr="00F06EA4">
        <w:rPr>
          <w:lang w:val="en-US"/>
        </w:rPr>
        <w:t xml:space="preserve"> such as </w:t>
      </w:r>
      <w:r w:rsidR="003B7B7D" w:rsidRPr="00F06EA4">
        <w:rPr>
          <w:lang w:val="en-US"/>
        </w:rPr>
        <w:t xml:space="preserve">macronutrient metabolism, </w:t>
      </w:r>
      <w:r w:rsidR="007B4D0B" w:rsidRPr="00F06EA4">
        <w:rPr>
          <w:lang w:val="en-US"/>
        </w:rPr>
        <w:t xml:space="preserve">blood volume regulation, </w:t>
      </w:r>
      <w:r w:rsidR="00FA3C57" w:rsidRPr="00F06EA4">
        <w:rPr>
          <w:lang w:val="en-US"/>
        </w:rPr>
        <w:t>detoxification</w:t>
      </w:r>
      <w:r w:rsidR="003B7B7D" w:rsidRPr="00F06EA4">
        <w:rPr>
          <w:lang w:val="en-US"/>
        </w:rPr>
        <w:t xml:space="preserve"> of </w:t>
      </w:r>
      <w:r w:rsidR="00340D9D" w:rsidRPr="00F06EA4">
        <w:rPr>
          <w:lang w:val="en-US"/>
        </w:rPr>
        <w:t>chemicals and several metabolites</w:t>
      </w:r>
      <w:r w:rsidR="00FA3C57" w:rsidRPr="00F06EA4">
        <w:rPr>
          <w:lang w:val="en-US"/>
        </w:rPr>
        <w:t>,</w:t>
      </w:r>
      <w:r w:rsidRPr="00F06EA4">
        <w:rPr>
          <w:lang w:val="en-US"/>
        </w:rPr>
        <w:t xml:space="preserve"> and </w:t>
      </w:r>
      <w:r w:rsidR="00FA3C57" w:rsidRPr="00F06EA4">
        <w:rPr>
          <w:lang w:val="en-US"/>
        </w:rPr>
        <w:t xml:space="preserve">regulation of </w:t>
      </w:r>
      <w:r w:rsidRPr="00F06EA4">
        <w:rPr>
          <w:lang w:val="en-US"/>
        </w:rPr>
        <w:t>immune responses</w:t>
      </w:r>
      <w:r w:rsidR="00340D9D" w:rsidRPr="00F06EA4">
        <w:rPr>
          <w:lang w:val="en-US"/>
        </w:rPr>
        <w:fldChar w:fldCharType="begin" w:fldLock="1"/>
      </w:r>
      <w:r w:rsidR="00F45F97" w:rsidRPr="00F06EA4">
        <w:rPr>
          <w:lang w:val="en-US"/>
        </w:rPr>
        <w:instrText>ADDIN CSL_CITATION {"citationItems":[{"id":"ITEM-1","itemData":{"DOI":"10.1016/j.cub.2017.09.019","ISSN":"1879-0445","PMID":"29112863","abstract":"The liver is a critical hub for numerous physiological processes. These include macronutrient metabolism, blood volume regulation, immune system support, endocrine control of growth signaling pathways, lipid and cholesterol homeostasis, and the breakdown of xenobiotic compounds, including many current drugs. Processing, partitioning, and metabolism of macronutrients provide the energy needed to drive the aforementioned processes and are therefore among the liver's most critical functions. Moreover, the liver's capacities to store glucose in the form of glycogen, with feeding, and assemble glucose via the gluconeogenic pathway, in response to fasting, are critical. The liver oxidizes lipids, but can also package excess lipid for secretion to and storage in other tissues, such as adipose. Finally, the liver is a major handler of protein and amino acid metabolism as it is responsible for the majority of proteins secreted in the blood (whether based on mass or range of unique proteins), the processing of amino acids for energy, and disposal of nitrogenous waste from protein degradation in the form of urea metabolism. Over the course of evolution this array of hepatic functions has been consolidated in a single organ, the liver, which is conserved in all vertebrates. Developmentally, this organ arises as a result of a complex differentiation program that is initiated by exogenous signal gradients, cellular localization cues, and an intricate hierarchy of transcription factors. These processes that are fully developed in the mature liver are imperative for life. Liver failure from any number of sources (e.g. viral infection, overnutrition, or oncologic burden) is a global health problem. The goal of this primer is to concisely summarize hepatic functions with respect to macronutrient metabolism. Introducing concepts critical to liver development, organization, and physiology sets the stage for these functions and serves to orient the reader. It is important to emphasize that insight into hepatic pathologies and potential therapeutic avenues to treat these conditions requires an understanding of the development and physiology of specialized hepatic functions.","author":[{"dropping-particle":"","family":"Trefts","given":"Elijah","non-dropping-particle":"","parse-names":false,"suffix":""},{"dropping-particle":"","family":"Gannon","given":"Maureen","non-dropping-particle":"","parse-names":false,"suffix":""},{"dropping-particle":"","family":"Wasserman","given":"David H.","non-dropping-particle":"","parse-names":false,"suffix":""}],"container-title":"Current biology : CB","id":"ITEM-1","issue":"21","issued":{"date-parts":[["2017","11"]]},"page":"R1147-R1151","title":"The liver.","type":"article-journal","volume":"27"},"uris":["http://www.mendeley.com/documents/?uuid=da5b4c78-18ac-4ff2-abfc-5201eb36abed"]}],"mendeley":{"formattedCitation":"&lt;sup&gt;[78]&lt;/sup&gt;","plainTextFormattedCitation":"[78]","previouslyFormattedCitation":"&lt;sup&gt;[78]&lt;/sup&gt;"},"properties":{"noteIndex":0},"schema":"https://github.com/citation-style-language/schema/raw/master/csl-citation.json"}</w:instrText>
      </w:r>
      <w:r w:rsidR="00340D9D" w:rsidRPr="00F06EA4">
        <w:rPr>
          <w:lang w:val="en-US"/>
        </w:rPr>
        <w:fldChar w:fldCharType="separate"/>
      </w:r>
      <w:r w:rsidR="00F45F97" w:rsidRPr="00F06EA4">
        <w:rPr>
          <w:noProof/>
          <w:vertAlign w:val="superscript"/>
          <w:lang w:val="en-US"/>
        </w:rPr>
        <w:t>[78]</w:t>
      </w:r>
      <w:r w:rsidR="00340D9D" w:rsidRPr="00F06EA4">
        <w:rPr>
          <w:lang w:val="en-US"/>
        </w:rPr>
        <w:fldChar w:fldCharType="end"/>
      </w:r>
      <w:r w:rsidRPr="00F06EA4">
        <w:rPr>
          <w:lang w:val="en-US"/>
        </w:rPr>
        <w:t xml:space="preserve">. The liver synthesizes the majority of serum proteins, such as albumin, fibrinogen, clotting factors, transport proteins, complement proteins, and lipoproteins. It </w:t>
      </w:r>
      <w:r w:rsidRPr="00F06EA4">
        <w:rPr>
          <w:lang w:val="en-US"/>
        </w:rPr>
        <w:lastRenderedPageBreak/>
        <w:t xml:space="preserve">maintains whole body homeostasis via metabolism of </w:t>
      </w:r>
      <w:r w:rsidR="00AB3B30" w:rsidRPr="00F06EA4">
        <w:rPr>
          <w:lang w:val="en-US"/>
        </w:rPr>
        <w:t>carbohydrates</w:t>
      </w:r>
      <w:r w:rsidRPr="00F06EA4">
        <w:rPr>
          <w:lang w:val="en-US"/>
        </w:rPr>
        <w:t>, lipids, amino acids and vitamins</w:t>
      </w:r>
      <w:r w:rsidR="003F6804" w:rsidRPr="00F06EA4">
        <w:rPr>
          <w:lang w:val="en-US"/>
        </w:rPr>
        <w:t>,</w:t>
      </w:r>
      <w:r w:rsidRPr="00F06EA4">
        <w:rPr>
          <w:lang w:val="en-US"/>
        </w:rPr>
        <w:t xml:space="preserve"> and </w:t>
      </w:r>
      <w:r w:rsidR="00A74431" w:rsidRPr="00F06EA4">
        <w:rPr>
          <w:lang w:val="en-US"/>
        </w:rPr>
        <w:t xml:space="preserve">it also </w:t>
      </w:r>
      <w:r w:rsidRPr="00F06EA4">
        <w:rPr>
          <w:lang w:val="en-US"/>
        </w:rPr>
        <w:t xml:space="preserve">functions as an immune organ </w:t>
      </w:r>
      <w:r w:rsidR="003F6804" w:rsidRPr="00F06EA4">
        <w:rPr>
          <w:lang w:val="en-US"/>
        </w:rPr>
        <w:t>that</w:t>
      </w:r>
      <w:r w:rsidRPr="00F06EA4">
        <w:rPr>
          <w:lang w:val="en-US"/>
        </w:rPr>
        <w:t xml:space="preserve"> mediates and regulates systemic and local innate and adaptive immunity.</w:t>
      </w:r>
      <w:r w:rsidR="00C94093" w:rsidRPr="00F06EA4">
        <w:rPr>
          <w:lang w:val="en-US"/>
        </w:rPr>
        <w:t xml:space="preserve"> </w:t>
      </w:r>
      <w:r w:rsidR="00425295" w:rsidRPr="00F06EA4">
        <w:rPr>
          <w:lang w:val="en-US"/>
        </w:rPr>
        <w:t>Digestion and nutrient absorption in</w:t>
      </w:r>
      <w:r w:rsidR="0058701F" w:rsidRPr="00F06EA4">
        <w:rPr>
          <w:lang w:val="en-US"/>
        </w:rPr>
        <w:t xml:space="preserve"> the gastrointestinal tract </w:t>
      </w:r>
      <w:r w:rsidR="008E6460" w:rsidRPr="00F06EA4">
        <w:rPr>
          <w:lang w:val="en-US"/>
        </w:rPr>
        <w:t>provide</w:t>
      </w:r>
      <w:r w:rsidR="004C1ED4" w:rsidRPr="00F06EA4">
        <w:rPr>
          <w:lang w:val="en-US"/>
        </w:rPr>
        <w:t xml:space="preserve"> a constant source of antigens</w:t>
      </w:r>
      <w:r w:rsidR="001D236B" w:rsidRPr="00F06EA4">
        <w:rPr>
          <w:lang w:val="en-US"/>
        </w:rPr>
        <w:t xml:space="preserve"> (and a potential route for pathogens)</w:t>
      </w:r>
      <w:r w:rsidR="004C1ED4" w:rsidRPr="00F06EA4">
        <w:rPr>
          <w:lang w:val="en-US"/>
        </w:rPr>
        <w:t xml:space="preserve"> that enter the body, and </w:t>
      </w:r>
      <w:r w:rsidR="0034294A" w:rsidRPr="00F06EA4">
        <w:rPr>
          <w:lang w:val="en-US"/>
        </w:rPr>
        <w:t xml:space="preserve"> liver sinusoids are </w:t>
      </w:r>
      <w:r w:rsidR="001E419E" w:rsidRPr="00F06EA4">
        <w:rPr>
          <w:lang w:val="en-US"/>
        </w:rPr>
        <w:t xml:space="preserve">thereby </w:t>
      </w:r>
      <w:r w:rsidR="0034294A" w:rsidRPr="00F06EA4">
        <w:rPr>
          <w:lang w:val="en-US"/>
        </w:rPr>
        <w:t xml:space="preserve">rich in </w:t>
      </w:r>
      <w:r w:rsidR="001E419E" w:rsidRPr="00F06EA4">
        <w:rPr>
          <w:lang w:val="en-US"/>
        </w:rPr>
        <w:t>antigen-</w:t>
      </w:r>
      <w:r w:rsidR="0034294A" w:rsidRPr="00F06EA4">
        <w:rPr>
          <w:lang w:val="en-US"/>
        </w:rPr>
        <w:t>presenting cells</w:t>
      </w:r>
      <w:r w:rsidR="003062D1" w:rsidRPr="00F06EA4">
        <w:rPr>
          <w:lang w:val="en-US"/>
        </w:rPr>
        <w:t>, NK cells</w:t>
      </w:r>
      <w:r w:rsidR="0034294A" w:rsidRPr="00F06EA4">
        <w:rPr>
          <w:lang w:val="en-US"/>
        </w:rPr>
        <w:t xml:space="preserve"> and </w:t>
      </w:r>
      <w:r w:rsidR="003062D1" w:rsidRPr="00F06EA4">
        <w:rPr>
          <w:lang w:val="en-US"/>
        </w:rPr>
        <w:t>NKT-cells</w:t>
      </w:r>
      <w:r w:rsidR="00734EEB" w:rsidRPr="00F06EA4">
        <w:rPr>
          <w:lang w:val="en-US"/>
        </w:rPr>
        <w:t xml:space="preserve"> that have </w:t>
      </w:r>
      <w:r w:rsidR="009E0C65" w:rsidRPr="00F06EA4">
        <w:rPr>
          <w:lang w:val="en-US"/>
        </w:rPr>
        <w:t xml:space="preserve">a key role </w:t>
      </w:r>
      <w:r w:rsidR="0093797A" w:rsidRPr="00F06EA4">
        <w:rPr>
          <w:lang w:val="en-US"/>
        </w:rPr>
        <w:t xml:space="preserve">both in immunotolerance and </w:t>
      </w:r>
      <w:r w:rsidR="009E0C65" w:rsidRPr="00F06EA4">
        <w:rPr>
          <w:lang w:val="en-US"/>
        </w:rPr>
        <w:t xml:space="preserve">in the immune </w:t>
      </w:r>
      <w:r w:rsidR="008E6460" w:rsidRPr="00F06EA4">
        <w:rPr>
          <w:lang w:val="en-US"/>
        </w:rPr>
        <w:t>defense</w:t>
      </w:r>
      <w:r w:rsidR="009E0C65" w:rsidRPr="00F06EA4">
        <w:rPr>
          <w:lang w:val="en-US"/>
        </w:rPr>
        <w:t xml:space="preserve"> against pathogens</w:t>
      </w:r>
      <w:r w:rsidR="0034294A" w:rsidRPr="00F06EA4">
        <w:rPr>
          <w:lang w:val="en-US"/>
        </w:rPr>
        <w:t>.</w:t>
      </w:r>
      <w:r w:rsidR="003062D1" w:rsidRPr="00F06EA4">
        <w:rPr>
          <w:lang w:val="en-US"/>
        </w:rPr>
        <w:t xml:space="preserve"> </w:t>
      </w:r>
      <w:r w:rsidRPr="00F06EA4">
        <w:rPr>
          <w:lang w:val="en-US"/>
        </w:rPr>
        <w:t>Liver mediates immun</w:t>
      </w:r>
      <w:r w:rsidR="00D55432" w:rsidRPr="00F06EA4">
        <w:rPr>
          <w:lang w:val="en-US"/>
        </w:rPr>
        <w:t>o</w:t>
      </w:r>
      <w:r w:rsidRPr="00F06EA4">
        <w:rPr>
          <w:lang w:val="en-US"/>
        </w:rPr>
        <w:t xml:space="preserve">tolerance </w:t>
      </w:r>
      <w:r w:rsidRPr="00F06EA4">
        <w:rPr>
          <w:i/>
          <w:iCs/>
          <w:lang w:val="en-US"/>
        </w:rPr>
        <w:t>via</w:t>
      </w:r>
      <w:r w:rsidRPr="00F06EA4">
        <w:rPr>
          <w:lang w:val="en-US"/>
        </w:rPr>
        <w:t xml:space="preserve"> complex interaction of hepatocytes, liver nonparenchymal cells and immune cells</w:t>
      </w:r>
      <w:r w:rsidRPr="00F06EA4">
        <w:rPr>
          <w:lang w:val="en-US"/>
        </w:rPr>
        <w:fldChar w:fldCharType="begin" w:fldLock="1"/>
      </w:r>
      <w:r w:rsidR="00F45F97" w:rsidRPr="00F06EA4">
        <w:rPr>
          <w:lang w:val="en-US"/>
        </w:rPr>
        <w:instrText>ADDIN CSL_CITATION {"citationItems":[{"id":"ITEM-1","itemData":{"DOI":"10.1038/cmi.2016.3","ISSN":"2042-0226","PMID":"27063467","abstract":"The human liver is usually perceived as a non-immunological organ engaged primarily in metabolic, nutrient storage and detoxification activities. However, we now know that the healthy liver is also a site of complex immunological activity mediated by a diverse immune cell repertoire as well as non-hematopoietic cell populations. In the non-diseased liver, metabolic and tissue remodeling functions require elements of inflammation. This inflammation, in combination with regular exposure to dietary and microbial products, creates the potential for excessive immune activation. In this complex microenvironment, the hepatic immune system tolerates harmless molecules while at the same time remaining alert to possible infectious agents, malignant cells or tissue damage. Upon appropriate immune activation to challenge by pathogens or tissue damage, mechanisms to resolve inflammation are essential to maintain liver homeostasis. Failure to clear 'dangerous' stimuli or regulate appropriately activated immune mechanisms leads to pathological inflammation and disrupted tissue homeostasis characterized by the progressive development of fibrosis, cirrhosis and eventual liver failure. Hepatic inflammatory mechanisms therefore have a spectrum of roles in the healthy adult liver; they are essential to maintain tissue and organ homeostasis and, when dysregulated, are key drivers of the liver pathology associated with chronic infection, autoimmunity and malignancy. In this review, we explore the changing perception of inflammation and inflammatory mediators in normal liver homeostasis and propose targeting of liver-specific immune regulation pathways as a therapeutic approach to treat liver disease.","author":[{"dropping-particle":"","family":"Robinson","given":"Mark W","non-dropping-particle":"","parse-names":false,"suffix":""},{"dropping-particle":"","family":"Harmon","given":"Cathal","non-dropping-particle":"","parse-names":false,"suffix":""},{"dropping-particle":"","family":"O'Farrelly","given":"Cliona","non-dropping-particle":"","parse-names":false,"suffix":""}],"container-title":"Cellular &amp; molecular immunology","id":"ITEM-1","issue":"3","issued":{"date-parts":[["2016"]]},"page":"267-76","title":"Liver immunology and its role in inflammation and homeostasis.","type":"article-journal","volume":"13"},"uris":["http://www.mendeley.com/documents/?uuid=34431cbd-b2a3-35b9-8a34-bc1099d64cba","http://www.mendeley.com/documents/?uuid=3f2f542e-e7df-4578-a8f2-0feebb63acd8"]}],"mendeley":{"formattedCitation":"&lt;sup&gt;[79]&lt;/sup&gt;","plainTextFormattedCitation":"[79]","previouslyFormattedCitation":"&lt;sup&gt;[79]&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[79]</w:t>
      </w:r>
      <w:r w:rsidRPr="00F06EA4">
        <w:rPr>
          <w:lang w:val="en-US"/>
        </w:rPr>
        <w:fldChar w:fldCharType="end"/>
      </w:r>
      <w:r w:rsidRPr="00F06EA4">
        <w:rPr>
          <w:lang w:val="en-US"/>
        </w:rPr>
        <w:t xml:space="preserve">. </w:t>
      </w:r>
    </w:p>
    <w:p w14:paraId="6FFAD48A" w14:textId="1858B461" w:rsidR="00396BCE" w:rsidRPr="00F06EA4" w:rsidRDefault="00584513" w:rsidP="00F67ED8">
      <w:pPr>
        <w:spacing w:after="0"/>
        <w:ind w:firstLineChars="100" w:firstLine="240"/>
        <w:rPr>
          <w:lang w:val="en-US"/>
        </w:rPr>
      </w:pPr>
      <w:r w:rsidRPr="00F06EA4">
        <w:rPr>
          <w:lang w:val="en-US"/>
        </w:rPr>
        <w:t xml:space="preserve">One of </w:t>
      </w:r>
      <w:r w:rsidR="00E73323" w:rsidRPr="00F06EA4">
        <w:rPr>
          <w:lang w:val="en-US"/>
        </w:rPr>
        <w:t xml:space="preserve">the </w:t>
      </w:r>
      <w:r w:rsidR="00F575F0" w:rsidRPr="00F06EA4">
        <w:rPr>
          <w:lang w:val="en-US"/>
        </w:rPr>
        <w:t>best</w:t>
      </w:r>
      <w:r w:rsidR="00E73323" w:rsidRPr="00F06EA4">
        <w:rPr>
          <w:lang w:val="en-US"/>
        </w:rPr>
        <w:t>-known mechanism</w:t>
      </w:r>
      <w:r w:rsidR="00543527" w:rsidRPr="00F06EA4">
        <w:rPr>
          <w:lang w:val="en-US"/>
        </w:rPr>
        <w:t>s</w:t>
      </w:r>
      <w:r w:rsidR="00E73323" w:rsidRPr="00F06EA4">
        <w:rPr>
          <w:lang w:val="en-US"/>
        </w:rPr>
        <w:t xml:space="preserve"> of </w:t>
      </w:r>
      <w:r w:rsidR="001431CF" w:rsidRPr="00F06EA4">
        <w:rPr>
          <w:lang w:val="en-US"/>
        </w:rPr>
        <w:t xml:space="preserve">the </w:t>
      </w:r>
      <w:r w:rsidR="00E73323" w:rsidRPr="00F06EA4">
        <w:rPr>
          <w:lang w:val="en-US"/>
        </w:rPr>
        <w:t>liver in immunoregulation is the production of acute-phase proteins in response to inflammation</w:t>
      </w:r>
      <w:r w:rsidR="00E73323" w:rsidRPr="00F06EA4">
        <w:rPr>
          <w:lang w:val="en-US"/>
        </w:rPr>
        <w:fldChar w:fldCharType="begin" w:fldLock="1"/>
      </w:r>
      <w:r w:rsidR="00F45F97" w:rsidRPr="00F06EA4">
        <w:rPr>
          <w:lang w:val="en-US"/>
        </w:rPr>
        <w:instrText>ADDIN CSL_CITATION {"citationItems":[{"id":"ITEM-1","itemData":{"DOI":"10.1056/NEJM199902113400607","ISSN":"0028-4793","PMID":"9971870","author":[{"dropping-particle":"","family":"Gabay","given":"C","non-dropping-particle":"","parse-names":false,"suffix":""},{"dropping-particle":"","family":"Kushner","given":"I","non-dropping-particle":"","parse-names":false,"suffix":""}],"container-title":"The New England journal of medicine","id":"ITEM-1","issue":"6","issued":{"date-parts":[["1999","2","11"]]},"page":"448-54","publisher-place":"Department of Medicine, University of Colorado Health Sciences Center, Denver, USA. ixk2@po.cwru.edu","title":"Acute-phase proteins and other systemic responses to inflammation.","type":"article-journal","volume":"340"},"uris":["http://www.mendeley.com/documents/?uuid=b6da024f-a302-4aae-9932-5ede18c8f2b4"]}],"mendeley":{"formattedCitation":"&lt;sup&gt;[15]&lt;/sup&gt;","plainTextFormattedCitation":"[15]","previouslyFormattedCitation":"&lt;sup&gt;[15]&lt;/sup&gt;"},"properties":{"noteIndex":0},"schema":"https://github.com/citation-style-language/schema/raw/master/csl-citation.json"}</w:instrText>
      </w:r>
      <w:r w:rsidR="00E73323" w:rsidRPr="00F06EA4">
        <w:rPr>
          <w:lang w:val="en-US"/>
        </w:rPr>
        <w:fldChar w:fldCharType="separate"/>
      </w:r>
      <w:r w:rsidR="00F45F97" w:rsidRPr="00F06EA4">
        <w:rPr>
          <w:noProof/>
          <w:vertAlign w:val="superscript"/>
          <w:lang w:val="en-US"/>
        </w:rPr>
        <w:t>[15]</w:t>
      </w:r>
      <w:r w:rsidR="00E73323" w:rsidRPr="00F06EA4">
        <w:rPr>
          <w:lang w:val="en-US"/>
        </w:rPr>
        <w:fldChar w:fldCharType="end"/>
      </w:r>
      <w:r w:rsidR="00E73323" w:rsidRPr="00F06EA4">
        <w:rPr>
          <w:lang w:val="en-US"/>
        </w:rPr>
        <w:t>.</w:t>
      </w:r>
      <w:r w:rsidR="009541A5" w:rsidRPr="00F06EA4">
        <w:rPr>
          <w:lang w:val="en-US"/>
        </w:rPr>
        <w:t xml:space="preserve"> An acute-phase protein has been defined as one whose plasma concentration increases (positive acute-phase proteins) or decreases (negative acute-phase proteins) during inflammation. Examples of positive acute-phase proteins include </w:t>
      </w:r>
      <w:r w:rsidR="00E83AE1" w:rsidRPr="00F06EA4">
        <w:rPr>
          <w:lang w:val="en-US"/>
        </w:rPr>
        <w:t xml:space="preserve">ceruloplasmin, CRP, </w:t>
      </w:r>
      <w:r w:rsidR="00396BCE" w:rsidRPr="00F06EA4">
        <w:rPr>
          <w:lang w:val="en-US"/>
        </w:rPr>
        <w:t xml:space="preserve">haptoglobin, </w:t>
      </w:r>
      <w:r w:rsidR="00E83AE1" w:rsidRPr="00F06EA4">
        <w:rPr>
          <w:lang w:val="en-US"/>
        </w:rPr>
        <w:t xml:space="preserve">hepcidin, </w:t>
      </w:r>
      <w:r w:rsidR="00396BCE" w:rsidRPr="00F06EA4">
        <w:rPr>
          <w:lang w:val="en-US"/>
        </w:rPr>
        <w:t xml:space="preserve">and </w:t>
      </w:r>
      <w:r w:rsidR="00E83AE1" w:rsidRPr="00F06EA4">
        <w:rPr>
          <w:lang w:val="en-US"/>
        </w:rPr>
        <w:t>SAA</w:t>
      </w:r>
      <w:r w:rsidR="00396BCE" w:rsidRPr="00F06EA4">
        <w:rPr>
          <w:lang w:val="en-US"/>
        </w:rPr>
        <w:t xml:space="preserve">, whereas negative acute-phase proteins include </w:t>
      </w:r>
      <w:r w:rsidR="00CD77A3" w:rsidRPr="00F06EA4">
        <w:rPr>
          <w:lang w:val="en-US"/>
        </w:rPr>
        <w:t>a</w:t>
      </w:r>
      <w:r w:rsidR="00396BCE" w:rsidRPr="00F06EA4">
        <w:rPr>
          <w:lang w:val="en-US"/>
        </w:rPr>
        <w:t>lbumin,</w:t>
      </w:r>
      <w:r w:rsidR="00CD77A3" w:rsidRPr="00F06EA4">
        <w:rPr>
          <w:lang w:val="en-US"/>
        </w:rPr>
        <w:t xml:space="preserve"> t</w:t>
      </w:r>
      <w:r w:rsidR="00396BCE" w:rsidRPr="00F06EA4">
        <w:rPr>
          <w:lang w:val="en-US"/>
        </w:rPr>
        <w:t xml:space="preserve">ransferrin, </w:t>
      </w:r>
      <w:r w:rsidR="00CD77A3" w:rsidRPr="00F06EA4">
        <w:rPr>
          <w:lang w:val="en-US"/>
        </w:rPr>
        <w:t>t</w:t>
      </w:r>
      <w:r w:rsidR="00396BCE" w:rsidRPr="00F06EA4">
        <w:rPr>
          <w:lang w:val="en-US"/>
        </w:rPr>
        <w:t xml:space="preserve">ransthyretin, and </w:t>
      </w:r>
      <w:r w:rsidR="00CD77A3" w:rsidRPr="00F06EA4">
        <w:rPr>
          <w:lang w:val="en-US"/>
        </w:rPr>
        <w:t>a</w:t>
      </w:r>
      <w:r w:rsidR="00396BCE" w:rsidRPr="00F06EA4">
        <w:rPr>
          <w:lang w:val="en-US"/>
        </w:rPr>
        <w:t>lpha-fetoprotein</w:t>
      </w:r>
      <w:r w:rsidR="00C36994" w:rsidRPr="00F06EA4">
        <w:rPr>
          <w:lang w:val="en-US"/>
        </w:rPr>
        <w:fldChar w:fldCharType="begin" w:fldLock="1"/>
      </w:r>
      <w:r w:rsidR="00F45F97" w:rsidRPr="00F06EA4">
        <w:rPr>
          <w:lang w:val="en-US"/>
        </w:rPr>
        <w:instrText>ADDIN CSL_CITATION {"citationItems":[{"id":"ITEM-1","itemData":{"DOI":"10.1056/NEJM199902113400607","ISSN":"0028-4793","PMID":"9971870","author":[{"dropping-particle":"","family":"Gabay","given":"C","non-dropping-particle":"","parse-names":false,"suffix":""},{"dropping-particle":"","family":"Kushner","given":"I","non-dropping-particle":"","parse-names":false,"suffix":""}],"container-title":"The New England journal of medicine","id":"ITEM-1","issue":"6","issued":{"date-parts":[["1999","2","11"]]},"page":"448-54","publisher-place":"Department of Medicine, University of Colorado Health Sciences Center, Denver, USA. ixk2@po.cwru.edu","title":"Acute-phase proteins and other systemic responses to inflammation.","type":"article-journal","volume":"340"},"uris":["http://www.mendeley.com/documents/?uuid=b6da024f-a302-4aae-9932-5ede18c8f2b4"]}],"mendeley":{"formattedCitation":"&lt;sup&gt;[15]&lt;/sup&gt;","plainTextFormattedCitation":"[15]","previouslyFormattedCitation":"&lt;sup&gt;[15]&lt;/sup&gt;"},"properties":{"noteIndex":0},"schema":"https://github.com/citation-style-language/schema/raw/master/csl-citation.json"}</w:instrText>
      </w:r>
      <w:r w:rsidR="00C36994" w:rsidRPr="00F06EA4">
        <w:rPr>
          <w:lang w:val="en-US"/>
        </w:rPr>
        <w:fldChar w:fldCharType="separate"/>
      </w:r>
      <w:r w:rsidR="00F45F97" w:rsidRPr="00F06EA4">
        <w:rPr>
          <w:noProof/>
          <w:vertAlign w:val="superscript"/>
          <w:lang w:val="en-US"/>
        </w:rPr>
        <w:t>[15]</w:t>
      </w:r>
      <w:r w:rsidR="00C36994" w:rsidRPr="00F06EA4">
        <w:rPr>
          <w:lang w:val="en-US"/>
        </w:rPr>
        <w:fldChar w:fldCharType="end"/>
      </w:r>
      <w:r w:rsidR="00C36994" w:rsidRPr="00F06EA4">
        <w:rPr>
          <w:lang w:val="en-US"/>
        </w:rPr>
        <w:t>.</w:t>
      </w:r>
      <w:r w:rsidR="005874D3" w:rsidRPr="00F06EA4">
        <w:rPr>
          <w:lang w:val="en-US"/>
        </w:rPr>
        <w:t xml:space="preserve"> IL6 has been established as one of the most important contributors to altered </w:t>
      </w:r>
      <w:r w:rsidR="0051363F" w:rsidRPr="00F06EA4">
        <w:rPr>
          <w:lang w:val="en-US"/>
        </w:rPr>
        <w:t xml:space="preserve">protein production in </w:t>
      </w:r>
      <w:r w:rsidR="001431CF" w:rsidRPr="00F06EA4">
        <w:rPr>
          <w:lang w:val="en-US"/>
        </w:rPr>
        <w:t xml:space="preserve">the </w:t>
      </w:r>
      <w:r w:rsidR="0051363F" w:rsidRPr="00F06EA4">
        <w:rPr>
          <w:lang w:val="en-US"/>
        </w:rPr>
        <w:t xml:space="preserve">liver during the acute phase response. </w:t>
      </w:r>
      <w:r w:rsidR="00B43B8D" w:rsidRPr="00F06EA4">
        <w:rPr>
          <w:lang w:val="en-US"/>
        </w:rPr>
        <w:t xml:space="preserve">During response to infection, </w:t>
      </w:r>
      <w:r w:rsidR="00A07DF7" w:rsidRPr="00F06EA4">
        <w:rPr>
          <w:lang w:val="en-US"/>
        </w:rPr>
        <w:t>circulating</w:t>
      </w:r>
      <w:r w:rsidR="00B43B8D" w:rsidRPr="00F06EA4">
        <w:rPr>
          <w:lang w:val="en-US"/>
        </w:rPr>
        <w:t xml:space="preserve"> IL6 level</w:t>
      </w:r>
      <w:r w:rsidR="00A07DF7" w:rsidRPr="00F06EA4">
        <w:rPr>
          <w:lang w:val="en-US"/>
        </w:rPr>
        <w:t>s</w:t>
      </w:r>
      <w:r w:rsidR="00B43B8D" w:rsidRPr="00F06EA4">
        <w:rPr>
          <w:lang w:val="en-US"/>
        </w:rPr>
        <w:t xml:space="preserve"> quickly increase</w:t>
      </w:r>
      <w:r w:rsidR="00A07DF7" w:rsidRPr="00F06EA4">
        <w:rPr>
          <w:lang w:val="en-US"/>
        </w:rPr>
        <w:t>,</w:t>
      </w:r>
      <w:r w:rsidR="00B43B8D" w:rsidRPr="00F06EA4">
        <w:rPr>
          <w:lang w:val="en-US"/>
        </w:rPr>
        <w:t xml:space="preserve"> propagating inflammatory signaling throughout the body</w:t>
      </w:r>
      <w:r w:rsidR="00B43B8D" w:rsidRPr="00F06EA4">
        <w:rPr>
          <w:lang w:val="en-US"/>
        </w:rPr>
        <w:fldChar w:fldCharType="begin" w:fldLock="1"/>
      </w:r>
      <w:r w:rsidR="00F45F97" w:rsidRPr="00F06EA4">
        <w:rPr>
          <w:lang w:val="en-US"/>
        </w:rPr>
        <w:instrText>ADDIN CSL_CITATION {"citationItems":[{"id":"ITEM-1","itemData":{"DOI":"10.1016/j.molmed.2007.12.007","ISSN":"1471-4914; 1471-4914","PMID":"18261959","abstract":"Recent discoveries involving the cytokine interleukin (IL)-6 have originated from diverse disciplines, revealing roles in biological processes that are likewise varied. The most novel findings suggest a connection between inflammation and diseases, such as insulin resistance associated with diabetes mellitus and cancer, which had not or only weakly been appreciated previously. The IL-6 pathway is one of the mechanisms linking inflammation to these disease processes. In addition, new evidence points toward IL-6 as one of the mediators coordinating the interface between adaptive and innate immunity. Here, we review the evidence linking IL-6 to inflammatory diseases and cancer.","author":[{"dropping-particle":"","family":"Naugler","given":"Willscott E.","non-dropping-particle":"","parse-names":false,"suffix":""},{"dropping-particle":"","family":"Karin","given":"Michael","non-dropping-particle":"","parse-names":false,"suffix":""}],"container-title":"Trends in molecular medicine","id":"ITEM-1","issue":"3","issued":{"date-parts":[["2008"]]},"page":"109-119","publisher-place":"Department of Medicine, Division of Gastroenterology and Hepatology, Oregon Health and Sciences University, Portland, OR, USA.","title":"The wolf in sheep's clothing: the role of interleukin-6 in immunity, inflammation and cancer","type":"article-journal","volume":"14"},"uris":["http://www.mendeley.com/documents/?uuid=35ba98b6-f779-4df4-b34b-dcb9560ab258"]}],"mendeley":{"formattedCitation":"&lt;sup&gt;[80]&lt;/sup&gt;","plainTextFormattedCitation":"[80]","previouslyFormattedCitation":"&lt;sup&gt;[80]&lt;/sup&gt;"},"properties":{"noteIndex":0},"schema":"https://github.com/citation-style-language/schema/raw/master/csl-citation.json"}</w:instrText>
      </w:r>
      <w:r w:rsidR="00B43B8D" w:rsidRPr="00F06EA4">
        <w:rPr>
          <w:lang w:val="en-US"/>
        </w:rPr>
        <w:fldChar w:fldCharType="separate"/>
      </w:r>
      <w:r w:rsidR="00F45F97" w:rsidRPr="00F06EA4">
        <w:rPr>
          <w:noProof/>
          <w:vertAlign w:val="superscript"/>
          <w:lang w:val="en-US"/>
        </w:rPr>
        <w:t>[80]</w:t>
      </w:r>
      <w:r w:rsidR="00B43B8D" w:rsidRPr="00F06EA4">
        <w:rPr>
          <w:lang w:val="en-US"/>
        </w:rPr>
        <w:fldChar w:fldCharType="end"/>
      </w:r>
      <w:r w:rsidR="00B43B8D" w:rsidRPr="00F06EA4">
        <w:rPr>
          <w:lang w:val="en-US"/>
        </w:rPr>
        <w:t>.</w:t>
      </w:r>
      <w:r w:rsidR="00A83248" w:rsidRPr="00F06EA4">
        <w:rPr>
          <w:lang w:val="en-US"/>
        </w:rPr>
        <w:t xml:space="preserve"> Notably, IL6 is one of the cytokines showing the greatest increase in CRC patients relative to healthy controls, and </w:t>
      </w:r>
      <w:r w:rsidR="001431CF" w:rsidRPr="00F06EA4">
        <w:rPr>
          <w:lang w:val="en-US"/>
        </w:rPr>
        <w:t xml:space="preserve">a </w:t>
      </w:r>
      <w:r w:rsidR="00A83248" w:rsidRPr="00F06EA4">
        <w:rPr>
          <w:lang w:val="en-US"/>
        </w:rPr>
        <w:t>further increase in metastatic disease compared to non-metastatic disease</w:t>
      </w:r>
      <w:r w:rsidR="00A83248" w:rsidRPr="00F06EA4">
        <w:rPr>
          <w:lang w:val="en-US"/>
        </w:rPr>
        <w:fldChar w:fldCharType="begin" w:fldLock="1"/>
      </w:r>
      <w:r w:rsidR="00F45F97" w:rsidRPr="00F06EA4">
        <w:rPr>
          <w:lang w:val="en-US"/>
        </w:rPr>
        <w:instrText>ADDIN CSL_CITATION {"citationItems":[{"id":"ITEM-1","itemData":{"DOI":"10.1038/bjc.2012.456","ISSN":"1532-1827","PMID":"23059742","abstract":"BACKGROUND Inflammation contributes to the pathogenesis of colorectal cancer (CRC), and cytokine levels are altered during colorectal carcinogenesis. METHODS The serum levels of 13 cytokines and their relation to clinical and pathological parameters, and systemic inflammatory response (mGPS, CRP and neutrophil-lymphocyte ratio), were analysed from a prospective series of 148 CRC patients and 86 healthy age- and sex-matched controls. RESULTS CRC patients had higher serum platelet-derived growth factor, interleukin (IL)-6, IL-7, and IL-8 levels and lower monocyte chemotactic protein-1 (MCP-1) levels than the controls. A logistic regression model for discriminating the patients from the controls - including the five most predictive cytokines (high IL-8, high IL-6, low MCP-1, low IL-1ra, and low IP-10) - yielded an area under curve value of 0.890 in receiver operating characteristics analysis. Serum cytokines showed distinct correlation with other markers of systemic inflammatory response, and advanced CRCs were associated with higher levels of IL-8, IL-1ra, and IL-6. A metastasised disease was accompanied by an orientation towards Th2 cytokine milieu. CONCLUSION CRC is associated with extensive alterations in serum cytokine environment, highlighting the importance of studying relative cytokine level alterations. Serum cytokine profile shows promise in separating CRC patients from healthy controls but its clinical value is yet to be confirmed.","author":[{"dropping-particle":"","family":"Kantola","given":"T.","non-dropping-particle":"","parse-names":false,"suffix":""},{"dropping-particle":"","family":"Klintrup","given":"K.","non-dropping-particle":"","parse-names":false,"suffix":""},{"dropping-particle":"","family":"Väyrynen","given":"J.P.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J. J","non-dropping-particle":"","parse-names":false,"suffix":""},{"dropping-particle":"","family":"Tuomisto","given":"A.","non-dropping-particle":"","parse-names":false,"suffix":""},{"dropping-particle":"","family":"Mäkinen","given":"M.J. J","non-dropping-particle":"","parse-names":false,"suffix":""}],"container-title":"British journal of cancer","id":"ITEM-1","issue":"10","issued":{"date-parts":[["2012","11","6"]]},"page":"1729-36","title":"Stage-dependent alterations of the serum cytokine pattern in colorectal carcinoma.","type":"article-journal","volume":"107"},"uris":["http://www.mendeley.com/documents/?uuid=269bf46a-8d7f-4e7f-b7a0-75f33bcfe550"]}],"mendeley":{"formattedCitation":"&lt;sup&gt;[18]&lt;/sup&gt;","plainTextFormattedCitation":"[18]","previouslyFormattedCitation":"&lt;sup&gt;[18]&lt;/sup&gt;"},"properties":{"noteIndex":0},"schema":"https://github.com/citation-style-language/schema/raw/master/csl-citation.json"}</w:instrText>
      </w:r>
      <w:r w:rsidR="00A83248" w:rsidRPr="00F06EA4">
        <w:rPr>
          <w:lang w:val="en-US"/>
        </w:rPr>
        <w:fldChar w:fldCharType="separate"/>
      </w:r>
      <w:r w:rsidR="00F45F97" w:rsidRPr="00F06EA4">
        <w:rPr>
          <w:noProof/>
          <w:vertAlign w:val="superscript"/>
          <w:lang w:val="en-US"/>
        </w:rPr>
        <w:t>[18]</w:t>
      </w:r>
      <w:r w:rsidR="00A83248" w:rsidRPr="00F06EA4">
        <w:rPr>
          <w:lang w:val="en-US"/>
        </w:rPr>
        <w:fldChar w:fldCharType="end"/>
      </w:r>
      <w:r w:rsidR="00A83248" w:rsidRPr="00F06EA4">
        <w:rPr>
          <w:lang w:val="en-US"/>
        </w:rPr>
        <w:t>.</w:t>
      </w:r>
    </w:p>
    <w:p w14:paraId="00B3A4EA" w14:textId="7E89DA91" w:rsidR="009C1FDB" w:rsidRPr="00F06EA4" w:rsidRDefault="004E5B71" w:rsidP="00F67ED8">
      <w:pPr>
        <w:spacing w:after="0"/>
        <w:ind w:firstLineChars="100" w:firstLine="240"/>
        <w:rPr>
          <w:lang w:val="en-US"/>
        </w:rPr>
      </w:pPr>
      <w:r w:rsidRPr="00F06EA4">
        <w:rPr>
          <w:lang w:val="en-US"/>
        </w:rPr>
        <w:t>IL6</w:t>
      </w:r>
      <w:r w:rsidR="009C1FDB" w:rsidRPr="00F06EA4">
        <w:rPr>
          <w:lang w:val="en-US"/>
        </w:rPr>
        <w:t xml:space="preserve"> also appears to be </w:t>
      </w:r>
      <w:r w:rsidRPr="00F06EA4">
        <w:rPr>
          <w:lang w:val="en-US"/>
        </w:rPr>
        <w:t>one of the main contributors</w:t>
      </w:r>
      <w:r w:rsidR="009C1FDB" w:rsidRPr="00F06EA4">
        <w:rPr>
          <w:lang w:val="en-US"/>
        </w:rPr>
        <w:t xml:space="preserve"> to altered hepatic metabolism during systemic inflammation. In a recent study, Flint </w:t>
      </w:r>
      <w:r w:rsidR="0046007C" w:rsidRPr="00F06EA4">
        <w:rPr>
          <w:i/>
          <w:iCs/>
          <w:lang w:val="en-US"/>
        </w:rPr>
        <w:t>et al</w:t>
      </w:r>
      <w:r w:rsidR="009C1FDB" w:rsidRPr="00F06EA4">
        <w:rPr>
          <w:lang w:val="en-US"/>
        </w:rPr>
        <w:fldChar w:fldCharType="begin" w:fldLock="1"/>
      </w:r>
      <w:r w:rsidR="00F45F97" w:rsidRPr="00F06EA4">
        <w:rPr>
          <w:lang w:val="en-US"/>
        </w:rPr>
        <w:instrText>ADDIN CSL_CITATION {"citationItems":[{"id":"ITEM-1","itemData":{"DOI":"10.1016/j.cmet.2016.10.010","ISSN":"1932-7420","PMID":"27829137","abstract":"In patients with cancer, the wasting syndrome, cachexia, is associated with caloric deficiency. Here, we describe tumor-induced alterations of the host metabolic response to caloric deficiency that cause intratumoral immune suppression. In pre-cachectic mice with transplanted colorectal cancer or autochthonous pancreatic ductal adenocarcinoma (PDA), we find that IL-6 reduces the hepatic ketogenic potential through suppression of PPARalpha, the transcriptional master regulator of ketogenesis. When these mice are challenged with caloric deficiency, the resulting relative hypoketonemia triggers a marked rise in glucocorticoid levels. Multiple intratumoral immune pathways are suppressed by this hormonal stress response. Moreover, administering corticosterone to elevate plasma corticosterone to a level that is lower than that occurring in cachectic mice abolishes the response of mouse PDA to an immunotherapy that has advanced to clinical trials. Therefore, tumor-induced IL-6 impairs the ketogenic response to reduced caloric intake, resulting in a systemic metabolic stress response that blocks anti-cancer immunotherapy.","author":[{"dropping-particle":"","family":"Flint","given":"Thomas R.","non-dropping-particle":"","parse-names":false,"suffix":""},{"dropping-particle":"","family":"Janowitz","given":"Tobias","non-dropping-particle":"","parse-names":false,"suffix":""},{"dropping-particle":"","family":"Connell","given":"Claire M.","non-dropping-particle":"","parse-names":false,"suffix":""},{"dropping-particle":"","family":"Roberts","given":"Edward W.","non-dropping-particle":"","parse-names":false,"suffix":""},{"dropping-particle":"","family":"Denton","given":"Alice E.","non-dropping-particle":"","parse-names":false,"suffix":""},{"dropping-particle":"","family":"Coll","given":"Anthony P.","non-dropping-particle":"","parse-names":false,"suffix":""},{"dropping-particle":"","family":"Jodrell","given":"Duncan I.","non-dropping-particle":"","parse-names":false,"suffix":""},{"dropping-particle":"","family":"Fearon","given":"Douglas T.","non-dropping-particle":"","parse-names":false,"suffix":""}],"container-title":"Cell metabolism","id":"ITEM-1","issue":"5","issued":{"date-parts":[["2016"]]},"page":"672-684","title":"Tumor-Induced IL-6 Reprograms Host Metabolism to Suppress Anti-tumor Immunity.","type":"article-journal","volume":"24"},"uris":["http://www.mendeley.com/documents/?uuid=18e02674-5238-33f6-bc1d-fd0944e9a1fe"]}],"mendeley":{"formattedCitation":"&lt;sup&gt;[81]&lt;/sup&gt;","plainTextFormattedCitation":"[81]","previouslyFormattedCitation":"&lt;sup&gt;[81]&lt;/sup&gt;"},"properties":{"noteIndex":0},"schema":"https://github.com/citation-style-language/schema/raw/master/csl-citation.json"}</w:instrText>
      </w:r>
      <w:r w:rsidR="009C1FDB" w:rsidRPr="00F06EA4">
        <w:rPr>
          <w:lang w:val="en-US"/>
        </w:rPr>
        <w:fldChar w:fldCharType="separate"/>
      </w:r>
      <w:r w:rsidR="00F45F97" w:rsidRPr="00F06EA4">
        <w:rPr>
          <w:noProof/>
          <w:vertAlign w:val="superscript"/>
          <w:lang w:val="en-US"/>
        </w:rPr>
        <w:t>[81]</w:t>
      </w:r>
      <w:r w:rsidR="009C1FDB" w:rsidRPr="00F06EA4">
        <w:rPr>
          <w:lang w:val="en-US"/>
        </w:rPr>
        <w:fldChar w:fldCharType="end"/>
      </w:r>
      <w:r w:rsidR="009C1FDB" w:rsidRPr="00F06EA4">
        <w:rPr>
          <w:lang w:val="en-US"/>
        </w:rPr>
        <w:t xml:space="preserve"> showed that</w:t>
      </w:r>
      <w:r w:rsidR="00CF4C2C" w:rsidRPr="00F06EA4">
        <w:rPr>
          <w:lang w:val="en-US"/>
        </w:rPr>
        <w:t xml:space="preserve">, in a mouse </w:t>
      </w:r>
      <w:r w:rsidR="009040B8" w:rsidRPr="00F06EA4">
        <w:rPr>
          <w:lang w:val="en-US"/>
        </w:rPr>
        <w:t>CRC model,</w:t>
      </w:r>
      <w:r w:rsidR="009C1FDB" w:rsidRPr="00F06EA4">
        <w:rPr>
          <w:lang w:val="en-US"/>
        </w:rPr>
        <w:t xml:space="preserve"> tumor-</w:t>
      </w:r>
      <w:r w:rsidR="00A43DF7" w:rsidRPr="00F06EA4">
        <w:rPr>
          <w:lang w:val="en-US"/>
        </w:rPr>
        <w:t>induced</w:t>
      </w:r>
      <w:r w:rsidR="009C1FDB" w:rsidRPr="00F06EA4">
        <w:rPr>
          <w:lang w:val="en-US"/>
        </w:rPr>
        <w:t xml:space="preserve"> IL6 </w:t>
      </w:r>
      <w:r w:rsidR="00CF4C2C" w:rsidRPr="00F06EA4">
        <w:rPr>
          <w:lang w:val="en-US"/>
        </w:rPr>
        <w:t>caused</w:t>
      </w:r>
      <w:r w:rsidR="009C1FDB" w:rsidRPr="00F06EA4">
        <w:rPr>
          <w:lang w:val="en-US"/>
        </w:rPr>
        <w:t xml:space="preserve"> systemic metabolic changes</w:t>
      </w:r>
      <w:r w:rsidR="00A43DF7" w:rsidRPr="00F06EA4">
        <w:rPr>
          <w:lang w:val="en-US"/>
        </w:rPr>
        <w:t>, such as suppression of hepatic ketogenesis</w:t>
      </w:r>
      <w:r w:rsidR="009040B8" w:rsidRPr="00F06EA4">
        <w:rPr>
          <w:lang w:val="en-US"/>
        </w:rPr>
        <w:t>, which triggered marked glucocorticoid secretion from the liver</w:t>
      </w:r>
      <w:r w:rsidR="00244ABC" w:rsidRPr="00F06EA4">
        <w:rPr>
          <w:lang w:val="en-US"/>
        </w:rPr>
        <w:t>. I</w:t>
      </w:r>
      <w:r w:rsidR="00766EB1" w:rsidRPr="00F06EA4">
        <w:rPr>
          <w:lang w:val="en-US"/>
        </w:rPr>
        <w:t xml:space="preserve">n turn, </w:t>
      </w:r>
      <w:r w:rsidR="00244ABC" w:rsidRPr="00F06EA4">
        <w:rPr>
          <w:lang w:val="en-US"/>
        </w:rPr>
        <w:t xml:space="preserve">this </w:t>
      </w:r>
      <w:r w:rsidR="00766EB1" w:rsidRPr="00F06EA4">
        <w:rPr>
          <w:lang w:val="en-US"/>
        </w:rPr>
        <w:t>suppressed intratumoral immunity and caused failure of anti-cancer immunotherapy</w:t>
      </w:r>
      <w:r w:rsidR="00152309" w:rsidRPr="00F06EA4">
        <w:rPr>
          <w:lang w:val="en-US"/>
        </w:rPr>
        <w:t xml:space="preserve">. </w:t>
      </w:r>
      <w:r w:rsidR="001431CF" w:rsidRPr="00F06EA4">
        <w:rPr>
          <w:lang w:val="en-US"/>
        </w:rPr>
        <w:t xml:space="preserve">The </w:t>
      </w:r>
      <w:r w:rsidR="00B86CD3" w:rsidRPr="00F06EA4">
        <w:rPr>
          <w:lang w:val="en-US"/>
        </w:rPr>
        <w:t>IL6-</w:t>
      </w:r>
      <w:r w:rsidR="003E2207" w:rsidRPr="00F06EA4">
        <w:rPr>
          <w:lang w:val="en-US"/>
        </w:rPr>
        <w:t>ketogenesis</w:t>
      </w:r>
      <w:r w:rsidR="003C6F80" w:rsidRPr="00F06EA4">
        <w:rPr>
          <w:lang w:val="en-US"/>
        </w:rPr>
        <w:t xml:space="preserve"> suppression</w:t>
      </w:r>
      <w:r w:rsidR="003E2207" w:rsidRPr="00F06EA4">
        <w:rPr>
          <w:lang w:val="en-US"/>
        </w:rPr>
        <w:t>-</w:t>
      </w:r>
      <w:r w:rsidR="00B86CD3" w:rsidRPr="00F06EA4">
        <w:rPr>
          <w:lang w:val="en-US"/>
        </w:rPr>
        <w:t xml:space="preserve">glucocorticoid pathway in the liver </w:t>
      </w:r>
      <w:r w:rsidR="00724681" w:rsidRPr="00F06EA4">
        <w:rPr>
          <w:lang w:val="en-US"/>
        </w:rPr>
        <w:t>may represent one of the mechanisms by which</w:t>
      </w:r>
      <w:r w:rsidR="009C1FDB" w:rsidRPr="00F06EA4">
        <w:rPr>
          <w:lang w:val="en-US"/>
        </w:rPr>
        <w:t xml:space="preserve"> immunosuppression in tumor tissue</w:t>
      </w:r>
      <w:r w:rsidR="00724681" w:rsidRPr="00F06EA4">
        <w:rPr>
          <w:lang w:val="en-US"/>
        </w:rPr>
        <w:t>,</w:t>
      </w:r>
      <w:r w:rsidR="009C1FDB" w:rsidRPr="00F06EA4">
        <w:rPr>
          <w:lang w:val="en-US"/>
        </w:rPr>
        <w:t xml:space="preserve"> often observed in CRC patients with advanced cancer</w:t>
      </w:r>
      <w:r w:rsidR="009C1FDB" w:rsidRPr="00F06EA4">
        <w:rPr>
          <w:lang w:val="en-US"/>
        </w:rPr>
        <w:fldChar w:fldCharType="begin" w:fldLock="1"/>
      </w:r>
      <w:r w:rsidR="00F45F97" w:rsidRPr="00F06EA4">
        <w:rPr>
          <w:lang w:val="en-US"/>
        </w:rPr>
        <w:instrText>ADDIN CSL_CITATION {"citationItems":[{"id":"ITEM-1","itemData":{"DOI":"10.1038/bjc.2013.508 [doi]","ISSN":"1532-1827; 0007-0920","abstract":"BACKGROUND: Higher-grade inflammatory infiltrate is a promising marker for better prognosis in colorectal cancer (CRC). However, the knowledge on the interrelationships between different inflammatory cells and classifications is fragmentary. METHODS: We analysed the densities of eight types of inflammatory cells in a prospectively recruited group of 117 CRC patients and determined their interrelationships and contributions to Klintrup-Makinen (K-M) score of overall peritumoural inflammation. We characterised the inflammatory infiltrate in relation to stage and recurrences in 24-month follow-up. RESULTS: There were high positive correlations between the inflammatory cell densities, with the exception of mast cells and CD1a+ immature dendritic cells. High K-M score associated with high peri- and intratumoural densities of CD3+, CD8+, CD68+, CD83+, and FoxP3+ cells and neutrophils. Advanced stage associated with low K-M score, as well as low CD3+, CD8+, CD83+, and FoxP3+ cell counts, of which low K-M score, low CD3(+) T-cell count, and low FoxP3+ T-cell count were linked to higher recurrence rate. CONCLUSION: The density of CRC inflammatory infiltrate declines as stage advances. Especially, low K-M score and low T-cell counts predict higher recurrence rate. The high positive correlations between the individual inflammatory markers support the value of overall inflammatory reaction scoring.","author":[{"dropping-particle":"","family":"Väyrynen","given":"J P","non-dropping-particle":"","parse-names":false,"suffix":""},{"dropping-particle":"","family":"Tuomisto","given":"A","non-dropping-particle":"","parse-names":false,"suffix":""},{"dropping-particle":"","family":"Klintrup","given":"K","non-dropping-particle":"","parse-names":false,"suffix":""},{"dropping-particle":"","family":"Mäkelä","given":"J","non-dropping-particle":"","parse-names":false,"suffix":""},{"dropping-particle":"","family":"Karttunen","given":"T J","non-dropping-particle":"","parse-names":false,"suffix":""},{"dropping-particle":"","family":"Mäkinen","given":"M J","non-dropping-particle":"","parse-names":false,"suffix":""}],"container-title":"British journal of cancer","id":"ITEM-1","issue":"7","issued":{"date-parts":[["2013"]]},"page":"1839-1847","publisher-place":"1] Department of Pathology, University of Oulu, POB 5000, 90014 Oulu, Finland [2] Oulu University Hospital and Medical Research Center Oulu, POB 21, 90029 Oulu, Finland.","title":"Detailed analysis of inflammatory cell infiltration in colorectal cancer","type":"article-journal","volume":"109"},"uris":["http://www.mendeley.com/documents/?uuid=248c0e80-21e6-4ddc-a6c1-31fcc8ee9d3f"]}],"mendeley":{"formattedCitation":"&lt;sup&gt;[40]&lt;/sup&gt;","plainTextFormattedCitation":"[40]","previouslyFormattedCitation":"&lt;sup&gt;[40]&lt;/sup&gt;"},"properties":{"noteIndex":0},"schema":"https://github.com/citation-style-language/schema/raw/master/csl-citation.json"}</w:instrText>
      </w:r>
      <w:r w:rsidR="009C1FDB" w:rsidRPr="00F06EA4">
        <w:rPr>
          <w:lang w:val="en-US"/>
        </w:rPr>
        <w:fldChar w:fldCharType="separate"/>
      </w:r>
      <w:r w:rsidR="00F45F97" w:rsidRPr="00F06EA4">
        <w:rPr>
          <w:noProof/>
          <w:vertAlign w:val="superscript"/>
          <w:lang w:val="en-US"/>
        </w:rPr>
        <w:t>[40]</w:t>
      </w:r>
      <w:r w:rsidR="009C1FDB" w:rsidRPr="00F06EA4">
        <w:rPr>
          <w:lang w:val="en-US"/>
        </w:rPr>
        <w:fldChar w:fldCharType="end"/>
      </w:r>
      <w:r w:rsidR="00724681" w:rsidRPr="00F06EA4">
        <w:rPr>
          <w:lang w:val="en-US"/>
        </w:rPr>
        <w:t>,</w:t>
      </w:r>
      <w:r w:rsidR="009C1FDB" w:rsidRPr="00F06EA4">
        <w:rPr>
          <w:lang w:val="en-US"/>
        </w:rPr>
        <w:t xml:space="preserve"> </w:t>
      </w:r>
      <w:r w:rsidR="00724681" w:rsidRPr="00F06EA4">
        <w:rPr>
          <w:lang w:val="en-US"/>
        </w:rPr>
        <w:t>is coupled with</w:t>
      </w:r>
      <w:r w:rsidR="009C1FDB" w:rsidRPr="00F06EA4">
        <w:rPr>
          <w:lang w:val="en-US"/>
        </w:rPr>
        <w:t xml:space="preserve"> changes in liver function</w:t>
      </w:r>
      <w:r w:rsidR="00724681" w:rsidRPr="00F06EA4">
        <w:rPr>
          <w:lang w:val="en-US"/>
        </w:rPr>
        <w:t xml:space="preserve"> and systemic metabolic changes</w:t>
      </w:r>
      <w:r w:rsidR="009C1FDB" w:rsidRPr="00F06EA4">
        <w:rPr>
          <w:lang w:val="en-US"/>
        </w:rPr>
        <w:t>.</w:t>
      </w:r>
    </w:p>
    <w:p w14:paraId="0FCE402D" w14:textId="7680A59B" w:rsidR="00274F87" w:rsidRPr="00F06EA4" w:rsidRDefault="00274F87" w:rsidP="00F67ED8">
      <w:pPr>
        <w:spacing w:after="0"/>
        <w:rPr>
          <w:lang w:val="en-US"/>
        </w:rPr>
      </w:pPr>
    </w:p>
    <w:p w14:paraId="78C0866F" w14:textId="2C4E791B" w:rsidR="00274F87" w:rsidRPr="00F06EA4" w:rsidRDefault="00274F87" w:rsidP="00F67ED8">
      <w:pPr>
        <w:pStyle w:val="2"/>
        <w:spacing w:before="0" w:after="0"/>
        <w:rPr>
          <w:i/>
        </w:rPr>
      </w:pPr>
      <w:r w:rsidRPr="00F06EA4">
        <w:rPr>
          <w:i/>
        </w:rPr>
        <w:t>Bone marrow</w:t>
      </w:r>
    </w:p>
    <w:p w14:paraId="5F66E2CF" w14:textId="3C767C1D" w:rsidR="00082C9B" w:rsidRPr="00F06EA4" w:rsidRDefault="001431CF" w:rsidP="00F67ED8">
      <w:pPr>
        <w:spacing w:after="0"/>
        <w:rPr>
          <w:rFonts w:cs="AdvOT88ac8687"/>
          <w:lang w:val="en-US"/>
        </w:rPr>
      </w:pPr>
      <w:r w:rsidRPr="00F06EA4">
        <w:rPr>
          <w:lang w:val="en-US"/>
        </w:rPr>
        <w:lastRenderedPageBreak/>
        <w:t xml:space="preserve">The immune </w:t>
      </w:r>
      <w:r w:rsidR="000C0DAE" w:rsidRPr="00F06EA4">
        <w:rPr>
          <w:lang w:val="en-US"/>
        </w:rPr>
        <w:t xml:space="preserve">system is governed by </w:t>
      </w:r>
      <w:r w:rsidRPr="00F06EA4">
        <w:rPr>
          <w:lang w:val="en-US"/>
        </w:rPr>
        <w:t xml:space="preserve">an </w:t>
      </w:r>
      <w:r w:rsidR="000C0DAE" w:rsidRPr="00F06EA4">
        <w:rPr>
          <w:lang w:val="en-US"/>
        </w:rPr>
        <w:t>appropriate balance of the lymphoid and myeloid responses.</w:t>
      </w:r>
      <w:r w:rsidR="00E95A3A" w:rsidRPr="00F06EA4">
        <w:rPr>
          <w:lang w:val="en-US"/>
        </w:rPr>
        <w:t xml:space="preserve"> </w:t>
      </w:r>
      <w:r w:rsidR="00CF5237" w:rsidRPr="00F06EA4">
        <w:rPr>
          <w:lang w:val="en-US"/>
        </w:rPr>
        <w:t xml:space="preserve">Hematopoietic stem cells (HSCs) </w:t>
      </w:r>
      <w:r w:rsidR="00A74F06" w:rsidRPr="00F06EA4">
        <w:rPr>
          <w:lang w:val="en-US"/>
        </w:rPr>
        <w:t>reside in the bone marrow</w:t>
      </w:r>
      <w:r w:rsidR="00C51F4E" w:rsidRPr="00F06EA4">
        <w:rPr>
          <w:lang w:val="en-US"/>
        </w:rPr>
        <w:t xml:space="preserve">, </w:t>
      </w:r>
      <w:r w:rsidR="00A74F06" w:rsidRPr="00F06EA4">
        <w:rPr>
          <w:lang w:val="en-US"/>
        </w:rPr>
        <w:t>produc</w:t>
      </w:r>
      <w:r w:rsidR="00863BB7" w:rsidRPr="00F06EA4">
        <w:rPr>
          <w:lang w:val="en-US"/>
        </w:rPr>
        <w:t>ing</w:t>
      </w:r>
      <w:r w:rsidR="00A74F06" w:rsidRPr="00F06EA4">
        <w:rPr>
          <w:lang w:val="en-US"/>
        </w:rPr>
        <w:t xml:space="preserve"> </w:t>
      </w:r>
      <w:r w:rsidR="00C51F4E" w:rsidRPr="00F06EA4">
        <w:rPr>
          <w:lang w:val="en-US"/>
        </w:rPr>
        <w:t>different blood cell l</w:t>
      </w:r>
      <w:r w:rsidR="00A74F06" w:rsidRPr="00F06EA4">
        <w:rPr>
          <w:lang w:val="en-US"/>
        </w:rPr>
        <w:t>ineages in an highly organized manner</w:t>
      </w:r>
      <w:r w:rsidR="009B1328" w:rsidRPr="00F06EA4">
        <w:rPr>
          <w:lang w:val="en-US"/>
        </w:rPr>
        <w:fldChar w:fldCharType="begin" w:fldLock="1"/>
      </w:r>
      <w:r w:rsidR="00021BAC" w:rsidRPr="00F06EA4">
        <w:rPr>
          <w:lang w:val="en-US"/>
        </w:rPr>
        <w:instrText>ADDIN CSL_CITATION {"citationItems":[{"id":"ITEM-1","itemData":{"DOI":"10.1016/j.cell.2008.01.025","ISSN":"1097-4172","PMID":"18295580","abstract":"Establishment and maintenance of the blood system relies on self-renewing hematopoietic stem cells (HSCs) that normally reside in small numbers in the bone marrow niche of adult mammals. This Review describes the developmental origins of HSCs and the molecular mechanisms that regulate lineage-specific differentiation. Studies of hematopoiesis provide critical insights of general relevance to other areas of stem cell biology including the role of cellular interactions in development and tissue homeostasis, lineage programming and reprogramming by transcription factors, and stage- and age-specific differences in cellular phenotypes.","author":[{"dropping-particle":"","family":"Orkin","given":"Stuart H.","non-dropping-particle":"","parse-names":false,"suffix":""},{"dropping-particle":"","family":"Zon","given":"Leonard I.","non-dropping-particle":"","parse-names":false,"suffix":""}],"container-title":"Cell","id":"ITEM-1","issue":"4","issued":{"date-parts":[["2008","2","22"]]},"page":"631-44","title":"Hematopoiesis: an evolving paradigm for stem cell biology.","type":"article-journal","volume":"132"},"uris":["http://www.mendeley.com/documents/?uuid=c5002b23-7451-3b53-b9cb-01c6d728e997","http://www.mendeley.com/documents/?uuid=2ac1ddbc-612c-4fab-83a9-4e7fcd7c73e8"]}],"mendeley":{"formattedCitation":"&lt;sup&gt;[82]&lt;/sup&gt;","plainTextFormattedCitation":"[82]","previouslyFormattedCitation":"&lt;sup&gt;[82]&lt;/sup&gt;"},"properties":{"noteIndex":0},"schema":"https://github.com/citation-style-language/schema/raw/master/csl-citation.json"}</w:instrText>
      </w:r>
      <w:r w:rsidR="009B1328" w:rsidRPr="00F06EA4">
        <w:rPr>
          <w:lang w:val="en-US"/>
        </w:rPr>
        <w:fldChar w:fldCharType="separate"/>
      </w:r>
      <w:r w:rsidR="00F45F97" w:rsidRPr="00F06EA4">
        <w:rPr>
          <w:noProof/>
          <w:vertAlign w:val="superscript"/>
          <w:lang w:val="en-US"/>
        </w:rPr>
        <w:t>[82]</w:t>
      </w:r>
      <w:r w:rsidR="009B1328" w:rsidRPr="00F06EA4">
        <w:rPr>
          <w:lang w:val="en-US"/>
        </w:rPr>
        <w:fldChar w:fldCharType="end"/>
      </w:r>
      <w:r w:rsidR="00A74F06" w:rsidRPr="00F06EA4">
        <w:rPr>
          <w:lang w:val="en-US"/>
        </w:rPr>
        <w:t xml:space="preserve">. </w:t>
      </w:r>
      <w:r w:rsidR="009B1328" w:rsidRPr="00F06EA4">
        <w:rPr>
          <w:lang w:val="en-US"/>
        </w:rPr>
        <w:t xml:space="preserve">HSCs </w:t>
      </w:r>
      <w:r w:rsidR="00CF5237" w:rsidRPr="00F06EA4">
        <w:rPr>
          <w:lang w:val="en-US"/>
        </w:rPr>
        <w:t>respond rapidly to acute blood cell demand, such as injury or inflammation</w:t>
      </w:r>
      <w:r w:rsidR="00DE0FE1" w:rsidRPr="00F06EA4">
        <w:rPr>
          <w:lang w:val="en-US"/>
        </w:rPr>
        <w:fldChar w:fldCharType="begin" w:fldLock="1"/>
      </w:r>
      <w:r w:rsidR="00F45F97" w:rsidRPr="00F06EA4">
        <w:rPr>
          <w:lang w:val="en-US"/>
        </w:rPr>
        <w:instrText>ADDIN CSL_CITATION {"citationItems":[{"id":"ITEM-1","itemData":{"DOI":"10.1016/j.yexcr.2014.08.017","ISSN":"00144827","PMID":"25149680","abstract":"Hematopoiesis is the hierarchical process in which all lineages of blood cells are produced by self-renewing hematopoietic stem cells (HSCs) in the bone marrow (BM). While the regulatory factors that maintain proper HSC function and lineage output under normal conditions are well understood, significantly less is known about how HSC fate is regulated in response to inflammation or disease. As many blood disorders are associated with overproduction of pro-inflammatory cytokines, significant interest has emerged in understanding the impact of these factors on HSC function. In this review we highlight key advances demonstrating the impact of pro-inflammatory cytokines on the biology of HSCs and the BM niche, and address ongoing questions regarding their role in normal and pathogenic hematopoiesis.","author":[{"dropping-particle":"","family":"Mirantes","given":"Cristina","non-dropping-particle":"","parse-names":false,"suffix":""},{"dropping-particle":"","family":"Passegué","given":"Emmanuelle","non-dropping-particle":"","parse-names":false,"suffix":""},{"dropping-particle":"","family":"Pietras","given":"Eric M.","non-dropping-particle":"","parse-names":false,"suffix":""}],"container-title":"Experimental Cell Research","id":"ITEM-1","issue":"2","issued":{"date-parts":[["2014"]]},"page":"248-254","title":"Pro-inflammatory cytokines: Emerging players regulating HSC function in normal and diseased hematopoiesis","type":"article-journal","volume":"329"},"uris":["http://www.mendeley.com/documents/?uuid=ae03630c-f58d-34d7-901d-32afb98f18df","http://www.mendeley.com/documents/?uuid=e8593773-b5de-4f31-b440-758eac5cd306"]}],"mendeley":{"formattedCitation":"&lt;sup&gt;[83]&lt;/sup&gt;","plainTextFormattedCitation":"[83]","previouslyFormattedCitation":"&lt;sup&gt;[83]&lt;/sup&gt;"},"properties":{"noteIndex":0},"schema":"https://github.com/citation-style-language/schema/raw/master/csl-citation.json"}</w:instrText>
      </w:r>
      <w:r w:rsidR="00DE0FE1" w:rsidRPr="00F06EA4">
        <w:rPr>
          <w:lang w:val="en-US"/>
        </w:rPr>
        <w:fldChar w:fldCharType="separate"/>
      </w:r>
      <w:r w:rsidR="00F45F97" w:rsidRPr="00F06EA4">
        <w:rPr>
          <w:noProof/>
          <w:vertAlign w:val="superscript"/>
          <w:lang w:val="en-US"/>
        </w:rPr>
        <w:t>[83]</w:t>
      </w:r>
      <w:r w:rsidR="00DE0FE1" w:rsidRPr="00F06EA4">
        <w:rPr>
          <w:lang w:val="en-US"/>
        </w:rPr>
        <w:fldChar w:fldCharType="end"/>
      </w:r>
      <w:r w:rsidR="0012646E" w:rsidRPr="00F06EA4">
        <w:rPr>
          <w:lang w:val="en-US"/>
        </w:rPr>
        <w:t>.</w:t>
      </w:r>
      <w:r w:rsidR="00DE0FE1" w:rsidRPr="00F06EA4">
        <w:rPr>
          <w:lang w:val="en-US"/>
        </w:rPr>
        <w:t xml:space="preserve"> </w:t>
      </w:r>
      <w:r w:rsidR="00EE6902" w:rsidRPr="00F06EA4">
        <w:rPr>
          <w:lang w:val="en-US"/>
        </w:rPr>
        <w:t>I</w:t>
      </w:r>
      <w:r w:rsidR="000F5709" w:rsidRPr="00F06EA4">
        <w:rPr>
          <w:lang w:val="en-US"/>
        </w:rPr>
        <w:t xml:space="preserve">n patients with solid cancers, </w:t>
      </w:r>
      <w:r w:rsidR="00282E9D" w:rsidRPr="00F06EA4">
        <w:rPr>
          <w:lang w:val="en-US"/>
        </w:rPr>
        <w:t xml:space="preserve">hematopoiesis is </w:t>
      </w:r>
      <w:r w:rsidR="00D431C3" w:rsidRPr="00F06EA4">
        <w:rPr>
          <w:lang w:val="en-US"/>
        </w:rPr>
        <w:t>abnormal</w:t>
      </w:r>
      <w:r w:rsidRPr="00F06EA4">
        <w:rPr>
          <w:lang w:val="en-US"/>
        </w:rPr>
        <w:t>,</w:t>
      </w:r>
      <w:r w:rsidR="00D431C3" w:rsidRPr="00F06EA4">
        <w:rPr>
          <w:lang w:val="en-US"/>
        </w:rPr>
        <w:t xml:space="preserve"> leading to altered </w:t>
      </w:r>
      <w:r w:rsidR="00943843" w:rsidRPr="00F06EA4">
        <w:rPr>
          <w:rFonts w:cs="AdvOT88ac8687"/>
          <w:lang w:val="en-US"/>
        </w:rPr>
        <w:t xml:space="preserve">composition of </w:t>
      </w:r>
      <w:r w:rsidR="00D431C3" w:rsidRPr="00F06EA4">
        <w:rPr>
          <w:rFonts w:cs="AdvOT88ac8687"/>
          <w:lang w:val="en-US"/>
        </w:rPr>
        <w:t>hematopoietic progenitor cells</w:t>
      </w:r>
      <w:r w:rsidR="00943843" w:rsidRPr="00F06EA4">
        <w:rPr>
          <w:rFonts w:cs="AdvOT88ac8687"/>
          <w:lang w:val="en-US"/>
        </w:rPr>
        <w:t>, with</w:t>
      </w:r>
      <w:r w:rsidR="00D431C3" w:rsidRPr="00F06EA4">
        <w:rPr>
          <w:rFonts w:cs="AdvOT88ac8687"/>
          <w:lang w:val="en-US"/>
        </w:rPr>
        <w:t xml:space="preserve"> </w:t>
      </w:r>
      <w:r w:rsidR="00943843" w:rsidRPr="00F06EA4">
        <w:rPr>
          <w:rFonts w:cs="AdvOT88ac8687"/>
          <w:lang w:val="en-US"/>
        </w:rPr>
        <w:t>myeloid-biased differentiation</w:t>
      </w:r>
      <w:r w:rsidR="00634849" w:rsidRPr="00F06EA4">
        <w:rPr>
          <w:lang w:val="en-US"/>
        </w:rPr>
        <w:fldChar w:fldCharType="begin" w:fldLock="1"/>
      </w:r>
      <w:r w:rsidR="00F45F97" w:rsidRPr="00F06EA4">
        <w:rPr>
          <w:rFonts w:cs="AdvOT88ac8687"/>
          <w:lang w:val="en-US"/>
        </w:rPr>
        <w:instrText>ADDIN CSL_CITATION {"citationItems":[{"id":"ITEM-1","itemData":{"DOI":"10.1073/pnas.1320753111","ISSN":"0027-8424","PMID":"24591638","abstract":"Cancer is associated with a profound perturbation in myelopoiesis that results in the accumulation of myeloid-derived suppressor cells (MDSCs) to promote disease progression. Recent studies in mice suggest that tumor-derived factors could regulate the differentiation of hematopoietic stem and progenitor cells (HSPCs) in the bone marrow and subsequently contribute to dysregulation of hematopoiesis. However, the nature and role of HPSCs in patients with cancer remain unknown. Here we show, in detailed studies of the peripheral blood from 133 untreated patients with seven different types of tumors, that the composition of circulating HSPCs was significantly altered in patients with solid tumors. The frequencies of circulating granulocyte-monocyte progenitors (GMPs) were increased four to seven fold in all types of tumors examined, and the circulating hematopoietic precursors exhibited myeloid bias with a skew toward granulocytic differentiation in patients with solid tumors. These myeloid precursors are selectively enriched in tumor tissues, and the high levels of circulating GMPs were positively correlated with disease progression. By using cord blood-derived CD34(+) cells, we developed an in vitro short-term culture model to effectively induce the rapid generation of MDSCs. We found that, among the factors produced by various tumors, GM-CSF, granulocyte colony-stimulating factor, and IL-6 could not only promote the myeloid-biased differentiation, but also induce the differentiation of myeloid precursors into functional MDSCs. These findings suggest that the altered circulating HSPCs may serve as an important link between dysregulated bone marrow hematopoiesis and accumulated MDSCs in patients with cancer.","author":[{"dropping-particle":"","family":"Wu","given":"W.-C.","non-dropping-particle":"","parse-names":false,"suffix":""},{"dropping-particle":"","family":"Sun","given":"H.-W.","non-dropping-particle":"","parse-names":false,"suffix":""},{"dropping-particle":"","family":"Chen","given":"H.-T.","non-dropping-particle":"","parse-names":false,"suffix":""},{"dropping-particle":"","family":"Liang","given":"J.","non-dropping-particle":"","parse-names":false,"suffix":""},{"dropping-particle":"","family":"Yu","given":"X.-J.","non-dropping-particle":"","parse-names":false,"suffix":""},{"dropping-particle":"","family":"Wu","given":"C.","non-dropping-particle":"","parse-names":false,"suffix":""},{"dropping-particle":"","family":"Wang","given":"Z.","non-dropping-particle":"","parse-names":false,"suffix":""},{"dropping-particle":"","family":"Zheng","given":"L.","non-dropping-particle":"","parse-names":false,"suffix":""}],"container-title":"Proceedings of the National Academy of Sciences","id":"ITEM-1","issue":"11","issued":{"date-parts":[["2014"]]},"page":"4221-4226","title":"Circulating hematopoietic stem and progenitor cells are myeloid-biased in cancer patients","type":"article-journal","volume":"111"},"uris":["http://www.mendeley.com/documents/?uuid=4177ad4f-1221-3801-ba99-2bd4d9cd9319","http://www.mendeley.com/documents/?uuid=604e25a9-4ef2-4f3b-8f52-f72941fd0347"]}],"mendeley":{"formattedCitation":"&lt;sup&gt;[84]&lt;/sup&gt;","plainTextFormattedCitation":"[84]","previouslyFormattedCitation":"&lt;sup&gt;[84]&lt;/sup&gt;"},"properties":{"noteIndex":0},"schema":"https://github.com/citation-style-language/schema/raw/master/csl-citation.json"}</w:instrText>
      </w:r>
      <w:r w:rsidR="00634849" w:rsidRPr="00F06EA4">
        <w:rPr>
          <w:rFonts w:cs="AdvOT88ac8687"/>
          <w:lang w:val="en-US"/>
        </w:rPr>
        <w:fldChar w:fldCharType="separate"/>
      </w:r>
      <w:r w:rsidR="00F45F97" w:rsidRPr="00F06EA4">
        <w:rPr>
          <w:rFonts w:cs="AdvOT88ac8687"/>
          <w:noProof/>
          <w:vertAlign w:val="superscript"/>
          <w:lang w:val="en-US"/>
        </w:rPr>
        <w:t>[84]</w:t>
      </w:r>
      <w:r w:rsidR="00634849" w:rsidRPr="00F06EA4">
        <w:rPr>
          <w:lang w:val="en-US"/>
        </w:rPr>
        <w:fldChar w:fldCharType="end"/>
      </w:r>
      <w:r w:rsidR="00943843" w:rsidRPr="00F06EA4">
        <w:rPr>
          <w:rFonts w:cs="AdvOT88ac8687"/>
          <w:lang w:val="en-US"/>
        </w:rPr>
        <w:t>.</w:t>
      </w:r>
      <w:r w:rsidR="009139D8" w:rsidRPr="00F06EA4">
        <w:rPr>
          <w:rFonts w:cs="AdvOT88ac8687"/>
          <w:lang w:val="en-US"/>
        </w:rPr>
        <w:t xml:space="preserve"> </w:t>
      </w:r>
      <w:r w:rsidR="00FB7D2F" w:rsidRPr="00F06EA4">
        <w:rPr>
          <w:rFonts w:cs="AdvOT88ac8687"/>
          <w:lang w:val="en-US"/>
        </w:rPr>
        <w:t xml:space="preserve">Accordingly, the systemic inflammation in cancer patients is widely reflected </w:t>
      </w:r>
      <w:r w:rsidRPr="00F06EA4">
        <w:rPr>
          <w:rFonts w:cs="AdvOT88ac8687"/>
          <w:lang w:val="en-US"/>
        </w:rPr>
        <w:t xml:space="preserve">in </w:t>
      </w:r>
      <w:r w:rsidR="00FB7D2F" w:rsidRPr="00F06EA4">
        <w:rPr>
          <w:rFonts w:cs="AdvOT88ac8687"/>
          <w:lang w:val="en-US"/>
        </w:rPr>
        <w:t xml:space="preserve">hematological parameters, such as </w:t>
      </w:r>
      <w:r w:rsidR="00FB7D2F" w:rsidRPr="00F06EA4">
        <w:rPr>
          <w:lang w:val="en-US"/>
        </w:rPr>
        <w:t>neutrophil-to-lymphocyte ratio, with neutrophil predominance over lymphocytes</w:t>
      </w:r>
      <w:r w:rsidR="00AD66C9" w:rsidRPr="00F06EA4">
        <w:rPr>
          <w:lang w:val="en-US"/>
        </w:rPr>
        <w:fldChar w:fldCharType="begin" w:fldLock="1"/>
      </w:r>
      <w:r w:rsidR="00F45F97" w:rsidRPr="00F06EA4">
        <w:rPr>
          <w:lang w:val="en-US"/>
        </w:rPr>
        <w:instrText>ADDIN CSL_CITATION {"citationItems":[{"id":"ITEM-1","itemData":{"DOI":"10.1155/2019/6036979","ISSN":"1875-8630","PMID":"30800188","abstract":"Background Systemic inflammation in colorectal cancer (CRC) may be reflected by neutrophil-to-lymphocyte ratio (NLR), platelet-to-lymphocyte ratio (PLR), and mean platelet volume (MPV). This study was designed to investigate the efficiency of preoperative NLR, PLR, and MVP as a tool for the assessment of tumor characteristics in newly diagnosed patients with CRC. Patients and Methods For 300 patients and 300 healthy volunteers, complete blood counts with automated differential counts were performed. The NLR was calculated by dividing the absolute neutrophil count by the absolute lymphocyte count; PLR was calculated by dividing the absolute platelet count by the absolute lymphocyte count. The diagnostic performance of NLR, PLR, and MVP was estimated by ROC curve. Results ROC curve analysis showed high diagnostic efficacy of NLR and PLR in CRC patients with cut-off values of 2.15 (AUC = 0.790, 95% CI 0.736-0.884, Se = 74.1%, and Sp = 73%) and 123 (AUC = 0.846, 95% CI 0.801-0.891, Se = 73.5%, and Sp = 80%) compared to healthy controls, respectively. The diagnostic efficacy of three combined markers was superior compared with individual markers (AUC = 0.904, 95% CI 0.812-0.989, Se = 96%, and Sp = 70%). Conclusion NRL, PLR, and MPV may be useful markers in diagnostic and early recognition of different stages of CRC; additionally combined all together have stronger diagnostic efficacy.","author":[{"dropping-particle":"","family":"Stojkovic Lalosevic","given":"Milica","non-dropping-particle":"","parse-names":false,"suffix":""},{"dropping-particle":"","family":"Pavlovic Markovic","given":"Aleksandra","non-dropping-particle":"","parse-names":false,"suffix":""},{"dropping-particle":"","family":"Stankovic","given":"Sanja","non-dropping-particle":"","parse-names":false,"suffix":""},{"dropping-particle":"","family":"Stojkovic","given":"Mirjana","non-dropping-particle":"","parse-names":false,"suffix":""},{"dropping-particle":"","family":"Dimitrijevic","given":"Ivan","non-dropping-particle":"","parse-names":false,"suffix":""},{"dropping-particle":"","family":"Radoman Vujacic","given":"Irena","non-dropping-particle":"","parse-names":false,"suffix":""},{"dropping-particle":"","family":"Lalic","given":"Daria","non-dropping-particle":"","parse-names":false,"suffix":""},{"dropping-particle":"","family":"Milovanovic","given":"Tamara","non-dropping-particle":"","parse-names":false,"suffix":""},{"dropping-particle":"","family":"Dumic","given":"Igor","non-dropping-particle":"","parse-names":false,"suffix":""},{"dropping-particle":"","family":"Krivokapic","given":"Zoran","non-dropping-particle":"","parse-names":false,"suffix":""}],"container-title":"Disease markers","id":"ITEM-1","issued":{"date-parts":[["2019"]]},"page":"6036979","publisher":"Hindawi","title":"Combined Diagnostic Efficacy of Neutrophil-to-Lymphocyte Ratio (NLR), Platelet-to-Lymphocyte Ratio (PLR), and Mean Platelet Volume (MPV) as Biomarkers of Systemic Inflammation in the Diagnosis of Colorectal Cancer.","type":"article-journal","volume":"2019"},"uris":["http://www.mendeley.com/documents/?uuid=36104a23-c4e6-4ccf-863c-ea9a2e972dc6"]}],"mendeley":{"formattedCitation":"&lt;sup&gt;[85]&lt;/sup&gt;","plainTextFormattedCitation":"[85]","previouslyFormattedCitation":"&lt;sup&gt;[85]&lt;/sup&gt;"},"properties":{"noteIndex":0},"schema":"https://github.com/citation-style-language/schema/raw/master/csl-citation.json"}</w:instrText>
      </w:r>
      <w:r w:rsidR="00AD66C9" w:rsidRPr="00F06EA4">
        <w:rPr>
          <w:lang w:val="en-US"/>
        </w:rPr>
        <w:fldChar w:fldCharType="separate"/>
      </w:r>
      <w:r w:rsidR="00F45F97" w:rsidRPr="00F06EA4">
        <w:rPr>
          <w:noProof/>
          <w:vertAlign w:val="superscript"/>
          <w:lang w:val="en-US"/>
        </w:rPr>
        <w:t>[85]</w:t>
      </w:r>
      <w:r w:rsidR="00AD66C9" w:rsidRPr="00F06EA4">
        <w:rPr>
          <w:lang w:val="en-US"/>
        </w:rPr>
        <w:fldChar w:fldCharType="end"/>
      </w:r>
      <w:r w:rsidR="00FB7D2F" w:rsidRPr="00F06EA4">
        <w:rPr>
          <w:lang w:val="en-US"/>
        </w:rPr>
        <w:t xml:space="preserve">.  </w:t>
      </w:r>
      <w:r w:rsidRPr="00F06EA4">
        <w:rPr>
          <w:rFonts w:cs="AdvOT88ac8687"/>
          <w:lang w:val="en-US"/>
        </w:rPr>
        <w:t xml:space="preserve">Together with CSF2, and CSF3, </w:t>
      </w:r>
      <w:r w:rsidR="00082C9B" w:rsidRPr="00F06EA4">
        <w:rPr>
          <w:rFonts w:cs="AdvOT88ac8687"/>
          <w:lang w:val="en-US"/>
        </w:rPr>
        <w:t>I</w:t>
      </w:r>
      <w:r w:rsidR="009139D8" w:rsidRPr="00F06EA4">
        <w:rPr>
          <w:rFonts w:cs="AdvOT88ac8687"/>
          <w:lang w:val="en-US"/>
        </w:rPr>
        <w:t>L6</w:t>
      </w:r>
      <w:r w:rsidRPr="00F06EA4">
        <w:rPr>
          <w:rFonts w:cs="AdvOT88ac8687"/>
          <w:lang w:val="en-US"/>
        </w:rPr>
        <w:t xml:space="preserve"> </w:t>
      </w:r>
      <w:r w:rsidR="009139D8" w:rsidRPr="00F06EA4">
        <w:rPr>
          <w:rFonts w:cs="AdvOT88ac8687"/>
          <w:lang w:val="en-US"/>
        </w:rPr>
        <w:t xml:space="preserve"> </w:t>
      </w:r>
      <w:r w:rsidRPr="00F06EA4">
        <w:rPr>
          <w:rFonts w:cs="AdvOT88ac8687"/>
          <w:lang w:val="en-US"/>
        </w:rPr>
        <w:t xml:space="preserve">is </w:t>
      </w:r>
      <w:r w:rsidR="00D62129" w:rsidRPr="00F06EA4">
        <w:rPr>
          <w:rFonts w:cs="AdvOT88ac8687"/>
          <w:lang w:val="en-US"/>
        </w:rPr>
        <w:t>among</w:t>
      </w:r>
      <w:r w:rsidR="00B80F80" w:rsidRPr="00F06EA4">
        <w:rPr>
          <w:rFonts w:cs="AdvOT88ac8687"/>
          <w:lang w:val="en-US"/>
        </w:rPr>
        <w:t xml:space="preserve"> the </w:t>
      </w:r>
      <w:r w:rsidR="00E36583" w:rsidRPr="00F06EA4">
        <w:rPr>
          <w:rFonts w:cs="AdvOT88ac8687"/>
          <w:lang w:val="en-US"/>
        </w:rPr>
        <w:t>leading</w:t>
      </w:r>
      <w:r w:rsidR="00B80F80" w:rsidRPr="00F06EA4">
        <w:rPr>
          <w:rFonts w:cs="AdvOT88ac8687"/>
          <w:lang w:val="en-US"/>
        </w:rPr>
        <w:t xml:space="preserve"> myelopoiesis-</w:t>
      </w:r>
      <w:r w:rsidR="00D32A3B" w:rsidRPr="00F06EA4">
        <w:rPr>
          <w:rFonts w:cs="AdvOT88ac8687"/>
          <w:lang w:val="en-US"/>
        </w:rPr>
        <w:t>driving</w:t>
      </w:r>
      <w:r w:rsidR="00B80F80" w:rsidRPr="00F06EA4">
        <w:rPr>
          <w:rFonts w:cs="AdvOT88ac8687"/>
          <w:lang w:val="en-US"/>
        </w:rPr>
        <w:t xml:space="preserve"> cytokines</w:t>
      </w:r>
      <w:r w:rsidR="00EC0468" w:rsidRPr="00F06EA4">
        <w:rPr>
          <w:lang w:val="en-US"/>
        </w:rPr>
        <w:fldChar w:fldCharType="begin" w:fldLock="1"/>
      </w:r>
      <w:r w:rsidR="00F45F97" w:rsidRPr="00F06EA4">
        <w:rPr>
          <w:rFonts w:cs="AdvOT88ac8687"/>
          <w:lang w:val="en-US"/>
        </w:rPr>
        <w:instrText>ADDIN CSL_CITATION {"citationItems":[{"id":"ITEM-1","itemData":{"DOI":"10.1111/j.1600-065X.2008.00602.x","ISSN":"1600-065X","PMID":"18364001","abstract":"Emerging evidence indicates that the Achilles' heel of cancer immunotherapies is often the complex interplay of tumor-derived factors and deviant host properties, which involve a wide range of immune elements in the lymphoid and myeloid compartments. Regulatory lymphocytes, tumor-conditioned myeloid-derived suppressor cells (MDSCs), tumor-associated macrophages, and dysfunctional and immature dendritic cells take part in a complex immunoregulatory network. Despite the fact that some mechanisms governing tumor-induced immune tolerance and suppression are starting to be better understood and their complexity dissected, little is known about the diachronic picture of immune tolerance. Based on observations of MDSCs, we present a time-structured and topologically consistent idea of tumor-dependent tolerance progression in tumor-bearing hosts.","author":[{"dropping-particle":"","family":"Marigo","given":"Ilaria","non-dropping-particle":"","parse-names":false,"suffix":""},{"dropping-particle":"","family":"Dolcetti","given":"Luigi","non-dropping-particle":"","parse-names":false,"suffix":""},{"dropping-particle":"","family":"Serafini","given":"Paolo","non-dropping-particle":"","parse-names":false,"suffix":""},{"dropping-particle":"","family":"Zanovello","given":"Paola","non-dropping-particle":"","parse-names":false,"suffix":""},{"dropping-particle":"","family":"Bronte","given":"Vincenzo","non-dropping-particle":"","parse-names":false,"suffix":""}],"container-title":"Immunological reviews","id":"ITEM-1","issued":{"date-parts":[["2008","4"]]},"page":"162-79","title":"Tumor-induced tolerance and immune suppression by myeloid derived suppressor cells.","type":"article-journal","volume":"222"},"uris":["http://www.mendeley.com/documents/?uuid=8128b181-374f-439b-9864-8d47796532ab","http://www.mendeley.com/documents/?uuid=fcd57803-368f-4c70-86b6-48b4d309cf0e"]}],"mendeley":{"formattedCitation":"&lt;sup&gt;[86]&lt;/sup&gt;","plainTextFormattedCitation":"[86]","previouslyFormattedCitation":"&lt;sup&gt;[86]&lt;/sup&gt;"},"properties":{"noteIndex":0},"schema":"https://github.com/citation-style-language/schema/raw/master/csl-citation.json"}</w:instrText>
      </w:r>
      <w:r w:rsidR="00EC0468" w:rsidRPr="00F06EA4">
        <w:rPr>
          <w:rFonts w:cs="AdvOT88ac8687"/>
          <w:lang w:val="en-US"/>
        </w:rPr>
        <w:fldChar w:fldCharType="separate"/>
      </w:r>
      <w:r w:rsidR="00F45F97" w:rsidRPr="00F06EA4">
        <w:rPr>
          <w:rFonts w:cs="AdvOT88ac8687"/>
          <w:noProof/>
          <w:vertAlign w:val="superscript"/>
          <w:lang w:val="en-US"/>
        </w:rPr>
        <w:t>[86]</w:t>
      </w:r>
      <w:r w:rsidR="00EC0468" w:rsidRPr="00F06EA4">
        <w:rPr>
          <w:lang w:val="en-US"/>
        </w:rPr>
        <w:fldChar w:fldCharType="end"/>
      </w:r>
      <w:r w:rsidR="00E36583" w:rsidRPr="00F06EA4">
        <w:rPr>
          <w:rFonts w:cs="AdvOT88ac8687"/>
          <w:lang w:val="en-US"/>
        </w:rPr>
        <w:t>.</w:t>
      </w:r>
    </w:p>
    <w:p w14:paraId="689D98AD" w14:textId="38C253D5" w:rsidR="00835303" w:rsidRPr="00F06EA4" w:rsidRDefault="001431CF" w:rsidP="00F67ED8">
      <w:pPr>
        <w:spacing w:after="0"/>
        <w:ind w:firstLineChars="100" w:firstLine="240"/>
        <w:rPr>
          <w:rFonts w:cs="AdvOT88ac8687"/>
          <w:lang w:val="en-US"/>
        </w:rPr>
      </w:pPr>
      <w:r w:rsidRPr="00F06EA4">
        <w:rPr>
          <w:rFonts w:cs="AdvOT88ac8687"/>
          <w:lang w:val="en-US"/>
        </w:rPr>
        <w:t xml:space="preserve">A prolonged </w:t>
      </w:r>
      <w:r w:rsidR="006B0CE6" w:rsidRPr="00F06EA4">
        <w:rPr>
          <w:rFonts w:cs="AdvOT88ac8687"/>
          <w:lang w:val="en-US"/>
        </w:rPr>
        <w:t>demand</w:t>
      </w:r>
      <w:r w:rsidR="00C87D46" w:rsidRPr="00F06EA4">
        <w:rPr>
          <w:rFonts w:cs="AdvOT88ac8687"/>
          <w:lang w:val="en-US"/>
        </w:rPr>
        <w:t xml:space="preserve"> </w:t>
      </w:r>
      <w:r w:rsidRPr="00F06EA4">
        <w:rPr>
          <w:rFonts w:cs="AdvOT88ac8687"/>
          <w:lang w:val="en-US"/>
        </w:rPr>
        <w:t xml:space="preserve">for </w:t>
      </w:r>
      <w:r w:rsidR="005C3BF8" w:rsidRPr="00F06EA4">
        <w:rPr>
          <w:rFonts w:cs="AdvOT88ac8687"/>
          <w:lang w:val="en-US"/>
        </w:rPr>
        <w:t>myeloid cells – as in the case of</w:t>
      </w:r>
      <w:r w:rsidR="00635D5B" w:rsidRPr="00F06EA4">
        <w:rPr>
          <w:rFonts w:cs="AdvOT88ac8687"/>
          <w:lang w:val="en-US"/>
        </w:rPr>
        <w:t xml:space="preserve"> </w:t>
      </w:r>
      <w:r w:rsidRPr="00F06EA4">
        <w:rPr>
          <w:rFonts w:cs="AdvOT88ac8687"/>
          <w:lang w:val="en-US"/>
        </w:rPr>
        <w:t xml:space="preserve">a </w:t>
      </w:r>
      <w:r w:rsidR="00635D5B" w:rsidRPr="00F06EA4">
        <w:rPr>
          <w:rFonts w:cs="AdvOT88ac8687"/>
          <w:lang w:val="en-US"/>
        </w:rPr>
        <w:t>severe</w:t>
      </w:r>
      <w:r w:rsidR="005C3BF8" w:rsidRPr="00F06EA4">
        <w:rPr>
          <w:rFonts w:cs="AdvOT88ac8687"/>
          <w:lang w:val="en-US"/>
        </w:rPr>
        <w:t xml:space="preserve"> prolonged infection</w:t>
      </w:r>
      <w:r w:rsidR="001D5A34" w:rsidRPr="00F06EA4">
        <w:rPr>
          <w:rFonts w:cs="AdvOT88ac8687"/>
          <w:lang w:val="en-US"/>
        </w:rPr>
        <w:t xml:space="preserve"> –</w:t>
      </w:r>
      <w:r w:rsidR="005C3BF8" w:rsidRPr="00F06EA4">
        <w:rPr>
          <w:rFonts w:cs="AdvOT88ac8687"/>
          <w:lang w:val="en-US"/>
        </w:rPr>
        <w:t xml:space="preserve"> results in sustained</w:t>
      </w:r>
      <w:r w:rsidR="00295DF6" w:rsidRPr="00F06EA4">
        <w:rPr>
          <w:rFonts w:cs="AdvOT88ac8687"/>
          <w:lang w:val="en-US"/>
        </w:rPr>
        <w:t xml:space="preserve"> myelopoiesis </w:t>
      </w:r>
      <w:r w:rsidR="005C3BF8" w:rsidRPr="00F06EA4">
        <w:rPr>
          <w:rFonts w:cs="AdvOT88ac8687"/>
          <w:lang w:val="en-US"/>
        </w:rPr>
        <w:t>that</w:t>
      </w:r>
      <w:r w:rsidR="00635D5B" w:rsidRPr="00F06EA4">
        <w:rPr>
          <w:rFonts w:cs="AdvOT88ac8687"/>
          <w:lang w:val="en-US"/>
        </w:rPr>
        <w:t xml:space="preserve"> is</w:t>
      </w:r>
      <w:r w:rsidR="00295DF6" w:rsidRPr="00F06EA4">
        <w:rPr>
          <w:rFonts w:cs="AdvOT88ac8687"/>
          <w:lang w:val="en-US"/>
        </w:rPr>
        <w:t xml:space="preserve"> characterized by the </w:t>
      </w:r>
      <w:r w:rsidR="004F61A0" w:rsidRPr="00F06EA4">
        <w:rPr>
          <w:rFonts w:cs="AdvOT88ac8687"/>
          <w:lang w:val="en-US"/>
        </w:rPr>
        <w:t>emergence</w:t>
      </w:r>
      <w:r w:rsidR="00295DF6" w:rsidRPr="00F06EA4">
        <w:rPr>
          <w:rFonts w:cs="AdvOT88ac8687"/>
          <w:lang w:val="en-US"/>
        </w:rPr>
        <w:t xml:space="preserve"> of immature myeloid cells</w:t>
      </w:r>
      <w:r w:rsidR="00D035DE" w:rsidRPr="00F06EA4">
        <w:rPr>
          <w:rFonts w:cs="AdvOT88ac8687"/>
          <w:lang w:val="en-US"/>
        </w:rPr>
        <w:t xml:space="preserve"> in the circulation and in peripheral tissues</w:t>
      </w:r>
      <w:r w:rsidR="00295DF6" w:rsidRPr="00F06EA4">
        <w:rPr>
          <w:rFonts w:cs="AdvOT88ac8687"/>
          <w:lang w:val="en-US"/>
        </w:rPr>
        <w:fldChar w:fldCharType="begin" w:fldLock="1"/>
      </w:r>
      <w:r w:rsidR="00F45F97" w:rsidRPr="00F06EA4">
        <w:rPr>
          <w:rFonts w:cs="AdvOT88ac8687"/>
          <w:lang w:val="en-US"/>
        </w:rPr>
        <w:instrText>ADDIN CSL_CITATION {"citationItems":[{"id":"ITEM-1","itemData":{"DOI":"10.1038/ncomms12150","ISBN":"2041-1723 (Electronic)\\r2041-1723 (Linking)","ISSN":"2041-1723","PMID":"27381735","abstract":"Myeloid-derived suppressor cells (MDSCs) have emerged as major regulators of immune responses in cancer and other pathological conditions. In recent years, ample evidence supports key contributions of MDSC to tumour progression through both immune-mediated mechanisms and those not directly associated with immune suppression. MDSC are the subject of intensive research with &gt;500 papers published in 2015 alone. However, the phenotypic, morphological and functional heterogeneity of these cells generates confusion in investigation and analysis of their roles in inflammatory responses. The purpose of this communication is to suggest characterization standards in the burgeoning field of MDSC research.","author":[{"dropping-particle":"","family":"Bronte","given":"Vincenzo","non-dropping-particle":"","parse-names":false,"suffix":""},{"dropping-particle":"","family":"Brandau","given":"Sven","non-dropping-particle":"","parse-names":false,"suffix":""},{"dropping-particle":"","family":"Chen","given":"Shu-Hsia","non-dropping-particle":"","parse-names":false,"suffix":""},{"dropping-particle":"","family":"Colombo","given":"Mario P.","non-dropping-particle":"","parse-names":false,"suffix":""},{"dropping-particle":"","family":"Frey","given":"Alan B.","non-dropping-particle":"","parse-names":false,"suffix":""},{"dropping-particle":"","family":"Greten","given":"Tim F.","non-dropping-particle":"","parse-names":false,"suffix":""},{"dropping-particle":"","family":"Mandruzzato","given":"Susanna","non-dropping-particle":"","parse-names":false,"suffix":""},{"dropping-particle":"","family":"Murray","given":"Peter J.","non-dropping-particle":"","parse-names":false,"suffix":""},{"dropping-particle":"","family":"Ochoa","given":"Augusto","non-dropping-particle":"","parse-names":false,"suffix":""},{"dropping-particle":"","family":"Ostrand-Rosenberg","given":"Suzanne","non-dropping-particle":"","parse-names":false,"suffix":""},{"dropping-particle":"","family":"Rodriguez","given":"Paulo C.","non-dropping-particle":"","parse-names":false,"suffix":""},{"dropping-particle":"","family":"Sica","given":"Antonio","non-dropping-particle":"","parse-names":false,"suffix":""},{"dropping-particle":"","family":"Umansky","given":"Viktor","non-dropping-particle":"","parse-names":false,"suffix":""},{"dropping-particle":"","family":"Vonderheide","given":"Robert H.","non-dropping-particle":"","parse-names":false,"suffix":""},{"dropping-particle":"","family":"Gabrilovich","given":"Dmitry I.","non-dropping-particle":"","parse-names":false,"suffix":""}],"container-title":"Nature communications","id":"ITEM-1","issued":{"date-parts":[["2016"]]},"page":"12150","title":"Recommendations for myeloid-derived suppressor cell nomenclature and characterization standards.","type":"article-journal","volume":"7"},"uris":["http://www.mendeley.com/documents/?uuid=c4e1b871-8b46-4ff5-ab48-d68d14e31813"]}],"mendeley":{"formattedCitation":"&lt;sup&gt;[87]&lt;/sup&gt;","plainTextFormattedCitation":"[87]","previouslyFormattedCitation":"&lt;sup&gt;[87]&lt;/sup&gt;"},"properties":{"noteIndex":0},"schema":"https://github.com/citation-style-language/schema/raw/master/csl-citation.json"}</w:instrText>
      </w:r>
      <w:r w:rsidR="00295DF6" w:rsidRPr="00F06EA4">
        <w:rPr>
          <w:rFonts w:cs="AdvOT88ac8687"/>
          <w:lang w:val="en-US"/>
        </w:rPr>
        <w:fldChar w:fldCharType="separate"/>
      </w:r>
      <w:r w:rsidR="00F45F97" w:rsidRPr="00F06EA4">
        <w:rPr>
          <w:rFonts w:cs="AdvOT88ac8687"/>
          <w:noProof/>
          <w:vertAlign w:val="superscript"/>
          <w:lang w:val="en-US"/>
        </w:rPr>
        <w:t>[87]</w:t>
      </w:r>
      <w:r w:rsidR="00295DF6" w:rsidRPr="00F06EA4">
        <w:rPr>
          <w:rFonts w:cs="AdvOT88ac8687"/>
          <w:lang w:val="en-US"/>
        </w:rPr>
        <w:fldChar w:fldCharType="end"/>
      </w:r>
      <w:r w:rsidR="00295DF6" w:rsidRPr="00F06EA4">
        <w:rPr>
          <w:rFonts w:cs="AdvOT88ac8687"/>
          <w:lang w:val="en-US"/>
        </w:rPr>
        <w:t>.</w:t>
      </w:r>
      <w:r w:rsidR="00D035DE" w:rsidRPr="00F06EA4">
        <w:rPr>
          <w:rFonts w:cs="AdvOT88ac8687"/>
          <w:lang w:val="en-US"/>
        </w:rPr>
        <w:t xml:space="preserve"> Many of these cells have </w:t>
      </w:r>
      <w:r w:rsidR="000B77A9" w:rsidRPr="00F06EA4">
        <w:rPr>
          <w:rFonts w:cs="AdvOT88ac8687"/>
          <w:lang w:val="en-US"/>
        </w:rPr>
        <w:t>been reported to harbor immunosuppressive function</w:t>
      </w:r>
      <w:r w:rsidRPr="00F06EA4">
        <w:rPr>
          <w:rFonts w:cs="AdvOT88ac8687"/>
          <w:lang w:val="en-US"/>
        </w:rPr>
        <w:t>s</w:t>
      </w:r>
      <w:r w:rsidR="000B77A9" w:rsidRPr="00F06EA4">
        <w:rPr>
          <w:rFonts w:cs="AdvOT88ac8687"/>
          <w:lang w:val="en-US"/>
        </w:rPr>
        <w:t>, and th</w:t>
      </w:r>
      <w:r w:rsidR="00A90B8A" w:rsidRPr="00F06EA4">
        <w:rPr>
          <w:rFonts w:cs="AdvOT88ac8687"/>
          <w:lang w:val="en-US"/>
        </w:rPr>
        <w:t>is</w:t>
      </w:r>
      <w:r w:rsidR="000B77A9" w:rsidRPr="00F06EA4">
        <w:rPr>
          <w:rFonts w:cs="AdvOT88ac8687"/>
          <w:lang w:val="en-US"/>
        </w:rPr>
        <w:t xml:space="preserve"> group of </w:t>
      </w:r>
      <w:r w:rsidR="00BF2868" w:rsidRPr="00F06EA4">
        <w:rPr>
          <w:rFonts w:cs="AdvOT88ac8687"/>
          <w:lang w:val="en-US"/>
        </w:rPr>
        <w:t xml:space="preserve">myeloid progenitor cells with </w:t>
      </w:r>
      <w:r w:rsidR="00D52920" w:rsidRPr="00F06EA4">
        <w:rPr>
          <w:rFonts w:cs="AdvOT88ac8687"/>
          <w:lang w:val="en-US"/>
        </w:rPr>
        <w:t>immunosuppressive</w:t>
      </w:r>
      <w:r w:rsidR="00BF2868" w:rsidRPr="00F06EA4">
        <w:rPr>
          <w:rFonts w:cs="AdvOT88ac8687"/>
          <w:lang w:val="en-US"/>
        </w:rPr>
        <w:t xml:space="preserve"> activity has been named as </w:t>
      </w:r>
      <w:r w:rsidR="00977DED" w:rsidRPr="00F06EA4">
        <w:rPr>
          <w:rFonts w:cs="AdvOT88ac8687"/>
          <w:lang w:val="en-US"/>
        </w:rPr>
        <w:t>myeloid derived suppressor cells (</w:t>
      </w:r>
      <w:r w:rsidR="00BF2868" w:rsidRPr="00F06EA4">
        <w:rPr>
          <w:rFonts w:cs="AdvOT88ac8687"/>
          <w:lang w:val="en-US"/>
        </w:rPr>
        <w:t>MDSCs</w:t>
      </w:r>
      <w:r w:rsidR="00977DED" w:rsidRPr="00F06EA4">
        <w:rPr>
          <w:rFonts w:cs="AdvOT88ac8687"/>
          <w:lang w:val="en-US"/>
        </w:rPr>
        <w:t>)</w:t>
      </w:r>
      <w:r w:rsidR="00991EAD" w:rsidRPr="00F06EA4">
        <w:rPr>
          <w:rFonts w:cs="AdvOT88ac8687"/>
          <w:lang w:val="en-US"/>
        </w:rPr>
        <w:fldChar w:fldCharType="begin" w:fldLock="1"/>
      </w:r>
      <w:r w:rsidR="00F45F97" w:rsidRPr="00F06EA4">
        <w:rPr>
          <w:rFonts w:cs="AdvOT88ac8687"/>
          <w:lang w:val="en-US"/>
        </w:rPr>
        <w:instrText>ADDIN CSL_CITATION {"citationItems":[{"id":"ITEM-1","itemData":{"DOI":"10.1007/s00262-012-1269-6","ISSN":"1432-0851","PMID":"22546994","abstract":"Immune suppressive myeloid-derived suppressor cells (MDSC) are present in most cancer patients where they inhibit innate anti-tumor immunity and are a significant obstacle to cancer immunotherapy. Inflammation is a known inducer of Gr1(+)CD11b(+) MDSC; however, the factors/conditions that regulate MDSC survival and half-life have not been identified. We have used mass spectrometry (MS) and proteomic analysis to identify proteins and pathways that regulate MDSC survival. This analysis revealed high expression of caspase family proteins and the Fas-FasL, p38 MAPK, and TGFβ pathways, suggesting that Fas-FasL apoptosis regulates MDSC survival. Flow cytometry, confocal microscopy, and western blot analyses confirmed the MS findings and demonstrated that Fas(+) MDSC are susceptible to Fas-mediated killing in vitro. In vivo studies with FasL-deficient and Fas-deficient mice demonstrated that Fas-FasL interactions are essential for MDSC apoptosis and for rejection of established metastatic disease and survival and that FasL(+) T cells are the effector population mediating MDSC apoptosis. MS findings validated by biological experiments demonstrated that inflammation increases MDSC levels by protecting MDSC from Fas-mediated apoptosis, possibly by activating p38 MAPK. These results demonstrate that MDSC half-life in vivo is regulated by FasL(+) T cells and that inflammation increases MDSC levels by conferring resistance to Fas-mediated apoptosis and identifies T cells as the relevant effector cells causing MDSC apoptosis in vivo. This newly recognized mechanism for regulating MDSC levels identifies potential new targets for decreasing MDSC in cancer patients.","author":[{"dropping-particle":"","family":"Ostrand-Rosenberg","given":"Suzanne","non-dropping-particle":"","parse-names":false,"suffix":""},{"dropping-particle":"","family":"Sinha","given":"Pratima","non-dropping-particle":"","parse-names":false,"suffix":""},{"dropping-particle":"","family":"Chornoguz","given":"Olesya","non-dropping-particle":"","parse-names":false,"suffix":""},{"dropping-particle":"","family":"Ecker","given":"Christopher","non-dropping-particle":"","parse-names":false,"suffix":""}],"container-title":"Cancer immunology, immunotherapy : CII","id":"ITEM-1","issue":"8","issued":{"date-parts":[["2012","8"]]},"page":"1319-25","title":"Regulating the suppressors: apoptosis and inflammation govern the survival of tumor-induced myeloid-derived suppressor cells (MDSC).","type":"article-journal","volume":"61"},"uris":["http://www.mendeley.com/documents/?uuid=710f86df-26a7-4253-bed3-53324efd650b"]},{"id":"ITEM-2","itemData":{"DOI":"10.1038/ncomms12150","ISBN":"2041-1723 (Electronic)\\r2041-1723 (Linking)","ISSN":"2041-1723","PMID":"27381735","abstract":"Myeloid-derived suppressor cells (MDSCs) have emerged as major regulators of immune responses in cancer and other pathological conditions. In recent years, ample evidence supports key contributions of MDSC to tumour progression through both immune-mediated mechanisms and those not directly associated with immune suppression. MDSC are the subject of intensive research with &gt;500 papers published in 2015 alone. However, the phenotypic, morphological and functional heterogeneity of these cells generates confusion in investigation and analysis of their roles in inflammatory responses. The purpose of this communication is to suggest characterization standards in the burgeoning field of MDSC research.","author":[{"dropping-particle":"","family":"Bronte","given":"Vincenzo","non-dropping-particle":"","parse-names":false,"suffix":""},{"dropping-particle":"","family":"Brandau","given":"Sven","non-dropping-particle":"","parse-names":false,"suffix":""},{"dropping-particle":"","family":"Chen","given":"Shu-Hsia","non-dropping-particle":"","parse-names":false,"suffix":""},{"dropping-particle":"","family":"Colombo","given":"Mario P.","non-dropping-particle":"","parse-names":false,"suffix":""},{"dropping-particle":"","family":"Frey","given":"Alan B.","non-dropping-particle":"","parse-names":false,"suffix":""},{"dropping-particle":"","family":"Greten","given":"Tim F.","non-dropping-particle":"","parse-names":false,"suffix":""},{"dropping-particle":"","family":"Mandruzzato","given":"Susanna","non-dropping-particle":"","parse-names":false,"suffix":""},{"dropping-particle":"","family":"Murray","given":"Peter J.","non-dropping-particle":"","parse-names":false,"suffix":""},{"dropping-particle":"","family":"Ochoa","given":"Augusto","non-dropping-particle":"","parse-names":false,"suffix":""},{"dropping-particle":"","family":"Ostrand-Rosenberg","given":"Suzanne","non-dropping-particle":"","parse-names":false,"suffix":""},{"dropping-particle":"","family":"Rodriguez","given":"Paulo C.","non-dropping-particle":"","parse-names":false,"suffix":""},{"dropping-particle":"","family":"Sica","given":"Antonio","non-dropping-particle":"","parse-names":false,"suffix":""},{"dropping-particle":"","family":"Umansky","given":"Viktor","non-dropping-particle":"","parse-names":false,"suffix":""},{"dropping-particle":"","family":"Vonderheide","given":"Robert H.","non-dropping-particle":"","parse-names":false,"suffix":""},{"dropping-particle":"","family":"Gabrilovich","given":"Dmitry I.","non-dropping-particle":"","parse-names":false,"suffix":""}],"container-title":"Nature communications","id":"ITEM-2","issued":{"date-parts":[["2016"]]},"page":"12150","title":"Recommendations for myeloid-derived suppressor cell nomenclature and characterization standards.","type":"article-journal","volume":"7"},"uris":["http://www.mendeley.com/documents/?uuid=c4e1b871-8b46-4ff5-ab48-d68d14e31813"]}],"mendeley":{"formattedCitation":"&lt;sup&gt;[87,88]&lt;/sup&gt;","plainTextFormattedCitation":"[87,88]","previouslyFormattedCitation":"&lt;sup&gt;[87,88]&lt;/sup&gt;"},"properties":{"noteIndex":0},"schema":"https://github.com/citation-style-language/schema/raw/master/csl-citation.json"}</w:instrText>
      </w:r>
      <w:r w:rsidR="00991EAD" w:rsidRPr="00F06EA4">
        <w:rPr>
          <w:rFonts w:cs="AdvOT88ac8687"/>
          <w:lang w:val="en-US"/>
        </w:rPr>
        <w:fldChar w:fldCharType="separate"/>
      </w:r>
      <w:r w:rsidR="00F45F97" w:rsidRPr="00F06EA4">
        <w:rPr>
          <w:rFonts w:cs="AdvOT88ac8687"/>
          <w:noProof/>
          <w:vertAlign w:val="superscript"/>
          <w:lang w:val="en-US"/>
        </w:rPr>
        <w:t>[87,88]</w:t>
      </w:r>
      <w:r w:rsidR="00991EAD" w:rsidRPr="00F06EA4">
        <w:rPr>
          <w:rFonts w:cs="AdvOT88ac8687"/>
          <w:lang w:val="en-US"/>
        </w:rPr>
        <w:fldChar w:fldCharType="end"/>
      </w:r>
      <w:r w:rsidR="00BF2868" w:rsidRPr="00F06EA4">
        <w:rPr>
          <w:rFonts w:cs="AdvOT88ac8687"/>
          <w:lang w:val="en-US"/>
        </w:rPr>
        <w:t>.</w:t>
      </w:r>
      <w:r w:rsidR="00977DED" w:rsidRPr="00F06EA4">
        <w:rPr>
          <w:rFonts w:cs="AdvOT88ac8687"/>
          <w:lang w:val="en-US"/>
        </w:rPr>
        <w:t xml:space="preserve"> In the peripheral blood, human </w:t>
      </w:r>
      <w:r w:rsidR="00991EAD" w:rsidRPr="00F06EA4">
        <w:rPr>
          <w:rFonts w:cs="AdvOT88ac8687"/>
          <w:lang w:val="en-US"/>
        </w:rPr>
        <w:t xml:space="preserve">polymorphonuclear </w:t>
      </w:r>
      <w:r w:rsidR="00977DED" w:rsidRPr="00F06EA4">
        <w:rPr>
          <w:rFonts w:cs="AdvOT88ac8687"/>
          <w:lang w:val="en-US"/>
        </w:rPr>
        <w:t xml:space="preserve">MDSCs </w:t>
      </w:r>
      <w:r w:rsidR="000E188B" w:rsidRPr="00F06EA4">
        <w:rPr>
          <w:rFonts w:cs="AdvOT88ac8687"/>
          <w:lang w:val="en-US"/>
        </w:rPr>
        <w:t>are CD11b</w:t>
      </w:r>
      <w:r w:rsidR="000E188B" w:rsidRPr="00F06EA4">
        <w:rPr>
          <w:rFonts w:cs="AdvOT88ac8687"/>
          <w:vertAlign w:val="superscript"/>
          <w:lang w:val="en-US"/>
        </w:rPr>
        <w:t>+</w:t>
      </w:r>
      <w:r w:rsidR="000E188B" w:rsidRPr="00F06EA4">
        <w:rPr>
          <w:rFonts w:cs="AdvOT88ac8687"/>
          <w:lang w:val="en-US"/>
        </w:rPr>
        <w:t>CD14</w:t>
      </w:r>
      <w:r w:rsidR="000E188B" w:rsidRPr="00F06EA4">
        <w:rPr>
          <w:rFonts w:cs="AdvOT88ac8687"/>
          <w:vertAlign w:val="superscript"/>
          <w:lang w:val="en-US"/>
        </w:rPr>
        <w:t>-</w:t>
      </w:r>
      <w:r w:rsidR="000E188B" w:rsidRPr="00F06EA4">
        <w:rPr>
          <w:rFonts w:cs="AdvOT88ac8687"/>
          <w:lang w:val="en-US"/>
        </w:rPr>
        <w:t>CD15</w:t>
      </w:r>
      <w:r w:rsidR="000E188B" w:rsidRPr="00F06EA4">
        <w:rPr>
          <w:rFonts w:cs="AdvOT88ac8687"/>
          <w:vertAlign w:val="superscript"/>
          <w:lang w:val="en-US"/>
        </w:rPr>
        <w:t>+</w:t>
      </w:r>
      <w:r w:rsidR="000E188B" w:rsidRPr="00F06EA4">
        <w:rPr>
          <w:rFonts w:cs="AdvOT88ac8687"/>
          <w:lang w:val="en-US"/>
        </w:rPr>
        <w:t xml:space="preserve"> and monocytic MDSCs are CD11b</w:t>
      </w:r>
      <w:r w:rsidR="000E188B" w:rsidRPr="00F06EA4">
        <w:rPr>
          <w:rFonts w:cs="AdvOT88ac8687"/>
          <w:vertAlign w:val="superscript"/>
          <w:lang w:val="en-US"/>
        </w:rPr>
        <w:t>+</w:t>
      </w:r>
      <w:r w:rsidR="000E188B" w:rsidRPr="00F06EA4">
        <w:rPr>
          <w:rFonts w:cs="AdvOT88ac8687"/>
          <w:lang w:val="en-US"/>
        </w:rPr>
        <w:t>CD14</w:t>
      </w:r>
      <w:r w:rsidR="000E188B" w:rsidRPr="00F06EA4">
        <w:rPr>
          <w:rFonts w:cs="AdvOT88ac8687"/>
          <w:vertAlign w:val="superscript"/>
          <w:lang w:val="en-US"/>
        </w:rPr>
        <w:t>+</w:t>
      </w:r>
      <w:r w:rsidR="000E188B" w:rsidRPr="00F06EA4">
        <w:rPr>
          <w:rFonts w:cs="AdvOT88ac8687"/>
          <w:lang w:val="en-US"/>
        </w:rPr>
        <w:t>CD15</w:t>
      </w:r>
      <w:r w:rsidR="000E188B" w:rsidRPr="00F06EA4">
        <w:rPr>
          <w:rFonts w:cs="AdvOT88ac8687"/>
          <w:vertAlign w:val="superscript"/>
          <w:lang w:val="en-US"/>
        </w:rPr>
        <w:t>-</w:t>
      </w:r>
      <w:r w:rsidR="00405EF7" w:rsidRPr="00F06EA4">
        <w:rPr>
          <w:rFonts w:cs="AdvOT88ac8687"/>
          <w:lang w:val="en-US"/>
        </w:rPr>
        <w:t>HLADR</w:t>
      </w:r>
      <w:r w:rsidR="00405EF7" w:rsidRPr="00F06EA4">
        <w:rPr>
          <w:rFonts w:cs="AdvOT88ac8687"/>
          <w:vertAlign w:val="superscript"/>
          <w:lang w:val="en-US"/>
        </w:rPr>
        <w:t>-/low</w:t>
      </w:r>
      <w:r w:rsidR="003E5C2A" w:rsidRPr="00F06EA4">
        <w:rPr>
          <w:rFonts w:cs="AdvOT88ac8687"/>
          <w:vertAlign w:val="superscript"/>
          <w:lang w:val="en-US"/>
        </w:rPr>
        <w:fldChar w:fldCharType="begin" w:fldLock="1"/>
      </w:r>
      <w:r w:rsidR="00F45F97" w:rsidRPr="00F06EA4">
        <w:rPr>
          <w:rFonts w:cs="AdvOT88ac8687"/>
          <w:vertAlign w:val="superscript"/>
          <w:lang w:val="en-US"/>
        </w:rPr>
        <w:instrText>ADDIN CSL_CITATION {"citationItems":[{"id":"ITEM-1","itemData":{"DOI":"10.1038/ncomms12150","ISBN":"2041-1723 (Electronic)\\r2041-1723 (Linking)","ISSN":"2041-1723","PMID":"27381735","abstract":"Myeloid-derived suppressor cells (MDSCs) have emerged as major regulators of immune responses in cancer and other pathological conditions. In recent years, ample evidence supports key contributions of MDSC to tumour progression through both immune-mediated mechanisms and those not directly associated with immune suppression. MDSC are the subject of intensive research with &gt;500 papers published in 2015 alone. However, the phenotypic, morphological and functional heterogeneity of these cells generates confusion in investigation and analysis of their roles in inflammatory responses. The purpose of this communication is to suggest characterization standards in the burgeoning field of MDSC research.","author":[{"dropping-particle":"","family":"Bronte","given":"Vincenzo","non-dropping-particle":"","parse-names":false,"suffix":""},{"dropping-particle":"","family":"Brandau","given":"Sven","non-dropping-particle":"","parse-names":false,"suffix":""},{"dropping-particle":"","family":"Chen","given":"Shu-Hsia","non-dropping-particle":"","parse-names":false,"suffix":""},{"dropping-particle":"","family":"Colombo","given":"Mario P.","non-dropping-particle":"","parse-names":false,"suffix":""},{"dropping-particle":"","family":"Frey","given":"Alan B.","non-dropping-particle":"","parse-names":false,"suffix":""},{"dropping-particle":"","family":"Greten","given":"Tim F.","non-dropping-particle":"","parse-names":false,"suffix":""},{"dropping-particle":"","family":"Mandruzzato","given":"Susanna","non-dropping-particle":"","parse-names":false,"suffix":""},{"dropping-particle":"","family":"Murray","given":"Peter J.","non-dropping-particle":"","parse-names":false,"suffix":""},{"dropping-particle":"","family":"Ochoa","given":"Augusto","non-dropping-particle":"","parse-names":false,"suffix":""},{"dropping-particle":"","family":"Ostrand-Rosenberg","given":"Suzanne","non-dropping-particle":"","parse-names":false,"suffix":""},{"dropping-particle":"","family":"Rodriguez","given":"Paulo C.","non-dropping-particle":"","parse-names":false,"suffix":""},{"dropping-particle":"","family":"Sica","given":"Antonio","non-dropping-particle":"","parse-names":false,"suffix":""},{"dropping-particle":"","family":"Umansky","given":"Viktor","non-dropping-particle":"","parse-names":false,"suffix":""},{"dropping-particle":"","family":"Vonderheide","given":"Robert H.","non-dropping-particle":"","parse-names":false,"suffix":""},{"dropping-particle":"","family":"Gabrilovich","given":"Dmitry I.","non-dropping-particle":"","parse-names":false,"suffix":""}],"container-title":"Nature communications","id":"ITEM-1","issued":{"date-parts":[["2016"]]},"page":"12150","title":"Recommendations for myeloid-derived suppressor cell nomenclature and characterization standards.","type":"article-journal","volume":"7"},"uris":["http://www.mendeley.com/documents/?uuid=c4e1b871-8b46-4ff5-ab48-d68d14e31813"]}],"mendeley":{"formattedCitation":"&lt;sup&gt;[87]&lt;/sup&gt;","plainTextFormattedCitation":"[87]","previouslyFormattedCitation":"&lt;sup&gt;[87]&lt;/sup&gt;"},"properties":{"noteIndex":0},"schema":"https://github.com/citation-style-language/schema/raw/master/csl-citation.json"}</w:instrText>
      </w:r>
      <w:r w:rsidR="003E5C2A" w:rsidRPr="00F06EA4">
        <w:rPr>
          <w:rFonts w:cs="AdvOT88ac8687"/>
          <w:vertAlign w:val="superscript"/>
          <w:lang w:val="en-US"/>
        </w:rPr>
        <w:fldChar w:fldCharType="separate"/>
      </w:r>
      <w:r w:rsidR="00F45F97" w:rsidRPr="00F06EA4">
        <w:rPr>
          <w:rFonts w:cs="AdvOT88ac8687"/>
          <w:noProof/>
          <w:vertAlign w:val="superscript"/>
          <w:lang w:val="en-US"/>
        </w:rPr>
        <w:t>[87]</w:t>
      </w:r>
      <w:r w:rsidR="003E5C2A" w:rsidRPr="00F06EA4">
        <w:rPr>
          <w:rFonts w:cs="AdvOT88ac8687"/>
          <w:vertAlign w:val="superscript"/>
          <w:lang w:val="en-US"/>
        </w:rPr>
        <w:fldChar w:fldCharType="end"/>
      </w:r>
      <w:r w:rsidR="00405EF7" w:rsidRPr="00F06EA4">
        <w:rPr>
          <w:rFonts w:cs="AdvOT88ac8687"/>
          <w:lang w:val="en-US"/>
        </w:rPr>
        <w:t xml:space="preserve">. In addition to these gating criteria, </w:t>
      </w:r>
      <w:r w:rsidR="00483505" w:rsidRPr="00F06EA4">
        <w:rPr>
          <w:rFonts w:cs="AdvOT88ac8687"/>
          <w:lang w:val="en-US"/>
        </w:rPr>
        <w:t xml:space="preserve">functional </w:t>
      </w:r>
      <w:r w:rsidR="003B0324" w:rsidRPr="00F06EA4">
        <w:rPr>
          <w:rFonts w:cs="AdvOT88ac8687"/>
          <w:lang w:val="en-US"/>
        </w:rPr>
        <w:t xml:space="preserve">suppression </w:t>
      </w:r>
      <w:r w:rsidR="00595FD4" w:rsidRPr="00F06EA4">
        <w:rPr>
          <w:rFonts w:cs="AdvOT88ac8687"/>
          <w:lang w:val="en-US"/>
        </w:rPr>
        <w:t xml:space="preserve">assays are required to precisely define </w:t>
      </w:r>
      <w:r w:rsidR="003B0324" w:rsidRPr="00F06EA4">
        <w:rPr>
          <w:rFonts w:cs="AdvOT88ac8687"/>
          <w:lang w:val="en-US"/>
        </w:rPr>
        <w:t>MDSCs because of the overlap between their phenotype with</w:t>
      </w:r>
      <w:r w:rsidR="0033718B" w:rsidRPr="00F06EA4">
        <w:rPr>
          <w:rFonts w:cs="AdvOT88ac8687"/>
          <w:lang w:val="en-US"/>
        </w:rPr>
        <w:t xml:space="preserve"> </w:t>
      </w:r>
      <w:r w:rsidR="00DD2BE5" w:rsidRPr="00F06EA4">
        <w:rPr>
          <w:rFonts w:cs="AdvOT88ac8687"/>
          <w:lang w:val="en-US"/>
        </w:rPr>
        <w:t xml:space="preserve">that </w:t>
      </w:r>
      <w:r w:rsidR="0033718B" w:rsidRPr="00F06EA4">
        <w:rPr>
          <w:rFonts w:cs="AdvOT88ac8687"/>
          <w:lang w:val="en-US"/>
        </w:rPr>
        <w:t>of more mature monocytes and granulocytes</w:t>
      </w:r>
      <w:r w:rsidR="003E5C2A" w:rsidRPr="00F06EA4">
        <w:rPr>
          <w:rFonts w:cs="AdvOT88ac8687"/>
          <w:lang w:val="en-US"/>
        </w:rPr>
        <w:fldChar w:fldCharType="begin" w:fldLock="1"/>
      </w:r>
      <w:r w:rsidR="00F45F97" w:rsidRPr="00F06EA4">
        <w:rPr>
          <w:rFonts w:cs="AdvOT88ac8687"/>
          <w:lang w:val="en-US"/>
        </w:rPr>
        <w:instrText>ADDIN CSL_CITATION {"citationItems":[{"id":"ITEM-1","itemData":{"DOI":"10.1038/ncomms12150","ISBN":"2041-1723 (Electronic)\\r2041-1723 (Linking)","ISSN":"2041-1723","PMID":"27381735","abstract":"Myeloid-derived suppressor cells (MDSCs) have emerged as major regulators of immune responses in cancer and other pathological conditions. In recent years, ample evidence supports key contributions of MDSC to tumour progression through both immune-mediated mechanisms and those not directly associated with immune suppression. MDSC are the subject of intensive research with &gt;500 papers published in 2015 alone. However, the phenotypic, morphological and functional heterogeneity of these cells generates confusion in investigation and analysis of their roles in inflammatory responses. The purpose of this communication is to suggest characterization standards in the burgeoning field of MDSC research.","author":[{"dropping-particle":"","family":"Bronte","given":"Vincenzo","non-dropping-particle":"","parse-names":false,"suffix":""},{"dropping-particle":"","family":"Brandau","given":"Sven","non-dropping-particle":"","parse-names":false,"suffix":""},{"dropping-particle":"","family":"Chen","given":"Shu-Hsia","non-dropping-particle":"","parse-names":false,"suffix":""},{"dropping-particle":"","family":"Colombo","given":"Mario P.","non-dropping-particle":"","parse-names":false,"suffix":""},{"dropping-particle":"","family":"Frey","given":"Alan B.","non-dropping-particle":"","parse-names":false,"suffix":""},{"dropping-particle":"","family":"Greten","given":"Tim F.","non-dropping-particle":"","parse-names":false,"suffix":""},{"dropping-particle":"","family":"Mandruzzato","given":"Susanna","non-dropping-particle":"","parse-names":false,"suffix":""},{"dropping-particle":"","family":"Murray","given":"Peter J.","non-dropping-particle":"","parse-names":false,"suffix":""},{"dropping-particle":"","family":"Ochoa","given":"Augusto","non-dropping-particle":"","parse-names":false,"suffix":""},{"dropping-particle":"","family":"Ostrand-Rosenberg","given":"Suzanne","non-dropping-particle":"","parse-names":false,"suffix":""},{"dropping-particle":"","family":"Rodriguez","given":"Paulo C.","non-dropping-particle":"","parse-names":false,"suffix":""},{"dropping-particle":"","family":"Sica","given":"Antonio","non-dropping-particle":"","parse-names":false,"suffix":""},{"dropping-particle":"","family":"Umansky","given":"Viktor","non-dropping-particle":"","parse-names":false,"suffix":""},{"dropping-particle":"","family":"Vonderheide","given":"Robert H.","non-dropping-particle":"","parse-names":false,"suffix":""},{"dropping-particle":"","family":"Gabrilovich","given":"Dmitry I.","non-dropping-particle":"","parse-names":false,"suffix":""}],"container-title":"Nature communications","id":"ITEM-1","issued":{"date-parts":[["2016"]]},"page":"12150","title":"Recommendations for myeloid-derived suppressor cell nomenclature and characterization standards.","type":"article-journal","volume":"7"},"uris":["http://www.mendeley.com/documents/?uuid=c4e1b871-8b46-4ff5-ab48-d68d14e31813"]}],"mendeley":{"formattedCitation":"&lt;sup&gt;[87]&lt;/sup&gt;","plainTextFormattedCitation":"[87]","previouslyFormattedCitation":"&lt;sup&gt;[87]&lt;/sup&gt;"},"properties":{"noteIndex":0},"schema":"https://github.com/citation-style-language/schema/raw/master/csl-citation.json"}</w:instrText>
      </w:r>
      <w:r w:rsidR="003E5C2A" w:rsidRPr="00F06EA4">
        <w:rPr>
          <w:rFonts w:cs="AdvOT88ac8687"/>
          <w:lang w:val="en-US"/>
        </w:rPr>
        <w:fldChar w:fldCharType="separate"/>
      </w:r>
      <w:r w:rsidR="00F45F97" w:rsidRPr="00F06EA4">
        <w:rPr>
          <w:rFonts w:cs="AdvOT88ac8687"/>
          <w:noProof/>
          <w:vertAlign w:val="superscript"/>
          <w:lang w:val="en-US"/>
        </w:rPr>
        <w:t>[87]</w:t>
      </w:r>
      <w:r w:rsidR="003E5C2A" w:rsidRPr="00F06EA4">
        <w:rPr>
          <w:rFonts w:cs="AdvOT88ac8687"/>
          <w:lang w:val="en-US"/>
        </w:rPr>
        <w:fldChar w:fldCharType="end"/>
      </w:r>
      <w:r w:rsidR="0033718B" w:rsidRPr="00F06EA4">
        <w:rPr>
          <w:rFonts w:cs="AdvOT88ac8687"/>
          <w:lang w:val="en-US"/>
        </w:rPr>
        <w:t>.</w:t>
      </w:r>
      <w:r w:rsidR="007861CE" w:rsidRPr="00F06EA4">
        <w:rPr>
          <w:rFonts w:cs="AdvOT88ac8687"/>
          <w:lang w:val="en-US"/>
        </w:rPr>
        <w:t xml:space="preserve"> </w:t>
      </w:r>
      <w:r w:rsidR="00835303" w:rsidRPr="00F06EA4">
        <w:rPr>
          <w:rFonts w:cs="AdvOT88ac8687"/>
          <w:lang w:val="en-US"/>
        </w:rPr>
        <w:t>Besides</w:t>
      </w:r>
      <w:r w:rsidR="007861CE" w:rsidRPr="00F06EA4">
        <w:rPr>
          <w:rFonts w:cs="AdvOT88ac8687"/>
          <w:lang w:val="en-US"/>
        </w:rPr>
        <w:t xml:space="preserve"> peripheral blood, the presence of cells with MDSC-like phenotype has been reported in human CRC tissue</w:t>
      </w:r>
      <w:r w:rsidR="00835303" w:rsidRPr="00F06EA4">
        <w:rPr>
          <w:rFonts w:cs="AdvOT88ac8687"/>
          <w:lang w:val="en-US"/>
        </w:rPr>
        <w:fldChar w:fldCharType="begin" w:fldLock="1"/>
      </w:r>
      <w:r w:rsidR="00F45F97" w:rsidRPr="00F06EA4">
        <w:rPr>
          <w:rFonts w:cs="AdvOT88ac8687"/>
          <w:lang w:val="en-US"/>
        </w:rPr>
        <w:instrText>ADDIN CSL_CITATION {"citationItems":[{"id":"ITEM-1","itemData":{"DOI":"10.1186/s12967-015-0410-7","ISSN":"1479-5876","PMID":"25638150","abstract":"BACKGROUND Expansions of myeloid-derived suppressor cells (MDSCs) have been identified in human solid tumors, including colorectal cancer (CRC). However, the nature of these tumor-associated MDSCs and their interactions with tumor cells in CRC are still poorly understood. METHODS The percentages and phenotype of MDSCs in peripheral blood and tumorous and paraneoplastic tissues from CRC patients, as well as the clinical relevance of these MDSCs, were assessed. Age-matched healthy donors were included as controls. The interaction between MDSCs and T cells or tumor cells was investigated in a coculture system in vitro, and the molecular mechanism of the effect of MDSCs on T cells or tumor cells was evaluated. RESULTS We discovered that CRC patients had elevated levels of CD33(+)CD11b(+)HLA-DR(-) MDSCs in primary tumor tissues and in peripheral blood, and the elevated circulating MDSCs were correlated with advanced TNM stages and lymph node metastases. Radical resection significantly decreases the proportions of circulating MDSCs and CD4(+)CD25(high)FOXP3(+) regulatory T cells. In vitro, CRC cells mediate the promotion of MDSC induction. Moreover, these tumor-induced MDSCs could suppress T cell proliferation and promote CRC cell growth via cell-to-cell contact. Such effects could be abolished by the inhibition of oxidative metabolism, including the production of nitric oxide (NO), and reactive oxygen species (ROS). CONCLUSIONS Our results reveal the functional interdependence between MDSCs, T cells and cancer cells in CRC pathogenesis. Understanding the impact of MDSCs on T cells and tumor cells will be helpful to establish an immunotherapeutic strategy in CRC patients.","author":[{"dropping-particle":"","family":"OuYang","given":"Li-Ying","non-dropping-particle":"","parse-names":false,"suffix":""},{"dropping-particle":"","family":"Wu","given":"Xiao-Jun","non-dropping-particle":"","parse-names":false,"suffix":""},{"dropping-particle":"","family":"Ye","given":"Shu-Biao","non-dropping-particle":"","parse-names":false,"suffix":""},{"dropping-particle":"","family":"Zhang","given":"Rong-xin","non-dropping-particle":"","parse-names":false,"suffix":""},{"dropping-particle":"","family":"Li","given":"Ze-Lei","non-dropping-particle":"","parse-names":false,"suffix":""},{"dropping-particle":"","family":"Liao","given":"Wei","non-dropping-particle":"","parse-names":false,"suffix":""},{"dropping-particle":"","family":"Pan","given":"Zhi-Zhong","non-dropping-particle":"","parse-names":false,"suffix":""},{"dropping-particle":"","family":"Zheng","given":"Li-Min","non-dropping-particle":"","parse-names":false,"suffix":""},{"dropping-particle":"","family":"Zhang","given":"Xiao-Shi","non-dropping-particle":"","parse-names":false,"suffix":""},{"dropping-particle":"","family":"Wang","given":"Zhong","non-dropping-particle":"","parse-names":false,"suffix":""},{"dropping-particle":"","family":"Li","given":"Qing","non-dropping-particle":"","parse-names":false,"suffix":""},{"dropping-particle":"","family":"Ma","given":"Gang","non-dropping-particle":"","parse-names":false,"suffix":""},{"dropping-particle":"","family":"Li","given":"Jiang","non-dropping-particle":"","parse-names":false,"suffix":""}],"container-title":"Journal of translational medicine","id":"ITEM-1","issue":"1","issued":{"date-parts":[["2015","2"]]},"page":"47","title":"Tumor-induced myeloid-derived suppressor cells promote tumor progression through oxidative metabolism in human colorectal cancer.","type":"article-journal","volume":"13"},"uris":["http://www.mendeley.com/documents/?uuid=b699c2cc-9753-4767-9136-1707da4b8e6b"]}],"mendeley":{"formattedCitation":"&lt;sup&gt;[89]&lt;/sup&gt;","plainTextFormattedCitation":"[89]","previouslyFormattedCitation":"&lt;sup&gt;[89]&lt;/sup&gt;"},"properties":{"noteIndex":0},"schema":"https://github.com/citation-style-language/schema/raw/master/csl-citation.json"}</w:instrText>
      </w:r>
      <w:r w:rsidR="00835303" w:rsidRPr="00F06EA4">
        <w:rPr>
          <w:rFonts w:cs="AdvOT88ac8687"/>
          <w:lang w:val="en-US"/>
        </w:rPr>
        <w:fldChar w:fldCharType="separate"/>
      </w:r>
      <w:r w:rsidR="00F45F97" w:rsidRPr="00F06EA4">
        <w:rPr>
          <w:rFonts w:cs="AdvOT88ac8687"/>
          <w:noProof/>
          <w:vertAlign w:val="superscript"/>
          <w:lang w:val="en-US"/>
        </w:rPr>
        <w:t>[89]</w:t>
      </w:r>
      <w:r w:rsidR="00835303" w:rsidRPr="00F06EA4">
        <w:rPr>
          <w:rFonts w:cs="AdvOT88ac8687"/>
          <w:lang w:val="en-US"/>
        </w:rPr>
        <w:fldChar w:fldCharType="end"/>
      </w:r>
      <w:r w:rsidR="007861CE" w:rsidRPr="00F06EA4">
        <w:rPr>
          <w:rFonts w:cs="AdvOT88ac8687"/>
          <w:lang w:val="en-US"/>
        </w:rPr>
        <w:t>.</w:t>
      </w:r>
      <w:r w:rsidR="00835303" w:rsidRPr="00F06EA4">
        <w:rPr>
          <w:rFonts w:cs="AdvOT88ac8687"/>
          <w:lang w:val="en-US"/>
        </w:rPr>
        <w:t xml:space="preserve"> </w:t>
      </w:r>
    </w:p>
    <w:p w14:paraId="3BE33D6F" w14:textId="11EC1BCD" w:rsidR="00AD66C9" w:rsidRPr="00F06EA4" w:rsidRDefault="00835303" w:rsidP="00F67ED8">
      <w:pPr>
        <w:spacing w:after="0"/>
        <w:ind w:firstLineChars="100" w:firstLine="240"/>
        <w:rPr>
          <w:rFonts w:cs="AdvOT88ac8687"/>
          <w:lang w:val="en-US"/>
        </w:rPr>
      </w:pPr>
      <w:r w:rsidRPr="00F06EA4">
        <w:rPr>
          <w:rFonts w:cs="AdvOT88ac8687"/>
          <w:lang w:val="en-US"/>
        </w:rPr>
        <w:t xml:space="preserve">The mechanisms by which MDSCs </w:t>
      </w:r>
      <w:r w:rsidR="00DE2664" w:rsidRPr="00F06EA4">
        <w:rPr>
          <w:rFonts w:cs="AdvOT88ac8687"/>
          <w:lang w:val="en-US"/>
        </w:rPr>
        <w:t xml:space="preserve">mediate </w:t>
      </w:r>
      <w:r w:rsidR="00715B20" w:rsidRPr="00F06EA4">
        <w:rPr>
          <w:rFonts w:cs="AdvOT88ac8687"/>
          <w:lang w:val="en-US"/>
        </w:rPr>
        <w:t xml:space="preserve">immunosuppression and support </w:t>
      </w:r>
      <w:r w:rsidR="00DE2664" w:rsidRPr="00F06EA4">
        <w:rPr>
          <w:rFonts w:cs="AdvOT88ac8687"/>
          <w:lang w:val="en-US"/>
        </w:rPr>
        <w:t>tumor progression are</w:t>
      </w:r>
      <w:r w:rsidR="00715B20" w:rsidRPr="00F06EA4">
        <w:rPr>
          <w:rFonts w:cs="AdvOT88ac8687"/>
          <w:lang w:val="en-US"/>
        </w:rPr>
        <w:t xml:space="preserve"> complex and not </w:t>
      </w:r>
      <w:r w:rsidR="00DE2664" w:rsidRPr="00F06EA4">
        <w:rPr>
          <w:rFonts w:cs="AdvOT88ac8687"/>
          <w:lang w:val="en-US"/>
        </w:rPr>
        <w:t>fully understood</w:t>
      </w:r>
      <w:r w:rsidR="00715B20" w:rsidRPr="00F06EA4">
        <w:rPr>
          <w:rFonts w:cs="AdvOT88ac8687"/>
          <w:lang w:val="en-US"/>
        </w:rPr>
        <w:fldChar w:fldCharType="begin" w:fldLock="1"/>
      </w:r>
      <w:r w:rsidR="00F45F97" w:rsidRPr="00F06EA4">
        <w:rPr>
          <w:rFonts w:cs="AdvOT88ac8687"/>
          <w:lang w:val="en-US"/>
        </w:rPr>
        <w:instrText>ADDIN CSL_CITATION {"citationItems":[{"id":"ITEM-1","itemData":{"DOI":"10.3389/fimmu.2017.00086","ISBN":"1664-3224 (Linking)","ISSN":"1664-3224","PMID":"28220123","abstract":"Our current understanding of human tumor-resident myeloid cells is, for the most part, based on a large body of work in murine models or studies enumerating myeloid cells in patient tumor samples using immunohistochemistry (IHC). This has led to the establishment of the theory that, by and large, tumor-resident myeloid cells are either \"protumor\" M2 macrophages or myeloid-derived suppressor cells (MDSC). This concept has accelerated our understanding of myeloid cells in tumor progression and enabled the elucidation of many key regulatory mechanisms involved in cell recruitment, polarization, and activation. On the other hand, this paradigm does not embrace the complexity of the tumor-resident myeloid cell phenotype (IHC can only measure 1 or 2 markers per sample) and their possible divergent function in the hostile tumor microenvironment. Here, we examine the criteria that define human tumor-infiltrating myeloid cell subsets and provide a comprehensive and critical review of human myeloid cell nomenclature in cancer. We also highlight new evidence characterizing their contribution to cancer pathogenesis based on evidence derived from clinical studies drawing comparisons with murine studies where necessary. We then review the mechanisms in which myeloid cells are regulated by tumors in humans and how these are being targeted therapeutically.","author":[{"dropping-particle":"","family":"Elliott","given":"Louise A.","non-dropping-particle":"","parse-names":false,"suffix":""},{"dropping-particle":"","family":"Doherty","given":"Glen A.","non-dropping-particle":"","parse-names":false,"suffix":""},{"dropping-particle":"","family":"Sheahan","given":"Kieran","non-dropping-particle":"","parse-names":false,"suffix":""},{"dropping-particle":"","family":"Ryan","given":"Elizabeth J.","non-dropping-particle":"","parse-names":false,"suffix":""}],"container-title":"Frontiers in immunology","id":"ITEM-1","issue":"FEB","issued":{"date-parts":[["2017"]]},"page":"86","title":"Human Tumor-Infiltrating Myeloid Cells: Phenotypic and Functional Diversity.","type":"article-journal","volume":"8"},"uris":["http://www.mendeley.com/documents/?uuid=25cd382d-1829-42b9-afe2-3d070a9622a0"]}],"mendeley":{"formattedCitation":"&lt;sup&gt;[90]&lt;/sup&gt;","plainTextFormattedCitation":"[90]","previouslyFormattedCitation":"&lt;sup&gt;[90]&lt;/sup&gt;"},"properties":{"noteIndex":0},"schema":"https://github.com/citation-style-language/schema/raw/master/csl-citation.json"}</w:instrText>
      </w:r>
      <w:r w:rsidR="00715B20" w:rsidRPr="00F06EA4">
        <w:rPr>
          <w:rFonts w:cs="AdvOT88ac8687"/>
          <w:lang w:val="en-US"/>
        </w:rPr>
        <w:fldChar w:fldCharType="separate"/>
      </w:r>
      <w:r w:rsidR="00F45F97" w:rsidRPr="00F06EA4">
        <w:rPr>
          <w:rFonts w:cs="AdvOT88ac8687"/>
          <w:noProof/>
          <w:vertAlign w:val="superscript"/>
          <w:lang w:val="en-US"/>
        </w:rPr>
        <w:t>[90]</w:t>
      </w:r>
      <w:r w:rsidR="00715B20" w:rsidRPr="00F06EA4">
        <w:rPr>
          <w:rFonts w:cs="AdvOT88ac8687"/>
          <w:lang w:val="en-US"/>
        </w:rPr>
        <w:fldChar w:fldCharType="end"/>
      </w:r>
      <w:r w:rsidR="00DE2664" w:rsidRPr="00F06EA4">
        <w:rPr>
          <w:rFonts w:cs="AdvOT88ac8687"/>
          <w:lang w:val="en-US"/>
        </w:rPr>
        <w:t>.</w:t>
      </w:r>
      <w:r w:rsidR="00F81F5A" w:rsidRPr="00F06EA4">
        <w:rPr>
          <w:rFonts w:cs="AdvOT88ac8687"/>
          <w:lang w:val="en-US"/>
        </w:rPr>
        <w:t xml:space="preserve"> However, several potential key pathways include </w:t>
      </w:r>
      <w:r w:rsidR="00DD2BE5" w:rsidRPr="00F06EA4">
        <w:rPr>
          <w:rFonts w:cs="AdvOT88ac8687"/>
          <w:lang w:val="en-US"/>
        </w:rPr>
        <w:t xml:space="preserve">the </w:t>
      </w:r>
      <w:r w:rsidR="00810A2E" w:rsidRPr="00F06EA4">
        <w:rPr>
          <w:rFonts w:cs="AdvOT88ac8687"/>
          <w:lang w:val="en-US"/>
        </w:rPr>
        <w:t>ARG1 pathway,</w:t>
      </w:r>
      <w:r w:rsidR="00BA3C19" w:rsidRPr="00F06EA4">
        <w:rPr>
          <w:rFonts w:cs="AdvOT88ac8687"/>
          <w:lang w:val="en-US"/>
        </w:rPr>
        <w:t xml:space="preserve"> IDO1-pathway, </w:t>
      </w:r>
      <w:r w:rsidR="00810A2E" w:rsidRPr="00F06EA4">
        <w:rPr>
          <w:rFonts w:cs="AdvOT88ac8687"/>
          <w:lang w:val="en-US"/>
        </w:rPr>
        <w:t xml:space="preserve">PD1/PDL1-pathway, </w:t>
      </w:r>
      <w:r w:rsidR="008A4314" w:rsidRPr="00F06EA4">
        <w:rPr>
          <w:rFonts w:cs="AdvOT88ac8687"/>
          <w:lang w:val="en-US"/>
        </w:rPr>
        <w:t>and cytokine pathways (such as IL10 and IL6)</w:t>
      </w:r>
      <w:r w:rsidR="00BA3C19" w:rsidRPr="00F06EA4">
        <w:rPr>
          <w:rFonts w:cs="AdvOT88ac8687"/>
          <w:lang w:val="en-US"/>
        </w:rPr>
        <w:fldChar w:fldCharType="begin" w:fldLock="1"/>
      </w:r>
      <w:r w:rsidR="00F45F97" w:rsidRPr="00F06EA4">
        <w:rPr>
          <w:rFonts w:cs="AdvOT88ac8687"/>
          <w:lang w:val="en-US"/>
        </w:rPr>
        <w:instrText>ADDIN CSL_CITATION {"citationItems":[{"id":"ITEM-1","itemData":{"DOI":"10.3389/fonc.2014.00349","ISSN":"2234-943X","PMID":"25538893","abstract":"Myeloid-derived suppressor cells (MDSC) are a heterogeneous population of immature myeloid cells that accumulate during pathological conditions such as cancer and are associated with a poor clinical outcome. MDSC expansion hampers the host anti-tumor immune response by inhibition of T cell proliferation, cytokine secretion, and recruitment of regulatory T cells. In addition, MDSC exert non-immunological functions including the promotion of angiogenesis, tumor invasion, and metastasis. Recent years, MDSC are considered as a potential target in solid tumors and hematological malignancies to enhance the effects of currently used immune modulating agents. This review focuses on the characteristics, distribution, functions, cell-cell interactions, and targeting of MDSC in hematological malignancies including multiple myeloma, lymphoma, and leukemia.","author":[{"dropping-particle":"","family":"Veirman","given":"Kim","non-dropping-particle":"De","parse-names":false,"suffix":""},{"dropping-particle":"","family":"Valckenborgh","given":"Els","non-dropping-particle":"Van","parse-names":false,"suffix":""},{"dropping-particle":"","family":"Lahmar","given":"Qods","non-dropping-particle":"","parse-names":false,"suffix":""},{"dropping-particle":"","family":"Geeraerts","given":"Xenia","non-dropping-particle":"","parse-names":false,"suffix":""},{"dropping-particle":"","family":"Bruyne","given":"Elke","non-dropping-particle":"De","parse-names":false,"suffix":""},{"dropping-particle":"","family":"Menu","given":"Eline","non-dropping-particle":"","parse-names":false,"suffix":""},{"dropping-particle":"","family":"Riet","given":"Ivan","non-dropping-particle":"Van","parse-names":false,"suffix":""},{"dropping-particle":"","family":"Vanderkerken","given":"Karin","non-dropping-particle":"","parse-names":false,"suffix":""},{"dropping-particle":"","family":"Ginderachter","given":"Jo A.","non-dropping-particle":"Van","parse-names":false,"suffix":""}],"container-title":"Frontiers in oncology","id":"ITEM-1","issue":"December","issued":{"date-parts":[["2014"]]},"page":"349","title":"Myeloid-derived suppressor cells as therapeutic target in hematological malignancies.","type":"article-journal","volume":"4"},"uris":["http://www.mendeley.com/documents/?uuid=69facbdb-ab17-4c77-98c5-b83346be7a1c"]},{"id":"ITEM-2","itemData":{"DOI":"10.3389/fimmu.2017.00086","ISBN":"1664-3224 (Linking)","ISSN":"1664-3224","PMID":"28220123","abstract":"Our current understanding of human tumor-resident myeloid cells is, for the most part, based on a large body of work in murine models or studies enumerating myeloid cells in patient tumor samples using immunohistochemistry (IHC). This has led to the establishment of the theory that, by and large, tumor-resident myeloid cells are either \"protumor\" M2 macrophages or myeloid-derived suppressor cells (MDSC). This concept has accelerated our understanding of myeloid cells in tumor progression and enabled the elucidation of many key regulatory mechanisms involved in cell recruitment, polarization, and activation. On the other hand, this paradigm does not embrace the complexity of the tumor-resident myeloid cell phenotype (IHC can only measure 1 or 2 markers per sample) and their possible divergent function in the hostile tumor microenvironment. Here, we examine the criteria that define human tumor-infiltrating myeloid cell subsets and provide a comprehensive and critical review of human myeloid cell nomenclature in cancer. We also highlight new evidence characterizing their contribution to cancer pathogenesis based on evidence derived from clinical studies drawing comparisons with murine studies where necessary. We then review the mechanisms in which myeloid cells are regulated by tumors in humans and how these are being targeted therapeutically.","author":[{"dropping-particle":"","family":"Elliott","given":"Louise A.","non-dropping-particle":"","parse-names":false,"suffix":""},{"dropping-particle":"","family":"Doherty","given":"Glen A.","non-dropping-particle":"","parse-names":false,"suffix":""},{"dropping-particle":"","family":"Sheahan","given":"Kieran","non-dropping-particle":"","parse-names":false,"suffix":""},{"dropping-particle":"","family":"Ryan","given":"Elizabeth J.","non-dropping-particle":"","parse-names":false,"suffix":""}],"container-title":"Frontiers in immunology","id":"ITEM-2","issue":"FEB","issued":{"date-parts":[["2017"]]},"page":"86","title":"Human Tumor-Infiltrating Myeloid Cells: Phenotypic and Functional Diversity.","type":"article-journal","volume":"8"},"uris":["http://www.mendeley.com/documents/?uuid=25cd382d-1829-42b9-afe2-3d070a9622a0"]}],"mendeley":{"formattedCitation":"&lt;sup&gt;[90,91]&lt;/sup&gt;","plainTextFormattedCitation":"[90,91]","previouslyFormattedCitation":"&lt;sup&gt;[90,91]&lt;/sup&gt;"},"properties":{"noteIndex":0},"schema":"https://github.com/citation-style-language/schema/raw/master/csl-citation.json"}</w:instrText>
      </w:r>
      <w:r w:rsidR="00BA3C19" w:rsidRPr="00F06EA4">
        <w:rPr>
          <w:rFonts w:cs="AdvOT88ac8687"/>
          <w:lang w:val="en-US"/>
        </w:rPr>
        <w:fldChar w:fldCharType="separate"/>
      </w:r>
      <w:r w:rsidR="00F45F97" w:rsidRPr="00F06EA4">
        <w:rPr>
          <w:rFonts w:cs="AdvOT88ac8687"/>
          <w:noProof/>
          <w:vertAlign w:val="superscript"/>
          <w:lang w:val="en-US"/>
        </w:rPr>
        <w:t>[90,91]</w:t>
      </w:r>
      <w:r w:rsidR="00BA3C19" w:rsidRPr="00F06EA4">
        <w:rPr>
          <w:rFonts w:cs="AdvOT88ac8687"/>
          <w:lang w:val="en-US"/>
        </w:rPr>
        <w:fldChar w:fldCharType="end"/>
      </w:r>
      <w:r w:rsidR="0022495E" w:rsidRPr="00F06EA4">
        <w:rPr>
          <w:rFonts w:cs="AdvOT88ac8687"/>
          <w:lang w:val="en-US"/>
        </w:rPr>
        <w:t xml:space="preserve"> </w:t>
      </w:r>
      <w:r w:rsidR="0022495E" w:rsidRPr="00F06EA4">
        <w:rPr>
          <w:lang w:val="en-US"/>
        </w:rPr>
        <w:t>(</w:t>
      </w:r>
      <w:r w:rsidR="004675EC" w:rsidRPr="00F06EA4">
        <w:rPr>
          <w:lang w:val="en-US"/>
        </w:rPr>
        <w:t>Figure</w:t>
      </w:r>
      <w:r w:rsidR="0022495E" w:rsidRPr="00F06EA4">
        <w:rPr>
          <w:lang w:val="en-US"/>
        </w:rPr>
        <w:t xml:space="preserve"> </w:t>
      </w:r>
      <w:r w:rsidR="00EE5AE4" w:rsidRPr="00F06EA4">
        <w:rPr>
          <w:lang w:val="en-US"/>
        </w:rPr>
        <w:t>3</w:t>
      </w:r>
      <w:r w:rsidR="0022495E" w:rsidRPr="00F06EA4">
        <w:rPr>
          <w:lang w:val="en-US"/>
        </w:rPr>
        <w:t>)</w:t>
      </w:r>
      <w:r w:rsidR="00BA3C19" w:rsidRPr="00F06EA4">
        <w:rPr>
          <w:rFonts w:cs="AdvOT88ac8687"/>
          <w:lang w:val="en-US"/>
        </w:rPr>
        <w:t>.</w:t>
      </w:r>
      <w:r w:rsidR="006D42D0" w:rsidRPr="00F06EA4">
        <w:rPr>
          <w:rFonts w:cs="AdvOT88ac8687"/>
          <w:lang w:val="en-US"/>
        </w:rPr>
        <w:t xml:space="preserve"> L-arginine is </w:t>
      </w:r>
      <w:r w:rsidR="00BA1E42" w:rsidRPr="00F06EA4">
        <w:rPr>
          <w:rFonts w:cs="AdvOT88ac8687"/>
          <w:lang w:val="en-US"/>
        </w:rPr>
        <w:t xml:space="preserve">an amino acid that is </w:t>
      </w:r>
      <w:r w:rsidR="00A50AD1" w:rsidRPr="00F06EA4">
        <w:rPr>
          <w:rFonts w:cs="AdvOT88ac8687"/>
          <w:lang w:val="en-US"/>
        </w:rPr>
        <w:t>consumed by T</w:t>
      </w:r>
      <w:r w:rsidR="00F914F7" w:rsidRPr="00F06EA4">
        <w:rPr>
          <w:rFonts w:cs="AdvOT88ac8687"/>
          <w:lang w:val="en-US"/>
        </w:rPr>
        <w:t xml:space="preserve"> cells and many other immune cells. </w:t>
      </w:r>
      <w:r w:rsidR="001A499E" w:rsidRPr="00F06EA4">
        <w:rPr>
          <w:rFonts w:cs="AdvOT88ac8687"/>
          <w:lang w:val="en-US"/>
        </w:rPr>
        <w:t xml:space="preserve">MDSCs are characterized by high production of ARG1, which </w:t>
      </w:r>
      <w:r w:rsidR="00A50AD1" w:rsidRPr="00F06EA4">
        <w:rPr>
          <w:rFonts w:cs="AdvOT88ac8687"/>
          <w:lang w:val="en-US"/>
        </w:rPr>
        <w:t xml:space="preserve">metabolizes </w:t>
      </w:r>
      <w:r w:rsidR="004E7FBB" w:rsidRPr="00F06EA4">
        <w:rPr>
          <w:rFonts w:cs="AdvOT88ac8687"/>
          <w:lang w:val="en-US"/>
        </w:rPr>
        <w:t xml:space="preserve">L-arginine to L-ornithine and urea, resulting in </w:t>
      </w:r>
      <w:r w:rsidR="001A499E" w:rsidRPr="00F06EA4">
        <w:rPr>
          <w:rFonts w:cs="AdvOT88ac8687"/>
          <w:lang w:val="en-US"/>
        </w:rPr>
        <w:t>L</w:t>
      </w:r>
      <w:r w:rsidR="004E7FBB" w:rsidRPr="00F06EA4">
        <w:rPr>
          <w:rFonts w:cs="AdvOT88ac8687"/>
          <w:lang w:val="en-US"/>
        </w:rPr>
        <w:t>-</w:t>
      </w:r>
      <w:r w:rsidR="001A499E" w:rsidRPr="00F06EA4">
        <w:rPr>
          <w:rFonts w:cs="AdvOT88ac8687"/>
          <w:lang w:val="en-US"/>
        </w:rPr>
        <w:t>a</w:t>
      </w:r>
      <w:r w:rsidR="004E7FBB" w:rsidRPr="00F06EA4">
        <w:rPr>
          <w:rFonts w:cs="AdvOT88ac8687"/>
          <w:lang w:val="en-US"/>
        </w:rPr>
        <w:t xml:space="preserve">rginine depletion </w:t>
      </w:r>
      <w:r w:rsidR="001A499E" w:rsidRPr="00F06EA4">
        <w:rPr>
          <w:rFonts w:cs="AdvOT88ac8687"/>
          <w:lang w:val="en-US"/>
        </w:rPr>
        <w:t>and thus</w:t>
      </w:r>
      <w:r w:rsidR="004E7FBB" w:rsidRPr="00F06EA4">
        <w:rPr>
          <w:rFonts w:cs="AdvOT88ac8687"/>
          <w:lang w:val="en-US"/>
        </w:rPr>
        <w:t xml:space="preserve"> local immune suppression</w:t>
      </w:r>
      <w:r w:rsidR="001A499E" w:rsidRPr="00F06EA4">
        <w:rPr>
          <w:rFonts w:cs="AdvOT88ac8687"/>
          <w:lang w:val="en-US"/>
        </w:rPr>
        <w:fldChar w:fldCharType="begin" w:fldLock="1"/>
      </w:r>
      <w:r w:rsidR="00F45F97" w:rsidRPr="00F06EA4">
        <w:rPr>
          <w:rFonts w:cs="AdvOT88ac8687"/>
          <w:lang w:val="en-US"/>
        </w:rPr>
        <w:instrText>ADDIN CSL_CITATION {"citationItems":[{"id":"ITEM-1","itemData":{"DOI":"10.1111/j.1476-5381.2009.00291.x","ISBN":"1476-5381 (Electronic)\\n0007-1188 (Linking)","ISSN":"1476-5381","PMID":"19764983","abstract":"The enzyme arginase metabolizes L-arginine to L-ornithine and urea. Besides its fundamental role in the hepatic urea cycle, arginase is also expressed the immune system of mice and man. While significant interspecies differences exist regarding expression, subcellular localization and regulation of immune cell arginase, associated pathways of immunopathology are comparable between species. Arginase is induced in murine myeloid cells mainly by Th2 cytokines and inflammatory agents and participates in a variety of inflammatory diseases by down-regulation of nitric oxide synthesis, induction of fibrosis and tissue regeneration. In humans, arginase I is constitutively expressed in polymorphonuclear neutrophils and is liberated during inflammation. Myeloid cell arginase-mediated L-arginine depletion profoundly suppresses T cell immune responses and this has emerged as a fundamental mechanism of inflammation-associated immunosuppression. Pharmacological interference with L-arginine metabolism is a novel promising strategy in the treatment of cancer, autoimmunity or unwanted immune deviation.","author":[{"dropping-particle":"","family":"Munder","given":"Markus","non-dropping-particle":"","parse-names":false,"suffix":""}],"container-title":"British journal of pharmacology","id":"ITEM-1","issue":"3","issued":{"date-parts":[["2009","10"]]},"page":"638-51","title":"Arginase: an emerging key player in the mammalian immune system.","type":"article-journal","volume":"158"},"uris":["http://www.mendeley.com/documents/?uuid=c4403a3b-4d8a-4dd9-a21d-a36a05167814"]}],"mendeley":{"formattedCitation":"&lt;sup&gt;[92]&lt;/sup&gt;","plainTextFormattedCitation":"[92]","previouslyFormattedCitation":"&lt;sup&gt;[92]&lt;/sup&gt;"},"properties":{"noteIndex":0},"schema":"https://github.com/citation-style-language/schema/raw/master/csl-citation.json"}</w:instrText>
      </w:r>
      <w:r w:rsidR="001A499E" w:rsidRPr="00F06EA4">
        <w:rPr>
          <w:rFonts w:cs="AdvOT88ac8687"/>
          <w:lang w:val="en-US"/>
        </w:rPr>
        <w:fldChar w:fldCharType="separate"/>
      </w:r>
      <w:r w:rsidR="00F45F97" w:rsidRPr="00F06EA4">
        <w:rPr>
          <w:rFonts w:cs="AdvOT88ac8687"/>
          <w:noProof/>
          <w:vertAlign w:val="superscript"/>
          <w:lang w:val="en-US"/>
        </w:rPr>
        <w:t>[92]</w:t>
      </w:r>
      <w:r w:rsidR="001A499E" w:rsidRPr="00F06EA4">
        <w:rPr>
          <w:rFonts w:cs="AdvOT88ac8687"/>
          <w:lang w:val="en-US"/>
        </w:rPr>
        <w:fldChar w:fldCharType="end"/>
      </w:r>
      <w:r w:rsidR="001A499E" w:rsidRPr="00F06EA4">
        <w:rPr>
          <w:rFonts w:cs="AdvOT88ac8687"/>
          <w:lang w:val="en-US"/>
        </w:rPr>
        <w:t>. IDO1</w:t>
      </w:r>
      <w:r w:rsidR="00E57DF1" w:rsidRPr="00F06EA4">
        <w:rPr>
          <w:rFonts w:cs="AdvOT88ac8687"/>
          <w:lang w:val="en-US"/>
        </w:rPr>
        <w:t xml:space="preserve">, </w:t>
      </w:r>
      <w:r w:rsidR="00605B4F" w:rsidRPr="00F06EA4">
        <w:rPr>
          <w:rFonts w:cs="AdvOT88ac8687"/>
          <w:lang w:val="en-US"/>
        </w:rPr>
        <w:t>expressed in a subset of MDSCs</w:t>
      </w:r>
      <w:r w:rsidR="00605B4F" w:rsidRPr="00F06EA4">
        <w:rPr>
          <w:rFonts w:cs="AdvOT88ac8687"/>
          <w:lang w:val="en-US"/>
        </w:rPr>
        <w:fldChar w:fldCharType="begin" w:fldLock="1"/>
      </w:r>
      <w:r w:rsidR="00F45F97" w:rsidRPr="00F06EA4">
        <w:rPr>
          <w:rFonts w:cs="AdvOT88ac8687"/>
          <w:lang w:val="en-US"/>
        </w:rPr>
        <w:instrText>ADDIN CSL_CITATION {"citationItems":[{"id":"ITEM-1","itemData":{"DOI":"10.1038/ncomms12150","ISBN":"2041-1723 (Electronic)\\r2041-1723 (Linking)","ISSN":"2041-1723","PMID":"27381735","abstract":"Myeloid-derived suppressor cells (MDSCs) have emerged as major regulators of immune responses in cancer and other pathological conditions. In recent years, ample evidence supports key contributions of MDSC to tumour progression through both immune-mediated mechanisms and those not directly associated with immune suppression. MDSC are the subject of intensive research with &gt;500 papers published in 2015 alone. However, the phenotypic, morphological and functional heterogeneity of these cells generates confusion in investigation and analysis of their roles in inflammatory responses. The purpose of this communication is to suggest characterization standards in the burgeoning field of MDSC research.","author":[{"dropping-particle":"","family":"Bronte","given":"Vincenzo","non-dropping-particle":"","parse-names":false,"suffix":""},{"dropping-particle":"","family":"Brandau","given":"Sven","non-dropping-particle":"","parse-names":false,"suffix":""},{"dropping-particle":"","family":"Chen","given":"Shu-Hsia","non-dropping-particle":"","parse-names":false,"suffix":""},{"dropping-particle":"","family":"Colombo","given":"Mario P.","non-dropping-particle":"","parse-names":false,"suffix":""},{"dropping-particle":"","family":"Frey","given":"Alan B.","non-dropping-particle":"","parse-names":false,"suffix":""},{"dropping-particle":"","family":"Greten","given":"Tim F.","non-dropping-particle":"","parse-names":false,"suffix":""},{"dropping-particle":"","family":"Mandruzzato","given":"Susanna","non-dropping-particle":"","parse-names":false,"suffix":""},{"dropping-particle":"","family":"Murray","given":"Peter J.","non-dropping-particle":"","parse-names":false,"suffix":""},{"dropping-particle":"","family":"Ochoa","given":"Augusto","non-dropping-particle":"","parse-names":false,"suffix":""},{"dropping-particle":"","family":"Ostrand-Rosenberg","given":"Suzanne","non-dropping-particle":"","parse-names":false,"suffix":""},{"dropping-particle":"","family":"Rodriguez","given":"Paulo C.","non-dropping-particle":"","parse-names":false,"suffix":""},{"dropping-particle":"","family":"Sica","given":"Antonio","non-dropping-particle":"","parse-names":false,"suffix":""},{"dropping-particle":"","family":"Umansky","given":"Viktor","non-dropping-particle":"","parse-names":false,"suffix":""},{"dropping-particle":"","family":"Vonderheide","given":"Robert H.","non-dropping-particle":"","parse-names":false,"suffix":""},{"dropping-particle":"","family":"Gabrilovich","given":"Dmitry I.","non-dropping-particle":"","parse-names":false,"suffix":""}],"container-title":"Nature communications","id":"ITEM-1","issued":{"date-parts":[["2016"]]},"page":"12150","title":"Recommendations for myeloid-derived suppressor cell nomenclature and characterization standards.","type":"article-journal","volume":"7"},"uris":["http://www.mendeley.com/documents/?uuid=c4e1b871-8b46-4ff5-ab48-d68d14e31813"]}],"mendeley":{"formattedCitation":"&lt;sup&gt;[87]&lt;/sup&gt;","plainTextFormattedCitation":"[87]","previouslyFormattedCitation":"&lt;sup&gt;[87]&lt;/sup&gt;"},"properties":{"noteIndex":0},"schema":"https://github.com/citation-style-language/schema/raw/master/csl-citation.json"}</w:instrText>
      </w:r>
      <w:r w:rsidR="00605B4F" w:rsidRPr="00F06EA4">
        <w:rPr>
          <w:rFonts w:cs="AdvOT88ac8687"/>
          <w:lang w:val="en-US"/>
        </w:rPr>
        <w:fldChar w:fldCharType="separate"/>
      </w:r>
      <w:r w:rsidR="00F45F97" w:rsidRPr="00F06EA4">
        <w:rPr>
          <w:rFonts w:cs="AdvOT88ac8687"/>
          <w:noProof/>
          <w:vertAlign w:val="superscript"/>
          <w:lang w:val="en-US"/>
        </w:rPr>
        <w:t>[87]</w:t>
      </w:r>
      <w:r w:rsidR="00605B4F" w:rsidRPr="00F06EA4">
        <w:rPr>
          <w:rFonts w:cs="AdvOT88ac8687"/>
          <w:lang w:val="en-US"/>
        </w:rPr>
        <w:fldChar w:fldCharType="end"/>
      </w:r>
      <w:r w:rsidR="00605B4F" w:rsidRPr="00F06EA4">
        <w:rPr>
          <w:rFonts w:cs="AdvOT88ac8687"/>
          <w:lang w:val="en-US"/>
        </w:rPr>
        <w:t>,</w:t>
      </w:r>
      <w:r w:rsidR="00E57DF1" w:rsidRPr="00F06EA4">
        <w:rPr>
          <w:rFonts w:cs="AdvOT88ac8687"/>
          <w:lang w:val="en-US"/>
        </w:rPr>
        <w:t xml:space="preserve"> </w:t>
      </w:r>
      <w:r w:rsidR="00095F58" w:rsidRPr="00F06EA4">
        <w:rPr>
          <w:rFonts w:cs="AdvOT88ac8687"/>
          <w:lang w:val="en-US"/>
        </w:rPr>
        <w:t xml:space="preserve"> </w:t>
      </w:r>
      <w:r w:rsidR="00E57DF1" w:rsidRPr="00F06EA4">
        <w:rPr>
          <w:rFonts w:cs="AdvOT88ac8687"/>
          <w:lang w:val="en-US"/>
        </w:rPr>
        <w:t>converts</w:t>
      </w:r>
      <w:r w:rsidR="00A36BAA" w:rsidRPr="00F06EA4">
        <w:rPr>
          <w:rFonts w:cs="AdvOT88ac8687"/>
          <w:lang w:val="en-US"/>
        </w:rPr>
        <w:t xml:space="preserve"> tryptophan to kynurenine</w:t>
      </w:r>
      <w:r w:rsidR="00E57DF1" w:rsidRPr="00F06EA4">
        <w:rPr>
          <w:rFonts w:cs="AdvOT88ac8687"/>
          <w:lang w:val="en-US"/>
        </w:rPr>
        <w:t>. The d</w:t>
      </w:r>
      <w:r w:rsidR="00095F58" w:rsidRPr="00F06EA4">
        <w:rPr>
          <w:rFonts w:cs="AdvOT88ac8687"/>
          <w:lang w:val="en-US"/>
        </w:rPr>
        <w:t>epletion of tryptophan suppresses activity in the mTORC1 signaling pathway, leading to autophagy in T cells</w:t>
      </w:r>
      <w:r w:rsidR="00E57DF1" w:rsidRPr="00F06EA4">
        <w:rPr>
          <w:rFonts w:cs="AdvOT88ac8687"/>
          <w:lang w:val="en-US"/>
        </w:rPr>
        <w:t xml:space="preserve"> and immunosuppression</w:t>
      </w:r>
      <w:r w:rsidR="00E57DF1" w:rsidRPr="00F06EA4">
        <w:rPr>
          <w:rFonts w:cs="AdvOT88ac8687"/>
          <w:lang w:val="en-US"/>
        </w:rPr>
        <w:fldChar w:fldCharType="begin" w:fldLock="1"/>
      </w:r>
      <w:r w:rsidR="00F45F97" w:rsidRPr="00F06EA4">
        <w:rPr>
          <w:rFonts w:cs="AdvOT88ac8687"/>
          <w:lang w:val="en-US"/>
        </w:rPr>
        <w:instrText>ADDIN CSL_CITATION {"citationItems":[{"id":"ITEM-1","itemData":{"DOI":"10.1158/1078-0432.ccr-18-2882","ISBN":"7738347961","ISSN":"1078-0432","PMID":"30377198","abstract":"Significant progress has been made in cancer immunotherapy with checkpoint inhibitors targeting programmed cell death protein 1 (PD-1)-programmed death-ligand 1 signaling pathways. Tumors from patients showing sustained treatment response predominately demonstrate a T cell-inflamed tumor microenvironment prior to, or early on treatment. Not all tumors with this phenotype respond however and one mediator of immunosuppression in T cell-inflamed tumors is the tryptophan-kynurenine-aryl hydrocarbon receptor (Trp-Kyn-AhR) pathway. Multiple mechanisms of immunosuppression may be mediated by this pathway including depletion of tryptophan, direct immunosuppression of Kyn and activity of Kyn-bound AhR. Indoleamine 2,3-dioxygenase 1 (IDO1), a principle enzyme in Trp catabolism, is the target of small molecule inhibitors in clinical development in combination with PD-1 checkpoint inhibitors. Despite promising results in early phase clinical trials in a range of tumor types, a phase III study of the IDO1-selective inhibitor epacadostat in combination with pembrolizumab showed no difference between the epacadostat-treated group versus placebo in patients with metastatic melanoma. This has led to a diminution of interest in IDO1 inhibitors however other approaches to inhibit this pathway continue to be considered. Novel Trp-Kyn-AhR pathway inhibitors such as Kyn degrading enzymes, direct AhR antagonists and tryptophan mimetics are advancing in early stage or pre-clinical development. Despite uncertainty surrounding IDO1 inhibition, ample preclinical evidence supports continued development of Trp-Kyn-AhR pathway inhibitors to augment immune-checkpoint and other cancer therapies.","author":[{"dropping-particle":"","family":"Labadie","given":"Brian W.","non-dropping-particle":"","parse-names":false,"suffix":""},{"dropping-particle":"","family":"Bao","given":"Riyue","non-dropping-particle":"","parse-names":false,"suffix":""},{"dropping-particle":"","family":"Luke","given":"Jason J.","non-dropping-particle":"","parse-names":false,"suffix":""}],"container-title":"Clinical Cancer Research","id":"ITEM-1","issued":{"date-parts":[["2018"]]},"page":"1-11","title":"Reimagining IDO Pathway Inhibition in Cancer Immunotherapy via Downstream Focus on the Tryptophan–Kynurenine–Aryl Hydrocarbon Axis","type":"article-journal","volume":"2"},"uris":["http://www.mendeley.com/documents/?uuid=50e89c50-f426-472d-9802-8dd1f7f01a81"]}],"mendeley":{"formattedCitation":"&lt;sup&gt;[93]&lt;/sup&gt;","plainTextFormattedCitation":"[93]","previouslyFormattedCitation":"&lt;sup&gt;[93]&lt;/sup&gt;"},"properties":{"noteIndex":0},"schema":"https://github.com/citation-style-language/schema/raw/master/csl-citation.json"}</w:instrText>
      </w:r>
      <w:r w:rsidR="00E57DF1" w:rsidRPr="00F06EA4">
        <w:rPr>
          <w:rFonts w:cs="AdvOT88ac8687"/>
          <w:lang w:val="en-US"/>
        </w:rPr>
        <w:fldChar w:fldCharType="separate"/>
      </w:r>
      <w:r w:rsidR="00F45F97" w:rsidRPr="00F06EA4">
        <w:rPr>
          <w:rFonts w:cs="AdvOT88ac8687"/>
          <w:noProof/>
          <w:vertAlign w:val="superscript"/>
          <w:lang w:val="en-US"/>
        </w:rPr>
        <w:t>[93]</w:t>
      </w:r>
      <w:r w:rsidR="00E57DF1" w:rsidRPr="00F06EA4">
        <w:rPr>
          <w:rFonts w:cs="AdvOT88ac8687"/>
          <w:lang w:val="en-US"/>
        </w:rPr>
        <w:fldChar w:fldCharType="end"/>
      </w:r>
      <w:r w:rsidR="00E57DF1" w:rsidRPr="00F06EA4">
        <w:rPr>
          <w:rFonts w:cs="AdvOT88ac8687"/>
          <w:lang w:val="en-US"/>
        </w:rPr>
        <w:t>.</w:t>
      </w:r>
      <w:r w:rsidR="00002418" w:rsidRPr="00F06EA4">
        <w:rPr>
          <w:rFonts w:cs="AdvOT88ac8687"/>
          <w:lang w:val="en-US"/>
        </w:rPr>
        <w:t xml:space="preserve"> PD1</w:t>
      </w:r>
      <w:r w:rsidR="0013064C" w:rsidRPr="00F06EA4">
        <w:rPr>
          <w:rFonts w:cs="AdvOT88ac8687"/>
          <w:lang w:val="en-US"/>
        </w:rPr>
        <w:t xml:space="preserve"> and PDL1 form an inhibitory immune checkpoint </w:t>
      </w:r>
      <w:r w:rsidR="003E466B" w:rsidRPr="00F06EA4">
        <w:rPr>
          <w:rFonts w:cs="AdvOT88ac8687"/>
          <w:lang w:val="en-US"/>
        </w:rPr>
        <w:t>mechanism</w:t>
      </w:r>
      <w:r w:rsidR="0013064C" w:rsidRPr="00F06EA4">
        <w:rPr>
          <w:rFonts w:cs="AdvOT88ac8687"/>
          <w:lang w:val="en-US"/>
        </w:rPr>
        <w:t xml:space="preserve"> </w:t>
      </w:r>
      <w:r w:rsidR="0013064C" w:rsidRPr="00F06EA4">
        <w:rPr>
          <w:rFonts w:cs="AdvOT88ac8687"/>
          <w:lang w:val="en-US"/>
        </w:rPr>
        <w:lastRenderedPageBreak/>
        <w:t>restricting excessive T cell activation</w:t>
      </w:r>
      <w:r w:rsidR="0013064C" w:rsidRPr="00F06EA4">
        <w:rPr>
          <w:rFonts w:cs="AdvOT88ac8687"/>
          <w:lang w:val="en-US"/>
        </w:rPr>
        <w:fldChar w:fldCharType="begin" w:fldLock="1"/>
      </w:r>
      <w:r w:rsidR="00F45F97" w:rsidRPr="00F06EA4">
        <w:rPr>
          <w:rFonts w:cs="AdvOT88ac8687"/>
          <w:lang w:val="en-US"/>
        </w:rPr>
        <w:instrText>ADDIN CSL_CITATION {"citationItems":[{"id":"ITEM-1","itemData":{"DOI":"10.1111/apha.13224","ISSN":"1748-1716","PMID":"30471201","abstract":"For more than a century, scientists have been attempting to harness the immune system to fight against cancer. In the late 19th century, William Coley reported a significant number of regressions and cures after injection of streptococcal organisms into inoperable sarcoma patients to cause erysipelas.1 In 1909, Paul Ehrlich proposed that host defence may prevent neoplastic cells from developing into tumours, which was formally introduced as the cancer immunosurveillance hypothesis nearly 50 years later by Macfarlane Burnet and Lewis Thomas. However, at those times, there was not sufficient scientific methodology and knowledge to confirm the hypotheses. This article is protected by copyright. All rights reserved.","author":[{"dropping-particle":"","family":"Väyrynen","given":"Juha P","non-dropping-particle":"","parse-names":false,"suffix":""},{"dropping-particle":"","family":"Tuomisto","given":"Anne","non-dropping-particle":"","parse-names":false,"suffix":""},{"dropping-particle":"","family":"Mäkinen","given":"Markus J","non-dropping-particle":"","parse-names":false,"suffix":""}],"container-title":"Acta physiologica (Oxford, England)","id":"ITEM-1","issued":{"date-parts":[["2018","11"]]},"page":"e13224","title":"Regulatory mechanisms of T cell activation - from basic research discoveries to a new principle of cancer therapy and the Nobel Prize.","type":"article-journal"},"uris":["http://www.mendeley.com/documents/?uuid=93dd6637-badf-462f-a038-a14de866fc67"]}],"mendeley":{"formattedCitation":"&lt;sup&gt;[94]&lt;/sup&gt;","plainTextFormattedCitation":"[94]","previouslyFormattedCitation":"&lt;sup&gt;[94]&lt;/sup&gt;"},"properties":{"noteIndex":0},"schema":"https://github.com/citation-style-language/schema/raw/master/csl-citation.json"}</w:instrText>
      </w:r>
      <w:r w:rsidR="0013064C" w:rsidRPr="00F06EA4">
        <w:rPr>
          <w:rFonts w:cs="AdvOT88ac8687"/>
          <w:lang w:val="en-US"/>
        </w:rPr>
        <w:fldChar w:fldCharType="separate"/>
      </w:r>
      <w:r w:rsidR="00F45F97" w:rsidRPr="00F06EA4">
        <w:rPr>
          <w:rFonts w:cs="AdvOT88ac8687"/>
          <w:noProof/>
          <w:vertAlign w:val="superscript"/>
          <w:lang w:val="en-US"/>
        </w:rPr>
        <w:t>[94]</w:t>
      </w:r>
      <w:r w:rsidR="0013064C" w:rsidRPr="00F06EA4">
        <w:rPr>
          <w:rFonts w:cs="AdvOT88ac8687"/>
          <w:lang w:val="en-US"/>
        </w:rPr>
        <w:fldChar w:fldCharType="end"/>
      </w:r>
      <w:r w:rsidR="0013064C" w:rsidRPr="00F06EA4">
        <w:rPr>
          <w:rFonts w:cs="AdvOT88ac8687"/>
          <w:lang w:val="en-US"/>
        </w:rPr>
        <w:t xml:space="preserve">. </w:t>
      </w:r>
      <w:r w:rsidR="00E404D8" w:rsidRPr="00F06EA4">
        <w:rPr>
          <w:rFonts w:cs="AdvOT88ac8687"/>
          <w:lang w:val="en-US"/>
        </w:rPr>
        <w:t xml:space="preserve">The binding of </w:t>
      </w:r>
      <w:r w:rsidR="0013064C" w:rsidRPr="00F06EA4">
        <w:rPr>
          <w:rFonts w:cs="AdvOT88ac8687"/>
          <w:lang w:val="en-US"/>
        </w:rPr>
        <w:t>PDL1, expressed</w:t>
      </w:r>
      <w:r w:rsidR="00963EE2" w:rsidRPr="00F06EA4">
        <w:rPr>
          <w:rFonts w:cs="AdvOT88ac8687"/>
          <w:lang w:val="en-US"/>
        </w:rPr>
        <w:t xml:space="preserve"> on a subset of </w:t>
      </w:r>
      <w:r w:rsidR="007D16C0" w:rsidRPr="00F06EA4">
        <w:rPr>
          <w:rFonts w:cs="AdvOT88ac8687"/>
          <w:lang w:val="en-US"/>
        </w:rPr>
        <w:t>MDSCs</w:t>
      </w:r>
      <w:r w:rsidR="007D16C0" w:rsidRPr="00F06EA4">
        <w:rPr>
          <w:rFonts w:cs="AdvOT88ac8687"/>
          <w:lang w:val="en-US"/>
        </w:rPr>
        <w:fldChar w:fldCharType="begin" w:fldLock="1"/>
      </w:r>
      <w:r w:rsidR="00F45F97" w:rsidRPr="00F06EA4">
        <w:rPr>
          <w:rFonts w:cs="AdvOT88ac8687"/>
          <w:lang w:val="en-US"/>
        </w:rPr>
        <w:instrText>ADDIN CSL_CITATION {"citationItems":[{"id":"ITEM-1","itemData":{"DOI":"10.1016/j.imlet.2017.10.001","ISSN":"1879-0542","PMID":"28987474","abstract":"Myeloid-derived suppressor cells (MDSCs) are a heterogeneous cell population expanded in cancer, infection and autoimmunity capable of suppressing T-cell functions. Checkpoint inhibitors have emerged as a key therapeutic strategy in immune-oncology. While checkpoint molecules were initially associated with T cell functions, recent evidence suggests a broader expression and function in innate myeloid cells. Previous studies provided first evidence for a potential role for checkpoints on MDSCs, yet the human relevance remained poorly understood. Therefore, we investigated the expression and functional relevance of checkpoint molecules in human MDSC-T-cell interactions. Our studies demonstrate that programmed death-ligand 1 (PD-L1) is expressed on granulocytic MDSCs upon co-culture with T cells. Transwell experiments showed that cell-to-cell contact was required for MDSC-T-cell interactions and antibody blocking studies showed that targeting PD-L1 partially impaired MDSC-mediated T-cell suppression. Collectively, these studies suggest a role for PD-L1 in human MDSC function and thereby expand the functionality of this checkpoint beyond T cells, which could pave the way for further understanding and therapeutic targeting of PD-1/PD-L1 in innate immune-mediated diseases.","author":[{"dropping-particle":"","family":"Ballbach","given":"Marlene","non-dropping-particle":"","parse-names":false,"suffix":""},{"dropping-particle":"","family":"Dannert","given":"Angelika","non-dropping-particle":"","parse-names":false,"suffix":""},{"dropping-particle":"","family":"Singh","given":"Anurag","non-dropping-particle":"","parse-names":false,"suffix":""},{"dropping-particle":"","family":"Siegmund","given":"Darina M.","non-dropping-particle":"","parse-names":false,"suffix":""},{"dropping-particle":"","family":"Handgretinger","given":"Rupert","non-dropping-particle":"","parse-names":false,"suffix":""},{"dropping-particle":"","family":"Piali","given":"Luca","non-dropping-particle":"","parse-names":false,"suffix":""},{"dropping-particle":"","family":"Rieber","given":"Nikolaus","non-dropping-particle":"","parse-names":false,"suffix":""},{"dropping-particle":"","family":"Hartl","given":"Dominik","non-dropping-particle":"","parse-names":false,"suffix":""}],"container-title":"Immunology letters","id":"ITEM-1","issue":"September","issued":{"date-parts":[["2017"]]},"page":"1-6","title":"Expression of checkpoint molecules on myeloid-derived suppressor cells.","type":"article-journal","volume":"192"},"uris":["http://www.mendeley.com/documents/?uuid=636724ea-d8f6-4cf8-b7bb-6ee26704bcf3"]}],"mendeley":{"formattedCitation":"&lt;sup&gt;[95]&lt;/sup&gt;","plainTextFormattedCitation":"[95]","previouslyFormattedCitation":"&lt;sup&gt;[95]&lt;/sup&gt;"},"properties":{"noteIndex":0},"schema":"https://github.com/citation-style-language/schema/raw/master/csl-citation.json"}</w:instrText>
      </w:r>
      <w:r w:rsidR="007D16C0" w:rsidRPr="00F06EA4">
        <w:rPr>
          <w:rFonts w:cs="AdvOT88ac8687"/>
          <w:lang w:val="en-US"/>
        </w:rPr>
        <w:fldChar w:fldCharType="separate"/>
      </w:r>
      <w:r w:rsidR="00F45F97" w:rsidRPr="00F06EA4">
        <w:rPr>
          <w:rFonts w:cs="AdvOT88ac8687"/>
          <w:noProof/>
          <w:vertAlign w:val="superscript"/>
          <w:lang w:val="en-US"/>
        </w:rPr>
        <w:t>[95]</w:t>
      </w:r>
      <w:r w:rsidR="007D16C0" w:rsidRPr="00F06EA4">
        <w:rPr>
          <w:rFonts w:cs="AdvOT88ac8687"/>
          <w:lang w:val="en-US"/>
        </w:rPr>
        <w:fldChar w:fldCharType="end"/>
      </w:r>
      <w:r w:rsidR="007D16C0" w:rsidRPr="00F06EA4">
        <w:rPr>
          <w:rFonts w:cs="AdvOT88ac8687"/>
          <w:lang w:val="en-US"/>
        </w:rPr>
        <w:t>,</w:t>
      </w:r>
      <w:r w:rsidR="003E466B" w:rsidRPr="00F06EA4">
        <w:rPr>
          <w:rFonts w:cs="AdvOT88ac8687"/>
          <w:lang w:val="en-US"/>
        </w:rPr>
        <w:t xml:space="preserve"> </w:t>
      </w:r>
      <w:r w:rsidR="00E404D8" w:rsidRPr="00F06EA4">
        <w:rPr>
          <w:rFonts w:cs="AdvOT88ac8687"/>
          <w:lang w:val="en-US"/>
        </w:rPr>
        <w:t>to PD1</w:t>
      </w:r>
      <w:r w:rsidR="00E00263" w:rsidRPr="00F06EA4">
        <w:rPr>
          <w:rFonts w:cs="AdvOT88ac8687"/>
          <w:lang w:val="en-US"/>
        </w:rPr>
        <w:t xml:space="preserve"> </w:t>
      </w:r>
      <w:r w:rsidR="00566B64" w:rsidRPr="00F06EA4">
        <w:rPr>
          <w:rFonts w:cs="AdvOT88ac8687"/>
          <w:lang w:val="en-US"/>
        </w:rPr>
        <w:t>causes</w:t>
      </w:r>
      <w:r w:rsidR="00E404D8" w:rsidRPr="00F06EA4">
        <w:rPr>
          <w:rFonts w:cs="AdvOT88ac8687"/>
          <w:lang w:val="en-US"/>
        </w:rPr>
        <w:t xml:space="preserve"> </w:t>
      </w:r>
      <w:r w:rsidR="00E00263" w:rsidRPr="00F06EA4">
        <w:rPr>
          <w:rFonts w:cs="AdvOT88ac8687"/>
          <w:lang w:val="en-US"/>
        </w:rPr>
        <w:t>T cell inhibition</w:t>
      </w:r>
      <w:r w:rsidR="00023C5A" w:rsidRPr="00F06EA4">
        <w:rPr>
          <w:rFonts w:cs="AdvOT88ac8687"/>
          <w:lang w:val="en-US"/>
        </w:rPr>
        <w:fldChar w:fldCharType="begin" w:fldLock="1"/>
      </w:r>
      <w:r w:rsidR="00F45F97" w:rsidRPr="00F06EA4">
        <w:rPr>
          <w:rFonts w:cs="AdvOT88ac8687"/>
          <w:lang w:val="en-US"/>
        </w:rPr>
        <w:instrText>ADDIN CSL_CITATION {"citationItems":[{"id":"ITEM-1","itemData":{"DOI":"10.1084/jem.192.7.1027","ISBN":"0022-1007 (Print) 0022-1007 (Linking)","ISSN":"0022-1007","PMID":"11015443","abstract":"PD-1 is an immunoinhibitory receptor expressed by activated T cells, B cells, and myeloid cells. Mice deficient in PD-1 exhibit a breakdown of peripheral tolerance and demonstrate multiple autoimmune features. We report here that the ligand of PD-1 (PD-L1) is a member of the B7 gene family. Engagement of PD-1 by PD-L1 leads to the inhibition of T cell receptor-mediated lymphocyte proliferation and cytokine secretion. In addition, PD-1 signaling can inhibit at least suboptimal levels of CD28-mediated costimulation. PD-L1 is expressed by antigen-presenting cells, including human peripheral blood monocytes stimulated with interferon gamma, and activated human and murine dendritic cells. In addition, PD-L1 is expressed in nonlymphoid tissues such as heart and lung. The relative levels of inhibitory PD-L1 and costimulatory B7-1/B7-2 signals on antigen-presenting cells may determine the extent of T cell activation and consequently the threshold between tolerance and autoimmunity. PD-L1 expression on nonlymphoid tissues and its potential interaction with PD-1 may subsequently determine the extent of immune responses at sites of inflammation.","author":[{"dropping-particle":"","family":"Freeman","given":"Gordon J.","non-dropping-particle":"","parse-names":false,"suffix":""},{"dropping-particle":"","family":"Long","given":"Andrew J.","non-dropping-particle":"","parse-names":false,"suffix":""},{"dropping-particle":"","family":"Iwai","given":"Yoshiko","non-dropping-particle":"","parse-names":false,"suffix":""},{"dropping-particle":"","family":"Bourque","given":"Karen","non-dropping-particle":"","parse-names":false,"suffix":""},{"dropping-particle":"","family":"Chernova","given":"Tatyana","non-dropping-particle":"","parse-names":false,"suffix":""},{"dropping-particle":"","family":"Nishimura","given":"Hiroyuki","non-dropping-particle":"","parse-names":false,"suffix":""},{"dropping-particle":"","family":"Fitz","given":"Lori J.","non-dropping-particle":"","parse-names":false,"suffix":""},{"dropping-particle":"","family":"Malenkovich","given":"Nelly","non-dropping-particle":"","parse-names":false,"suffix":""},{"dropping-particle":"","family":"Okazaki","given":"Taku","non-dropping-particle":"","parse-names":false,"suffix":""},{"dropping-particle":"","family":"Byrne","given":"Michael C.","non-dropping-particle":"","parse-names":false,"suffix":""},{"dropping-particle":"","family":"Horton","given":"Heidi F.","non-dropping-particle":"","parse-names":false,"suffix":""},{"dropping-particle":"","family":"Fouser","given":"Lynette","non-dropping-particle":"","parse-names":false,"suffix":""},{"dropping-particle":"","family":"Carter","given":"Laura","non-dropping-particle":"","parse-names":false,"suffix":""},{"dropping-particle":"","family":"Ling","given":"Vincent","non-dropping-particle":"","parse-names":false,"suffix":""},{"dropping-particle":"","family":"Bowman","given":"Michael R.","non-dropping-particle":"","parse-names":false,"suffix":""},{"dropping-particle":"","family":"Carreno","given":"Beatriz M.","non-dropping-particle":"","parse-names":false,"suffix":""},{"dropping-particle":"","family":"Collins","given":"Mary","non-dropping-particle":"","parse-names":false,"suffix":""},{"dropping-particle":"","family":"Wood","given":"Clive R.","non-dropping-particle":"","parse-names":false,"suffix":""},{"dropping-particle":"","family":"Honjo","given":"Tasuku","non-dropping-particle":"","parse-names":false,"suffix":""}],"container-title":"The Journal of experimental medicine","id":"ITEM-1","issue":"7","issued":{"date-parts":[["2000","10"]]},"page":"1027-34","title":"Engagement of the PD-1 immunoinhibitory receptor by a novel B7 family member leads to negative regulation of lymphocyte activation.","type":"article-journal","volume":"192"},"uris":["http://www.mendeley.com/documents/?uuid=803bc28c-dfc0-4862-84b5-f029e938b884"]}],"mendeley":{"formattedCitation":"&lt;sup&gt;[96]&lt;/sup&gt;","plainTextFormattedCitation":"[96]","previouslyFormattedCitation":"&lt;sup&gt;[96]&lt;/sup&gt;"},"properties":{"noteIndex":0},"schema":"https://github.com/citation-style-language/schema/raw/master/csl-citation.json"}</w:instrText>
      </w:r>
      <w:r w:rsidR="00023C5A" w:rsidRPr="00F06EA4">
        <w:rPr>
          <w:rFonts w:cs="AdvOT88ac8687"/>
          <w:lang w:val="en-US"/>
        </w:rPr>
        <w:fldChar w:fldCharType="separate"/>
      </w:r>
      <w:r w:rsidR="00F45F97" w:rsidRPr="00F06EA4">
        <w:rPr>
          <w:rFonts w:cs="AdvOT88ac8687"/>
          <w:noProof/>
          <w:vertAlign w:val="superscript"/>
          <w:lang w:val="en-US"/>
        </w:rPr>
        <w:t>[96]</w:t>
      </w:r>
      <w:r w:rsidR="00023C5A" w:rsidRPr="00F06EA4">
        <w:rPr>
          <w:rFonts w:cs="AdvOT88ac8687"/>
          <w:lang w:val="en-US"/>
        </w:rPr>
        <w:fldChar w:fldCharType="end"/>
      </w:r>
      <w:r w:rsidR="00E00263" w:rsidRPr="00F06EA4">
        <w:rPr>
          <w:rFonts w:cs="AdvOT88ac8687"/>
          <w:lang w:val="en-US"/>
        </w:rPr>
        <w:t>.</w:t>
      </w:r>
    </w:p>
    <w:p w14:paraId="2516EEED" w14:textId="3F83934A" w:rsidR="0045176E" w:rsidRPr="00F06EA4" w:rsidRDefault="00556262" w:rsidP="00F67ED8">
      <w:pPr>
        <w:spacing w:after="0"/>
        <w:ind w:firstLineChars="100" w:firstLine="240"/>
        <w:rPr>
          <w:lang w:val="en-US"/>
        </w:rPr>
      </w:pPr>
      <w:r w:rsidRPr="00F06EA4">
        <w:rPr>
          <w:lang w:val="en-US"/>
        </w:rPr>
        <w:t>Besides</w:t>
      </w:r>
      <w:r w:rsidR="00ED5A5D" w:rsidRPr="00F06EA4">
        <w:rPr>
          <w:lang w:val="en-US"/>
        </w:rPr>
        <w:t xml:space="preserve"> </w:t>
      </w:r>
      <w:r w:rsidR="00F15658" w:rsidRPr="00F06EA4">
        <w:rPr>
          <w:lang w:val="en-US"/>
        </w:rPr>
        <w:t>myeloid immune cells</w:t>
      </w:r>
      <w:r w:rsidR="004A33E0" w:rsidRPr="00F06EA4">
        <w:rPr>
          <w:lang w:val="en-US"/>
        </w:rPr>
        <w:t>,</w:t>
      </w:r>
      <w:r w:rsidR="00F15658" w:rsidRPr="00F06EA4">
        <w:rPr>
          <w:lang w:val="en-US"/>
        </w:rPr>
        <w:t xml:space="preserve"> such as granulocytes, monocytes, and MDSCs, common myeloid progenitor cell</w:t>
      </w:r>
      <w:r w:rsidR="004A33E0" w:rsidRPr="00F06EA4">
        <w:rPr>
          <w:lang w:val="en-US"/>
        </w:rPr>
        <w:t xml:space="preserve">s can differentiate into megakaryocytes and red blood cells. However, instead of </w:t>
      </w:r>
      <w:r w:rsidR="004E4699" w:rsidRPr="00F06EA4">
        <w:rPr>
          <w:lang w:val="en-US"/>
        </w:rPr>
        <w:t>erythrocytosis (</w:t>
      </w:r>
      <w:r w:rsidR="0034364E" w:rsidRPr="00F06EA4">
        <w:rPr>
          <w:lang w:val="en-US"/>
        </w:rPr>
        <w:t>an increase in the number of red blood cells</w:t>
      </w:r>
      <w:r w:rsidR="0056039F" w:rsidRPr="00F06EA4">
        <w:rPr>
          <w:lang w:val="en-US"/>
        </w:rPr>
        <w:t xml:space="preserve"> in the blood</w:t>
      </w:r>
      <w:r w:rsidR="0034364E" w:rsidRPr="00F06EA4">
        <w:rPr>
          <w:lang w:val="en-US"/>
        </w:rPr>
        <w:t>), CRC patients frequently have anemia</w:t>
      </w:r>
      <w:r w:rsidR="0056039F" w:rsidRPr="00F06EA4">
        <w:rPr>
          <w:lang w:val="en-US"/>
        </w:rPr>
        <w:t xml:space="preserve"> (a decrease in the number of red blood cells or hemoglobin</w:t>
      </w:r>
      <w:r w:rsidR="00A948D2" w:rsidRPr="00F06EA4">
        <w:rPr>
          <w:lang w:val="en-US"/>
        </w:rPr>
        <w:t xml:space="preserve"> concentration</w:t>
      </w:r>
      <w:r w:rsidR="0056039F" w:rsidRPr="00F06EA4">
        <w:rPr>
          <w:lang w:val="en-US"/>
        </w:rPr>
        <w:t xml:space="preserve">), with </w:t>
      </w:r>
      <w:r w:rsidR="00DD2BE5" w:rsidRPr="00F06EA4">
        <w:rPr>
          <w:lang w:val="en-US"/>
        </w:rPr>
        <w:t xml:space="preserve">a </w:t>
      </w:r>
      <w:r w:rsidR="0056039F" w:rsidRPr="00F06EA4">
        <w:rPr>
          <w:lang w:val="en-US"/>
        </w:rPr>
        <w:t xml:space="preserve">prevalence of </w:t>
      </w:r>
      <w:r w:rsidR="00174B73" w:rsidRPr="00F06EA4">
        <w:rPr>
          <w:lang w:val="en-US"/>
        </w:rPr>
        <w:t>33</w:t>
      </w:r>
      <w:r w:rsidR="00322ABD">
        <w:rPr>
          <w:lang w:val="en-US"/>
        </w:rPr>
        <w:t>%</w:t>
      </w:r>
      <w:r w:rsidR="00DD2BE5" w:rsidRPr="00F06EA4">
        <w:rPr>
          <w:lang w:val="en-US"/>
        </w:rPr>
        <w:t>–</w:t>
      </w:r>
      <w:r w:rsidR="006F13EC" w:rsidRPr="00F06EA4">
        <w:rPr>
          <w:lang w:val="en-US"/>
        </w:rPr>
        <w:t>43% in resectable disease</w:t>
      </w:r>
      <w:r w:rsidR="006F13EC" w:rsidRPr="00F06EA4">
        <w:rPr>
          <w:lang w:val="en-US"/>
        </w:rPr>
        <w:fldChar w:fldCharType="begin" w:fldLock="1"/>
      </w:r>
      <w:r w:rsidR="00F45F97" w:rsidRPr="00F06EA4">
        <w:rPr>
          <w:lang w:val="en-US"/>
        </w:rPr>
        <w:instrText>ADDIN CSL_CITATION {"citationItems":[{"id":"ITEM-1","itemData":{"DOI":"10.1007/s00384-018-3211-7","ISSN":"1432-1262","PMID":"30515556","abstract":"BACKGROUND The present study aimed to characterise the prevalence and prognostic impact of normocytic anaemia in patients undergoing curative treatment for colorectal cancer. METHODS All individuals invited to the first round of bowel cancer screening, diagnosed with colorectal cancer and treated with curative intent from April 2009 to March 2011 in a single health board were included. The modified Glasgow prognostic score (mGPS) was used to quantify preoperative systemic inflammation. Patients were grouped as having microcytic anaemia (Hb &lt; 130 mg/L males, &lt; 120 mg/L females and MCV &lt; 80 fL), normocytic anaemia (Hb &lt; 130 mg/L males, &lt; 120 mg/L females and MCV 80-100 fL), or neither. RESULTS Of 395,097 patients invited to screening during the study period, 872 were diagnosed with colorectal cancer. Seven hundred seventy-seven patients had FBC measured at diagnosis, of which 78 (10%) had microcytic anaemia, and 180 (23%) normocytic anaemia. On multivariate binary logistic regression, microcytic anaemia was associated with T stage (OR 1.92, 95% CI 1.26-2.91, p = 0.002) and mGPS (OR 1.57, 95% CI 1.10-2.24, p = 0.013), while normocytic anaemia was associated with colonic tumours (OR = 2.51, 95% CI 1.10-4.01, p = 0.025), T stage (OR 1.38, 95% CI 1.05-1.81, p = 0.022), and mGPS (OR 1.52, 95% CI 1.12-2.05, p = 0.007). On univariate Cox regression, there was no significant association between microcytic anaemia and cancer specific survival (CSS) (p = 0.969). Normocytic anaemia was significantly associated with poorer CSS (HR 1.55, 95% CI 1.13-2.12, p = 0.007). CONCLUSIONS Normocytic anaemia was associated with systemic inflammation and poorer CSS. Inflammation may drive both anaemia and disease recurrence in these patients, and targeting this process may improve both.","author":[{"dropping-particle":"","family":"McSorley","given":"Stephen T.","non-dropping-particle":"","parse-names":false,"suffix":""},{"dropping-particle":"","family":"Johnstone","given":"Mark","non-dropping-particle":"","parse-names":false,"suffix":""},{"dropping-particle":"","family":"Steele","given":"Colin W","non-dropping-particle":"","parse-names":false,"suffix":""},{"dropping-particle":"","family":"Roxburgh","given":"Campbell S D","non-dropping-particle":"","parse-names":false,"suffix":""},{"dropping-particle":"","family":"Horgan","given":"Paul G","non-dropping-particle":"","parse-names":false,"suffix":""},{"dropping-particle":"","family":"McMillan","given":"Donald C.","non-dropping-particle":"","parse-names":false,"suffix":""},{"dropping-particle":"","family":"Mansouri","given":"David","non-dropping-particle":"","parse-names":false,"suffix":""}],"container-title":"International journal of colorectal disease","id":"ITEM-1","issued":{"date-parts":[["2018","12"]]},"title":"Normocytic anaemia is associated with systemic inflammation and poorer survival in patients with colorectal cancer treated with curative intent.","type":"article-journal"},"uris":["http://www.mendeley.com/documents/?uuid=34b33940-8d5a-48f8-825e-aa00a81a1b0d"]},{"id":"ITEM-2","itemData":{"DOI":"10.1038/s41598-018-19572-y","ISSN":"2045-2322","PMID":"29348549","abstract":"Anemia is common in colorectal cancer (CRC) but its relationships with tumor characteristics, systemic inflammation, and survival have not been well characterized. In this study, blood hemoglobin levels and erythrocyte mean corpuscular volume (MCV) levels were measured in two independent cohorts of 148 CRC patients and 208 CRC patients, and their correlation with patient and tumor characteristics, systemic inflammatory markers (modified Glasgow Prognostic Score: mGPS; serum levels of thirteen cytokines, C-reactive protein, albumin), and survival were analyzed. We found that anemia, most frequently normocytic, followed by microcytic, was present in 43% of the patients. Microcytic anemia was most commonly associated with proximal colon tumor location. Average MCV and blood hemoglobin levels were lower in tumors with high T-class. Low blood hemoglobin associated with systemic inflammation, including high mGPS and high serum levels of C-reactive protein and IL-8. Particularly, normocytic anemia associated with higher mGPS. Normocytic anemia associated with a tendency towards worse overall survival (multivariate hazard ratio 1.61, 95% confidence interval 1.07-2.42, p = 0.023; borderline statistical significance considering multiple hypothesis testing). In conclusion, anemia in CRC patients is most frequently normocytic. Proximal tumor location is associated with predominantly microcytic anemia and systemic inflammation is associated with normocytic anemia.","author":[{"dropping-particle":"","family":"Väyrynen","given":"Juha P.","non-dropping-particle":"","parse-names":false,"suffix":""},{"dropping-particle":"","family":"Tuomisto","given":"Anne","non-dropping-particle":"","parse-names":false,"suffix":""},{"dropping-particle":"","family":"Väyrynen","given":"Sara A.","non-dropping-particle":"","parse-names":false,"suffix":""},{"dropping-particle":"","family":"Klintrup","given":"Kai","non-dropping-particle":"","parse-names":false,"suffix":""},{"dropping-particle":"","family":"Karhu","given":"Toni","non-dropping-particle":"","parse-names":false,"suffix":""},{"dropping-particle":"","family":"Mäkelä","given":"Jyrki","non-dropping-particle":"","parse-names":false,"suffix":""},{"dropping-particle":"","family":"Herzig","given":"Karl-Heinz","non-dropping-particle":"","parse-names":false,"suffix":""},{"dropping-particle":"","family":"Karttunen","given":"Tuomo J.","non-dropping-particle":"","parse-names":false,"suffix":""},{"dropping-particle":"","family":"Mäkinen","given":"Markus J.","non-dropping-particle":"","parse-names":false,"suffix":""}],"container-title":"Scientific Reports","id":"ITEM-2","issue":"1","issued":{"date-parts":[["2018"]]},"page":"1126","title":"Preoperative anemia in colorectal cancer: relationships with tumor characteristics, systemic inflammation, and survival","type":"article-journal","volume":"8"},"uris":["http://www.mendeley.com/documents/?uuid=15314aed-ecf8-3a55-9db5-422f60e4e2e4"]},{"id":"ITEM-3","itemData":{"DOI":"10.1016/j.ejso.2019.02.027","ISSN":"1532-2157","PMID":"30850153","abstract":"BACKGROUND Inflammation is recognised to be associated with perturbation of serum measures of iron status. However, the impact of colorectal cancer associated host inflammation on red cell measures of iron status has not been previously quantified. METHODS Patients undergoing elective surgery with curative intent, for colorectal cancer, at a single centre between 2008 and 2017 were included (n = 824). Blood samples taken for C-reactive protein (CRP), albumin, and full blood count (FBC) allowed patients to be grouped by modified Glasgow Prognostic Score (mGPS), and anaemia subtype (haemoglobin (Hb) M &lt; 130 mg/L and F &lt; 120 mg/L, with microcytic anaemia being mean corpuscular volume (MCV) &lt; 80 f/L, and normocytic anaemia with MCV 80-100 f/L). Relationships between these groupings and red cell measures iron status including Hb, MCV, mean corpuscular haemoglobin (MCH) and red cell distribution width (RDW) were examined. RESULTS The combination of increasing T stage and increasing mGPS was associated with lower Hb, lower MCV, lower MCH, higher RDW, and higher prevalence of both microcytic and normocytic anaemia (all p &lt; 0.001). The combination of CRP &gt;10 mg/L and albumin &lt;35 g/L was associated with lower Hb, lower MCV, lower MCH, higher RDW, and higher prevalence of both microcytic and normocytic anaemia (all p &lt; 0.010). At multivariate Cox regression only Hb remained significantly associated with cancer specific (HR 0.98, 95% CI 0.97-0.99, p &lt; 0.001), and overall survival (HR 0.98, 95% CI 0.97-0.99, p = 0.001). CONCLUSIONS The presence of a host systemic inflammatory response to colorectal cancer was associated with significant perturbation of red cell measure of iron status.","author":[{"dropping-particle":"","family":"McSorley","given":"Stephen T.","non-dropping-particle":"","parse-names":false,"suffix":""},{"dropping-particle":"","family":"Tham","given":"Alexander","non-dropping-particle":"","parse-names":false,"suffix":""},{"dropping-particle":"","family":"Steele","given":"Colin W.","non-dropping-particle":"","parse-names":false,"suffix":""},{"dropping-particle":"","family":"Dolan","given":"Ross D.","non-dropping-particle":"","parse-names":false,"suffix":""},{"dropping-particle":"","family":"Roxburgh","given":"Campbell SD.","non-dropping-particle":"","parse-names":false,"suffix":""},{"dropping-particle":"","family":"Horgan","given":"Paul G.","non-dropping-particle":"","parse-names":false,"suffix":""},{"dropping-particle":"","family":"McMillan","given":"Donald C.","non-dropping-particle":"","parse-names":false,"suffix":""}],"container-title":"European journal of surgical oncology : the journal of the European Society of Surgical Oncology and the British Association of Surgical Oncology","id":"ITEM-3","issued":{"date-parts":[["2019"]]},"title":"Quantitative data on red cell measures of iron status and their relation to the magnitude of the systemic inflammatory response and survival in patients with colorectal cancer.","type":"article-journal"},"uris":["http://www.mendeley.com/documents/?uuid=255a0f80-bf44-4e91-a1f9-fbf8e8661a10"]}],"mendeley":{"formattedCitation":"&lt;sup&gt;[97–99]&lt;/sup&gt;","plainTextFormattedCitation":"[97–99]","previouslyFormattedCitation":"&lt;sup&gt;[97–99]&lt;/sup&gt;"},"properties":{"noteIndex":0},"schema":"https://github.com/citation-style-language/schema/raw/master/csl-citation.json"}</w:instrText>
      </w:r>
      <w:r w:rsidR="006F13EC" w:rsidRPr="00F06EA4">
        <w:rPr>
          <w:lang w:val="en-US"/>
        </w:rPr>
        <w:fldChar w:fldCharType="separate"/>
      </w:r>
      <w:r w:rsidR="00F45F97" w:rsidRPr="00F06EA4">
        <w:rPr>
          <w:noProof/>
          <w:vertAlign w:val="superscript"/>
          <w:lang w:val="en-US"/>
        </w:rPr>
        <w:t>[97–99]</w:t>
      </w:r>
      <w:r w:rsidR="006F13EC" w:rsidRPr="00F06EA4">
        <w:rPr>
          <w:lang w:val="en-US"/>
        </w:rPr>
        <w:fldChar w:fldCharType="end"/>
      </w:r>
      <w:r w:rsidR="0056039F" w:rsidRPr="00F06EA4">
        <w:rPr>
          <w:lang w:val="en-US"/>
        </w:rPr>
        <w:t xml:space="preserve">. </w:t>
      </w:r>
      <w:r w:rsidR="002D3155" w:rsidRPr="00F06EA4">
        <w:rPr>
          <w:lang w:val="en-US"/>
        </w:rPr>
        <w:t xml:space="preserve">Colorectal tumors frequently bleed into the </w:t>
      </w:r>
      <w:r w:rsidR="00FA6C64" w:rsidRPr="00F06EA4">
        <w:rPr>
          <w:lang w:val="en-US"/>
        </w:rPr>
        <w:t>lumen</w:t>
      </w:r>
      <w:r w:rsidR="00B75F89" w:rsidRPr="00F06EA4">
        <w:rPr>
          <w:lang w:val="en-US"/>
        </w:rPr>
        <w:fldChar w:fldCharType="begin" w:fldLock="1"/>
      </w:r>
      <w:r w:rsidR="00F45F97" w:rsidRPr="00F06EA4">
        <w:rPr>
          <w:lang w:val="en-US"/>
        </w:rPr>
        <w:instrText>ADDIN CSL_CITATION {"citationItems":[{"id":"ITEM-1","itemData":{"DOI":"10.1136/gut.2010.223982","ISBN":"1468-3288","ISSN":"1468-3288","PMID":"21193461","abstract":"Although guaiac-based faecal occult blood test screening has been shown to be effective in reducing colorectal cancer (CRC) mortality, it has been criticised mostly for its low sensitivity. Italian CRC screening programmes are based on immunochemical tests (iFOBT). We collected and analysed the interval cancers (ICs) found by five screening programmes to estimate their sensitivity.","author":[{"dropping-particle":"","family":"Zorzi","given":"Manuel","non-dropping-particle":"","parse-names":false,"suffix":""},{"dropping-particle":"","family":"Fedato","given":"Chiara","non-dropping-particle":"","parse-names":false,"suffix":""},{"dropping-particle":"","family":"Grazzini","given":"Grazia","non-dropping-particle":"","parse-names":false,"suffix":""},{"dropping-particle":"","family":"Stocco","given":"Fiorella Carmen","non-dropping-particle":"","parse-names":false,"suffix":""},{"dropping-particle":"","family":"Banovich","given":"Flavio","non-dropping-particle":"","parse-names":false,"suffix":""},{"dropping-particle":"","family":"Bortoli","given":"Antonio","non-dropping-particle":"","parse-names":false,"suffix":""},{"dropping-particle":"","family":"Cazzola","given":"Luigi","non-dropping-particle":"","parse-names":false,"suffix":""},{"dropping-particle":"","family":"Montaguti","given":"Adriana","non-dropping-particle":"","parse-names":false,"suffix":""},{"dropping-particle":"","family":"Moretto","given":"Tina","non-dropping-particle":"","parse-names":false,"suffix":""},{"dropping-particle":"","family":"Zappa","given":"Marco","non-dropping-particle":"","parse-names":false,"suffix":""},{"dropping-particle":"","family":"Vettorazzi","given":"Marcello","non-dropping-particle":"","parse-names":false,"suffix":""}],"container-title":"Gut","id":"ITEM-1","issue":"7","issued":{"date-parts":[["2011"]]},"page":"944-9","title":"High sensitivity of five colorectal screening programmes with faecal immunochemical test in the Veneto Region, Italy.","type":"article-journal","volume":"60"},"uris":["http://www.mendeley.com/documents/?uuid=a7c03d66-b1c2-4bb2-933e-a9f59cb656f5"]}],"mendeley":{"formattedCitation":"&lt;sup&gt;[100]&lt;/sup&gt;","plainTextFormattedCitation":"[100]","previouslyFormattedCitation":"&lt;sup&gt;[100]&lt;/sup&gt;"},"properties":{"noteIndex":0},"schema":"https://github.com/citation-style-language/schema/raw/master/csl-citation.json"}</w:instrText>
      </w:r>
      <w:r w:rsidR="00B75F89" w:rsidRPr="00F06EA4">
        <w:rPr>
          <w:lang w:val="en-US"/>
        </w:rPr>
        <w:fldChar w:fldCharType="separate"/>
      </w:r>
      <w:r w:rsidR="00F45F97" w:rsidRPr="00F06EA4">
        <w:rPr>
          <w:noProof/>
          <w:vertAlign w:val="superscript"/>
          <w:lang w:val="en-US"/>
        </w:rPr>
        <w:t>[100]</w:t>
      </w:r>
      <w:r w:rsidR="00B75F89" w:rsidRPr="00F06EA4">
        <w:rPr>
          <w:lang w:val="en-US"/>
        </w:rPr>
        <w:fldChar w:fldCharType="end"/>
      </w:r>
      <w:r w:rsidR="00FA6C64" w:rsidRPr="00F06EA4">
        <w:rPr>
          <w:lang w:val="en-US"/>
        </w:rPr>
        <w:t xml:space="preserve">, explaining </w:t>
      </w:r>
      <w:r w:rsidR="00366099" w:rsidRPr="00F06EA4">
        <w:rPr>
          <w:lang w:val="en-US"/>
        </w:rPr>
        <w:t>the iron deficiency associated with microcytic anemia</w:t>
      </w:r>
      <w:r w:rsidR="00D4058D" w:rsidRPr="00F06EA4">
        <w:rPr>
          <w:lang w:val="en-US"/>
        </w:rPr>
        <w:t xml:space="preserve"> in a subset of patients</w:t>
      </w:r>
      <w:r w:rsidR="00366099" w:rsidRPr="00F06EA4">
        <w:rPr>
          <w:lang w:val="en-US"/>
        </w:rPr>
        <w:t>.</w:t>
      </w:r>
      <w:r w:rsidR="00340F3E" w:rsidRPr="00F06EA4">
        <w:rPr>
          <w:lang w:val="en-US"/>
        </w:rPr>
        <w:t xml:space="preserve"> </w:t>
      </w:r>
      <w:r w:rsidR="00D4058D" w:rsidRPr="00F06EA4">
        <w:rPr>
          <w:lang w:val="en-US"/>
        </w:rPr>
        <w:t xml:space="preserve">However, </w:t>
      </w:r>
      <w:r w:rsidR="00F2211D" w:rsidRPr="00F06EA4">
        <w:rPr>
          <w:lang w:val="en-US"/>
        </w:rPr>
        <w:t xml:space="preserve">systemic inflammation </w:t>
      </w:r>
      <w:r w:rsidR="00D4058D" w:rsidRPr="00F06EA4">
        <w:rPr>
          <w:lang w:val="en-US"/>
        </w:rPr>
        <w:t>also appears to be</w:t>
      </w:r>
      <w:r w:rsidR="00F2211D" w:rsidRPr="00F06EA4">
        <w:rPr>
          <w:lang w:val="en-US"/>
        </w:rPr>
        <w:t xml:space="preserve"> </w:t>
      </w:r>
      <w:r w:rsidR="00A956C6" w:rsidRPr="00F06EA4">
        <w:rPr>
          <w:lang w:val="en-US"/>
        </w:rPr>
        <w:t xml:space="preserve">one of </w:t>
      </w:r>
      <w:r w:rsidR="00F2211D" w:rsidRPr="00F06EA4">
        <w:rPr>
          <w:lang w:val="en-US"/>
        </w:rPr>
        <w:t>the main determinant</w:t>
      </w:r>
      <w:r w:rsidR="00A956C6" w:rsidRPr="00F06EA4">
        <w:rPr>
          <w:lang w:val="en-US"/>
        </w:rPr>
        <w:t>s</w:t>
      </w:r>
      <w:r w:rsidR="00F2211D" w:rsidRPr="00F06EA4">
        <w:rPr>
          <w:lang w:val="en-US"/>
        </w:rPr>
        <w:t xml:space="preserve"> of </w:t>
      </w:r>
      <w:r w:rsidR="006B36F7" w:rsidRPr="00F06EA4">
        <w:rPr>
          <w:lang w:val="en-US"/>
        </w:rPr>
        <w:t xml:space="preserve">low </w:t>
      </w:r>
      <w:r w:rsidR="00F2211D" w:rsidRPr="00F06EA4">
        <w:rPr>
          <w:lang w:val="en-US"/>
        </w:rPr>
        <w:t xml:space="preserve">blood hemoglobin </w:t>
      </w:r>
      <w:r w:rsidR="006B36F7" w:rsidRPr="00F06EA4">
        <w:rPr>
          <w:lang w:val="en-US"/>
        </w:rPr>
        <w:t>level</w:t>
      </w:r>
      <w:r w:rsidR="00D4058D" w:rsidRPr="00F06EA4">
        <w:rPr>
          <w:lang w:val="en-US"/>
        </w:rPr>
        <w:t>s, and</w:t>
      </w:r>
      <w:r w:rsidR="00211D05" w:rsidRPr="00F06EA4">
        <w:rPr>
          <w:lang w:val="en-US"/>
        </w:rPr>
        <w:t>, in particular</w:t>
      </w:r>
      <w:r w:rsidR="00176535" w:rsidRPr="00F06EA4">
        <w:rPr>
          <w:lang w:val="en-US"/>
        </w:rPr>
        <w:t>,</w:t>
      </w:r>
      <w:r w:rsidR="00211D05" w:rsidRPr="00F06EA4">
        <w:rPr>
          <w:lang w:val="en-US"/>
        </w:rPr>
        <w:t xml:space="preserve"> normocytic anemia,</w:t>
      </w:r>
      <w:r w:rsidR="00A956C6" w:rsidRPr="00F06EA4">
        <w:rPr>
          <w:lang w:val="en-US"/>
        </w:rPr>
        <w:t xml:space="preserve"> in CRC patients</w:t>
      </w:r>
      <w:r w:rsidR="00F2211D" w:rsidRPr="00F06EA4">
        <w:rPr>
          <w:lang w:val="en-US"/>
        </w:rPr>
        <w:fldChar w:fldCharType="begin" w:fldLock="1"/>
      </w:r>
      <w:r w:rsidR="00F45F97" w:rsidRPr="00F06EA4">
        <w:rPr>
          <w:lang w:val="en-US"/>
        </w:rPr>
        <w:instrText>ADDIN CSL_CITATION {"citationItems":[{"id":"ITEM-1","itemData":{"DOI":"10.1038/s41598-018-19572-y","ISSN":"2045-2322","PMID":"29348549","abstract":"Anemia is common in colorectal cancer (CRC) but its relationships with tumor characteristics, systemic inflammation, and survival have not been well characterized. In this study, blood hemoglobin levels and erythrocyte mean corpuscular volume (MCV) levels were measured in two independent cohorts of 148 CRC patients and 208 CRC patients, and their correlation with patient and tumor characteristics, systemic inflammatory markers (modified Glasgow Prognostic Score: mGPS; serum levels of thirteen cytokines, C-reactive protein, albumin), and survival were analyzed. We found that anemia, most frequently normocytic, followed by microcytic, was present in 43% of the patients. Microcytic anemia was most commonly associated with proximal colon tumor location. Average MCV and blood hemoglobin levels were lower in tumors with high T-class. Low blood hemoglobin associated with systemic inflammation, including high mGPS and high serum levels of C-reactive protein and IL-8. Particularly, normocytic anemia associated with higher mGPS. Normocytic anemia associated with a tendency towards worse overall survival (multivariate hazard ratio 1.61, 95% confidence interval 1.07-2.42, p = 0.023; borderline statistical significance considering multiple hypothesis testing). In conclusion, anemia in CRC patients is most frequently normocytic. Proximal tumor location is associated with predominantly microcytic anemia and systemic inflammation is associated with normocytic anemia.","author":[{"dropping-particle":"","family":"Väyrynen","given":"Juha P.","non-dropping-particle":"","parse-names":false,"suffix":""},{"dropping-particle":"","family":"Tuomisto","given":"Anne","non-dropping-particle":"","parse-names":false,"suffix":""},{"dropping-particle":"","family":"Väyrynen","given":"Sara A.","non-dropping-particle":"","parse-names":false,"suffix":""},{"dropping-particle":"","family":"Klintrup","given":"Kai","non-dropping-particle":"","parse-names":false,"suffix":""},{"dropping-particle":"","family":"Karhu","given":"Toni","non-dropping-particle":"","parse-names":false,"suffix":""},{"dropping-particle":"","family":"Mäkelä","given":"Jyrki","non-dropping-particle":"","parse-names":false,"suffix":""},{"dropping-particle":"","family":"Herzig","given":"Karl-Heinz","non-dropping-particle":"","parse-names":false,"suffix":""},{"dropping-particle":"","family":"Karttunen","given":"Tuomo J.","non-dropping-particle":"","parse-names":false,"suffix":""},{"dropping-particle":"","family":"Mäkinen","given":"Markus J.","non-dropping-particle":"","parse-names":false,"suffix":""}],"container-title":"Scientific Reports","id":"ITEM-1","issue":"1","issued":{"date-parts":[["2018"]]},"page":"1126","title":"Preoperative anemia in colorectal cancer: relationships with tumor characteristics, systemic inflammation, and survival","type":"article-journal","volume":"8"},"uris":["http://www.mendeley.com/documents/?uuid=15314aed-ecf8-3a55-9db5-422f60e4e2e4"]},{"id":"ITEM-2","itemData":{"DOI":"10.1007/s00384-018-3211-7","ISSN":"1432-1262","PMID":"30515556","abstract":"BACKGROUND The present study aimed to characterise the prevalence and prognostic impact of normocytic anaemia in patients undergoing curative treatment for colorectal cancer. METHODS All individuals invited to the first round of bowel cancer screening, diagnosed with colorectal cancer and treated with curative intent from April 2009 to March 2011 in a single health board were included. The modified Glasgow prognostic score (mGPS) was used to quantify preoperative systemic inflammation. Patients were grouped as having microcytic anaemia (Hb &lt; 130 mg/L males, &lt; 120 mg/L females and MCV &lt; 80 fL), normocytic anaemia (Hb &lt; 130 mg/L males, &lt; 120 mg/L females and MCV 80-100 fL), or neither. RESULTS Of 395,097 patients invited to screening during the study period, 872 were diagnosed with colorectal cancer. Seven hundred seventy-seven patients had FBC measured at diagnosis, of which 78 (10%) had microcytic anaemia, and 180 (23%) normocytic anaemia. On multivariate binary logistic regression, microcytic anaemia was associated with T stage (OR 1.92, 95% CI 1.26-2.91, p = 0.002) and mGPS (OR 1.57, 95% CI 1.10-2.24, p = 0.013), while normocytic anaemia was associated with colonic tumours (OR = 2.51, 95% CI 1.10-4.01, p = 0.025), T stage (OR 1.38, 95% CI 1.05-1.81, p = 0.022), and mGPS (OR 1.52, 95% CI 1.12-2.05, p = 0.007). On univariate Cox regression, there was no significant association between microcytic anaemia and cancer specific survival (CSS) (p = 0.969). Normocytic anaemia was significantly associated with poorer CSS (HR 1.55, 95% CI 1.13-2.12, p = 0.007). CONCLUSIONS Normocytic anaemia was associated with systemic inflammation and poorer CSS. Inflammation may drive both anaemia and disease recurrence in these patients, and targeting this process may improve both.","author":[{"dropping-particle":"","family":"McSorley","given":"Stephen T.","non-dropping-particle":"","parse-names":false,"suffix":""},{"dropping-particle":"","family":"Johnstone","given":"Mark","non-dropping-particle":"","parse-names":false,"suffix":""},{"dropping-particle":"","family":"Steele","given":"Colin W","non-dropping-particle":"","parse-names":false,"suffix":""},{"dropping-particle":"","family":"Roxburgh","given":"Campbell S D","non-dropping-particle":"","parse-names":false,"suffix":""},{"dropping-particle":"","family":"Horgan","given":"Paul G","non-dropping-particle":"","parse-names":false,"suffix":""},{"dropping-particle":"","family":"McMillan","given":"Donald C.","non-dropping-particle":"","parse-names":false,"suffix":""},{"dropping-particle":"","family":"Mansouri","given":"David","non-dropping-particle":"","parse-names":false,"suffix":""}],"container-title":"International journal of colorectal disease","id":"ITEM-2","issued":{"date-parts":[["2018","12"]]},"title":"Normocytic anaemia is associated with systemic inflammation and poorer survival in patients with colorectal cancer treated with curative intent.","type":"article-journal"},"uris":["http://www.mendeley.com/documents/?uuid=34b33940-8d5a-48f8-825e-aa00a81a1b0d"]},{"id":"ITEM-3","itemData":{"DOI":"10.1016/j.ejso.2019.02.027","ISSN":"1532-2157","PMID":"30850153","abstract":"BACKGROUND Inflammation is recognised to be associated with perturbation of serum measures of iron status. However, the impact of colorectal cancer associated host inflammation on red cell measures of iron status has not been previously quantified. METHODS Patients undergoing elective surgery with curative intent, for colorectal cancer, at a single centre between 2008 and 2017 were included (n = 824). Blood samples taken for C-reactive protein (CRP), albumin, and full blood count (FBC) allowed patients to be grouped by modified Glasgow Prognostic Score (mGPS), and anaemia subtype (haemoglobin (Hb) M &lt; 130 mg/L and F &lt; 120 mg/L, with microcytic anaemia being mean corpuscular volume (MCV) &lt; 80 f/L, and normocytic anaemia with MCV 80-100 f/L). Relationships between these groupings and red cell measures iron status including Hb, MCV, mean corpuscular haemoglobin (MCH) and red cell distribution width (RDW) were examined. RESULTS The combination of increasing T stage and increasing mGPS was associated with lower Hb, lower MCV, lower MCH, higher RDW, and higher prevalence of both microcytic and normocytic anaemia (all p &lt; 0.001). The combination of CRP &gt;10 mg/L and albumin &lt;35 g/L was associated with lower Hb, lower MCV, lower MCH, higher RDW, and higher prevalence of both microcytic and normocytic anaemia (all p &lt; 0.010). At multivariate Cox regression only Hb remained significantly associated with cancer specific (HR 0.98, 95% CI 0.97-0.99, p &lt; 0.001), and overall survival (HR 0.98, 95% CI 0.97-0.99, p = 0.001). CONCLUSIONS The presence of a host systemic inflammatory response to colorectal cancer was associated with significant perturbation of red cell measure of iron status.","author":[{"dropping-particle":"","family":"McSorley","given":"Stephen T.","non-dropping-particle":"","parse-names":false,"suffix":""},{"dropping-particle":"","family":"Tham","given":"Alexander","non-dropping-particle":"","parse-names":false,"suffix":""},{"dropping-particle":"","family":"Steele","given":"Colin W.","non-dropping-particle":"","parse-names":false,"suffix":""},{"dropping-particle":"","family":"Dolan","given":"Ross D.","non-dropping-particle":"","parse-names":false,"suffix":""},{"dropping-particle":"","family":"Roxburgh","given":"Campbell SD.","non-dropping-particle":"","parse-names":false,"suffix":""},{"dropping-particle":"","family":"Horgan","given":"Paul G.","non-dropping-particle":"","parse-names":false,"suffix":""},{"dropping-particle":"","family":"McMillan","given":"Donald C.","non-dropping-particle":"","parse-names":false,"suffix":""}],"container-title":"European journal of surgical oncology : the journal of the European Society of Surgical Oncology and the British Association of Surgical Oncology","id":"ITEM-3","issued":{"date-parts":[["2019"]]},"title":"Quantitative data on red cell measures of iron status and their relation to the magnitude of the systemic inflammatory response and survival in patients with colorectal cancer.","type":"article-journal"},"uris":["http://www.mendeley.com/documents/?uuid=255a0f80-bf44-4e91-a1f9-fbf8e8661a10"]}],"mendeley":{"formattedCitation":"&lt;sup&gt;[97–99]&lt;/sup&gt;","plainTextFormattedCitation":"[97–99]","previouslyFormattedCitation":"&lt;sup&gt;[97–99]&lt;/sup&gt;"},"properties":{"noteIndex":0},"schema":"https://github.com/citation-style-language/schema/raw/master/csl-citation.json"}</w:instrText>
      </w:r>
      <w:r w:rsidR="00F2211D" w:rsidRPr="00F06EA4">
        <w:rPr>
          <w:lang w:val="en-US"/>
        </w:rPr>
        <w:fldChar w:fldCharType="separate"/>
      </w:r>
      <w:r w:rsidR="00F45F97" w:rsidRPr="00F06EA4">
        <w:rPr>
          <w:noProof/>
          <w:vertAlign w:val="superscript"/>
          <w:lang w:val="en-US"/>
        </w:rPr>
        <w:t>[97–99]</w:t>
      </w:r>
      <w:r w:rsidR="00F2211D" w:rsidRPr="00F06EA4">
        <w:rPr>
          <w:lang w:val="en-US"/>
        </w:rPr>
        <w:fldChar w:fldCharType="end"/>
      </w:r>
      <w:r w:rsidR="00F2211D" w:rsidRPr="00F06EA4">
        <w:rPr>
          <w:lang w:val="en-US"/>
        </w:rPr>
        <w:t xml:space="preserve">. </w:t>
      </w:r>
      <w:r w:rsidR="00022063" w:rsidRPr="00F06EA4">
        <w:rPr>
          <w:lang w:val="en-US"/>
        </w:rPr>
        <w:t xml:space="preserve">There are several </w:t>
      </w:r>
      <w:r w:rsidR="00B33653" w:rsidRPr="00F06EA4">
        <w:rPr>
          <w:lang w:val="en-US"/>
        </w:rPr>
        <w:t>co</w:t>
      </w:r>
      <w:r w:rsidR="00DD2BE5" w:rsidRPr="00F06EA4">
        <w:rPr>
          <w:lang w:val="en-US"/>
        </w:rPr>
        <w:t>llaborating</w:t>
      </w:r>
      <w:r w:rsidR="00B33653" w:rsidRPr="00F06EA4">
        <w:rPr>
          <w:lang w:val="en-US"/>
        </w:rPr>
        <w:t xml:space="preserve"> </w:t>
      </w:r>
      <w:r w:rsidR="00022063" w:rsidRPr="00F06EA4">
        <w:rPr>
          <w:lang w:val="en-US"/>
        </w:rPr>
        <w:t>mechanism</w:t>
      </w:r>
      <w:r w:rsidR="003A7043" w:rsidRPr="00F06EA4">
        <w:rPr>
          <w:lang w:val="en-US"/>
        </w:rPr>
        <w:t>s</w:t>
      </w:r>
      <w:r w:rsidR="00022063" w:rsidRPr="00F06EA4">
        <w:rPr>
          <w:lang w:val="en-US"/>
        </w:rPr>
        <w:t xml:space="preserve"> linking systemic inflammation and anemia.</w:t>
      </w:r>
      <w:r w:rsidR="00D72DEC" w:rsidRPr="00F06EA4">
        <w:rPr>
          <w:lang w:val="en-US"/>
        </w:rPr>
        <w:t xml:space="preserve"> First, </w:t>
      </w:r>
      <w:r w:rsidR="000B38C8" w:rsidRPr="00F06EA4">
        <w:rPr>
          <w:lang w:val="en-US"/>
        </w:rPr>
        <w:t>hepcidin</w:t>
      </w:r>
      <w:r w:rsidR="00E1033F" w:rsidRPr="00F06EA4">
        <w:rPr>
          <w:lang w:val="en-US"/>
        </w:rPr>
        <w:t>, an acute phase protein produced in the liver</w:t>
      </w:r>
      <w:r w:rsidR="00574A70" w:rsidRPr="00F06EA4">
        <w:rPr>
          <w:lang w:val="en-US"/>
        </w:rPr>
        <w:t>,</w:t>
      </w:r>
      <w:r w:rsidR="00B33653" w:rsidRPr="00F06EA4">
        <w:rPr>
          <w:lang w:val="en-US"/>
        </w:rPr>
        <w:t xml:space="preserve"> limits i</w:t>
      </w:r>
      <w:r w:rsidR="00491D4F" w:rsidRPr="00F06EA4">
        <w:rPr>
          <w:lang w:val="en-US"/>
        </w:rPr>
        <w:t xml:space="preserve">ron absorption from </w:t>
      </w:r>
      <w:r w:rsidR="005300D9" w:rsidRPr="00F06EA4">
        <w:rPr>
          <w:lang w:val="en-US"/>
        </w:rPr>
        <w:t>small intestine</w:t>
      </w:r>
      <w:r w:rsidR="00937118" w:rsidRPr="00F06EA4">
        <w:rPr>
          <w:lang w:val="en-US"/>
        </w:rPr>
        <w:fldChar w:fldCharType="begin" w:fldLock="1"/>
      </w:r>
      <w:r w:rsidR="00021BAC" w:rsidRPr="00F06EA4">
        <w:rPr>
          <w:lang w:val="en-US"/>
        </w:rPr>
        <w:instrText>ADDIN CSL_CITATION {"citationItems":[{"id":"ITEM-1","itemData":{"ISSN":"1065-6251","PMID":"15725899","abstract":"PURPOSE OF REVIEW The anemia of inflammation has been associated for nearly two decades with elevated cytokine levels, but the primary mediator of this condition was unknown. Recently hepcidin antimicrobial peptide has emerged as the hormone that links the type II acute phase response to iron handling and erythropoiesis. RECENT FINDINGS Hepcidin antimicrobial peptide likely modulates iron transport from macrophages and enterocytes to red blood cell precursors as a consequence of its interaction with SLC40A1/ferroportin, the only known transporter that facilitates iron egress. Insights into the regulation of hepcidin antimicrobial peptide expression by known iron metabolic proteins such as HFE, hemojuvelin, and transferrin receptor 2 are expanding the understanding of the genetic circuitry that controls iron absorption and utilization. SUMMARY Increasingly, experiments suggest the hepatocyte is not just the iron storage depot but is the 'command central' for the maintenance of iron homeostasis. It receives multiple signals related to iron balance and responds via transcriptional control of hepcidin antimicrobial peptide.","author":[{"dropping-particle":"","family":"Roy","given":"Cindy N","non-dropping-particle":"","parse-names":false,"suffix":""},{"dropping-particle":"","family":"Andrews","given":"Nancy C","non-dropping-particle":"","parse-names":false,"suffix":""}],"container-title":"Current opinion in hematology","id":"ITEM-1","issue":"2","issued":{"date-parts":[["2005"]]},"page":"107-11","title":"Anemia of inflammation: the hepcidin link.","type":"article-journal","volume":"12"},"uris":["http://www.mendeley.com/documents/?uuid=353aa5c1-5afe-3886-8bf8-846570295553"]},{"id":"ITEM-2","itemData":{"DOI":"10.1182/blood-2018-06-856500","ISSN":"1528-0020","PMID":"30401705","abstract":"Anemia of inflammation (AI), also known as anemia of chronic disease (ACD), is regarded as the most frequent anemia in hospitalized and chronically ill patients. It is prevalent in patients with diseases that cause prolonged immune activation, including infection, autoimmune diseases, and cancer. More recently, the list has grown to include chronic kidney disease, congestive heart failure, chronic pulmonary diseases, and obesity. Inflammation-inducible cytokines and the master regulator of iron homeostasis, hepcidin, block intestinal iron absorption and cause iron retention in reticuloendothelial cells, resulting in iron-restricted erythropoiesis. In addition, shortened erythrocyte half-life, suppressed erythropoietin response to anemia, and inhibition of erythroid cell differentiation by inflammatory mediators further contribute to AI in a disease-specific pattern. Although the diagnosis of AI is a diagnosis of exclusion and is supported by characteristic alterations in iron homeostasis, hypoferremia, and hyperferritinemia, the diagnosis of AI patients with coexisting iron deficiency is more difficult. In addition to treatment of the disease underlying AI, the combination of iron therapy and erythropoiesis-stimulating agents can improve anemia in many patients. In the future, emerging therapeutics that antagonize hepcidin function and redistribute endogenous iron for erythropoiesis may offer additional options. However, based on experience with anemia treatment in chronic kidney disease, critical illness, and cancer, finding the appropriate indications for the specific treatment of AI will require improved understanding and a balanced consideration of the contribution of anemia to each patient's morbidity and the impact of anemia treatment on the patient's prognosis in a variety of disease settings.","author":[{"dropping-particle":"","family":"Weiss","given":"Guenter","non-dropping-particle":"","parse-names":false,"suffix":""},{"dropping-particle":"","family":"Ganz","given":"Tomas","non-dropping-particle":"","parse-names":false,"suffix":""},{"dropping-particle":"","family":"Goodnough","given":"Lawrence T.","non-dropping-particle":"","parse-names":false,"suffix":""}],"container-title":"Blood","id":"ITEM-2","issue":"1","issued":{"date-parts":[["2019","1"]]},"page":"40-50","title":"Anemia of inflammation.","type":"article-journal","volume":"133"},"uris":["http://www.mendeley.com/documents/?uuid=10a26a2b-cd5d-4b43-b0e9-32a9d60c3ce7"]}],"mendeley":{"formattedCitation":"&lt;sup&gt;[101,102]&lt;/sup&gt;","plainTextFormattedCitation":"[101,102]","previouslyFormattedCitation":"&lt;sup&gt;[101,102]&lt;/sup&gt;"},"properties":{"noteIndex":0},"schema":"https://github.com/citation-style-language/schema/raw/master/csl-citation.json"}</w:instrText>
      </w:r>
      <w:r w:rsidR="00937118" w:rsidRPr="00F06EA4">
        <w:rPr>
          <w:lang w:val="en-US"/>
        </w:rPr>
        <w:fldChar w:fldCharType="separate"/>
      </w:r>
      <w:r w:rsidR="00F45F97" w:rsidRPr="00F06EA4">
        <w:rPr>
          <w:noProof/>
          <w:vertAlign w:val="superscript"/>
          <w:lang w:val="en-US"/>
        </w:rPr>
        <w:t>[101,102]</w:t>
      </w:r>
      <w:r w:rsidR="00937118" w:rsidRPr="00F06EA4">
        <w:rPr>
          <w:lang w:val="en-US"/>
        </w:rPr>
        <w:fldChar w:fldCharType="end"/>
      </w:r>
      <w:r w:rsidR="00491D4F" w:rsidRPr="00F06EA4">
        <w:rPr>
          <w:lang w:val="en-US"/>
        </w:rPr>
        <w:t xml:space="preserve"> and </w:t>
      </w:r>
      <w:r w:rsidR="00574A70" w:rsidRPr="00F06EA4">
        <w:rPr>
          <w:lang w:val="en-US"/>
        </w:rPr>
        <w:t>iron</w:t>
      </w:r>
      <w:r w:rsidR="00D72DEC" w:rsidRPr="00F06EA4">
        <w:rPr>
          <w:lang w:val="en-US"/>
        </w:rPr>
        <w:t xml:space="preserve"> </w:t>
      </w:r>
      <w:r w:rsidR="00491D4F" w:rsidRPr="00F06EA4">
        <w:rPr>
          <w:lang w:val="en-US"/>
        </w:rPr>
        <w:t>availability for erythr</w:t>
      </w:r>
      <w:r w:rsidR="00B33653" w:rsidRPr="00F06EA4">
        <w:rPr>
          <w:lang w:val="en-US"/>
        </w:rPr>
        <w:t>oid cells</w:t>
      </w:r>
      <w:r w:rsidR="00937118" w:rsidRPr="00F06EA4">
        <w:rPr>
          <w:lang w:val="en-US"/>
        </w:rPr>
        <w:fldChar w:fldCharType="begin" w:fldLock="1"/>
      </w:r>
      <w:r w:rsidR="00F45F97" w:rsidRPr="00F06EA4">
        <w:rPr>
          <w:lang w:val="en-US"/>
        </w:rPr>
        <w:instrText>ADDIN CSL_CITATION {"citationItems":[{"id":"ITEM-1","itemData":{"DOI":"10.1182/blood-2018-06-856500","ISSN":"1528-0020","PMID":"30401705","abstract":"Anemia of inflammation (AI), also known as anemia of chronic disease (ACD), is regarded as the most frequent anemia in hospitalized and chronically ill patients. It is prevalent in patients with diseases that cause prolonged immune activation, including infection, autoimmune diseases, and cancer. More recently, the list has grown to include chronic kidney disease, congestive heart failure, chronic pulmonary diseases, and obesity. Inflammation-inducible cytokines and the master regulator of iron homeostasis, hepcidin, block intestinal iron absorption and cause iron retention in reticuloendothelial cells, resulting in iron-restricted erythropoiesis. In addition, shortened erythrocyte half-life, suppressed erythropoietin response to anemia, and inhibition of erythroid cell differentiation by inflammatory mediators further contribute to AI in a disease-specific pattern. Although the diagnosis of AI is a diagnosis of exclusion and is supported by characteristic alterations in iron homeostasis, hypoferremia, and hyperferritinemia, the diagnosis of AI patients with coexisting iron deficiency is more difficult. In addition to treatment of the disease underlying AI, the combination of iron therapy and erythropoiesis-stimulating agents can improve anemia in many patients. In the future, emerging therapeutics that antagonize hepcidin function and redistribute endogenous iron for erythropoiesis may offer additional options. However, based on experience with anemia treatment in chronic kidney disease, critical illness, and cancer, finding the appropriate indications for the specific treatment of AI will require improved understanding and a balanced consideration of the contribution of anemia to each patient's morbidity and the impact of anemia treatment on the patient's prognosis in a variety of disease settings.","author":[{"dropping-particle":"","family":"Weiss","given":"Guenter","non-dropping-particle":"","parse-names":false,"suffix":""},{"dropping-particle":"","family":"Ganz","given":"Tomas","non-dropping-particle":"","parse-names":false,"suffix":""},{"dropping-particle":"","family":"Goodnough","given":"Lawrence T.","non-dropping-particle":"","parse-names":false,"suffix":""}],"container-title":"Blood","id":"ITEM-1","issue":"1","issued":{"date-parts":[["2019","1"]]},"page":"40-50","title":"Anemia of inflammation.","type":"article-journal","volume":"133"},"uris":["http://www.mendeley.com/documents/?uuid=10a26a2b-cd5d-4b43-b0e9-32a9d60c3ce7"]}],"mendeley":{"formattedCitation":"&lt;sup&gt;[102]&lt;/sup&gt;","plainTextFormattedCitation":"[102]","previouslyFormattedCitation":"&lt;sup&gt;[102]&lt;/sup&gt;"},"properties":{"noteIndex":0},"schema":"https://github.com/citation-style-language/schema/raw/master/csl-citation.json"}</w:instrText>
      </w:r>
      <w:r w:rsidR="00937118" w:rsidRPr="00F06EA4">
        <w:rPr>
          <w:lang w:val="en-US"/>
        </w:rPr>
        <w:fldChar w:fldCharType="separate"/>
      </w:r>
      <w:r w:rsidR="00F45F97" w:rsidRPr="00F06EA4">
        <w:rPr>
          <w:noProof/>
          <w:vertAlign w:val="superscript"/>
          <w:lang w:val="en-US"/>
        </w:rPr>
        <w:t>[102]</w:t>
      </w:r>
      <w:r w:rsidR="00937118" w:rsidRPr="00F06EA4">
        <w:rPr>
          <w:lang w:val="en-US"/>
        </w:rPr>
        <w:fldChar w:fldCharType="end"/>
      </w:r>
      <w:r w:rsidR="00B33653" w:rsidRPr="00F06EA4">
        <w:rPr>
          <w:lang w:val="en-US"/>
        </w:rPr>
        <w:t xml:space="preserve">. </w:t>
      </w:r>
      <w:r w:rsidR="00583AEB" w:rsidRPr="00F06EA4">
        <w:rPr>
          <w:lang w:val="en-US"/>
        </w:rPr>
        <w:t>Second, p</w:t>
      </w:r>
      <w:r w:rsidR="00B33653" w:rsidRPr="00F06EA4">
        <w:rPr>
          <w:lang w:val="en-US"/>
        </w:rPr>
        <w:t>ro-inflammatory cytokines directly inhibit the proliferation of erythroid progenitor cells</w:t>
      </w:r>
      <w:r w:rsidR="00B80F20" w:rsidRPr="00F06EA4">
        <w:rPr>
          <w:lang w:val="en-US"/>
        </w:rPr>
        <w:fldChar w:fldCharType="begin" w:fldLock="1"/>
      </w:r>
      <w:r w:rsidR="00F45F97" w:rsidRPr="00F06EA4">
        <w:rPr>
          <w:lang w:val="en-US"/>
        </w:rPr>
        <w:instrText>ADDIN CSL_CITATION {"citationItems":[{"id":"ITEM-1","itemData":{"DOI":"10.1056/NEJMra041809","ISSN":"0028-4793","PMID":"15758012","author":[{"dropping-particle":"","family":"Weiss","given":"Guenter","non-dropping-particle":"","parse-names":false,"suffix":""},{"dropping-particle":"","family":"Goodnough","given":"Lawrence T.","non-dropping-particle":"","parse-names":false,"suffix":""}],"container-title":"New England Journal of Medicine","id":"ITEM-1","issue":"10","issued":{"date-parts":[["2005"]]},"page":"1011-1023","title":"Anemia of Chronic Disease","type":"article-journal","volume":"352"},"uris":["http://www.mendeley.com/documents/?uuid=7c764956-5234-36d0-ace7-c5d966a93a0d"]}],"mendeley":{"formattedCitation":"&lt;sup&gt;[103]&lt;/sup&gt;","plainTextFormattedCitation":"[103]","previouslyFormattedCitation":"&lt;sup&gt;[103]&lt;/sup&gt;"},"properties":{"noteIndex":0},"schema":"https://github.com/citation-style-language/schema/raw/master/csl-citation.json"}</w:instrText>
      </w:r>
      <w:r w:rsidR="00B80F20" w:rsidRPr="00F06EA4">
        <w:rPr>
          <w:lang w:val="en-US"/>
        </w:rPr>
        <w:fldChar w:fldCharType="separate"/>
      </w:r>
      <w:r w:rsidR="00F45F97" w:rsidRPr="00F06EA4">
        <w:rPr>
          <w:noProof/>
          <w:vertAlign w:val="superscript"/>
          <w:lang w:val="en-US"/>
        </w:rPr>
        <w:t>[103]</w:t>
      </w:r>
      <w:r w:rsidR="00B80F20" w:rsidRPr="00F06EA4">
        <w:rPr>
          <w:lang w:val="en-US"/>
        </w:rPr>
        <w:fldChar w:fldCharType="end"/>
      </w:r>
      <w:r w:rsidR="00583AEB" w:rsidRPr="00F06EA4">
        <w:rPr>
          <w:lang w:val="en-US"/>
        </w:rPr>
        <w:t xml:space="preserve">. Third, proinflammatory cytokines also </w:t>
      </w:r>
      <w:r w:rsidR="00891FDB" w:rsidRPr="00F06EA4">
        <w:rPr>
          <w:lang w:val="en-US"/>
        </w:rPr>
        <w:t xml:space="preserve">inhibit </w:t>
      </w:r>
      <w:r w:rsidR="00811400" w:rsidRPr="00F06EA4">
        <w:rPr>
          <w:lang w:val="en-US"/>
        </w:rPr>
        <w:t>erythropoietin synthesis in the kidney</w:t>
      </w:r>
      <w:r w:rsidR="00583AEB" w:rsidRPr="00F06EA4">
        <w:rPr>
          <w:lang w:val="en-US"/>
        </w:rPr>
        <w:t xml:space="preserve">, resulting </w:t>
      </w:r>
      <w:r w:rsidR="00DD2BE5" w:rsidRPr="00F06EA4">
        <w:rPr>
          <w:lang w:val="en-US"/>
        </w:rPr>
        <w:t xml:space="preserve">in </w:t>
      </w:r>
      <w:r w:rsidR="00B261B1" w:rsidRPr="00F06EA4">
        <w:rPr>
          <w:lang w:val="en-US"/>
        </w:rPr>
        <w:t>decreased erythropoiesis</w:t>
      </w:r>
      <w:r w:rsidR="00B80F20" w:rsidRPr="00F06EA4">
        <w:rPr>
          <w:lang w:val="en-US"/>
        </w:rPr>
        <w:fldChar w:fldCharType="begin" w:fldLock="1"/>
      </w:r>
      <w:r w:rsidR="00F45F97" w:rsidRPr="00F06EA4">
        <w:rPr>
          <w:lang w:val="en-US"/>
        </w:rPr>
        <w:instrText>ADDIN CSL_CITATION {"citationItems":[{"id":"ITEM-1","itemData":{"DOI":"10.1038/nrc1648","ISSN":"1474-175X","PMID":"15965494","abstract":"Cancer has a negative systemic impact on its host in addition to its local or metastatic effects, and no cancer complication is more ubiquitous than anaemia, a condition for which there is now a specific remedy, the recombinant growth factor erythropoietin. This is not a trivial therapeutic consideration, because cancer-associated anaemia has an adverse influence on survival regardless of tumour type. However, the pharmacological correction of anaemia with recombinant erythropoietin could promote tumour growth, whereas the use of tumour-necrosis factor-alpha (TNFalpha) and TNF-related apoptosis-inducing ligand as antitumour agents could exacerbate anaemia, thereby perpetuating tissue hypoxia and tumour progression.","author":[{"dropping-particle":"","family":"Spivak","given":"Jerry L.","non-dropping-particle":"","parse-names":false,"suffix":""}],"container-title":"Nature Reviews Cancer","id":"ITEM-1","issue":"7","issued":{"date-parts":[["2005"]]},"page":"543-555","title":"The anaemia of cancer: death by a thousand cuts","type":"article-journal","volume":"5"},"uris":["http://www.mendeley.com/documents/?uuid=d087e873-6d73-3b3d-a419-eecdd54bd69c"]}],"mendeley":{"formattedCitation":"&lt;sup&gt;[104]&lt;/sup&gt;","plainTextFormattedCitation":"[104]","previouslyFormattedCitation":"&lt;sup&gt;[104]&lt;/sup&gt;"},"properties":{"noteIndex":0},"schema":"https://github.com/citation-style-language/schema/raw/master/csl-citation.json"}</w:instrText>
      </w:r>
      <w:r w:rsidR="00B80F20" w:rsidRPr="00F06EA4">
        <w:rPr>
          <w:lang w:val="en-US"/>
        </w:rPr>
        <w:fldChar w:fldCharType="separate"/>
      </w:r>
      <w:r w:rsidR="00F45F97" w:rsidRPr="00F06EA4">
        <w:rPr>
          <w:noProof/>
          <w:vertAlign w:val="superscript"/>
          <w:lang w:val="en-US"/>
        </w:rPr>
        <w:t>[104]</w:t>
      </w:r>
      <w:r w:rsidR="00B80F20" w:rsidRPr="00F06EA4">
        <w:rPr>
          <w:lang w:val="en-US"/>
        </w:rPr>
        <w:fldChar w:fldCharType="end"/>
      </w:r>
      <w:r w:rsidR="00811400" w:rsidRPr="00F06EA4">
        <w:rPr>
          <w:lang w:val="en-US"/>
        </w:rPr>
        <w:t xml:space="preserve">. </w:t>
      </w:r>
      <w:r w:rsidR="0010630C" w:rsidRPr="00F06EA4">
        <w:rPr>
          <w:lang w:val="en-US"/>
        </w:rPr>
        <w:t xml:space="preserve">In addition to </w:t>
      </w:r>
      <w:r w:rsidR="00DD2BE5" w:rsidRPr="00F06EA4">
        <w:rPr>
          <w:lang w:val="en-US"/>
        </w:rPr>
        <w:t xml:space="preserve">the </w:t>
      </w:r>
      <w:r w:rsidR="0010630C" w:rsidRPr="00F06EA4">
        <w:rPr>
          <w:lang w:val="en-US"/>
        </w:rPr>
        <w:t>main symptoms associated with anemia such as fatigue</w:t>
      </w:r>
      <w:r w:rsidR="00881B0A" w:rsidRPr="00F06EA4">
        <w:rPr>
          <w:lang w:val="en-US"/>
        </w:rPr>
        <w:t xml:space="preserve">, </w:t>
      </w:r>
      <w:r w:rsidR="0010630C" w:rsidRPr="00F06EA4">
        <w:rPr>
          <w:lang w:val="en-US"/>
        </w:rPr>
        <w:t xml:space="preserve"> </w:t>
      </w:r>
      <w:r w:rsidR="00881B0A" w:rsidRPr="00F06EA4">
        <w:rPr>
          <w:lang w:val="en-US"/>
        </w:rPr>
        <w:t>weakness, or shortness of breath,</w:t>
      </w:r>
      <w:r w:rsidR="0010630C" w:rsidRPr="00F06EA4">
        <w:rPr>
          <w:lang w:val="en-US"/>
        </w:rPr>
        <w:t xml:space="preserve"> </w:t>
      </w:r>
      <w:r w:rsidR="00881B0A" w:rsidRPr="00F06EA4">
        <w:rPr>
          <w:lang w:val="en-US"/>
        </w:rPr>
        <w:t>d</w:t>
      </w:r>
      <w:r w:rsidR="008F1E5A" w:rsidRPr="00F06EA4">
        <w:rPr>
          <w:lang w:val="en-US"/>
        </w:rPr>
        <w:t xml:space="preserve">ecreased availability of oxygen in </w:t>
      </w:r>
      <w:r w:rsidR="00643574" w:rsidRPr="00F06EA4">
        <w:rPr>
          <w:lang w:val="en-US"/>
        </w:rPr>
        <w:t xml:space="preserve">anemic </w:t>
      </w:r>
      <w:r w:rsidR="008F1E5A" w:rsidRPr="00F06EA4">
        <w:rPr>
          <w:lang w:val="en-US"/>
        </w:rPr>
        <w:t xml:space="preserve">cancer patients may </w:t>
      </w:r>
      <w:r w:rsidR="0062367A" w:rsidRPr="00F06EA4">
        <w:rPr>
          <w:lang w:val="en-US"/>
        </w:rPr>
        <w:t xml:space="preserve">contribute to </w:t>
      </w:r>
      <w:r w:rsidR="008F1E5A" w:rsidRPr="00F06EA4">
        <w:rPr>
          <w:lang w:val="en-US"/>
        </w:rPr>
        <w:t xml:space="preserve">systemic metabolic </w:t>
      </w:r>
      <w:r w:rsidR="004910BD" w:rsidRPr="00F06EA4">
        <w:rPr>
          <w:lang w:val="en-US"/>
        </w:rPr>
        <w:t>changes</w:t>
      </w:r>
      <w:r w:rsidR="00643574" w:rsidRPr="00F06EA4">
        <w:rPr>
          <w:lang w:val="en-US"/>
        </w:rPr>
        <w:t>, such as alter</w:t>
      </w:r>
      <w:r w:rsidR="004910BD" w:rsidRPr="00F06EA4">
        <w:rPr>
          <w:lang w:val="en-US"/>
        </w:rPr>
        <w:t>ations in</w:t>
      </w:r>
      <w:r w:rsidR="00643574" w:rsidRPr="00F06EA4">
        <w:rPr>
          <w:lang w:val="en-US"/>
        </w:rPr>
        <w:t xml:space="preserve"> circulating and liver lipid </w:t>
      </w:r>
      <w:r w:rsidR="004910BD" w:rsidRPr="00F06EA4">
        <w:rPr>
          <w:lang w:val="en-US"/>
        </w:rPr>
        <w:t xml:space="preserve">levels, which </w:t>
      </w:r>
      <w:r w:rsidR="00DD2BE5" w:rsidRPr="00F06EA4">
        <w:rPr>
          <w:lang w:val="en-US"/>
        </w:rPr>
        <w:t xml:space="preserve">have been </w:t>
      </w:r>
      <w:r w:rsidR="004910BD" w:rsidRPr="00F06EA4">
        <w:rPr>
          <w:lang w:val="en-US"/>
        </w:rPr>
        <w:t xml:space="preserve">shown to associate </w:t>
      </w:r>
      <w:r w:rsidR="00811400" w:rsidRPr="00F06EA4">
        <w:rPr>
          <w:lang w:val="en-US"/>
        </w:rPr>
        <w:t xml:space="preserve">with </w:t>
      </w:r>
      <w:r w:rsidR="004910BD" w:rsidRPr="00F06EA4">
        <w:rPr>
          <w:lang w:val="en-US"/>
        </w:rPr>
        <w:t>hypoxia in animal models</w:t>
      </w:r>
      <w:r w:rsidR="0062367A" w:rsidRPr="00F06EA4">
        <w:rPr>
          <w:lang w:val="en-US"/>
        </w:rPr>
        <w:fldChar w:fldCharType="begin" w:fldLock="1"/>
      </w:r>
      <w:r w:rsidR="00F45F97" w:rsidRPr="00F06EA4">
        <w:rPr>
          <w:lang w:val="en-US"/>
        </w:rPr>
        <w:instrText>ADDIN CSL_CITATION {"citationItems":[{"id":"ITEM-1","itemData":{"DOI":"10.1089/ham.2013.1134","ISSN":"1557-8682","PMID":"25185022","abstract":"Lipid metabolism under chronic hypoxia (CH) has not received equal attention as intermittent hypoxia (IH). To determine the CH-induced changes in plasma and liver, as well as the mRNA and protein expression of two key enzymes in the triglyceride and cholesterol biosynthesis pathways, SREBP-1 (HMG-CoA reductase) and SREBP-2 (SCD-1), we exposed adult male Wistar rats to CH (4600 m; n=15) for 30 days compared to normoxic rats (n=15). The CH rats exhibited weight loss (p&lt;0.001), higher hematocrit (%), and higher hemoglobin (g/dL) (p&lt;0.01). In the plasma of CH rats, total cholesterol and LDL-cholesterol increased at day 15. VLDL-cholesterol and triglycerides (p&lt;0.01) greatly increased (35%), while HDL-cholesterol decreased (p&lt;0.01). Triglycerides and VLDL-cholesterol remained elevated by 28% at day 30 (p&lt;0.01). Hepatic triglycerides increased two-fold, while total cholesterol increased by 51% (p&lt;0.001; p&lt;0.05). Upregulation of SCD-1 mRNA and protein was observed in the CH rats (p&lt;0.01); however, no differences were observed in HMG-CoA reductase mRNA or protein expression in both groups. In conclusion, CH, like IH, alters lipid profiles by increasing triglycerides in the plasma and liver and upregulating triglyceride biosynthesis without affecting the cholesterol biosynthetic pathway. Additional involved mechanisms require further study because of the importance of lipids in cardiovascular risk.","author":[{"dropping-particle":"","family":"Siques","given":"Patricia","non-dropping-particle":"","parse-names":false,"suffix":""},{"dropping-particle":"","family":"Brito","given":"Julio","non-dropping-particle":"","parse-names":false,"suffix":""},{"dropping-particle":"","family":"Naveas","given":"Nelson","non-dropping-particle":"","parse-names":false,"suffix":""},{"dropping-particle":"","family":"Pulido","given":"Ruth","non-dropping-particle":"","parse-names":false,"suffix":""},{"dropping-particle":"","family":"la Cruz","given":"Juan José","non-dropping-particle":"De","parse-names":false,"suffix":""},{"dropping-particle":"","family":"Mamani","given":"Maribel","non-dropping-particle":"","parse-names":false,"suffix":""},{"dropping-particle":"","family":"León-Velarde","given":"Fabiola","non-dropping-particle":"","parse-names":false,"suffix":""}],"container-title":"High altitude medicine &amp; biology","id":"ITEM-1","issue":"3","issued":{"date-parts":[["2014","9"]]},"page":"388-95","title":"Plasma and liver lipid profiles in rats exposed to chronic hypobaric hypoxia: changes in metabolic pathways.","type":"article-journal","volume":"15"},"uris":["http://www.mendeley.com/documents/?uuid=31b21702-49f4-3626-bdea-d3536006f6d2","http://www.mendeley.com/documents/?uuid=38c92089-7aa1-466c-9911-2faea3abef01"]}],"mendeley":{"formattedCitation":"&lt;sup&gt;[105]&lt;/sup&gt;","plainTextFormattedCitation":"[105]","previouslyFormattedCitation":"&lt;sup&gt;[105]&lt;/sup&gt;"},"properties":{"noteIndex":0},"schema":"https://github.com/citation-style-language/schema/raw/master/csl-citation.json"}</w:instrText>
      </w:r>
      <w:r w:rsidR="0062367A" w:rsidRPr="00F06EA4">
        <w:rPr>
          <w:lang w:val="en-US"/>
        </w:rPr>
        <w:fldChar w:fldCharType="separate"/>
      </w:r>
      <w:r w:rsidR="00F45F97" w:rsidRPr="00F06EA4">
        <w:rPr>
          <w:noProof/>
          <w:vertAlign w:val="superscript"/>
          <w:lang w:val="en-US"/>
        </w:rPr>
        <w:t>[105]</w:t>
      </w:r>
      <w:r w:rsidR="0062367A" w:rsidRPr="00F06EA4">
        <w:rPr>
          <w:lang w:val="en-US"/>
        </w:rPr>
        <w:fldChar w:fldCharType="end"/>
      </w:r>
      <w:r w:rsidR="004910BD" w:rsidRPr="00F06EA4">
        <w:rPr>
          <w:lang w:val="en-US"/>
        </w:rPr>
        <w:t xml:space="preserve">. </w:t>
      </w:r>
      <w:r w:rsidR="00643574" w:rsidRPr="00F06EA4">
        <w:rPr>
          <w:lang w:val="en-US"/>
        </w:rPr>
        <w:t xml:space="preserve"> </w:t>
      </w:r>
    </w:p>
    <w:p w14:paraId="175C964D" w14:textId="61053ABC" w:rsidR="00F410AE" w:rsidRPr="00F06EA4" w:rsidRDefault="00FB5937" w:rsidP="00F67ED8">
      <w:pPr>
        <w:spacing w:after="0"/>
        <w:ind w:firstLineChars="100" w:firstLine="240"/>
        <w:rPr>
          <w:lang w:val="en-US"/>
        </w:rPr>
      </w:pPr>
      <w:r w:rsidRPr="00F06EA4">
        <w:rPr>
          <w:lang w:val="en-US"/>
        </w:rPr>
        <w:t xml:space="preserve">Platelets are anucleate cells generated in the bone marrow by the megakaryocyte. </w:t>
      </w:r>
      <w:r w:rsidR="0056603A" w:rsidRPr="00F06EA4">
        <w:rPr>
          <w:lang w:val="en-US"/>
        </w:rPr>
        <w:t xml:space="preserve">They contribute to hemostasis but </w:t>
      </w:r>
      <w:r w:rsidR="003A7333" w:rsidRPr="00F06EA4">
        <w:rPr>
          <w:lang w:val="en-US"/>
        </w:rPr>
        <w:t>also</w:t>
      </w:r>
      <w:r w:rsidR="00E000FC" w:rsidRPr="00F06EA4">
        <w:rPr>
          <w:lang w:val="en-US"/>
        </w:rPr>
        <w:t xml:space="preserve"> to cancer </w:t>
      </w:r>
      <w:r w:rsidR="00DD01F0" w:rsidRPr="00F06EA4">
        <w:rPr>
          <w:lang w:val="en-US"/>
        </w:rPr>
        <w:t xml:space="preserve">pathogenesis by releasing </w:t>
      </w:r>
      <w:r w:rsidR="00565751" w:rsidRPr="00F06EA4">
        <w:rPr>
          <w:lang w:val="en-US"/>
        </w:rPr>
        <w:t>growth factors and cytokines</w:t>
      </w:r>
      <w:r w:rsidR="00143690" w:rsidRPr="00F06EA4">
        <w:rPr>
          <w:lang w:val="en-US"/>
        </w:rPr>
        <w:fldChar w:fldCharType="begin" w:fldLock="1"/>
      </w:r>
      <w:r w:rsidR="00F45F97" w:rsidRPr="00F06EA4">
        <w:rPr>
          <w:lang w:val="en-US"/>
        </w:rPr>
        <w:instrText>ADDIN CSL_CITATION {"citationItems":[{"id":"ITEM-1","itemData":{"DOI":"10.1016/j.ccell.2015.10.007","ISBN":"1535-6108","ISSN":"1878-3686","PMID":"26555171","abstract":"Real-time monitoring of changes in cells or cell products released from malignant lesions into the blood has opened new diagnostic avenues (\"liquid biopsy\"). In this issue of Cancer Cell, Best and colleagues describe that tumor-associated blood platelets provide specific information on the location and molecular composition of the primary tumor.","author":[{"dropping-particle":"","family":"Joosse","given":"Simon A.","non-dropping-particle":"","parse-names":false,"suffix":""},{"dropping-particle":"","family":"Pantel","given":"Klaus","non-dropping-particle":"","parse-names":false,"suffix":""}],"container-title":"Cancer cell","id":"ITEM-1","issue":"5","issued":{"date-parts":[["2015"]]},"page":"552-554","title":"Tumor-Educated Platelets as Liquid Biopsy in Cancer Patients.","type":"article-journal","volume":"28"},"uris":["http://www.mendeley.com/documents/?uuid=c4cc1caa-8b9b-4538-bcc0-90a2fc5f1044"]}],"mendeley":{"formattedCitation":"&lt;sup&gt;[106]&lt;/sup&gt;","plainTextFormattedCitation":"[106]","previouslyFormattedCitation":"&lt;sup&gt;[106]&lt;/sup&gt;"},"properties":{"noteIndex":0},"schema":"https://github.com/citation-style-language/schema/raw/master/csl-citation.json"}</w:instrText>
      </w:r>
      <w:r w:rsidR="00143690" w:rsidRPr="00F06EA4">
        <w:rPr>
          <w:lang w:val="en-US"/>
        </w:rPr>
        <w:fldChar w:fldCharType="separate"/>
      </w:r>
      <w:r w:rsidR="00F45F97" w:rsidRPr="00F06EA4">
        <w:rPr>
          <w:noProof/>
          <w:vertAlign w:val="superscript"/>
          <w:lang w:val="en-US"/>
        </w:rPr>
        <w:t>[106]</w:t>
      </w:r>
      <w:r w:rsidR="00143690" w:rsidRPr="00F06EA4">
        <w:rPr>
          <w:lang w:val="en-US"/>
        </w:rPr>
        <w:fldChar w:fldCharType="end"/>
      </w:r>
      <w:r w:rsidR="00565751" w:rsidRPr="00F06EA4">
        <w:rPr>
          <w:lang w:val="en-US"/>
        </w:rPr>
        <w:t xml:space="preserve">. </w:t>
      </w:r>
      <w:r w:rsidR="003D7BD9" w:rsidRPr="00F06EA4">
        <w:rPr>
          <w:lang w:val="en-US"/>
        </w:rPr>
        <w:t>Thrombocytosis (increased blood platelet count) is common in cancer patients.</w:t>
      </w:r>
      <w:r w:rsidR="00A16975" w:rsidRPr="00F06EA4">
        <w:rPr>
          <w:lang w:val="en-US"/>
        </w:rPr>
        <w:t xml:space="preserve"> A recent </w:t>
      </w:r>
      <w:r w:rsidR="00CD2470" w:rsidRPr="00F06EA4">
        <w:rPr>
          <w:lang w:val="en-US"/>
        </w:rPr>
        <w:t>prospective cohort study in the U</w:t>
      </w:r>
      <w:r w:rsidR="008D5FAD">
        <w:rPr>
          <w:lang w:val="en-US"/>
        </w:rPr>
        <w:t>nited Kingdom</w:t>
      </w:r>
      <w:r w:rsidR="00CD2470" w:rsidRPr="00F06EA4">
        <w:rPr>
          <w:lang w:val="en-US"/>
        </w:rPr>
        <w:t xml:space="preserve"> </w:t>
      </w:r>
      <w:r w:rsidR="00DB27A4" w:rsidRPr="00F06EA4">
        <w:rPr>
          <w:lang w:val="en-US"/>
        </w:rPr>
        <w:t xml:space="preserve">investigated </w:t>
      </w:r>
      <w:r w:rsidR="008F04B2" w:rsidRPr="00F06EA4">
        <w:rPr>
          <w:lang w:val="en-US"/>
        </w:rPr>
        <w:t xml:space="preserve">1-year </w:t>
      </w:r>
      <w:r w:rsidR="00DB27A4" w:rsidRPr="00F06EA4">
        <w:rPr>
          <w:lang w:val="en-US"/>
        </w:rPr>
        <w:t xml:space="preserve">cancer incidence in </w:t>
      </w:r>
      <w:r w:rsidR="00E50965" w:rsidRPr="00F06EA4">
        <w:rPr>
          <w:lang w:val="en-US"/>
        </w:rPr>
        <w:t>40000 patients</w:t>
      </w:r>
      <w:r w:rsidR="00DB27A4" w:rsidRPr="00F06EA4">
        <w:rPr>
          <w:lang w:val="en-US"/>
        </w:rPr>
        <w:t xml:space="preserve"> </w:t>
      </w:r>
      <w:r w:rsidR="008F04B2" w:rsidRPr="00F06EA4">
        <w:rPr>
          <w:lang w:val="en-US"/>
        </w:rPr>
        <w:t>aged ≥</w:t>
      </w:r>
      <w:r w:rsidR="009C2EBB" w:rsidRPr="00F06EA4">
        <w:rPr>
          <w:lang w:val="en-US"/>
        </w:rPr>
        <w:t xml:space="preserve"> </w:t>
      </w:r>
      <w:r w:rsidR="008F04B2" w:rsidRPr="00F06EA4">
        <w:rPr>
          <w:lang w:val="en-US"/>
        </w:rPr>
        <w:t xml:space="preserve">40 years </w:t>
      </w:r>
      <w:r w:rsidR="00E50965" w:rsidRPr="00F06EA4">
        <w:rPr>
          <w:lang w:val="en-US"/>
        </w:rPr>
        <w:t>with thrombocytosis</w:t>
      </w:r>
      <w:r w:rsidR="00565751" w:rsidRPr="00F06EA4">
        <w:rPr>
          <w:lang w:val="en-US"/>
        </w:rPr>
        <w:fldChar w:fldCharType="begin" w:fldLock="1"/>
      </w:r>
      <w:r w:rsidR="00F45F97" w:rsidRPr="00F06EA4">
        <w:rPr>
          <w:lang w:val="en-US"/>
        </w:rPr>
        <w:instrText>ADDIN CSL_CITATION {"citationItems":[{"id":"ITEM-1","itemData":{"DOI":"10.3399/bjgp17X691109","ISBN":"1478-5242","ISSN":"1478-5242","PMID":"28533199","abstract":"BACKGROUND Thrombocytosis (raised platelet count) is an emerging risk marker of cancer, but the association has not been fully explored in a primary care context. AIM To examine the incidence of cancer in a cohort of patients with thrombocytosis, to determine how clinically useful this risk marker could be in predicting an underlying malignancy. DESIGN AND SETTING A prospective cohort study using Clinical Practice Research Datalink data from 2000 to 2013. METHOD The 1-year incidence of cancer was compared between two cohorts: 40 000 patients aged ≥40 years with a platelet count of &gt;400 × 109/L (thrombocytosis) and 10 000 matched patients with a normal platelet count. Sub-analyses examined the risk with change in platelet count, sex, age, and different cancer sites. RESULTS A total of 1098 out of 9435 males with thrombocytosis were diagnosed with cancer (11.6%; 95% confidence interval [CI] = 11.0 to 12.3), compared with 106 of 2599 males without thrombocytosis (4.1%; 95% CI = 3.4 to 4.9). A total of 1355 out of 21 826 females with thrombocytosis developed cancer (6.2%; 95% CI = 5.9 to 6.5), compared with 119 of 5370 females without (2.2%; 95% CI = 1.8 to 2.6). The risk of cancer increased to 18.1% (95% CI = 15.9 to 20.5) for males and 10.1% (95% CI = 9.0 to 11.3) for females, when a second raised platelet count was recorded within 6 months. Lung and colorectal cancer were more commonly diagnosed with thrombocytosis. One-third of patients with thrombocytosis and lung or colorectal cancer had no other symptoms indicative of malignancy. CONCLUSION Thrombocytosis is a risk marker of cancer in adults; 11.6% and 6.2% cancer incidence in males and females, respectively, is worthy of further investigation for underlying malignancy. These figures well exceed the National Institute for Health and Care Excellence-mandated risk threshold of 3% risk to warrant referral for suspected cancer.","author":[{"dropping-particle":"","family":"Bailey","given":"Sarah Er","non-dropping-particle":"","parse-names":false,"suffix":""},{"dropping-particle":"","family":"Ukoumunne","given":"Obioha C","non-dropping-particle":"","parse-names":false,"suffix":""},{"dropping-particle":"","family":"Shephard","given":"Elizabeth A","non-dropping-particle":"","parse-names":false,"suffix":""},{"dropping-particle":"","family":"Hamilton","given":"Willie","non-dropping-particle":"","parse-names":false,"suffix":""}],"container-title":"The British journal of general practice : the journal of the Royal College of General Practitioners","id":"ITEM-1","issue":"659","issued":{"date-parts":[["2017","6"]]},"page":"e405-e413","title":"Clinical relevance of thrombocytosis in primary care: a prospective cohort study of cancer incidence using English electronic medical records and cancer registry data.","type":"article-journal","volume":"67"},"uris":["http://www.mendeley.com/documents/?uuid=ab76822a-1ab6-4358-be55-fa258b689f8b"]}],"mendeley":{"formattedCitation":"&lt;sup&gt;[107]&lt;/sup&gt;","plainTextFormattedCitation":"[107]","previouslyFormattedCitation":"&lt;sup&gt;[107]&lt;/sup&gt;"},"properties":{"noteIndex":0},"schema":"https://github.com/citation-style-language/schema/raw/master/csl-citation.json"}</w:instrText>
      </w:r>
      <w:r w:rsidR="00565751" w:rsidRPr="00F06EA4">
        <w:rPr>
          <w:lang w:val="en-US"/>
        </w:rPr>
        <w:fldChar w:fldCharType="separate"/>
      </w:r>
      <w:r w:rsidR="00F45F97" w:rsidRPr="00F06EA4">
        <w:rPr>
          <w:noProof/>
          <w:vertAlign w:val="superscript"/>
          <w:lang w:val="en-US"/>
        </w:rPr>
        <w:t>[107]</w:t>
      </w:r>
      <w:r w:rsidR="00565751" w:rsidRPr="00F06EA4">
        <w:rPr>
          <w:lang w:val="en-US"/>
        </w:rPr>
        <w:fldChar w:fldCharType="end"/>
      </w:r>
      <w:r w:rsidR="00565751" w:rsidRPr="00F06EA4">
        <w:rPr>
          <w:lang w:val="en-US"/>
        </w:rPr>
        <w:t>.</w:t>
      </w:r>
      <w:r w:rsidR="008F04B2" w:rsidRPr="00F06EA4">
        <w:rPr>
          <w:lang w:val="en-US"/>
        </w:rPr>
        <w:t xml:space="preserve"> </w:t>
      </w:r>
      <w:r w:rsidR="00F96E06" w:rsidRPr="00F06EA4">
        <w:rPr>
          <w:lang w:val="en-US"/>
        </w:rPr>
        <w:t>In that cohort,</w:t>
      </w:r>
      <w:r w:rsidR="00E50965" w:rsidRPr="00F06EA4">
        <w:rPr>
          <w:lang w:val="en-US"/>
        </w:rPr>
        <w:t xml:space="preserve"> </w:t>
      </w:r>
      <w:r w:rsidR="00741AD8" w:rsidRPr="00F06EA4">
        <w:rPr>
          <w:lang w:val="en-US"/>
        </w:rPr>
        <w:t xml:space="preserve">11.6% of males and </w:t>
      </w:r>
      <w:r w:rsidR="002F5887" w:rsidRPr="00F06EA4">
        <w:rPr>
          <w:lang w:val="en-US"/>
        </w:rPr>
        <w:t>6.2% of females developed cancer</w:t>
      </w:r>
      <w:r w:rsidR="00E50965" w:rsidRPr="00F06EA4">
        <w:rPr>
          <w:lang w:val="en-US"/>
        </w:rPr>
        <w:t xml:space="preserve"> </w:t>
      </w:r>
      <w:r w:rsidR="002F5887" w:rsidRPr="00F06EA4">
        <w:rPr>
          <w:lang w:val="en-US"/>
        </w:rPr>
        <w:t xml:space="preserve">in 1-year follow-up, with </w:t>
      </w:r>
      <w:r w:rsidR="008735D8" w:rsidRPr="00F06EA4">
        <w:rPr>
          <w:lang w:val="en-US"/>
        </w:rPr>
        <w:t>CRC</w:t>
      </w:r>
      <w:r w:rsidR="002F5887" w:rsidRPr="00F06EA4">
        <w:rPr>
          <w:lang w:val="en-US"/>
        </w:rPr>
        <w:t xml:space="preserve"> and lung cancer as the most common diagnoses</w:t>
      </w:r>
      <w:r w:rsidR="00DB27A4" w:rsidRPr="00F06EA4">
        <w:rPr>
          <w:lang w:val="en-US"/>
        </w:rPr>
        <w:fldChar w:fldCharType="begin" w:fldLock="1"/>
      </w:r>
      <w:r w:rsidR="00F45F97" w:rsidRPr="00F06EA4">
        <w:rPr>
          <w:lang w:val="en-US"/>
        </w:rPr>
        <w:instrText>ADDIN CSL_CITATION {"citationItems":[{"id":"ITEM-1","itemData":{"DOI":"10.3399/bjgp17X691109","ISBN":"1478-5242","ISSN":"1478-5242","PMID":"28533199","abstract":"BACKGROUND Thrombocytosis (raised platelet count) is an emerging risk marker of cancer, but the association has not been fully explored in a primary care context. AIM To examine the incidence of cancer in a cohort of patients with thrombocytosis, to determine how clinically useful this risk marker could be in predicting an underlying malignancy. DESIGN AND SETTING A prospective cohort study using Clinical Practice Research Datalink data from 2000 to 2013. METHOD The 1-year incidence of cancer was compared between two cohorts: 40 000 patients aged ≥40 years with a platelet count of &gt;400 × 109/L (thrombocytosis) and 10 000 matched patients with a normal platelet count. Sub-analyses examined the risk with change in platelet count, sex, age, and different cancer sites. RESULTS A total of 1098 out of 9435 males with thrombocytosis were diagnosed with cancer (11.6%; 95% confidence interval [CI] = 11.0 to 12.3), compared with 106 of 2599 males without thrombocytosis (4.1%; 95% CI = 3.4 to 4.9). A total of 1355 out of 21 826 females with thrombocytosis developed cancer (6.2%; 95% CI = 5.9 to 6.5), compared with 119 of 5370 females without (2.2%; 95% CI = 1.8 to 2.6). The risk of cancer increased to 18.1% (95% CI = 15.9 to 20.5) for males and 10.1% (95% CI = 9.0 to 11.3) for females, when a second raised platelet count was recorded within 6 months. Lung and colorectal cancer were more commonly diagnosed with thrombocytosis. One-third of patients with thrombocytosis and lung or colorectal cancer had no other symptoms indicative of malignancy. CONCLUSION Thrombocytosis is a risk marker of cancer in adults; 11.6% and 6.2% cancer incidence in males and females, respectively, is worthy of further investigation for underlying malignancy. These figures well exceed the National Institute for Health and Care Excellence-mandated risk threshold of 3% risk to warrant referral for suspected cancer.","author":[{"dropping-particle":"","family":"Bailey","given":"Sarah Er","non-dropping-particle":"","parse-names":false,"suffix":""},{"dropping-particle":"","family":"Ukoumunne","given":"Obioha C","non-dropping-particle":"","parse-names":false,"suffix":""},{"dropping-particle":"","family":"Shephard","given":"Elizabeth A","non-dropping-particle":"","parse-names":false,"suffix":""},{"dropping-particle":"","family":"Hamilton","given":"Willie","non-dropping-particle":"","parse-names":false,"suffix":""}],"container-title":"The British journal of general practice : the journal of the Royal College of General Practitioners","id":"ITEM-1","issue":"659","issued":{"date-parts":[["2017","6"]]},"page":"e405-e413","title":"Clinical relevance of thrombocytosis in primary care: a prospective cohort study of cancer incidence using English electronic medical records and cancer registry data.","type":"article-journal","volume":"67"},"uris":["http://www.mendeley.com/documents/?uuid=ab76822a-1ab6-4358-be55-fa258b689f8b"]}],"mendeley":{"formattedCitation":"&lt;sup&gt;[107]&lt;/sup&gt;","plainTextFormattedCitation":"[107]","previouslyFormattedCitation":"&lt;sup&gt;[107]&lt;/sup&gt;"},"properties":{"noteIndex":0},"schema":"https://github.com/citation-style-language/schema/raw/master/csl-citation.json"}</w:instrText>
      </w:r>
      <w:r w:rsidR="00DB27A4" w:rsidRPr="00F06EA4">
        <w:rPr>
          <w:lang w:val="en-US"/>
        </w:rPr>
        <w:fldChar w:fldCharType="separate"/>
      </w:r>
      <w:r w:rsidR="00F45F97" w:rsidRPr="00F06EA4">
        <w:rPr>
          <w:noProof/>
          <w:vertAlign w:val="superscript"/>
          <w:lang w:val="en-US"/>
        </w:rPr>
        <w:t>[107]</w:t>
      </w:r>
      <w:r w:rsidR="00DB27A4" w:rsidRPr="00F06EA4">
        <w:rPr>
          <w:lang w:val="en-US"/>
        </w:rPr>
        <w:fldChar w:fldCharType="end"/>
      </w:r>
      <w:r w:rsidR="002F5887" w:rsidRPr="00F06EA4">
        <w:rPr>
          <w:lang w:val="en-US"/>
        </w:rPr>
        <w:t xml:space="preserve">. </w:t>
      </w:r>
      <w:r w:rsidR="00BA1927" w:rsidRPr="00F06EA4">
        <w:rPr>
          <w:lang w:val="en-US"/>
        </w:rPr>
        <w:t>The</w:t>
      </w:r>
      <w:r w:rsidR="00C45C8E" w:rsidRPr="00F06EA4">
        <w:rPr>
          <w:lang w:val="en-US"/>
        </w:rPr>
        <w:t xml:space="preserve"> factors contributing to </w:t>
      </w:r>
      <w:r w:rsidR="002B49B1" w:rsidRPr="00F06EA4">
        <w:rPr>
          <w:lang w:val="en-US"/>
        </w:rPr>
        <w:t>cancer-associated thrombocytosis</w:t>
      </w:r>
      <w:r w:rsidR="00C62034" w:rsidRPr="00F06EA4">
        <w:rPr>
          <w:lang w:val="en-US"/>
        </w:rPr>
        <w:t xml:space="preserve"> </w:t>
      </w:r>
      <w:r w:rsidR="002B49B1" w:rsidRPr="00F06EA4">
        <w:rPr>
          <w:lang w:val="en-US"/>
        </w:rPr>
        <w:t xml:space="preserve">include </w:t>
      </w:r>
      <w:r w:rsidR="00DD2DFD" w:rsidRPr="00F06EA4">
        <w:rPr>
          <w:lang w:val="en-US"/>
        </w:rPr>
        <w:t>CSF2, CSF3,</w:t>
      </w:r>
      <w:r w:rsidR="00056BB6" w:rsidRPr="00F06EA4">
        <w:rPr>
          <w:lang w:val="en-US"/>
        </w:rPr>
        <w:t xml:space="preserve"> FGF2 (fibroblast growth factor 2</w:t>
      </w:r>
      <w:r w:rsidR="00C62034" w:rsidRPr="00F06EA4">
        <w:rPr>
          <w:lang w:val="en-US"/>
        </w:rPr>
        <w:t>, basic fibroblast growth factor), IL6,</w:t>
      </w:r>
      <w:r w:rsidR="00DD2DFD" w:rsidRPr="00F06EA4">
        <w:rPr>
          <w:lang w:val="en-US"/>
        </w:rPr>
        <w:t xml:space="preserve"> and THPO (thrombopoietin)</w:t>
      </w:r>
      <w:r w:rsidR="00B6096F" w:rsidRPr="00F06EA4">
        <w:rPr>
          <w:lang w:val="en-US"/>
        </w:rPr>
        <w:fldChar w:fldCharType="begin" w:fldLock="1"/>
      </w:r>
      <w:r w:rsidR="00F45F97" w:rsidRPr="00F06EA4">
        <w:rPr>
          <w:lang w:val="en-US"/>
        </w:rPr>
        <w:instrText>ADDIN CSL_CITATION {"citationItems":[{"id":"ITEM-1","itemData":{"DOI":"10.3390/cancers10110441","ISSN":"2072-6694","PMID":"30441823","abstract":"Platelets are small anucleate cells that are traditionally described as the major effectors of hemostasis and thrombosis. However, increasing evidence indicates that platelets play several roles in the progression of malignancies and in cancer-associated thrombosis. A notable cross-communication exists between platelets and cancer cells. On one hand, cancer can \"educate\" platelets, influencing their RNA profiles, the numbers of circulating platelets and their activation states. On the other hand, tumor-educated platelets contain a plethora of active biomolecules, including platelet-specific and circulating ingested biomolecules, that are released upon platelet activation and participate in the progression of malignancy. The numerous mechanisms by which the primary tumor induces the production, activation and aggregation of platelets (also known as tumor cell induced platelet aggregation, or TCIPA) are directly related to the pro-thrombotic state of cancer patients. Moreover, the activation of platelets is critical for tumor growth and successful metastatic outbreak. The development or use of existing drugs targeting the activation of platelets, adhesive proteins responsible for cancer cell-platelet interactions and platelet agonists should be used to reduce cancer-associated thrombosis and tumor progression.","author":[{"dropping-particle":"","family":"Plantureux","given":"Léa","non-dropping-particle":"","parse-names":false,"suffix":""},{"dropping-particle":"","family":"Mège","given":"Diane","non-dropping-particle":"","parse-names":false,"suffix":""},{"dropping-particle":"","family":"Crescence","given":"Lydie","non-dropping-particle":"","parse-names":false,"suffix":""},{"dropping-particle":"","family":"Dignat-George","given":"Françoise","non-dropping-particle":"","parse-names":false,"suffix":""},{"dropping-particle":"","family":"Dubois","given":"Christophe","non-dropping-particle":"","parse-names":false,"suffix":""},{"dropping-particle":"","family":"Panicot-Dubois","given":"Laurence","non-dropping-particle":"","parse-names":false,"suffix":""}],"container-title":"Cancers","id":"ITEM-1","issue":"11","issued":{"date-parts":[["2018","11"]]},"page":"441","title":"Impacts of Cancer on Platelet Production, Activation and Education and Mechanisms of Cancer-Associated Thrombosis.","type":"article-journal","volume":"10"},"uris":["http://www.mendeley.com/documents/?uuid=8d8dbf15-c51d-4b14-8b27-9b61437c35e9"]}],"mendeley":{"formattedCitation":"&lt;sup&gt;[108]&lt;/sup&gt;","plainTextFormattedCitation":"[108]","previouslyFormattedCitation":"&lt;sup&gt;[108]&lt;/sup&gt;"},"properties":{"noteIndex":0},"schema":"https://github.com/citation-style-language/schema/raw/master/csl-citation.json"}</w:instrText>
      </w:r>
      <w:r w:rsidR="00B6096F" w:rsidRPr="00F06EA4">
        <w:rPr>
          <w:lang w:val="en-US"/>
        </w:rPr>
        <w:fldChar w:fldCharType="separate"/>
      </w:r>
      <w:r w:rsidR="00F45F97" w:rsidRPr="00F06EA4">
        <w:rPr>
          <w:noProof/>
          <w:vertAlign w:val="superscript"/>
          <w:lang w:val="en-US"/>
        </w:rPr>
        <w:t>[108]</w:t>
      </w:r>
      <w:r w:rsidR="00B6096F" w:rsidRPr="00F06EA4">
        <w:rPr>
          <w:lang w:val="en-US"/>
        </w:rPr>
        <w:fldChar w:fldCharType="end"/>
      </w:r>
      <w:r w:rsidR="00DD2DFD" w:rsidRPr="00F06EA4">
        <w:rPr>
          <w:lang w:val="en-US"/>
        </w:rPr>
        <w:t>.</w:t>
      </w:r>
      <w:r w:rsidR="00565ED0" w:rsidRPr="00F06EA4">
        <w:rPr>
          <w:lang w:val="en-US"/>
        </w:rPr>
        <w:t xml:space="preserve"> </w:t>
      </w:r>
      <w:r w:rsidR="00E22584" w:rsidRPr="00F06EA4">
        <w:rPr>
          <w:lang w:val="en-US"/>
        </w:rPr>
        <w:t>In cancer patients wi</w:t>
      </w:r>
      <w:r w:rsidR="00DA3DC5" w:rsidRPr="00F06EA4">
        <w:rPr>
          <w:lang w:val="en-US"/>
        </w:rPr>
        <w:t xml:space="preserve">th systemic inflammation, </w:t>
      </w:r>
      <w:r w:rsidR="00565ED0" w:rsidRPr="00F06EA4">
        <w:rPr>
          <w:lang w:val="en-US"/>
        </w:rPr>
        <w:t xml:space="preserve">THPO production in the liver is </w:t>
      </w:r>
      <w:r w:rsidR="002B49B1" w:rsidRPr="00F06EA4">
        <w:rPr>
          <w:lang w:val="en-US"/>
        </w:rPr>
        <w:t xml:space="preserve">increased </w:t>
      </w:r>
      <w:r w:rsidR="00B06B55" w:rsidRPr="00F06EA4">
        <w:rPr>
          <w:lang w:val="en-US"/>
        </w:rPr>
        <w:t>in response to IL6 and other cytokines</w:t>
      </w:r>
      <w:r w:rsidR="008C78CD" w:rsidRPr="00F06EA4">
        <w:rPr>
          <w:lang w:val="en-US"/>
        </w:rPr>
        <w:t xml:space="preserve">, resulting </w:t>
      </w:r>
      <w:r w:rsidR="00E22584" w:rsidRPr="00F06EA4">
        <w:rPr>
          <w:lang w:val="en-US"/>
        </w:rPr>
        <w:t>in</w:t>
      </w:r>
      <w:r w:rsidR="00DA3DC5" w:rsidRPr="00F06EA4">
        <w:rPr>
          <w:lang w:val="en-US"/>
        </w:rPr>
        <w:t xml:space="preserve"> increased platelet production</w:t>
      </w:r>
      <w:r w:rsidR="00B6096F" w:rsidRPr="00F06EA4">
        <w:rPr>
          <w:lang w:val="en-US"/>
        </w:rPr>
        <w:fldChar w:fldCharType="begin" w:fldLock="1"/>
      </w:r>
      <w:r w:rsidR="00F45F97" w:rsidRPr="00F06EA4">
        <w:rPr>
          <w:lang w:val="en-US"/>
        </w:rPr>
        <w:instrText>ADDIN CSL_CITATION {"citationItems":[{"id":"ITEM-1","itemData":{"DOI":"10.1056/NEJMra035363","ISSN":"1533-4406","PMID":"15028825","author":[{"dropping-particle":"","family":"Schafer","given":"Andrew I","non-dropping-particle":"","parse-names":false,"suffix":""}],"container-title":"The New England journal of medicine","id":"ITEM-1","issue":"12","issued":{"date-parts":[["2004","3"]]},"page":"1211-9","title":"Thrombocytosis.","type":"article-journal","volume":"350"},"uris":["http://www.mendeley.com/documents/?uuid=d48f7cc3-b28e-4f0c-a18b-20eaf3bf8a72"]},{"id":"ITEM-2","itemData":{"DOI":"10.3390/cancers10110441","ISSN":"2072-6694","PMID":"30441823","abstract":"Platelets are small anucleate cells that are traditionally described as the major effectors of hemostasis and thrombosis. However, increasing evidence indicates that platelets play several roles in the progression of malignancies and in cancer-associated thrombosis. A notable cross-communication exists between platelets and cancer cells. On one hand, cancer can \"educate\" platelets, influencing their RNA profiles, the numbers of circulating platelets and their activation states. On the other hand, tumor-educated platelets contain a plethora of active biomolecules, including platelet-specific and circulating ingested biomolecules, that are released upon platelet activation and participate in the progression of malignancy. The numerous mechanisms by which the primary tumor induces the production, activation and aggregation of platelets (also known as tumor cell induced platelet aggregation, or TCIPA) are directly related to the pro-thrombotic state of cancer patients. Moreover, the activation of platelets is critical for tumor growth and successful metastatic outbreak. The development or use of existing drugs targeting the activation of platelets, adhesive proteins responsible for cancer cell-platelet interactions and platelet agonists should be used to reduce cancer-associated thrombosis and tumor progression.","author":[{"dropping-particle":"","family":"Plantureux","given":"Léa","non-dropping-particle":"","parse-names":false,"suffix":""},{"dropping-particle":"","family":"Mège","given":"Diane","non-dropping-particle":"","parse-names":false,"suffix":""},{"dropping-particle":"","family":"Crescence","given":"Lydie","non-dropping-particle":"","parse-names":false,"suffix":""},{"dropping-particle":"","family":"Dignat-George","given":"Françoise","non-dropping-particle":"","parse-names":false,"suffix":""},{"dropping-particle":"","family":"Dubois","given":"Christophe","non-dropping-particle":"","parse-names":false,"suffix":""},{"dropping-particle":"","family":"Panicot-Dubois","given":"Laurence","non-dropping-particle":"","parse-names":false,"suffix":""}],"container-title":"Cancers","id":"ITEM-2","issue":"11","issued":{"date-parts":[["2018","11"]]},"page":"441","title":"Impacts of Cancer on Platelet Production, Activation and Education and Mechanisms of Cancer-Associated Thrombosis.","type":"article-journal","volume":"10"},"uris":["http://www.mendeley.com/documents/?uuid=8d8dbf15-c51d-4b14-8b27-9b61437c35e9"]}],"mendeley":{"formattedCitation":"&lt;sup&gt;[108,109]&lt;/sup&gt;","plainTextFormattedCitation":"[108,109]","previouslyFormattedCitation":"&lt;sup&gt;[108,109]&lt;/sup&gt;"},"properties":{"noteIndex":0},"schema":"https://github.com/citation-style-language/schema/raw/master/csl-citation.json"}</w:instrText>
      </w:r>
      <w:r w:rsidR="00B6096F" w:rsidRPr="00F06EA4">
        <w:rPr>
          <w:lang w:val="en-US"/>
        </w:rPr>
        <w:fldChar w:fldCharType="separate"/>
      </w:r>
      <w:r w:rsidR="00F45F97" w:rsidRPr="00F06EA4">
        <w:rPr>
          <w:noProof/>
          <w:vertAlign w:val="superscript"/>
          <w:lang w:val="en-US"/>
        </w:rPr>
        <w:t>[108,109]</w:t>
      </w:r>
      <w:r w:rsidR="00B6096F" w:rsidRPr="00F06EA4">
        <w:rPr>
          <w:lang w:val="en-US"/>
        </w:rPr>
        <w:fldChar w:fldCharType="end"/>
      </w:r>
      <w:r w:rsidR="00B6096F" w:rsidRPr="00F06EA4">
        <w:rPr>
          <w:lang w:val="en-US"/>
        </w:rPr>
        <w:t>.</w:t>
      </w:r>
    </w:p>
    <w:p w14:paraId="65A8D551" w14:textId="190C7951" w:rsidR="00DA3DC5" w:rsidRPr="00F06EA4" w:rsidRDefault="00DA3DC5" w:rsidP="00F67ED8">
      <w:pPr>
        <w:spacing w:after="0"/>
        <w:rPr>
          <w:lang w:val="en-US"/>
        </w:rPr>
      </w:pPr>
    </w:p>
    <w:p w14:paraId="0E96D9B1" w14:textId="0FA642DD" w:rsidR="00DA3DC5" w:rsidRPr="00F06EA4" w:rsidRDefault="004806A8" w:rsidP="00F67ED8">
      <w:pPr>
        <w:spacing w:after="0"/>
        <w:rPr>
          <w:lang w:val="en-US"/>
        </w:rPr>
      </w:pPr>
      <w:r w:rsidRPr="00F06EA4">
        <w:rPr>
          <w:lang w:val="en-US"/>
        </w:rPr>
        <w:t xml:space="preserve">Platelet granules contain </w:t>
      </w:r>
      <w:r w:rsidR="006D36FE" w:rsidRPr="00F06EA4">
        <w:rPr>
          <w:lang w:val="en-US"/>
        </w:rPr>
        <w:t>a plethora of hemostatic factors (</w:t>
      </w:r>
      <w:r w:rsidR="00455E1B" w:rsidRPr="00F06EA4">
        <w:rPr>
          <w:i/>
          <w:iCs/>
          <w:lang w:val="en-US"/>
        </w:rPr>
        <w:t>e.g.</w:t>
      </w:r>
      <w:r w:rsidR="009A226A" w:rsidRPr="00F06EA4">
        <w:rPr>
          <w:lang w:val="en-US"/>
        </w:rPr>
        <w:t>, fibrinogen, VWF),</w:t>
      </w:r>
      <w:r w:rsidRPr="00F06EA4">
        <w:rPr>
          <w:lang w:val="en-US"/>
        </w:rPr>
        <w:t xml:space="preserve"> enzymes</w:t>
      </w:r>
      <w:r w:rsidR="006F7FF5" w:rsidRPr="00F06EA4">
        <w:rPr>
          <w:lang w:val="en-US"/>
        </w:rPr>
        <w:t xml:space="preserve"> (</w:t>
      </w:r>
      <w:r w:rsidR="00455E1B" w:rsidRPr="00F06EA4">
        <w:rPr>
          <w:i/>
          <w:iCs/>
          <w:lang w:val="en-US"/>
        </w:rPr>
        <w:t>e.g.</w:t>
      </w:r>
      <w:r w:rsidR="006F7FF5" w:rsidRPr="00F06EA4">
        <w:rPr>
          <w:lang w:val="en-US"/>
        </w:rPr>
        <w:t>, MMP1, MMP2)</w:t>
      </w:r>
      <w:r w:rsidRPr="00F06EA4">
        <w:rPr>
          <w:lang w:val="en-US"/>
        </w:rPr>
        <w:t>, growth factors</w:t>
      </w:r>
      <w:r w:rsidR="009A226A" w:rsidRPr="00F06EA4">
        <w:rPr>
          <w:lang w:val="en-US"/>
        </w:rPr>
        <w:t xml:space="preserve"> (</w:t>
      </w:r>
      <w:r w:rsidR="00455E1B" w:rsidRPr="00F06EA4">
        <w:rPr>
          <w:i/>
          <w:iCs/>
          <w:lang w:val="en-US"/>
        </w:rPr>
        <w:t>e.g.</w:t>
      </w:r>
      <w:r w:rsidR="009A226A" w:rsidRPr="00F06EA4">
        <w:rPr>
          <w:lang w:val="en-US"/>
        </w:rPr>
        <w:t xml:space="preserve">, </w:t>
      </w:r>
      <w:r w:rsidR="004A5CB8" w:rsidRPr="00F06EA4">
        <w:rPr>
          <w:lang w:val="en-US"/>
        </w:rPr>
        <w:t>FGF2, PDGF, VEGF)</w:t>
      </w:r>
      <w:r w:rsidR="009A226A" w:rsidRPr="00F06EA4">
        <w:rPr>
          <w:lang w:val="en-US"/>
        </w:rPr>
        <w:t>,</w:t>
      </w:r>
      <w:r w:rsidRPr="00F06EA4">
        <w:rPr>
          <w:lang w:val="en-US"/>
        </w:rPr>
        <w:t xml:space="preserve"> </w:t>
      </w:r>
      <w:r w:rsidR="004A5CB8" w:rsidRPr="00F06EA4">
        <w:rPr>
          <w:lang w:val="en-US"/>
        </w:rPr>
        <w:t>chemokines (</w:t>
      </w:r>
      <w:r w:rsidR="00455E1B" w:rsidRPr="00F06EA4">
        <w:rPr>
          <w:i/>
          <w:iCs/>
          <w:lang w:val="en-US"/>
        </w:rPr>
        <w:t>e.g.</w:t>
      </w:r>
      <w:r w:rsidR="004A5CB8" w:rsidRPr="00F06EA4">
        <w:rPr>
          <w:lang w:val="en-US"/>
        </w:rPr>
        <w:t>, CXCL8</w:t>
      </w:r>
      <w:r w:rsidR="006F7FF5" w:rsidRPr="00F06EA4">
        <w:rPr>
          <w:lang w:val="en-US"/>
        </w:rPr>
        <w:t>, CCL2, CCL3, CCL5</w:t>
      </w:r>
      <w:r w:rsidR="004A5CB8" w:rsidRPr="00F06EA4">
        <w:rPr>
          <w:lang w:val="en-US"/>
        </w:rPr>
        <w:t xml:space="preserve">), </w:t>
      </w:r>
      <w:r w:rsidRPr="00F06EA4">
        <w:rPr>
          <w:lang w:val="en-US"/>
        </w:rPr>
        <w:t>and cytokines</w:t>
      </w:r>
      <w:r w:rsidR="004A5CB8" w:rsidRPr="00F06EA4">
        <w:rPr>
          <w:lang w:val="en-US"/>
        </w:rPr>
        <w:t xml:space="preserve"> (</w:t>
      </w:r>
      <w:r w:rsidR="00455E1B" w:rsidRPr="00F06EA4">
        <w:rPr>
          <w:i/>
          <w:iCs/>
          <w:lang w:val="en-US"/>
        </w:rPr>
        <w:t>e.g.</w:t>
      </w:r>
      <w:r w:rsidR="004A5CB8" w:rsidRPr="00F06EA4">
        <w:rPr>
          <w:lang w:val="en-US"/>
        </w:rPr>
        <w:t>, IL6</w:t>
      </w:r>
      <w:r w:rsidR="00491B30" w:rsidRPr="00F06EA4">
        <w:rPr>
          <w:lang w:val="en-US"/>
        </w:rPr>
        <w:t>, IL7</w:t>
      </w:r>
      <w:r w:rsidR="006F7FF5" w:rsidRPr="00F06EA4">
        <w:rPr>
          <w:lang w:val="en-US"/>
        </w:rPr>
        <w:t>)</w:t>
      </w:r>
      <w:r w:rsidRPr="00F06EA4">
        <w:rPr>
          <w:lang w:val="en-US"/>
        </w:rPr>
        <w:t>, which are released on platelet activation</w:t>
      </w:r>
      <w:r w:rsidRPr="00F06EA4">
        <w:rPr>
          <w:lang w:val="en-US"/>
        </w:rPr>
        <w:fldChar w:fldCharType="begin" w:fldLock="1"/>
      </w:r>
      <w:r w:rsidR="00F45F97" w:rsidRPr="00F06EA4">
        <w:rPr>
          <w:lang w:val="en-US"/>
        </w:rPr>
        <w:instrText>ADDIN CSL_CITATION {"citationItems":[{"id":"ITEM-1","itemData":{"DOI":"10.1016/j.blre.2009.04.001","ISBN":"1532-1681 (Electronic)\\r0268-960X (Linking)","ISSN":"1532-1681","PMID":"19450911","abstract":"alpha-Granules are essential to normal platelet activity. These unusual secretory granules derive their cargo from both regulated secretory and endocytotic pathways in megakaryocytes. Rare, inheritable defects of alpha-granule formation in mice and man have enabled identification of proteins that mediate cargo trafficking and alpha-granule formation. In platelets, alpha-granules fuse with the plasma membrane upon activation, releasing their cargo and increasing platelet surface area. The mechanisms that control alpha-granule membrane fusion have begun to be elucidated at the molecular level. SNAREs and SNARE accessory proteins that control alpha-granule secretion have been identified. Proteomic studies demonstrate that hundreds of bioactive proteins are released from alpha-granules. This breadth of proteins implies a versatile functionality. While initially known primarily for their participation in thrombosis and hemostasis, the role of alpha-granules in inflammation, atherosclerosis, antimicrobial host defense, wound healing, angiogenesis, and malignancy has become increasingly appreciated as the function of platelets in the pathophysiology of these processes has been defined. This review will consider the formation, release, and physiologic roles of alpha-granules with special emphasis on work performed over the last decade.","author":[{"dropping-particle":"","family":"Blair","given":"Price","non-dropping-particle":"","parse-names":false,"suffix":""},{"dropping-particle":"","family":"Flaumenhaft","given":"Robert","non-dropping-particle":"","parse-names":false,"suffix":""}],"container-title":"Blood reviews","id":"ITEM-1","issue":"4","issued":{"date-parts":[["2009","7"]]},"page":"177-89","title":"Platelet alpha-granules: basic biology and clinical correlates.","type":"article-journal","volume":"23"},"uris":["http://www.mendeley.com/documents/?uuid=918ee6e0-19a0-4025-9825-fe2dd60034c9"]},{"id":"ITEM-2","itemData":{"DOI":"10.1182/blood-2011-06-359836","ISSN":"1528-0020","PMID":"21816838","abstract":"In this issue of Blood , Kamykowski et al use high-resolution immunofluorescence microscopy to examine the distribution of α granule cargo proteins to determine whether platelets contain cargo-specific granule subsets.[1][1] Platelet secretion is essential in the normal response to vascular damage","author":[{"dropping-particle":"","family":"Whiteheart","given":"Sidney W.","non-dropping-particle":"","parse-names":false,"suffix":""}],"container-title":"Blood","id":"ITEM-2","issue":"5","issued":{"date-parts":[["2011"]]},"page":"1190-1","title":"Platelet granules: surprise packages.","type":"article-journal","volume":"118"},"uris":["http://www.mendeley.com/documents/?uuid=c5a1753c-8c18-430f-92de-652555cf050f"]}],"mendeley":{"formattedCitation":"&lt;sup&gt;[110,111]&lt;/sup&gt;","plainTextFormattedCitation":"[110,111]","previouslyFormattedCitation":"&lt;sup&gt;[110,111]&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[110,111]</w:t>
      </w:r>
      <w:r w:rsidRPr="00F06EA4">
        <w:rPr>
          <w:lang w:val="en-US"/>
        </w:rPr>
        <w:fldChar w:fldCharType="end"/>
      </w:r>
      <w:r w:rsidR="00097B7A" w:rsidRPr="00F06EA4">
        <w:rPr>
          <w:lang w:val="en-US"/>
        </w:rPr>
        <w:t>.</w:t>
      </w:r>
      <w:r w:rsidR="00BE7476" w:rsidRPr="00F06EA4">
        <w:rPr>
          <w:lang w:val="en-US"/>
        </w:rPr>
        <w:t xml:space="preserve"> </w:t>
      </w:r>
      <w:r w:rsidR="002D65A7" w:rsidRPr="00F06EA4">
        <w:rPr>
          <w:lang w:val="en-US"/>
        </w:rPr>
        <w:t>Reacting to the modified tumor vasculature, p</w:t>
      </w:r>
      <w:r w:rsidR="00BE7476" w:rsidRPr="00F06EA4">
        <w:rPr>
          <w:lang w:val="en-US"/>
        </w:rPr>
        <w:t xml:space="preserve">latelets </w:t>
      </w:r>
      <w:r w:rsidR="00C55F70" w:rsidRPr="00F06EA4">
        <w:rPr>
          <w:lang w:val="en-US"/>
        </w:rPr>
        <w:t>can release these factors in</w:t>
      </w:r>
      <w:r w:rsidR="002D65A7" w:rsidRPr="00F06EA4">
        <w:rPr>
          <w:lang w:val="en-US"/>
        </w:rPr>
        <w:t xml:space="preserve"> the</w:t>
      </w:r>
      <w:r w:rsidR="0081762D" w:rsidRPr="00F06EA4">
        <w:rPr>
          <w:lang w:val="en-US"/>
        </w:rPr>
        <w:t xml:space="preserve"> tumor microenvironment, promoting tumor progression.</w:t>
      </w:r>
      <w:r w:rsidRPr="00F06EA4">
        <w:rPr>
          <w:lang w:val="en-US"/>
        </w:rPr>
        <w:t xml:space="preserve"> </w:t>
      </w:r>
      <w:r w:rsidR="008F2A68" w:rsidRPr="00F06EA4">
        <w:rPr>
          <w:lang w:val="en-US"/>
        </w:rPr>
        <w:t>A</w:t>
      </w:r>
      <w:r w:rsidR="00102C54" w:rsidRPr="00F06EA4">
        <w:rPr>
          <w:lang w:val="en-US"/>
        </w:rPr>
        <w:t xml:space="preserve">lthough </w:t>
      </w:r>
      <w:r w:rsidR="00CB1992" w:rsidRPr="00F06EA4">
        <w:rPr>
          <w:lang w:val="en-US"/>
        </w:rPr>
        <w:t xml:space="preserve">platelets lack nucleus, it has been demonstrated that </w:t>
      </w:r>
      <w:r w:rsidR="002D65A7" w:rsidRPr="00F06EA4">
        <w:rPr>
          <w:lang w:val="en-US"/>
        </w:rPr>
        <w:t xml:space="preserve">the </w:t>
      </w:r>
      <w:r w:rsidR="005128A2" w:rsidRPr="00F06EA4">
        <w:rPr>
          <w:lang w:val="en-US"/>
        </w:rPr>
        <w:t>megakaryocyte packs them with</w:t>
      </w:r>
      <w:r w:rsidR="007E41E4" w:rsidRPr="00F06EA4">
        <w:rPr>
          <w:lang w:val="en-US"/>
        </w:rPr>
        <w:t xml:space="preserve"> a protein translation</w:t>
      </w:r>
      <w:r w:rsidR="00CB1992" w:rsidRPr="00F06EA4">
        <w:rPr>
          <w:lang w:val="en-US"/>
        </w:rPr>
        <w:t xml:space="preserve"> machinery that includes ribosomes, initiation and termination factors, miRNAs, and template messenger RNAs (mRNAs)</w:t>
      </w:r>
      <w:r w:rsidR="007E41E4" w:rsidRPr="00F06EA4">
        <w:rPr>
          <w:lang w:val="en-US"/>
        </w:rPr>
        <w:fldChar w:fldCharType="begin" w:fldLock="1"/>
      </w:r>
      <w:r w:rsidR="00F45F97" w:rsidRPr="00F06EA4">
        <w:rPr>
          <w:lang w:val="en-US"/>
        </w:rPr>
        <w:instrText>ADDIN CSL_CITATION {"citationItems":[{"id":"ITEM-1","itemData":{"DOI":"10.1097/MOH.0b013e328357010e","ISSN":"1531-7048","PMID":"22814651","abstract":"PURPOSE OF REVIEW It is now well appreciated that megakaryocytes invest platelets with a diverse repertoire of messenger RNAs (mRNAs), which are competent for translation. Herein we describe what is currently known regarding the expression, function, and clinical significance of mRNAs in platelets. RECENT FINDINGS Although mRNA was detected in platelets nearly 30 years ago, we are only beginning to understand the roles of mRNA in platelet biology and human disease. Recent studies have shown that megakaryocytes specifically sort, rather than randomly transfer, mRNA to platelets during thrombopoiesis. As a result, platelets are released into the circulation with thousands of mRNAs. The emergence of next-generation RNA sequencing has demonstrated that platelet mRNAs possess classic structural features, which include untranslated regions and open reading frames. There is also growing evidence that platelet mRNA expression patterns are altered in human disease. SUMMARY Intense investigation of platelet mRNA has shed considerable light on predicted functions of platelets and identified previously unrecognized attributes of platelets. Lessons learned from platelet mRNA is presented in this review.","author":[{"dropping-particle":"","family":"Rowley","given":"Jesse W.","non-dropping-particle":"","parse-names":false,"suffix":""},{"dropping-particle":"","family":"Schwertz","given":"Hansjörg","non-dropping-particle":"","parse-names":false,"suffix":""},{"dropping-particle":"","family":"Weyrich","given":"Andrew S.","non-dropping-particle":"","parse-names":false,"suffix":""}],"container-title":"Current opinion in hematology","id":"ITEM-1","issue":"5","issued":{"date-parts":[["2012","9"]]},"page":"385-91","title":"Platelet mRNA: the meaning behind the message.","type":"article-journal","volume":"19"},"uris":["http://www.mendeley.com/documents/?uuid=9bf865d3-cb30-4ffe-bf42-072618b604e0"]}],"mendeley":{"formattedCitation":"&lt;sup&gt;[112]&lt;/sup&gt;","plainTextFormattedCitation":"[112]","previouslyFormattedCitation":"&lt;sup&gt;[112]&lt;/sup&gt;"},"properties":{"noteIndex":0},"schema":"https://github.com/citation-style-language/schema/raw/master/csl-citation.json"}</w:instrText>
      </w:r>
      <w:r w:rsidR="007E41E4" w:rsidRPr="00F06EA4">
        <w:rPr>
          <w:lang w:val="en-US"/>
        </w:rPr>
        <w:fldChar w:fldCharType="separate"/>
      </w:r>
      <w:r w:rsidR="00F45F97" w:rsidRPr="00F06EA4">
        <w:rPr>
          <w:noProof/>
          <w:vertAlign w:val="superscript"/>
          <w:lang w:val="en-US"/>
        </w:rPr>
        <w:t>[112]</w:t>
      </w:r>
      <w:r w:rsidR="007E41E4" w:rsidRPr="00F06EA4">
        <w:rPr>
          <w:lang w:val="en-US"/>
        </w:rPr>
        <w:fldChar w:fldCharType="end"/>
      </w:r>
      <w:r w:rsidR="00CB1992" w:rsidRPr="00F06EA4">
        <w:rPr>
          <w:lang w:val="en-US"/>
        </w:rPr>
        <w:t xml:space="preserve">. </w:t>
      </w:r>
      <w:r w:rsidR="00F65BE1" w:rsidRPr="00F06EA4">
        <w:rPr>
          <w:lang w:val="en-US"/>
        </w:rPr>
        <w:t>Moreover, r</w:t>
      </w:r>
      <w:r w:rsidR="000E50C7" w:rsidRPr="00F06EA4">
        <w:rPr>
          <w:lang w:val="en-US"/>
        </w:rPr>
        <w:t>ecent studies have indicated that platelets</w:t>
      </w:r>
      <w:r w:rsidR="00F65BE1" w:rsidRPr="00F06EA4">
        <w:rPr>
          <w:lang w:val="en-US"/>
        </w:rPr>
        <w:t xml:space="preserve"> are capable of exchanging </w:t>
      </w:r>
      <w:r w:rsidR="005B3D90" w:rsidRPr="00F06EA4">
        <w:rPr>
          <w:lang w:val="en-US"/>
        </w:rPr>
        <w:t xml:space="preserve">nucleic acids and proteins with tumor cells, leading to the concept of </w:t>
      </w:r>
      <w:r w:rsidR="002D65A7" w:rsidRPr="00F06EA4">
        <w:rPr>
          <w:lang w:val="en-US"/>
        </w:rPr>
        <w:t>tumor-</w:t>
      </w:r>
      <w:r w:rsidR="005B3D90" w:rsidRPr="00F06EA4">
        <w:rPr>
          <w:lang w:val="en-US"/>
        </w:rPr>
        <w:t>educated platelets</w:t>
      </w:r>
      <w:r w:rsidR="00E84F6C" w:rsidRPr="00F06EA4">
        <w:rPr>
          <w:lang w:val="en-US"/>
        </w:rPr>
        <w:t xml:space="preserve">, </w:t>
      </w:r>
      <w:r w:rsidR="00E84F6C" w:rsidRPr="00F06EA4">
        <w:rPr>
          <w:i/>
          <w:lang w:val="en-US"/>
        </w:rPr>
        <w:t>i.e</w:t>
      </w:r>
      <w:r w:rsidR="00E84F6C" w:rsidRPr="00F06EA4">
        <w:rPr>
          <w:lang w:val="en-US"/>
        </w:rPr>
        <w:t xml:space="preserve">., platelets </w:t>
      </w:r>
      <w:r w:rsidR="00ED0A3D" w:rsidRPr="00F06EA4">
        <w:rPr>
          <w:lang w:val="en-US"/>
        </w:rPr>
        <w:t xml:space="preserve">reflecting </w:t>
      </w:r>
      <w:r w:rsidR="00410F56" w:rsidRPr="00F06EA4">
        <w:rPr>
          <w:lang w:val="en-US"/>
        </w:rPr>
        <w:t xml:space="preserve">the properties of tumors and </w:t>
      </w:r>
      <w:r w:rsidR="00E84F6C" w:rsidRPr="00F06EA4">
        <w:rPr>
          <w:lang w:val="en-US"/>
        </w:rPr>
        <w:t>programmed to support tumor growth</w:t>
      </w:r>
      <w:r w:rsidR="00410F56" w:rsidRPr="00F06EA4">
        <w:rPr>
          <w:lang w:val="en-US"/>
        </w:rPr>
        <w:fldChar w:fldCharType="begin" w:fldLock="1"/>
      </w:r>
      <w:r w:rsidR="00F45F97" w:rsidRPr="00F06EA4">
        <w:rPr>
          <w:lang w:val="en-US"/>
        </w:rPr>
        <w:instrText>ADDIN CSL_CITATION {"citationItems":[{"id":"ITEM-1","itemData":{"DOI":"10.1016/j.ccell.2015.10.007","ISBN":"1535-6108","ISSN":"1878-3686","PMID":"26555171","abstract":"Real-time monitoring of changes in cells or cell products released from malignant lesions into the blood has opened new diagnostic avenues (\"liquid biopsy\"). In this issue of Cancer Cell, Best and colleagues describe that tumor-associated blood platelets provide specific information on the location and molecular composition of the primary tumor.","author":[{"dropping-particle":"","family":"Joosse","given":"Simon A.","non-dropping-particle":"","parse-names":false,"suffix":""},{"dropping-particle":"","family":"Pantel","given":"Klaus","non-dropping-particle":"","parse-names":false,"suffix":""}],"container-title":"Cancer cell","id":"ITEM-1","issue":"5","issued":{"date-parts":[["2015"]]},"page":"552-554","title":"Tumor-Educated Platelets as Liquid Biopsy in Cancer Patients.","type":"article-journal","volume":"28"},"uris":["http://www.mendeley.com/documents/?uuid=c4cc1caa-8b9b-4538-bcc0-90a2fc5f1044"]},{"id":"ITEM-2","itemData":{"DOI":"10.1158/0008-5472.CAN-18-0887","ISBN":"1098-0121","ISSN":"1538-7445","PMID":"29921699","abstract":"Liquid biopsies represent a potential revolution in cancer diagnostics as a noninvasive method for detecting and monitoring diseases, complementary to or even replacing current tissue biopsy approaches. Several blood-based biosources and biomolecules, such as cell-free DNA and RNA, proteins, circulating tumor cells, and extracellular vesicles, have been explored for molecular test development. We recently discovered the potential of tumor-educated blood platelets (TEP) as a noninvasive biomarker trove for RNA biomarker panels. TEPs are involved in the progression and spread of several solid tumors, and spliced TEP RNA surrogate signatures can provide specific information on the presence, location, and molecular characteristics of cancers. So far, TEP samples from patients with different tumor types, including lung, brain, and breast cancers, have been tested, and it has been shown that TEPs from patients with cancer are distinct from those with inflammatory and other noncancerous diseases. It remains to be investigated how platelets are \"educated,\" which mechanisms cause intraplatelet RNA splicing, and whether the relative contribution of specific platelet subpopulations changes in patients with cancer. Ultimately, TEP RNA may complement currently used biosources and biomolecules employed for liquid biopsy diagnosis, potentially enhancing the detection of cancer in an early stage and facilitating noninvasive disease monitoring. Cancer Res; 78(13); 3407-12. ©2018 AACR.","author":[{"dropping-particle":"","family":"Best","given":"Myron G.","non-dropping-particle":"","parse-names":false,"suffix":""},{"dropping-particle":"","family":"Wesseling","given":"Pieter","non-dropping-particle":"","parse-names":false,"suffix":""},{"dropping-particle":"","family":"Wurdinger","given":"Thomas","non-dropping-particle":"","parse-names":false,"suffix":""}],"container-title":"Cancer research","id":"ITEM-2","issue":"13","issued":{"date-parts":[["2018","7"]]},"page":"3407-3412","title":"Tumor-Educated Platelets as a Noninvasive Biomarker Source for Cancer Detection and Progression Monitoring.","type":"article-journal","volume":"78"},"uris":["http://www.mendeley.com/documents/?uuid=6566df65-21cb-4bc8-afef-e13c035c654a"]}],"mendeley":{"formattedCitation":"&lt;sup&gt;[21,106]&lt;/sup&gt;","plainTextFormattedCitation":"[21,106]","previouslyFormattedCitation":"&lt;sup&gt;[21,106]&lt;/sup&gt;"},"properties":{"noteIndex":0},"schema":"https://github.com/citation-style-language/schema/raw/master/csl-citation.json"}</w:instrText>
      </w:r>
      <w:r w:rsidR="00410F56" w:rsidRPr="00F06EA4">
        <w:rPr>
          <w:lang w:val="en-US"/>
        </w:rPr>
        <w:fldChar w:fldCharType="separate"/>
      </w:r>
      <w:r w:rsidR="00F45F97" w:rsidRPr="00F06EA4">
        <w:rPr>
          <w:noProof/>
          <w:vertAlign w:val="superscript"/>
          <w:lang w:val="en-US"/>
        </w:rPr>
        <w:t>[21,106]</w:t>
      </w:r>
      <w:r w:rsidR="00410F56" w:rsidRPr="00F06EA4">
        <w:rPr>
          <w:lang w:val="en-US"/>
        </w:rPr>
        <w:fldChar w:fldCharType="end"/>
      </w:r>
      <w:r w:rsidR="005B3D90" w:rsidRPr="00F06EA4">
        <w:rPr>
          <w:lang w:val="en-US"/>
        </w:rPr>
        <w:t>.</w:t>
      </w:r>
      <w:r w:rsidR="00C16FDB" w:rsidRPr="00F06EA4">
        <w:rPr>
          <w:lang w:val="en-US"/>
        </w:rPr>
        <w:t xml:space="preserve"> </w:t>
      </w:r>
      <w:r w:rsidR="006D3110" w:rsidRPr="00F06EA4">
        <w:rPr>
          <w:lang w:val="en-US"/>
        </w:rPr>
        <w:t xml:space="preserve">Highlighting the </w:t>
      </w:r>
      <w:r w:rsidR="007B171C" w:rsidRPr="00F06EA4">
        <w:rPr>
          <w:lang w:val="en-US"/>
        </w:rPr>
        <w:t>alterations in platelet mRNA profile in cancer patients, a</w:t>
      </w:r>
      <w:r w:rsidR="008E227E" w:rsidRPr="00F06EA4">
        <w:rPr>
          <w:lang w:val="en-US"/>
        </w:rPr>
        <w:t xml:space="preserve"> recent study</w:t>
      </w:r>
      <w:r w:rsidR="00296B06" w:rsidRPr="00F06EA4">
        <w:rPr>
          <w:lang w:val="en-US"/>
        </w:rPr>
        <w:t xml:space="preserve"> performed mRNA sequencing of 283 platelet samples and found that tumor-educated platelets distinguished cancer patients from healthy individuals with 96% accuracy, differentiated between six primary tumor types, including CRC, with 71% accuracy, and identified several genetic alterations found in tumors</w:t>
      </w:r>
      <w:r w:rsidR="00E402DE" w:rsidRPr="00F06EA4">
        <w:rPr>
          <w:lang w:val="en-US"/>
        </w:rPr>
        <w:t xml:space="preserve">, such as </w:t>
      </w:r>
      <w:r w:rsidR="00E402DE" w:rsidRPr="00F06EA4">
        <w:rPr>
          <w:i/>
          <w:lang w:val="en-US"/>
        </w:rPr>
        <w:t xml:space="preserve">KRAS </w:t>
      </w:r>
      <w:r w:rsidR="00E402DE" w:rsidRPr="00F06EA4">
        <w:rPr>
          <w:lang w:val="en-US"/>
        </w:rPr>
        <w:t>mutation</w:t>
      </w:r>
      <w:r w:rsidR="006D3110" w:rsidRPr="00F06EA4">
        <w:rPr>
          <w:lang w:val="en-US"/>
        </w:rPr>
        <w:fldChar w:fldCharType="begin" w:fldLock="1"/>
      </w:r>
      <w:r w:rsidR="00F45F97" w:rsidRPr="00F06EA4">
        <w:rPr>
          <w:lang w:val="en-US"/>
        </w:rPr>
        <w:instrText>ADDIN CSL_CITATION {"citationItems":[{"id":"ITEM-1","itemData":{"DOI":"10.1016/j.ccell.2015.09.018","ISSN":"1878-3686","PMID":"26525104","abstract":"Tumor-educated blood platelets (TEPs) are implicated as central players in the systemic and local responses to tumor growth, thereby altering their RNA profile. We determined the diagnostic potential of TEPs by mRNA sequencing of 283 platelet samples. We distinguished 228 patients with localized and metastasized tumors from 55 healthy individuals with 96% accuracy. Across six different tumor types, the location of the primary tumor was correctly identified with 71% accuracy. Also, MET or HER2-positive, and mutant KRAS, EGFR, or PIK3CA tumors were accurately distinguished using surrogate TEP mRNA profiles. Our results indicate that blood platelets provide a valuable platform for pan-cancer, multiclass cancer, and companion diagnostics, possibly enabling clinical advances in blood-based \"liquid biopsies\".","author":[{"dropping-particle":"","family":"Best","given":"Myron G.","non-dropping-particle":"","parse-names":false,"suffix":""},{"dropping-particle":"","family":"Sol","given":"Nik","non-dropping-particle":"","parse-names":false,"suffix":""},{"dropping-particle":"","family":"Kooi","given":"Irsan","non-dropping-particle":"","parse-names":false,"suffix":""},{"dropping-particle":"","family":"Tannous","given":"Jihane","non-dropping-particle":"","parse-names":false,"suffix":""},{"dropping-particle":"","family":"Westerman","given":"Bart A.","non-dropping-particle":"","parse-names":false,"suffix":""},{"dropping-particle":"","family":"Rustenburg","given":"François","non-dropping-particle":"","parse-names":false,"suffix":""},{"dropping-particle":"","family":"Schellen","given":"Pepijn","non-dropping-particle":"","parse-names":false,"suffix":""},{"dropping-particle":"","family":"Verschueren","given":"Heleen","non-dropping-particle":"","parse-names":false,"suffix":""},{"dropping-particle":"","family":"Post","given":"Edward","non-dropping-particle":"","parse-names":false,"suffix":""},{"dropping-particle":"","family":"Koster","given":"Jan","non-dropping-particle":"","parse-names":false,"suffix":""},{"dropping-particle":"","family":"Ylstra","given":"Bauke","non-dropping-particle":"","parse-names":false,"suffix":""},{"dropping-particle":"","family":"Ameziane","given":"Najim","non-dropping-particle":"","parse-names":false,"suffix":""},{"dropping-particle":"","family":"Dorsman","given":"Josephine","non-dropping-particle":"","parse-names":false,"suffix":""},{"dropping-particle":"","family":"Smit","given":"Egbert F.","non-dropping-particle":"","parse-names":false,"suffix":""},{"dropping-particle":"","family":"Verheul","given":"Henk M.","non-dropping-particle":"","parse-names":false,"suffix":""},{"dropping-particle":"","family":"Noske","given":"David P.","non-dropping-particle":"","parse-names":false,"suffix":""},{"dropping-particle":"","family":"Reijneveld","given":"Jaap C.","non-dropping-particle":"","parse-names":false,"suffix":""},{"dropping-particle":"","family":"Nilsson","given":"R. Jonas A.","non-dropping-particle":"","parse-names":false,"suffix":""},{"dropping-particle":"","family":"Tannous","given":"Bakhos A.","non-dropping-particle":"","parse-names":false,"suffix":""},{"dropping-particle":"","family":"Wesseling","given":"Pieter","non-dropping-particle":"","parse-names":false,"suffix":""},{"dropping-particle":"","family":"Wurdinger","given":"Thomas","non-dropping-particle":"","parse-names":false,"suffix":""}],"container-title":"Cancer cell","id":"ITEM-1","issue":"5","issued":{"date-parts":[["2015","11"]]},"page":"666-676","title":"RNA-Seq of Tumor-Educated Platelets Enables Blood-Based Pan-Cancer, Multiclass, and Molecular Pathway Cancer Diagnostics.","type":"article-journal","volume":"28"},"uris":["http://www.mendeley.com/documents/?uuid=6c98323b-36b6-4282-bccd-3252dd2e8c67"]}],"mendeley":{"formattedCitation":"&lt;sup&gt;[113]&lt;/sup&gt;","plainTextFormattedCitation":"[113]","previouslyFormattedCitation":"&lt;sup&gt;[113]&lt;/sup&gt;"},"properties":{"noteIndex":0},"schema":"https://github.com/citation-style-language/schema/raw/master/csl-citation.json"}</w:instrText>
      </w:r>
      <w:r w:rsidR="006D3110" w:rsidRPr="00F06EA4">
        <w:rPr>
          <w:lang w:val="en-US"/>
        </w:rPr>
        <w:fldChar w:fldCharType="separate"/>
      </w:r>
      <w:r w:rsidR="00F45F97" w:rsidRPr="00F06EA4">
        <w:rPr>
          <w:noProof/>
          <w:vertAlign w:val="superscript"/>
          <w:lang w:val="en-US"/>
        </w:rPr>
        <w:t>[113]</w:t>
      </w:r>
      <w:r w:rsidR="006D3110" w:rsidRPr="00F06EA4">
        <w:rPr>
          <w:lang w:val="en-US"/>
        </w:rPr>
        <w:fldChar w:fldCharType="end"/>
      </w:r>
      <w:r w:rsidR="00296B06" w:rsidRPr="00F06EA4">
        <w:rPr>
          <w:lang w:val="en-US"/>
        </w:rPr>
        <w:t>.</w:t>
      </w:r>
    </w:p>
    <w:p w14:paraId="6302D51E" w14:textId="77777777" w:rsidR="003C7930" w:rsidRPr="00F06EA4" w:rsidRDefault="003C7930" w:rsidP="00F67ED8">
      <w:pPr>
        <w:spacing w:after="0"/>
        <w:rPr>
          <w:lang w:val="en-US"/>
        </w:rPr>
      </w:pPr>
    </w:p>
    <w:p w14:paraId="04F0429F" w14:textId="77777777" w:rsidR="003C7930" w:rsidRPr="00F06EA4" w:rsidRDefault="003C7930" w:rsidP="00F67ED8">
      <w:pPr>
        <w:pStyle w:val="2"/>
        <w:spacing w:before="0" w:after="0"/>
        <w:rPr>
          <w:i/>
        </w:rPr>
      </w:pPr>
      <w:r w:rsidRPr="00F06EA4">
        <w:rPr>
          <w:i/>
        </w:rPr>
        <w:t>Pre-metastatic niches</w:t>
      </w:r>
    </w:p>
    <w:p w14:paraId="1038775A" w14:textId="61184DA1" w:rsidR="003C7930" w:rsidRPr="00F06EA4" w:rsidRDefault="003C7930" w:rsidP="00F67ED8">
      <w:pPr>
        <w:spacing w:after="0"/>
        <w:rPr>
          <w:lang w:val="en-US"/>
        </w:rPr>
      </w:pPr>
      <w:r w:rsidRPr="00F06EA4">
        <w:rPr>
          <w:lang w:val="en-US"/>
        </w:rPr>
        <w:t xml:space="preserve">In CRC, metastasis is the major cause of death and </w:t>
      </w:r>
      <w:r w:rsidR="002D65A7" w:rsidRPr="00F06EA4">
        <w:rPr>
          <w:lang w:val="en-US"/>
        </w:rPr>
        <w:t xml:space="preserve">the </w:t>
      </w:r>
      <w:r w:rsidRPr="00F06EA4">
        <w:rPr>
          <w:lang w:val="en-US"/>
        </w:rPr>
        <w:t>main target organ of metastasis is the liver</w:t>
      </w:r>
      <w:r w:rsidRPr="00F06EA4">
        <w:rPr>
          <w:lang w:val="en-US"/>
        </w:rPr>
        <w:fldChar w:fldCharType="begin" w:fldLock="1"/>
      </w:r>
      <w:r w:rsidR="00F45F97" w:rsidRPr="00F06EA4">
        <w:rPr>
          <w:lang w:val="en-US"/>
        </w:rPr>
        <w:instrText>ADDIN CSL_CITATION {"citationItems":[{"id":"ITEM-1","itemData":{"DOI":"10.1016/j.ejca.2017.01.003","ISSN":"09598049","PMID":"28214423","author":[{"dropping-particle":"","family":"Hugen","given":"Niek","non-dropping-particle":"","parse-names":false,"suffix":""},{"dropping-particle":"","family":"Nagtegaal","given":"Iris D.","non-dropping-particle":"","parse-names":false,"suffix":""}],"container-title":"European Journal of Cancer","id":"ITEM-1","issued":{"date-parts":[["2017"]]},"page":"3-4","title":"Distinct metastatic patterns in colorectal cancer patients based on primary tumour location","type":"article-journal","volume":"75"},"uris":["http://www.mendeley.com/documents/?uuid=fdab2593-c6a6-3ca7-b5cc-a2500fe458bc","http://www.mendeley.com/documents/?uuid=304649a0-1b29-4e8b-b623-7d9593a73c82"]}],"mendeley":{"formattedCitation":"&lt;sup&gt;[114]&lt;/sup&gt;","plainTextFormattedCitation":"[114]","previouslyFormattedCitation":"&lt;sup&gt;[114]&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[114]</w:t>
      </w:r>
      <w:r w:rsidRPr="00F06EA4">
        <w:rPr>
          <w:lang w:val="en-US"/>
        </w:rPr>
        <w:fldChar w:fldCharType="end"/>
      </w:r>
      <w:r w:rsidRPr="00F06EA4">
        <w:rPr>
          <w:lang w:val="en-US"/>
        </w:rPr>
        <w:t xml:space="preserve">. The understanding of the biological mechanisms of cancer metastasis is still limited. During the past few decades, it has been established that before metastasis, primary tumors can create a favorable microenvironment, a pre-metastatic niche, </w:t>
      </w:r>
      <w:r w:rsidR="002D65A7" w:rsidRPr="00F06EA4">
        <w:rPr>
          <w:lang w:val="en-US"/>
        </w:rPr>
        <w:t xml:space="preserve">at </w:t>
      </w:r>
      <w:r w:rsidRPr="00F06EA4">
        <w:rPr>
          <w:lang w:val="en-US"/>
        </w:rPr>
        <w:t xml:space="preserve">tissue sites for subsequent metastasis. Among </w:t>
      </w:r>
      <w:r w:rsidR="002D65A7" w:rsidRPr="00F06EA4">
        <w:rPr>
          <w:lang w:val="en-US"/>
        </w:rPr>
        <w:t xml:space="preserve">the </w:t>
      </w:r>
      <w:r w:rsidRPr="00F06EA4">
        <w:rPr>
          <w:lang w:val="en-US"/>
        </w:rPr>
        <w:t xml:space="preserve">first to describe the phenomenon were Kaplan </w:t>
      </w:r>
      <w:r w:rsidR="0046007C" w:rsidRPr="00F06EA4">
        <w:rPr>
          <w:i/>
          <w:iCs/>
          <w:lang w:val="en-US"/>
        </w:rPr>
        <w:t>et al</w:t>
      </w:r>
      <w:r w:rsidRPr="00F06EA4">
        <w:rPr>
          <w:lang w:val="en-US"/>
        </w:rPr>
        <w:fldChar w:fldCharType="begin" w:fldLock="1"/>
      </w:r>
      <w:r w:rsidR="00F45F97" w:rsidRPr="00F06EA4">
        <w:rPr>
          <w:lang w:val="en-US"/>
        </w:rPr>
        <w:instrText>ADDIN CSL_CITATION {"citationItems":[{"id":"ITEM-1","itemData":{"DOI":"10.1038/nature04186","ISBN":"1476-4687 (Electronic)\\n0028-0836 (Linking)","ISSN":"1476-4687","PMID":"16341007","abstract":"The cellular and molecular mechanisms by which a tumour cell undergoes metastasis to a predetermined location are largely unknown. Here we demonstrate that bone marrow-derived haematopoietic progenitor cells that express vascular endothelial growth factor receptor 1 (VEGFR1; also known as Flt1) home to tumour-specific pre-metastatic sites and form cellular clusters before the arrival of tumour cells. Preventing VEGFR1 function using antibodies or by the removal of VEGFR1(+) cells from the bone marrow of wild-type mice abrogates the formation of these pre-metastatic clusters and prevents tumour metastasis, whereas reconstitution with selected Id3 (inhibitor of differentiation 3)-competent VEGFR1+ cells establishes cluster formation and tumour metastasis in Id3 knockout mice. We also show that VEGFR1+ cells express VLA-4 (also known as integrin alpha4beta1), and that tumour-specific growth factors upregulate fibronectin--a VLA-4 ligand--in resident fibroblasts, providing a permissive niche for incoming tumour cells. Conditioned media obtained from distinct tumour types with unique patterns of metastatic spread redirected fibronectin expression and cluster formation, thereby transforming the metastatic profile. These findings demonstrate a requirement for VEGFR1+ haematopoietic progenitors in the regulation of metastasis, and suggest that expression patterns of fibronectin and VEGFR1+VLA-4+ clusters dictate organ-specific tumour spread.","author":[{"dropping-particle":"","family":"Kaplan","given":"Rosandra N.","non-dropping-particle":"","parse-names":false,"suffix":""},{"dropping-particle":"","family":"Riba","given":"Rebecca D.","non-dropping-particle":"","parse-names":false,"suffix":""},{"dropping-particle":"","family":"Zacharoulis","given":"Stergios","non-dropping-particle":"","parse-names":false,"suffix":""},{"dropping-particle":"","family":"Bramley","given":"Anna H.","non-dropping-particle":"","parse-names":false,"suffix":""},{"dropping-particle":"","family":"Vincent","given":"Loïc","non-dropping-particle":"","parse-names":false,"suffix":""},{"dropping-particle":"","family":"Costa","given":"Carla","non-dropping-particle":"","parse-names":false,"suffix":""},{"dropping-particle":"","family":"MacDonald","given":"Daniel D.","non-dropping-particle":"","parse-names":false,"suffix":""},{"dropping-particle":"","family":"Jin","given":"David K.","non-dropping-particle":"","parse-names":false,"suffix":""},{"dropping-particle":"","family":"Shido","given":"Koji","non-dropping-particle":"","parse-names":false,"suffix":""},{"dropping-particle":"","family":"Kerns","given":"Scott A.","non-dropping-particle":"","parse-names":false,"suffix":""},{"dropping-particle":"","family":"Zhu","given":"Zhenping","non-dropping-particle":"","parse-names":false,"suffix":""},{"dropping-particle":"","family":"Hicklin","given":"Daniel","non-dropping-particle":"","parse-names":false,"suffix":""},{"dropping-particle":"","family":"Wu","given":"Yan","non-dropping-particle":"","parse-names":false,"suffix":""},{"dropping-particle":"","family":"Port","given":"Jeffrey L","non-dropping-particle":"","parse-names":false,"suffix":""},{"dropping-particle":"","family":"Altorki","given":"Nasser","non-dropping-particle":"","parse-names":false,"suffix":""},{"dropping-particle":"","family":"Port","given":"Elisa R.","non-dropping-particle":"","parse-names":false,"suffix":""},{"dropping-particle":"","family":"Ruggero","given":"Davide","non-dropping-particle":"","parse-names":false,"suffix":""},{"dropping-particle":"V.","family":"Shmelkov","given":"Sergey","non-dropping-particle":"","parse-names":false,"suffix":""},{"dropping-particle":"","family":"Jensen","given":"Kristian K.","non-dropping-particle":"","parse-names":false,"suffix":""},{"dropping-particle":"","family":"Rafii","given":"Shahin","non-dropping-particle":"","parse-names":false,"suffix":""},{"dropping-particle":"","family":"Lyden","given":"David","non-dropping-particle":"","parse-names":false,"suffix":""}],"container-title":"Nature","id":"ITEM-1","issue":"7069","issued":{"date-parts":[["2005","12"]]},"page":"820-7","title":"VEGFR1-positive haematopoietic bone marrow progenitors initiate the pre-metastatic niche.","type":"article-journal","volume":"438"},"uris":["http://www.mendeley.com/documents/?uuid=fe90705f-2008-482a-a5b4-c753102aacc0"]}],"mendeley":{"formattedCitation":"&lt;sup&gt;[115]&lt;/sup&gt;","plainTextFormattedCitation":"[115]","previouslyFormattedCitation":"&lt;sup&gt;[115]&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[115]</w:t>
      </w:r>
      <w:r w:rsidRPr="00F06EA4">
        <w:rPr>
          <w:lang w:val="en-US"/>
        </w:rPr>
        <w:fldChar w:fldCharType="end"/>
      </w:r>
      <w:r w:rsidRPr="00F06EA4">
        <w:rPr>
          <w:lang w:val="en-US"/>
        </w:rPr>
        <w:t>, who showed that in Lewis lung carcinoma and melanoma mouse models, VEGFR1</w:t>
      </w:r>
      <w:r w:rsidRPr="00F06EA4">
        <w:rPr>
          <w:vertAlign w:val="superscript"/>
          <w:lang w:val="en-US"/>
        </w:rPr>
        <w:t>+</w:t>
      </w:r>
      <w:r w:rsidRPr="00F06EA4">
        <w:rPr>
          <w:lang w:val="en-US"/>
        </w:rPr>
        <w:t xml:space="preserve"> (vascular endothelial growth factor receptor 1) bone </w:t>
      </w:r>
      <w:r w:rsidR="007A5BEE" w:rsidRPr="00F06EA4">
        <w:rPr>
          <w:lang w:val="en-US"/>
        </w:rPr>
        <w:t>marrow-</w:t>
      </w:r>
      <w:r w:rsidRPr="00F06EA4">
        <w:rPr>
          <w:lang w:val="en-US"/>
        </w:rPr>
        <w:t>derived progenitor cells homed to tumor-specific pre-metastatic sites before the arrival of tumor cells</w:t>
      </w:r>
      <w:r w:rsidR="00031B24" w:rsidRPr="00F06EA4">
        <w:rPr>
          <w:lang w:val="en-US"/>
        </w:rPr>
        <w:t xml:space="preserve">, supporting </w:t>
      </w:r>
      <w:r w:rsidR="002D65A7" w:rsidRPr="00F06EA4">
        <w:rPr>
          <w:lang w:val="en-US"/>
        </w:rPr>
        <w:t xml:space="preserve">the </w:t>
      </w:r>
      <w:r w:rsidR="00A32413" w:rsidRPr="00F06EA4">
        <w:rPr>
          <w:lang w:val="en-US"/>
        </w:rPr>
        <w:t>subsequent metastasis</w:t>
      </w:r>
      <w:r w:rsidRPr="00F06EA4">
        <w:rPr>
          <w:lang w:val="en-US"/>
        </w:rPr>
        <w:t xml:space="preserve">. The pre-metastatic niches are composed of stromal components of the distant organs, bone </w:t>
      </w:r>
      <w:r w:rsidR="007A5BEE" w:rsidRPr="00F06EA4">
        <w:rPr>
          <w:lang w:val="en-US"/>
        </w:rPr>
        <w:t>marrow-</w:t>
      </w:r>
      <w:r w:rsidRPr="00F06EA4">
        <w:rPr>
          <w:lang w:val="en-US"/>
        </w:rPr>
        <w:t xml:space="preserve">derived cells including stromal cells and immunosuppressive immune cells, and </w:t>
      </w:r>
      <w:r w:rsidR="007A5BEE" w:rsidRPr="00F06EA4">
        <w:rPr>
          <w:lang w:val="en-US"/>
        </w:rPr>
        <w:t>tumor-</w:t>
      </w:r>
      <w:r w:rsidRPr="00F06EA4">
        <w:rPr>
          <w:lang w:val="en-US"/>
        </w:rPr>
        <w:t>derived secreted factors, such as cytokines</w:t>
      </w:r>
      <w:r w:rsidR="00367951" w:rsidRPr="00F06EA4">
        <w:rPr>
          <w:lang w:val="en-US"/>
        </w:rPr>
        <w:t>,</w:t>
      </w:r>
      <w:r w:rsidRPr="00F06EA4">
        <w:rPr>
          <w:lang w:val="en-US"/>
        </w:rPr>
        <w:t xml:space="preserve"> growth factors, and extracellular vesicles</w:t>
      </w:r>
      <w:r w:rsidRPr="00F06EA4">
        <w:rPr>
          <w:lang w:val="en-US"/>
        </w:rPr>
        <w:fldChar w:fldCharType="begin" w:fldLock="1"/>
      </w:r>
      <w:r w:rsidR="00F45F97" w:rsidRPr="00F06EA4">
        <w:rPr>
          <w:lang w:val="en-US"/>
        </w:rPr>
        <w:instrText>ADDIN CSL_CITATION {"citationItems":[{"id":"ITEM-1","itemData":{"DOI":"10.1016/j.ccell.2016.09.011","ISSN":"1878-3686","PMID":"27846389","abstract":"Primary tumors create a favorable microenvironment, namely, pre-metastatic niche, in secondary organs and tissue sites for subsequent metastases. The pre-metastatic niche can be primed and established through a complex interplay among primary tumor-derived factors, tumor-mobilized bone marrow-derived cells, and local stromal components. We review here our current understanding of the key components and underlying mechanisms for pre-metastatic niche formation. We propose six characteristics that define the pre-metastatic niche, which enable tumor cell colonization and promote metastasis, including immunosuppression, inflammation, angiogenesis/vascular permeability, lymphangiogenesis, organotropism, and reprogramming. We highlight the significance of the pre-metastatic niche, and discuss potential implications and future research directions.","author":[{"dropping-particle":"","family":"Liu","given":"Yang","non-dropping-particle":"","parse-names":false,"suffix":""},{"dropping-particle":"","family":"Cao","given":"Xuetao","non-dropping-particle":"","parse-names":false,"suffix":""}],"container-title":"Cancer cell","id":"ITEM-1","issue":"5","issued":{"date-parts":[["2016","11"]]},"page":"668-681","title":"Characteristics and Significance of the Pre-metastatic Niche.","type":"article-journal","volume":"30"},"uris":["http://www.mendeley.com/documents/?uuid=fabd313f-a89c-42ef-8cb4-b7c59962fdae"]},{"id":"ITEM-2","itemData":{"DOI":"10.1038/ncb3015","ISSN":"1465-7392","PMID":"25082194","abstract":"Recent pre-clinical and clinical research has provided evidence that cancer progression is driven not only by a tumour's underlying genetic alterations and paracrine interactions within the tumour microenvironment, but also by complex systemic processes. We review these emerging paradigms of cancer pathophysiology and discuss how a clearer understanding of systemic regulation of cancer progression could guide development of new therapeutic modalities and efforts to prevent disease relapse following initial diagnosis and treatment.","author":[{"dropping-particle":"","family":"McAllister","given":"Sandra S.","non-dropping-particle":"","parse-names":false,"suffix":""},{"dropping-particle":"","family":"Weinberg","given":"Robert A.","non-dropping-particle":"","parse-names":false,"suffix":""}],"container-title":"Nature Cell Biology","id":"ITEM-2","issue":"8","issued":{"date-parts":[["2014"]]},"page":"717-727","title":"The tumour-induced systemic environment as a critical regulator of cancer progression and metastasis","type":"article-journal","volume":"16"},"uris":["http://www.mendeley.com/documents/?uuid=bf34afeb-9cae-3497-ba87-6eb4813fa866"]}],"mendeley":{"formattedCitation":"&lt;sup&gt;[5,116]&lt;/sup&gt;","plainTextFormattedCitation":"[5,116]","previouslyFormattedCitation":"&lt;sup&gt;[5,116]&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[5,116]</w:t>
      </w:r>
      <w:r w:rsidRPr="00F06EA4">
        <w:rPr>
          <w:lang w:val="en-US"/>
        </w:rPr>
        <w:fldChar w:fldCharType="end"/>
      </w:r>
      <w:r w:rsidRPr="00F06EA4">
        <w:rPr>
          <w:lang w:val="en-US"/>
        </w:rPr>
        <w:t xml:space="preserve">. Liu and Cao recently proposed that six </w:t>
      </w:r>
      <w:r w:rsidRPr="00F06EA4">
        <w:rPr>
          <w:lang w:val="en-US"/>
        </w:rPr>
        <w:lastRenderedPageBreak/>
        <w:t xml:space="preserve">hallmark characteristics of pre-metastatic niche include inflammation supporting </w:t>
      </w:r>
      <w:r w:rsidR="007A5BEE" w:rsidRPr="00F06EA4">
        <w:rPr>
          <w:lang w:val="en-US"/>
        </w:rPr>
        <w:t xml:space="preserve">a </w:t>
      </w:r>
      <w:r w:rsidRPr="00F06EA4">
        <w:rPr>
          <w:lang w:val="en-US"/>
        </w:rPr>
        <w:t>proliferatory microenvironment; immunosuppression; angiogenesis; lymphangiogenesis; metabolic, stromal, and epigenetic reprogramming; and organotropism.</w:t>
      </w:r>
    </w:p>
    <w:p w14:paraId="0AD07534" w14:textId="4E0C1546" w:rsidR="003C7930" w:rsidRPr="00F06EA4" w:rsidRDefault="003C7930" w:rsidP="00F67ED8">
      <w:pPr>
        <w:spacing w:after="0"/>
        <w:ind w:firstLineChars="100" w:firstLine="240"/>
        <w:rPr>
          <w:lang w:val="en-US"/>
        </w:rPr>
      </w:pPr>
      <w:r w:rsidRPr="00F06EA4">
        <w:rPr>
          <w:lang w:val="en-US"/>
        </w:rPr>
        <w:t xml:space="preserve">Several studies have demonstrated pre-metastatic niches in CRC mouse models. </w:t>
      </w:r>
      <w:r w:rsidRPr="00F06EA4">
        <w:rPr>
          <w:lang w:val="fi-FI"/>
        </w:rPr>
        <w:t xml:space="preserve">Seubert </w:t>
      </w:r>
      <w:r w:rsidR="0046007C" w:rsidRPr="00F06EA4">
        <w:rPr>
          <w:i/>
          <w:iCs/>
          <w:lang w:val="fi-FI"/>
        </w:rPr>
        <w:t>et al</w:t>
      </w:r>
      <w:r w:rsidR="004A2833" w:rsidRPr="00F06EA4">
        <w:rPr>
          <w:lang w:val="en-US"/>
        </w:rPr>
        <w:fldChar w:fldCharType="begin" w:fldLock="1"/>
      </w:r>
      <w:r w:rsidR="00021BAC" w:rsidRPr="00F06EA4">
        <w:rPr>
          <w:lang w:val="fi-FI"/>
        </w:rPr>
        <w:instrText>ADDIN CSL_CITATION {"citationItems":[{"id":"ITEM-1","itemData":{"DOI":"10.1002/hep.27378","ISSN":"1527-3350","PMID":"25131778","abstract":"UNLABELLED: Due to its ability to inhibit prometastatic matrix metalloproteinases, tissue inhibitor of metalloproteinases (TIMP)-1 has been thought to suppress tumor metastasis. However, elevated systemic levels of TIMP-1 correlate with poor prognosis in cancer patients, suggesting a metastasis-stimulating role of TIMP-1. In colorectal cancer patients, tumor as well as plasma TIMP-1 levels were correlated with synchronous liver metastasis or distant metastasis-associated disease relapse. In mice, high systemic TIMP-1 levels increased the liver susceptibility towards metastasis by triggering the formation of a premetastatic niche. This promoted hepatic metastasis independent of origin or intrinsic metastatic potential of tumor cells. High systemic TIMP-1 led to increased hepatic SDF-1 levels, which in turn promoted recruitment of neutrophils to the liver. Both inhibition of SDF-1-mediated neutrophil recruitment and systemic depletion of neutrophils reduced TIMP-1-induced increased liver susceptibility towards metastasis. This indicates a crucial functional role of neutrophils in the TIMP-1-induced premetastatic niche. CONCLUSION: Our results identify TIMP-1 as an essential promoter of hepatic premetastatic niche formation.","author":[{"dropping-particle":"","family":"Seubert","given":"Bastian","non-dropping-particle":"","parse-names":false,"suffix":""},{"dropping-particle":"","family":"Grünwald","given":"Barbara","non-dropping-particle":"","parse-names":false,"suffix":""},{"dropping-particle":"","family":"Kobuch","given":"Julia","non-dropping-particle":"","parse-names":false,"suffix":""},{"dropping-particle":"","family":"Cui","given":"Haissi","non-dropping-particle":"","parse-names":false,"suffix":""},{"dropping-particle":"","family":"Schelter","given":"Florian","non-dropping-particle":"","parse-names":false,"suffix":""},{"dropping-particle":"","family":"Schaten","given":"Susanne","non-dropping-particle":"","parse-names":false,"suffix":""},{"dropping-particle":"","family":"Siveke","given":"Jens T","non-dropping-particle":"","parse-names":false,"suffix":""},{"dropping-particle":"","family":"Lim","given":"Ngee H","non-dropping-particle":"","parse-names":false,"suffix":""},{"dropping-particle":"","family":"Nagase","given":"Hideaki","non-dropping-particle":"","parse-names":false,"suffix":""},{"dropping-particle":"","family":"Simonavicius","given":"Nicole","non-dropping-particle":"","parse-names":false,"suffix":""},{"dropping-particle":"","family":"Heikenwalder","given":"Mathias","non-dropping-particle":"","parse-names":false,"suffix":""},{"dropping-particle":"","family":"Reinheckel","given":"Thomas","non-dropping-particle":"","parse-names":false,"suffix":""},{"dropping-particle":"","family":"Sleeman","given":"Jonathan P","non-dropping-particle":"","parse-names":false,"suffix":""},{"dropping-particle":"","family":"Janssen","given":"Klaus-Peter","non-dropping-particle":"","parse-names":false,"suffix":""},{"dropping-particle":"","family":"Knolle","given":"Percy A","non-dropping-particle":"","parse-names":false,"suffix":""},{"dropping-particle":"","family":"Krüger","given":"Achim","non-dropping-particle":"","parse-names":false,"suffix":""}],"container-title":"Hepatology (Baltimore, Md.)","id":"ITEM-1","issue":"1","issued":{"date-parts":[["2015"]]},"page":"238-48","title":"Tissue inhibitor of metalloproteinases (TIMP)-1 creates a premetastatic niche in the liver through SDF-1/CXCR4-dependent neutrophil recruitment in mice.","type":"article-journal","volume":"61"},"uris":["http://www.mendeley.com/documents/?uuid=195cedee-d735-4ea5-bc40-234b9acfd3b3"]}],"mendeley":{"formattedCitation":"&lt;sup&gt;[117]&lt;/sup&gt;","plainTextFormattedCitation":"[117]","previouslyFormattedCitation":"&lt;sup&gt;[117]&lt;/sup&gt;"},"properties":{"noteIndex":0},"schema":"https://github.com/citation-style-language/schema/raw/master/csl-citation.json"}</w:instrText>
      </w:r>
      <w:r w:rsidR="004A2833" w:rsidRPr="00F06EA4">
        <w:rPr>
          <w:lang w:val="en-US"/>
        </w:rPr>
        <w:fldChar w:fldCharType="separate"/>
      </w:r>
      <w:r w:rsidR="00F45F97" w:rsidRPr="00F06EA4">
        <w:rPr>
          <w:noProof/>
          <w:vertAlign w:val="superscript"/>
          <w:lang w:val="fi-FI"/>
        </w:rPr>
        <w:t>[117]</w:t>
      </w:r>
      <w:r w:rsidR="004A2833" w:rsidRPr="00F06EA4">
        <w:rPr>
          <w:lang w:val="en-US"/>
        </w:rPr>
        <w:fldChar w:fldCharType="end"/>
      </w:r>
      <w:r w:rsidRPr="00F06EA4">
        <w:rPr>
          <w:lang w:val="fi-FI"/>
        </w:rPr>
        <w:t xml:space="preserve"> found that high systemic TIMP1 levels led to increased hepatic levels of neutrophil chemokine CXCL12, resulting in recruitment of neutrophils to the liver. </w:t>
      </w:r>
      <w:r w:rsidRPr="00F06EA4">
        <w:rPr>
          <w:lang w:val="en-US"/>
        </w:rPr>
        <w:t xml:space="preserve">Both inhibition of CXCL12-mediated neutrophil recruitment and systemic depletion of neutrophils reduced TIMP1-induced increased liver susceptibility towards metastasis. In another study, Shao </w:t>
      </w:r>
      <w:r w:rsidR="0046007C" w:rsidRPr="00F06EA4">
        <w:rPr>
          <w:i/>
          <w:iCs/>
          <w:lang w:val="en-US"/>
        </w:rPr>
        <w:t>et al</w:t>
      </w:r>
      <w:r w:rsidRPr="00F06EA4">
        <w:rPr>
          <w:lang w:val="en-US"/>
        </w:rPr>
        <w:fldChar w:fldCharType="begin" w:fldLock="1"/>
      </w:r>
      <w:r w:rsidR="00F45F97" w:rsidRPr="00F06EA4">
        <w:rPr>
          <w:lang w:val="en-US"/>
        </w:rPr>
        <w:instrText>ADDIN CSL_CITATION {"citationItems":[{"id":"ITEM-1","itemData":{"DOI":"10.1093/carcin/bgy115","ISSN":"0143-3334","PMID":"30184100","abstract":"Liver metastases develop in more than half of the patients with colorectal cancer (CRC) and are associated with a poor prognosis. The factors influencing liver metastasis of CRC are poorly characterized, but this information is urgently needed. We have now discovered that small extracellular vesicles (sEVs; exosomes) derived from CRC can be specifically targeted to liver tissue and induce liver macrophage polarization toward an interleukin-6 (IL-6)-secreting proinflammatory phenotype. More importantly, we found that microRNA-21-5p (miR-21) was highly enriched in CRC-derived sEVs and was essential for creating a liver proinflammatory phenotype and liver metastasis of CRC. Silencing either miR-21 in CRC-sEVs or Toll-like receptor 7 (TLR7) in macrophages, to which miR-21 binds, abolished CRC-sEVs' induction of proinflammatory macrophages. Furthermore, miR-21 expression in plasma-derived sEVs was positively correlated with liver metastasis in CRC patients. Collectively, our data demonstrate a pivotal role of CRC-sEVs in promoting liver metastasis by inducing an inflammatory premetastatic niche through the miR-21-TLR7-IL-6 axis. Thus, sEVs-miR-21 represents a potential prognostic marker and therapeutic target for CRC patients with liver metastasis.","author":[{"dropping-particle":"","family":"Shao","given":"Yingkuan","non-dropping-particle":"","parse-names":false,"suffix":""},{"dropping-particle":"","family":"Chen","given":"Ting","non-dropping-particle":"","parse-names":false,"suffix":""},{"dropping-particle":"","family":"Zheng","given":"Xi","non-dropping-particle":"","parse-names":false,"suffix":""},{"dropping-particle":"","family":"Yang","given":"Sheng","non-dropping-particle":"","parse-names":false,"suffix":""},{"dropping-particle":"","family":"Xu","given":"Kailun","non-dropping-particle":"","parse-names":false,"suffix":""},{"dropping-particle":"","family":"Chen","given":"Xuewen","non-dropping-particle":"","parse-names":false,"suffix":""},{"dropping-particle":"","family":"Xu","given":"Fei","non-dropping-particle":"","parse-names":false,"suffix":""},{"dropping-particle":"","family":"Wang","given":"Lantian","non-dropping-particle":"","parse-names":false,"suffix":""},{"dropping-particle":"","family":"Shen","given":"Yanwei","non-dropping-particle":"","parse-names":false,"suffix":""},{"dropping-particle":"","family":"Wang","given":"Tingyang","non-dropping-particle":"","parse-names":false,"suffix":""},{"dropping-particle":"","family":"Zhang","given":"Mengwen","non-dropping-particle":"","parse-names":false,"suffix":""},{"dropping-particle":"","family":"Hu","given":"Wangxiong","non-dropping-particle":"","parse-names":false,"suffix":""},{"dropping-particle":"","family":"Ye","given":"Chenyang","non-dropping-particle":"","parse-names":false,"suffix":""},{"dropping-particle":"","family":"Yu","given":"XiaoFang","non-dropping-particle":"","parse-names":false,"suffix":""},{"dropping-particle":"","family":"Shao","given":"Jimin","non-dropping-particle":"","parse-names":false,"suffix":""},{"dropping-particle":"","family":"Zheng","given":"Shu","non-dropping-particle":"","parse-names":false,"suffix":""}],"container-title":"Carcinogenesis","id":"ITEM-1","issue":"11","issued":{"date-parts":[["2018"]]},"page":"1368-1379","title":"Colorectal cancer-derived small extracellular vesicles establish an inflammatory premetastatic niche in liver metastasis","type":"article-journal","volume":"39"},"uris":["http://www.mendeley.com/documents/?uuid=79f0a725-5d17-3732-a885-52547d8c09e1","http://www.mendeley.com/documents/?uuid=30a0abc2-2d92-43b9-a14b-a67383ad3940"]}],"mendeley":{"formattedCitation":"&lt;sup&gt;[118]&lt;/sup&gt;","plainTextFormattedCitation":"[118]","previouslyFormattedCitation":"&lt;sup&gt;[118]&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[118]</w:t>
      </w:r>
      <w:r w:rsidRPr="00F06EA4">
        <w:rPr>
          <w:lang w:val="en-US"/>
        </w:rPr>
        <w:fldChar w:fldCharType="end"/>
      </w:r>
      <w:r w:rsidRPr="00F06EA4">
        <w:rPr>
          <w:lang w:val="en-US"/>
        </w:rPr>
        <w:t xml:space="preserve"> showed that </w:t>
      </w:r>
      <w:r w:rsidR="007A5BEE" w:rsidRPr="00F06EA4">
        <w:rPr>
          <w:lang w:val="en-US"/>
        </w:rPr>
        <w:t>CRC-</w:t>
      </w:r>
      <w:r w:rsidRPr="00F06EA4">
        <w:rPr>
          <w:lang w:val="en-US"/>
        </w:rPr>
        <w:t xml:space="preserve">derived small extracellular vesicles, also known as exosomes, are targeted to </w:t>
      </w:r>
      <w:r w:rsidR="007A5BEE" w:rsidRPr="00F06EA4">
        <w:rPr>
          <w:lang w:val="en-US"/>
        </w:rPr>
        <w:t xml:space="preserve">the </w:t>
      </w:r>
      <w:r w:rsidRPr="00F06EA4">
        <w:rPr>
          <w:lang w:val="en-US"/>
        </w:rPr>
        <w:t xml:space="preserve">liver where they promote </w:t>
      </w:r>
      <w:r w:rsidR="007A5BEE" w:rsidRPr="00F06EA4">
        <w:rPr>
          <w:lang w:val="en-US"/>
        </w:rPr>
        <w:t xml:space="preserve">the </w:t>
      </w:r>
      <w:r w:rsidRPr="00F06EA4">
        <w:rPr>
          <w:lang w:val="en-US"/>
        </w:rPr>
        <w:t>formation of premetastatic niche and CRC metastasis. Liver macrophages, Kupffer cells, engulfed these exosomes and their cargo</w:t>
      </w:r>
      <w:r w:rsidR="007A5BEE" w:rsidRPr="00F06EA4">
        <w:rPr>
          <w:lang w:val="en-US"/>
        </w:rPr>
        <w:t>,</w:t>
      </w:r>
      <w:r w:rsidRPr="00F06EA4">
        <w:rPr>
          <w:lang w:val="en-US"/>
        </w:rPr>
        <w:t xml:space="preserve"> leading to Kupffer cell polarization toward proinflammatory phenotype and increased CSF3 and IL6 expression. </w:t>
      </w:r>
      <w:r w:rsidR="007A5BEE" w:rsidRPr="00F06EA4">
        <w:rPr>
          <w:lang w:val="en-US"/>
        </w:rPr>
        <w:t xml:space="preserve">An inflammatory </w:t>
      </w:r>
      <w:r w:rsidRPr="00F06EA4">
        <w:rPr>
          <w:lang w:val="en-US"/>
        </w:rPr>
        <w:t xml:space="preserve">microenvironment was created and expression of apoptosis and matrix remodeling related genes </w:t>
      </w:r>
      <w:r w:rsidR="007A5BEE" w:rsidRPr="00F06EA4">
        <w:rPr>
          <w:lang w:val="en-US"/>
        </w:rPr>
        <w:t xml:space="preserve">was </w:t>
      </w:r>
      <w:r w:rsidRPr="00F06EA4">
        <w:rPr>
          <w:lang w:val="en-US"/>
        </w:rPr>
        <w:t>altered, promoting cancer metastasis to the liver.</w:t>
      </w:r>
    </w:p>
    <w:p w14:paraId="7603AD0C" w14:textId="71249247" w:rsidR="00023C5A" w:rsidRPr="00F06EA4" w:rsidRDefault="003C7930" w:rsidP="00F67ED8">
      <w:pPr>
        <w:spacing w:after="0"/>
        <w:ind w:firstLineChars="100" w:firstLine="240"/>
        <w:rPr>
          <w:lang w:val="en-US"/>
        </w:rPr>
      </w:pPr>
      <w:r w:rsidRPr="00F06EA4">
        <w:rPr>
          <w:lang w:val="en-US"/>
        </w:rPr>
        <w:t xml:space="preserve">In a mouse model of pancreatic cancer, Lee </w:t>
      </w:r>
      <w:r w:rsidR="0046007C" w:rsidRPr="00F06EA4">
        <w:rPr>
          <w:i/>
          <w:iCs/>
          <w:lang w:val="en-US"/>
        </w:rPr>
        <w:t>et al</w:t>
      </w:r>
      <w:r w:rsidR="00455E1B" w:rsidRPr="00F06EA4">
        <w:rPr>
          <w:lang w:val="en-US"/>
        </w:rPr>
        <w:fldChar w:fldCharType="begin" w:fldLock="1"/>
      </w:r>
      <w:r w:rsidR="00455E1B" w:rsidRPr="00F06EA4">
        <w:rPr>
          <w:lang w:val="en-US"/>
        </w:rPr>
        <w:instrText>ADDIN CSL_CITATION {"citationItems":[{"id":"ITEM-1","itemData":{"DOI":"10.1038/s41586-019-1004-y","ISSN":"0028-0836","PMID":"30842658","abstract":"The liver is the most common site of metastatic disease1. Although this metastatic tropism may reflect the mechanical trapping of circulating tumour cells, liver metastasis is also dependent, at least in part, on the formation of a 'pro-metastatic' niche that supports the spread of tumour cells to the liver2,3. The mechanisms that direct the formation of this niche are poorly understood. Here we show that hepatocytes coordinate myeloid cell accumulation and fibrosis within the liver and, in doing so, increase the susceptibility of the liver to metastatic seeding and outgrowth. During early pancreatic tumorigenesis in mice, hepatocytes show activation of signal transducer and activator of transcription 3 (STAT3) signalling and increased production of serum amyloid A1 and A2 (referred to collectively as SAA). Overexpression of SAA by hepatocytes also occurs in patients with pancreatic and colorectal cancers that have metastasized to the liver, and many patients with locally advanced and metastatic disease show increases in circulating SAA. Activation of STAT3 in hepatocytes and the subsequent production of SAA depend on the release of interleukin 6 (IL-6) into the circulation by non-malignant cells. Genetic ablation or blockade of components of IL-6-STAT3-SAA signalling prevents the establishment of a pro-metastatic niche and inhibits liver metastasis. Our data identify an intercellular network underpinned by hepatocytes that forms the basis of a pro-metastatic niche in the liver, and identify new therapeutic targets.","author":[{"dropping-particle":"","family":"Lee","given":"Jae W.","non-dropping-particle":"","parse-names":false,"suffix":""},{"dropping-particle":"","family":"Stone","given":"Meredith L.","non-dropping-particle":"","parse-names":false,"suffix":""},{"dropping-particle":"","family":"Porrett","given":"Paige M.","non-dropping-particle":"","parse-names":false,"suffix":""},{"dropping-particle":"","family":"Thomas","given":"Stacy K.","non-dropping-particle":"","parse-names":false,"suffix":""},{"dropping-particle":"","family":"Komar","given":"Chad A.","non-dropping-particle":"","parse-names":false,"suffix":""},{"dropping-particle":"","family":"Li","given":"Joey H.","non-dropping-particle":"","parse-names":false,"suffix":""},{"dropping-particle":"","family":"Delman","given":"Devora","non-dropping-particle":"","parse-names":false,"suffix":""},{"dropping-particle":"","family":"Graham","given":"Kathleen","non-dropping-particle":"","parse-names":false,"suffix":""},{"dropping-particle":"","family":"Gladney","given":"Whitney L.","non-dropping-particle":"","parse-names":false,"suffix":""},{"dropping-particle":"","family":"Hua","given":"Xia","non-dropping-particle":"","parse-names":false,"suffix":""},{"dropping-particle":"","family":"Black","given":"Taylor A.","non-dropping-particle":"","parse-names":false,"suffix":""},{"dropping-particle":"","family":"Chien","given":"Austin L.","non-dropping-particle":"","parse-names":false,"suffix":""},{"dropping-particle":"","family":"Majmundar","given":"Krishna S.","non-dropping-particle":"","parse-names":false,"suffix":""},{"dropping-particle":"","family":"Thompson","given":"Jeffrey C.","non-dropping-particle":"","parse-names":false,"suffix":""},{"dropping-particle":"","family":"Yee","given":"Stephanie S.","non-dropping-particle":"","parse-names":false,"suffix":""},{"dropping-particle":"","family":"O’Hara","given":"Mark H.","non-dropping-particle":"","parse-names":false,"suffix":""},{"dropping-particle":"","family":"Aggarwal","given":"Charu","non-dropping-particle":"","parse-names":false,"suffix":""},{"dropping-particle":"","family":"Xin","given":"Dong","non-dropping-particle":"","parse-names":false,"suffix":""},{"dropping-particle":"","family":"Shaked","given":"Abraham","non-dropping-particle":"","parse-names":false,"suffix":""},{"dropping-particle":"","family":"Gao","given":"Mingming","non-dropping-particle":"","parse-names":false,"suffix":""},{"dropping-particle":"","family":"Liu","given":"Dexi","non-dropping-particle":"","parse-names":false,"suffix":""},{"dropping-particle":"","family":"Borad","given":"Mitesh J.","non-dropping-particle":"","parse-names":false,"suffix":""},{"dropping-particle":"","family":"Ramanathan","given":"Ramesh K.","non-dropping-particle":"","parse-names":false,"suffix":""},{"dropping-particle":"","family":"Carpenter","given":"Erica L.","non-dropping-particle":"","parse-names":false,"suffix":""},{"dropping-particle":"","family":"Ji","given":"Ailing","non-dropping-particle":"","parse-names":false,"suffix":""},{"dropping-particle":"","family":"Beer","given":"Maria C.","non-dropping-particle":"de","parse-names":false,"suffix":""},{"dropping-particle":"","family":"Beer","given":"Frederick C.","non-dropping-particle":"de","parse-names":false,"suffix":""},{"dropping-particle":"","family":"Webb","given":"Nancy R.","non-dropping-particle":"","parse-names":false,"suffix":""},{"dropping-particle":"","family":"Beatty","given":"Gregory L.","non-dropping-particle":"","parse-names":false,"suffix":""}],"container-title":"Nature","id":"ITEM-1","issue":"7747","issued":{"date-parts":[["2019"]]},"page":"249-252","title":"Hepatocytes direct the formation of a pro-metastatic niche in the liver","type":"article-journal","volume":"567"},"uris":["http://www.mendeley.com/documents/?uuid=3cdfddb2-8237-3022-9e3c-ded6bb18503e","http://www.mendeley.com/documents/?uuid=8031fc73-28f8-4ea2-bbf4-0646ef4f029b"]}],"mendeley":{"formattedCitation":"&lt;sup&gt;[119]&lt;/sup&gt;","plainTextFormattedCitation":"[119]","previouslyFormattedCitation":"&lt;sup&gt;[119]&lt;/sup&gt;"},"properties":{"noteIndex":0},"schema":"https://github.com/citation-style-language/schema/raw/master/csl-citation.json"}</w:instrText>
      </w:r>
      <w:r w:rsidR="00455E1B" w:rsidRPr="00F06EA4">
        <w:rPr>
          <w:lang w:val="en-US"/>
        </w:rPr>
        <w:fldChar w:fldCharType="separate"/>
      </w:r>
      <w:r w:rsidR="00455E1B" w:rsidRPr="00F06EA4">
        <w:rPr>
          <w:noProof/>
          <w:vertAlign w:val="superscript"/>
          <w:lang w:val="en-US"/>
        </w:rPr>
        <w:t>[119]</w:t>
      </w:r>
      <w:r w:rsidR="00455E1B" w:rsidRPr="00F06EA4">
        <w:rPr>
          <w:lang w:val="en-US"/>
        </w:rPr>
        <w:fldChar w:fldCharType="end"/>
      </w:r>
      <w:r w:rsidRPr="00F06EA4">
        <w:rPr>
          <w:lang w:val="en-US"/>
        </w:rPr>
        <w:t xml:space="preserve"> showed that IL6, produced by tumor-adjacent non-cancerous fibroblasts, traveled to the liver and mediated STAT3 signaling in hepatocytes, resulting in the secretion </w:t>
      </w:r>
      <w:r w:rsidR="007A5BEE" w:rsidRPr="00F06EA4">
        <w:rPr>
          <w:lang w:val="en-US"/>
        </w:rPr>
        <w:t xml:space="preserve">of </w:t>
      </w:r>
      <w:r w:rsidRPr="00F06EA4">
        <w:rPr>
          <w:lang w:val="en-US"/>
        </w:rPr>
        <w:t xml:space="preserve">acute phase reactants serum amyloid A1 and A2 (SAA proteins). SAA proteins attracted immunosuppressive myeloid cells to the liver, promoted hepatic stellate cell activation and production of extracellular matrix, creating </w:t>
      </w:r>
      <w:r w:rsidR="007A5BEE" w:rsidRPr="00F06EA4">
        <w:rPr>
          <w:lang w:val="en-US"/>
        </w:rPr>
        <w:t xml:space="preserve">a </w:t>
      </w:r>
      <w:r w:rsidRPr="00F06EA4">
        <w:rPr>
          <w:lang w:val="en-US"/>
        </w:rPr>
        <w:t xml:space="preserve">metastasis-prone environment </w:t>
      </w:r>
      <w:r w:rsidR="007A5BEE" w:rsidRPr="00F06EA4">
        <w:rPr>
          <w:lang w:val="en-US"/>
        </w:rPr>
        <w:t xml:space="preserve">in </w:t>
      </w:r>
      <w:r w:rsidRPr="00F06EA4">
        <w:rPr>
          <w:lang w:val="en-US"/>
        </w:rPr>
        <w:t xml:space="preserve">the liver. This study also reported enhanced hepatic SAA expression in CRC patients. All in all, more and more evidence </w:t>
      </w:r>
      <w:r w:rsidR="00D16F26" w:rsidRPr="00F06EA4">
        <w:rPr>
          <w:lang w:val="en-US"/>
        </w:rPr>
        <w:t>support</w:t>
      </w:r>
      <w:r w:rsidR="007A5BEE" w:rsidRPr="00F06EA4">
        <w:rPr>
          <w:lang w:val="en-US"/>
        </w:rPr>
        <w:t>s</w:t>
      </w:r>
      <w:r w:rsidRPr="00F06EA4">
        <w:rPr>
          <w:lang w:val="en-US"/>
        </w:rPr>
        <w:t xml:space="preserve"> the role of systemic inflammation in creating a tumor-favoring environment in distant organs, enabling metastatic tumor cells to survive after colonization.</w:t>
      </w:r>
    </w:p>
    <w:p w14:paraId="401EEFF2" w14:textId="77777777" w:rsidR="003C7930" w:rsidRPr="00F06EA4" w:rsidRDefault="003C7930" w:rsidP="00F67ED8">
      <w:pPr>
        <w:spacing w:after="0"/>
        <w:rPr>
          <w:lang w:val="en-US"/>
        </w:rPr>
      </w:pPr>
    </w:p>
    <w:p w14:paraId="0E5F48AF" w14:textId="64F5666D" w:rsidR="00F410AE" w:rsidRPr="00F06EA4" w:rsidRDefault="004E12E5" w:rsidP="00F67ED8">
      <w:pPr>
        <w:spacing w:after="0"/>
        <w:rPr>
          <w:b/>
          <w:bCs/>
          <w:i/>
          <w:lang w:val="en-US"/>
        </w:rPr>
      </w:pPr>
      <w:bookmarkStart w:id="152" w:name="_Hlk3203714"/>
      <w:r w:rsidRPr="00F06EA4">
        <w:rPr>
          <w:b/>
          <w:bCs/>
          <w:i/>
          <w:lang w:val="en-US"/>
        </w:rPr>
        <w:t>G</w:t>
      </w:r>
      <w:r w:rsidR="00715C41" w:rsidRPr="00F06EA4">
        <w:rPr>
          <w:b/>
          <w:bCs/>
          <w:i/>
          <w:lang w:val="en-US"/>
        </w:rPr>
        <w:t>ut m</w:t>
      </w:r>
      <w:r w:rsidR="00211012" w:rsidRPr="00F06EA4">
        <w:rPr>
          <w:b/>
          <w:bCs/>
          <w:i/>
          <w:lang w:val="en-US"/>
        </w:rPr>
        <w:t>icrobiome</w:t>
      </w:r>
      <w:r w:rsidR="005551D7" w:rsidRPr="00F06EA4">
        <w:rPr>
          <w:b/>
          <w:bCs/>
          <w:i/>
          <w:lang w:val="en-US"/>
        </w:rPr>
        <w:t xml:space="preserve"> and systemic inflammation</w:t>
      </w:r>
    </w:p>
    <w:bookmarkEnd w:id="152"/>
    <w:p w14:paraId="16ADD12C" w14:textId="12EFEC78" w:rsidR="00C07679" w:rsidRPr="00F06EA4" w:rsidRDefault="00F0419C" w:rsidP="00F67ED8">
      <w:pPr>
        <w:spacing w:after="0"/>
        <w:rPr>
          <w:lang w:val="en-US"/>
        </w:rPr>
      </w:pPr>
      <w:r w:rsidRPr="00F06EA4">
        <w:rPr>
          <w:lang w:val="en-US"/>
        </w:rPr>
        <w:t xml:space="preserve">The large </w:t>
      </w:r>
      <w:r w:rsidR="0A4EB6E9" w:rsidRPr="00F06EA4">
        <w:rPr>
          <w:lang w:val="en-US"/>
        </w:rPr>
        <w:t xml:space="preserve">bowel is </w:t>
      </w:r>
      <w:r w:rsidR="7297C8E6" w:rsidRPr="00F06EA4">
        <w:rPr>
          <w:lang w:val="en-US"/>
        </w:rPr>
        <w:t xml:space="preserve">the dwelling place for </w:t>
      </w:r>
      <w:r w:rsidR="3A3B2352" w:rsidRPr="00F06EA4">
        <w:rPr>
          <w:lang w:val="en-US"/>
        </w:rPr>
        <w:t>a vast set of commensal micro-organisms, mainly bact</w:t>
      </w:r>
      <w:r w:rsidR="1C5AA618" w:rsidRPr="00F06EA4">
        <w:rPr>
          <w:lang w:val="en-US"/>
        </w:rPr>
        <w:t>eria and fungi.  Collectively</w:t>
      </w:r>
      <w:r w:rsidRPr="00F06EA4">
        <w:rPr>
          <w:lang w:val="en-US"/>
        </w:rPr>
        <w:t>,</w:t>
      </w:r>
      <w:r w:rsidR="1C5AA618" w:rsidRPr="00F06EA4">
        <w:rPr>
          <w:lang w:val="en-US"/>
        </w:rPr>
        <w:t xml:space="preserve"> these are often described as intestinal microbiome or microbiota.</w:t>
      </w:r>
      <w:r w:rsidR="3A3B2352" w:rsidRPr="00F06EA4">
        <w:rPr>
          <w:lang w:val="en-US"/>
        </w:rPr>
        <w:t xml:space="preserve"> </w:t>
      </w:r>
      <w:r w:rsidR="0A4EB6E9" w:rsidRPr="00F06EA4">
        <w:rPr>
          <w:lang w:val="en-US"/>
        </w:rPr>
        <w:t xml:space="preserve"> </w:t>
      </w:r>
      <w:r w:rsidR="31151274" w:rsidRPr="00F06EA4">
        <w:rPr>
          <w:lang w:val="en-US"/>
        </w:rPr>
        <w:t>Changes in the i</w:t>
      </w:r>
      <w:r w:rsidR="3F8CAACC" w:rsidRPr="00F06EA4">
        <w:rPr>
          <w:lang w:val="en-US"/>
        </w:rPr>
        <w:t xml:space="preserve">ntestinal microbiota </w:t>
      </w:r>
      <w:r w:rsidRPr="00F06EA4">
        <w:rPr>
          <w:lang w:val="en-US"/>
        </w:rPr>
        <w:t xml:space="preserve">are </w:t>
      </w:r>
      <w:r w:rsidR="3F8CAACC" w:rsidRPr="00F06EA4">
        <w:rPr>
          <w:lang w:val="en-US"/>
        </w:rPr>
        <w:t>observed in many s</w:t>
      </w:r>
      <w:r w:rsidR="7569A8CF" w:rsidRPr="00F06EA4">
        <w:rPr>
          <w:lang w:val="en-US"/>
        </w:rPr>
        <w:t>ituations</w:t>
      </w:r>
      <w:r w:rsidR="3F8CAACC" w:rsidRPr="00F06EA4">
        <w:rPr>
          <w:lang w:val="en-US"/>
        </w:rPr>
        <w:t xml:space="preserve">, including </w:t>
      </w:r>
      <w:r w:rsidR="7569A8CF" w:rsidRPr="00F06EA4">
        <w:rPr>
          <w:lang w:val="en-US"/>
        </w:rPr>
        <w:t>CRC and c</w:t>
      </w:r>
      <w:r w:rsidR="7B76B6CB" w:rsidRPr="00F06EA4">
        <w:rPr>
          <w:lang w:val="en-US"/>
        </w:rPr>
        <w:t>achexia</w:t>
      </w:r>
      <w:r w:rsidR="003157C5" w:rsidRPr="00F06EA4">
        <w:rPr>
          <w:lang w:val="en-US"/>
        </w:rPr>
        <w:fldChar w:fldCharType="begin" w:fldLock="1"/>
      </w:r>
      <w:r w:rsidR="00F45F97" w:rsidRPr="00F06EA4">
        <w:rPr>
          <w:lang w:val="en-US"/>
        </w:rPr>
        <w:instrText>ADDIN CSL_CITATION {"citationItems":[{"id":"ITEM-1","itemData":{"DOI":"10.1016/j.ccell.2018.03.004","ISSN":"15356108","PMID":"29657127","abstract":"Experimental evidence from the past years highlights a key role for the intestinal microbiota in inflammatory and malignant gastrointestinal diseases. Diet exhibits a strong impact on microbial composition and provides risk for developing colorectal carcinoma (CRC). Large metagenomic studies in human CRC associated microbiome signatures with the colorectal adenoma-carcinoma sequence, suggesting a fundamental role of the intestinal microbiota in the evolution of gastrointestinal malignancy. Basic science established a critical function for the intestinal microbiota in promoting tumorigenesis. Further studies are needed to decipher the mechanisms of tumor promotion and microbial co-evolution in CRC, which may be exploited therapeutically in the future.","author":[{"dropping-particle":"","family":"Tilg","given":"Herbert","non-dropping-particle":"","parse-names":false,"suffix":""},{"dropping-particle":"","family":"Adolph","given":"Timon E.","non-dropping-particle":"","parse-names":false,"suffix":""},{"dropping-particle":"","family":"Gerner","given":"Romana R.","non-dropping-particle":"","parse-names":false,"suffix":""},{"dropping-particle":"","family":"Moschen","given":"Alexander R.","non-dropping-particle":"","parse-names":false,"suffix":""}],"container-title":"Cancer Cell","id":"ITEM-1","issue":"6","issued":{"date-parts":[["2018"]]},"page":"954-964","title":"The Intestinal Microbiota in Colorectal Cancer","type":"article-journal","volume":"33"},"uris":["http://www.mendeley.com/documents/?uuid=f72fae7a-847c-38af-a5b9-a022b60ef757","http://www.mendeley.com/documents/?uuid=d5f8197f-ce93-489d-8cd9-0b973e79c3da"]},{"id":"ITEM-2","itemData":{"DOI":"10.18632/oncotarget.24804","ISSN":"1949-2553","PMID":"29719601","abstract":"Intestinal disorders often occur in cancer patients, in association with body weight loss, and this alteration is commonly attributed to the chemotherapy. Here, using a mouse model of cancer cachexia induced by ectopic transplantation of C26 cancer cells, we discovered a profound alteration in the gut functions (gut permeability, epithelial turnover, gut immunity, microbial dysbiosis) independently of any chemotherapy. These alterations occurred independently of anorexia and were driven by interleukin 6. Gut dysfunction was found to be resistant to treatments with an anti-inflammatory bacterium (Faecalibacterium prausnitzii) or with gut peptides involved in intestinal cell renewal (teduglutide, a glucagon-like peptide 2 analogue). The translational value of our findings was evaluated in 152 colorectal and lung cancer patients with or without cachexia. The serum level of the lipopolysaccharide-binding protein, often presented as a reflection of the bacterial antigen load, was not only increased in cachectic mice and cancer patients, but also strongly correlated with the serum IL-6 level and predictive of death and cachexia occurrence in these patients. Altogether, our data highlight profound alterations of the intestinal homeostasis in cancer cachexia occurring independently of any chemotherapy and food intake reduction, with potential relevance in humans. In addition, we point out the lipopolysaccharide-binding protein as a new biomarker of cancer cachexia related to gut dysbiosis.","author":[{"dropping-particle":"","family":"Bindels","given":"Laure B.","non-dropping-particle":"","parse-names":false,"suffix":""},{"dropping-particle":"","family":"Neyrinck","given":"Audrey M.","non-dropping-particle":"","parse-names":false,"suffix":""},{"dropping-particle":"","family":"Loumaye","given":"Audrey","non-dropping-particle":"","parse-names":false,"suffix":""},{"dropping-particle":"","family":"Catry","given":"Emilie","non-dropping-particle":"","parse-names":false,"suffix":""},{"dropping-particle":"","family":"Walgrave","given":"Hannah","non-dropping-particle":"","parse-names":false,"suffix":""},{"dropping-particle":"","family":"Cherbuy","given":"Claire","non-dropping-particle":"","parse-names":false,"suffix":""},{"dropping-particle":"","family":"Leclercq","given":"Sophie","non-dropping-particle":"","parse-names":false,"suffix":""},{"dropping-particle":"","family":"Hul","given":"Matthias","non-dropping-particle":"Van","parse-names":false,"suffix":""},{"dropping-particle":"","family":"Plovier","given":"Hubert","non-dropping-particle":"","parse-names":false,"suffix":""},{"dropping-particle":"","family":"Pachikian","given":"Barbara","non-dropping-particle":"","parse-names":false,"suffix":""},{"dropping-particle":"","family":"Bermúdez-Humarán","given":"Luis G.","non-dropping-particle":"","parse-names":false,"suffix":""},{"dropping-particle":"","family":"Langella","given":"Philippe","non-dropping-particle":"","parse-names":false,"suffix":""},{"dropping-particle":"","family":"Cani","given":"Patrice D.","non-dropping-particle":"","parse-names":false,"suffix":""},{"dropping-particle":"","family":"Thissen","given":"Jean-Paul","non-dropping-particle":"","parse-names":false,"suffix":""},{"dropping-particle":"","family":"Delzenne","given":"Nathalie M.","non-dropping-particle":"","parse-names":false,"suffix":""}],"container-title":"Oncotarget","id":"ITEM-2","issue":"26","issued":{"date-parts":[["2018"]]},"page":"18224-18238","title":"Increased gut permeability in cancer cachexia: mechanisms and clinical relevance","type":"article-journal","volume":"9"},"uris":["http://www.mendeley.com/documents/?uuid=ff7fc471-2495-334b-b0f9-361d535785cf"]}],"mendeley":{"formattedCitation":"&lt;sup&gt;[120,121]&lt;/sup&gt;","plainTextFormattedCitation":"[120,121]","previouslyFormattedCitation":"&lt;sup&gt;[120,121]&lt;/sup&gt;"},"properties":{"noteIndex":0},"schema":"https://github.com/citation-style-language/schema/raw/master/csl-citation.json"}</w:instrText>
      </w:r>
      <w:r w:rsidR="003157C5" w:rsidRPr="00F06EA4">
        <w:rPr>
          <w:lang w:val="en-US"/>
        </w:rPr>
        <w:fldChar w:fldCharType="separate"/>
      </w:r>
      <w:r w:rsidR="00F45F97" w:rsidRPr="00F06EA4">
        <w:rPr>
          <w:noProof/>
          <w:vertAlign w:val="superscript"/>
          <w:lang w:val="en-US"/>
        </w:rPr>
        <w:t>[120,121]</w:t>
      </w:r>
      <w:r w:rsidR="003157C5" w:rsidRPr="00F06EA4">
        <w:rPr>
          <w:lang w:val="en-US"/>
        </w:rPr>
        <w:fldChar w:fldCharType="end"/>
      </w:r>
      <w:r w:rsidR="003157C5" w:rsidRPr="00F06EA4">
        <w:rPr>
          <w:lang w:val="en-US"/>
        </w:rPr>
        <w:t xml:space="preserve">. </w:t>
      </w:r>
      <w:r w:rsidR="3F8DA6EB" w:rsidRPr="00F06EA4">
        <w:rPr>
          <w:lang w:val="en-US"/>
        </w:rPr>
        <w:t>T</w:t>
      </w:r>
      <w:r w:rsidR="663E9244" w:rsidRPr="00F06EA4">
        <w:rPr>
          <w:lang w:val="en-US"/>
        </w:rPr>
        <w:t xml:space="preserve">he </w:t>
      </w:r>
      <w:r w:rsidR="46859132" w:rsidRPr="00F06EA4">
        <w:rPr>
          <w:lang w:val="en-US"/>
        </w:rPr>
        <w:t xml:space="preserve">interplay </w:t>
      </w:r>
      <w:r w:rsidR="24326187" w:rsidRPr="00F06EA4">
        <w:rPr>
          <w:lang w:val="en-US"/>
        </w:rPr>
        <w:t xml:space="preserve">between </w:t>
      </w:r>
      <w:r w:rsidR="663E9244" w:rsidRPr="00F06EA4">
        <w:rPr>
          <w:lang w:val="en-US"/>
        </w:rPr>
        <w:t xml:space="preserve">microbiota </w:t>
      </w:r>
      <w:r w:rsidR="46859132" w:rsidRPr="00F06EA4">
        <w:rPr>
          <w:lang w:val="en-US"/>
        </w:rPr>
        <w:t xml:space="preserve">and </w:t>
      </w:r>
      <w:r w:rsidR="663E9244" w:rsidRPr="00F06EA4">
        <w:rPr>
          <w:lang w:val="en-US"/>
        </w:rPr>
        <w:t xml:space="preserve">the immune </w:t>
      </w:r>
      <w:r w:rsidR="24326187" w:rsidRPr="00F06EA4">
        <w:rPr>
          <w:lang w:val="en-US"/>
        </w:rPr>
        <w:t xml:space="preserve">system </w:t>
      </w:r>
      <w:r w:rsidR="197969ED" w:rsidRPr="00F06EA4">
        <w:rPr>
          <w:lang w:val="en-US"/>
        </w:rPr>
        <w:t>has gained increasing inter</w:t>
      </w:r>
      <w:r w:rsidR="7CE27AA9" w:rsidRPr="00F06EA4">
        <w:rPr>
          <w:lang w:val="en-US"/>
        </w:rPr>
        <w:t>e</w:t>
      </w:r>
      <w:r w:rsidR="197969ED" w:rsidRPr="00F06EA4">
        <w:rPr>
          <w:lang w:val="en-US"/>
        </w:rPr>
        <w:t>st, although</w:t>
      </w:r>
      <w:r w:rsidR="7CE27AA9" w:rsidRPr="00F06EA4">
        <w:rPr>
          <w:lang w:val="en-US"/>
        </w:rPr>
        <w:t xml:space="preserve"> our knowledge is still very limited</w:t>
      </w:r>
      <w:r w:rsidR="00700EBE" w:rsidRPr="00F06EA4">
        <w:rPr>
          <w:lang w:val="en-US"/>
        </w:rPr>
        <w:t>. Still,</w:t>
      </w:r>
      <w:r w:rsidR="3C45ACCD" w:rsidRPr="00F06EA4">
        <w:rPr>
          <w:lang w:val="en-US"/>
        </w:rPr>
        <w:t xml:space="preserve"> </w:t>
      </w:r>
      <w:r w:rsidR="197969ED" w:rsidRPr="00F06EA4">
        <w:rPr>
          <w:lang w:val="en-US"/>
        </w:rPr>
        <w:t xml:space="preserve">recent studies </w:t>
      </w:r>
      <w:r w:rsidR="197969ED" w:rsidRPr="00F06EA4">
        <w:rPr>
          <w:lang w:val="en-US"/>
        </w:rPr>
        <w:lastRenderedPageBreak/>
        <w:t xml:space="preserve">have shown that </w:t>
      </w:r>
      <w:r w:rsidRPr="00F06EA4">
        <w:rPr>
          <w:lang w:val="en-US"/>
        </w:rPr>
        <w:t xml:space="preserve">the </w:t>
      </w:r>
      <w:r w:rsidR="197969ED" w:rsidRPr="00F06EA4">
        <w:rPr>
          <w:lang w:val="en-US"/>
        </w:rPr>
        <w:t xml:space="preserve">gut microbiota is able to modulate </w:t>
      </w:r>
      <w:r w:rsidR="3C45ACCD" w:rsidRPr="00F06EA4">
        <w:rPr>
          <w:lang w:val="en-US"/>
        </w:rPr>
        <w:t xml:space="preserve">patients’ </w:t>
      </w:r>
      <w:r w:rsidR="197969ED" w:rsidRPr="00F06EA4">
        <w:rPr>
          <w:lang w:val="en-US"/>
        </w:rPr>
        <w:t>responsiveness to PD1 and CTLA4 blocking immunotherapies</w:t>
      </w:r>
      <w:r w:rsidR="0050014A" w:rsidRPr="00F06EA4">
        <w:rPr>
          <w:lang w:val="en-US"/>
        </w:rPr>
        <w:fldChar w:fldCharType="begin" w:fldLock="1"/>
      </w:r>
      <w:r w:rsidR="00F45F97" w:rsidRPr="00F06EA4">
        <w:rPr>
          <w:lang w:val="en-US"/>
        </w:rPr>
        <w:instrText>ADDIN CSL_CITATION {"citationItems":[{"id":"ITEM-1","itemData":{"DOI":"10.1126/science.aan3706","ISSN":"0036-8075","PMID":"29097494","abstract":"Immune checkpoint inhibitors (ICIs) targeting the PD-1/PD-L1 axis induce sustained clinical responses in a sizable minority of cancer patients. We found that primary resistance to ICIs can be attributed to abnormal gut microbiome composition. Antibiotics inhibited the clinical benefit of ICIs in patients with advanced cancer. Fecal microbiota transplantation (FMT) from cancer patients who responded to ICIs into germ-free or antibiotic-treated mice ameliorated the antitumor effects of PD-1 blockade, whereas FMT from nonresponding patients failed to do so. Metagenomics of patient stool samples at diagnosis revealed correlations between clinical responses to ICIs and the relative abundance of Akkermansia muciniphila . Oral supplementation with A. muciniphila after FMT with nonresponder feces restored the efficacy of PD-1 blockade in an interleukin-12–dependent manner by increasing the recruitment of CCR9 + CXCR3 + CD4 + T lymphocytes into mouse tumor beds.","author":[{"dropping-particle":"","family":"Routy","given":"Bertrand","non-dropping-particle":"","parse-names":false,"suffix":""},{"dropping-particle":"","family":"Chatelier","given":"Emmanuelle","non-dropping-particle":"Le","parse-names":false,"suffix":""},{"dropping-particle":"","family":"Derosa","given":"Lisa","non-dropping-particle":"","parse-names":false,"suffix":""},{"dropping-particle":"","family":"Duong","given":"Connie P. M.","non-dropping-particle":"","parse-names":false,"suffix":""},{"dropping-particle":"","family":"Alou","given":"Maryam Tidjani","non-dropping-particle":"","parse-names":false,"suffix":""},{"dropping-particle":"","family":"Daillère","given":"Romain","non-dropping-particle":"","parse-names":false,"suffix":""},{"dropping-particle":"","family":"Fluckiger","given":"Aurélie","non-dropping-particle":"","parse-names":false,"suffix":""},{"dropping-particle":"","family":"Messaoudene","given":"Meriem","non-dropping-particle":"","parse-names":false,"suffix":""},{"dropping-particle":"","family":"Rauber","given":"Conrad","non-dropping-particle":"","parse-names":false,"suffix":""},{"dropping-particle":"","family":"Roberti","given":"Maria P.","non-dropping-particle":"","parse-names":false,"suffix":""},{"dropping-particle":"","family":"Fidelle","given":"Marine","non-dropping-particle":"","parse-names":false,"suffix":""},{"dropping-particle":"","family":"Flament","given":"Caroline","non-dropping-particle":"","parse-names":false,"suffix":""},{"dropping-particle":"","family":"Poirier-Colame","given":"Vichnou","non-dropping-particle":"","parse-names":false,"suffix":""},{"dropping-particle":"","family":"Opolon","given":"Paule","non-dropping-particle":"","parse-names":false,"suffix":""},{"dropping-particle":"","family":"Klein","given":"Christophe","non-dropping-particle":"","parse-names":false,"suffix":""},{"dropping-particle":"","family":"Iribarren","given":"Kristina","non-dropping-particle":"","parse-names":false,"suffix":""},{"dropping-particle":"","family":"Mondragón","given":"Laura","non-dropping-particle":"","parse-names":false,"suffix":""},{"dropping-particle":"","family":"Jacquelot","given":"Nicolas","non-dropping-particle":"","parse-names":false,"suffix":""},{"dropping-particle":"","family":"Qu","given":"Bo","non-dropping-particle":"","parse-names":false,"suffix":""},{"dropping-particle":"","family":"Ferrere","given":"Gladys","non-dropping-particle":"","parse-names":false,"suffix":""},{"dropping-particle":"","family":"Clémenson","given":"Céline","non-dropping-particle":"","parse-names":false,"suffix":""},{"dropping-particle":"","family":"Mezquita","given":"Laura","non-dropping-particle":"","parse-names":false,"suffix":""},{"dropping-particle":"","family":"Masip","given":"Jordi Remon","non-dropping-particle":"","parse-names":false,"suffix":""},{"dropping-particle":"","family":"Naltet","given":"Charles","non-dropping-particle":"","parse-names":false,"suffix":""},{"dropping-particle":"","family":"Brosseau","given":"Solenn","non-dropping-particle":"","parse-names":false,"suffix":""},{"dropping-particle":"","family":"Kaderbhai","given":"Coureche","non-dropping-particle":"","parse-names":false,"suffix":""},{"dropping-particle":"","family":"Richard","given":"Corentin","non-dropping-particle":"","parse-names":false,"suffix":""},{"dropping-particle":"","family":"Rizvi","given":"Hira","non-dropping-particle":"","parse-names":false,"suffix":""},{"dropping-particle":"","family":"Levenez","given":"Florence","non-dropping-particle":"","parse-names":false,"suffix":""},{"dropping-particle":"","family":"Galleron","given":"Nathalie","non-dropping-particle":"","parse-names":false,"suffix":""},{"dropping-particle":"","family":"Quinquis","given":"Benoit","non-dropping-particle":"","parse-names":false,"suffix":""},{"dropping-particle":"","family":"Pons","given":"Nicolas","non-dropping-particle":"","parse-names":false,"suffix":""},{"dropping-particle":"","family":"Ryffel","given":"Bernhard","non-dropping-particle":"","parse-names":false,"suffix":""},{"dropping-particle":"","family":"Minard-Colin","given":"Véronique","non-dropping-particle":"","parse-names":false,"suffix":""},{"dropping-particle":"","family":"Gonin","given":"Patrick","non-dropping-particle":"","parse-names":false,"suffix":""},{"dropping-particle":"","family":"Soria","given":"Jean-Charles","non-dropping-particle":"","parse-names":false,"suffix":""},{"dropping-particle":"","family":"Deutsch","given":"Eric","non-dropping-particle":"","parse-names":false,"suffix":""},{"dropping-particle":"","family":"Loriot","given":"Yohann","non-dropping-particle":"","parse-names":false,"suffix":""},{"dropping-particle":"","family":"Ghiringhelli","given":"François","non-dropping-particle":"","parse-names":false,"suffix":""},{"dropping-particle":"","family":"Zalcman","given":"Gérard","non-dropping-particle":"","parse-names":false,"suffix":""},{"dropping-particle":"","family":"Goldwasser","given":"François","non-dropping-particle":"","parse-names":false,"suffix":""},{"dropping-particle":"","family":"Escudier","given":"Bernard","non-dropping-particle":"","parse-names":false,"suffix":""},{"dropping-particle":"","family":"Hellmann","given":"Matthew D.","non-dropping-particle":"","parse-names":false,"suffix":""},{"dropping-particle":"","family":"Eggermont","given":"Alexander","non-dropping-particle":"","parse-names":false,"suffix":""},{"dropping-particle":"","family":"Raoult","given":"Didier","non-dropping-particle":"","parse-names":false,"suffix":""},{"dropping-particle":"","family":"Albiges","given":"Laurence","non-dropping-particle":"","parse-names":false,"suffix":""},{"dropping-particle":"","family":"Kroemer","given":"Guido","non-dropping-particle":"","parse-names":false,"suffix":""},{"dropping-particle":"","family":"Zitvogel","given":"Laurence","non-dropping-particle":"","parse-names":false,"suffix":""}],"container-title":"Science","id":"ITEM-1","issue":"6371","issued":{"date-parts":[["2018"]]},"page":"91-97","title":"Gut microbiome influences efficacy of PD-1–based immunotherapy against epithelial tumors","type":"article-journal","volume":"359"},"uris":["http://www.mendeley.com/documents/?uuid=72d4e275-3d0c-384f-93e9-3183c3286d9f","http://www.mendeley.com/documents/?uuid=3c23ddbb-5cc3-4057-b6ef-d18090a47ec2"]},{"id":"ITEM-2","itemData":{"DOI":"10.1126/science.aad1329","ISSN":"1095-9203","PMID":"26541610","abstract":"Antibodies targeting CTLA-4 have been successfully used as cancer immunotherapy. We find that the antitumor effects of CTLA-4 blockade depend on distinct Bacteroides species. In mice and patients, T cell responses specific for B. thetaiotaomicron or B. fragilis were associated with the efficacy of CTLA-4 blockade. Tumors in antibiotic-treated or germ-free mice did not respond to CTLA blockade. This defect was overcome by gavage with B. fragilis, by immunization with B. fragilis polysaccharides, or by adoptive transfer of B. fragilis-specific T cells. Fecal microbial transplantation from humans to mice confirmed that treatment of melanoma patients with antibodies against CTLA-4 favored the outgrowth of B. fragilis with anticancer properties. This study reveals a key role for Bacteroidales in the immunostimulatory effects of CTLA-4 blockade.","author":[{"dropping-particle":"","family":"Vétizou","given":"Marie","non-dropping-particle":"","parse-names":false,"suffix":""},{"dropping-particle":"","family":"Pitt","given":"Jonathan M","non-dropping-particle":"","parse-names":false,"suffix":""},{"dropping-particle":"","family":"Daillère","given":"Romain","non-dropping-particle":"","parse-names":false,"suffix":""},{"dropping-particle":"","family":"Lepage","given":"Patricia","non-dropping-particle":"","parse-names":false,"suffix":""},{"dropping-particle":"","family":"Waldschmitt","given":"Nadine","non-dropping-particle":"","parse-names":false,"suffix":""},{"dropping-particle":"","family":"Flament","given":"Caroline","non-dropping-particle":"","parse-names":false,"suffix":""},{"dropping-particle":"","family":"Rusakiewicz","given":"Sylvie","non-dropping-particle":"","parse-names":false,"suffix":""},{"dropping-particle":"","family":"Routy","given":"Bertrand","non-dropping-particle":"","parse-names":false,"suffix":""},{"dropping-particle":"","family":"Roberti","given":"Maria P","non-dropping-particle":"","parse-names":false,"suffix":""},{"dropping-particle":"","family":"Duong","given":"Connie P M","non-dropping-particle":"","parse-names":false,"suffix":""},{"dropping-particle":"","family":"Poirier-Colame","given":"Vichnou","non-dropping-particle":"","parse-names":false,"suffix":""},{"dropping-particle":"","family":"Roux","given":"Antoine","non-dropping-particle":"","parse-names":false,"suffix":""},{"dropping-particle":"","family":"Becharef","given":"Sonia","non-dropping-particle":"","parse-names":false,"suffix":""},{"dropping-particle":"","family":"Formenti","given":"Silvia","non-dropping-particle":"","parse-names":false,"suffix":""},{"dropping-particle":"","family":"Golden","given":"Encouse","non-dropping-particle":"","parse-names":false,"suffix":""},{"dropping-particle":"","family":"Cording","given":"Sascha","non-dropping-particle":"","parse-names":false,"suffix":""},{"dropping-particle":"","family":"Eberl","given":"Gerard","non-dropping-particle":"","parse-names":false,"suffix":""},{"dropping-particle":"","family":"Schlitzer","given":"Andreas","non-dropping-particle":"","parse-names":false,"suffix":""},{"dropping-particle":"","family":"Ginhoux","given":"Florent","non-dropping-particle":"","parse-names":false,"suffix":""},{"dropping-particle":"","family":"Mani","given":"Sridhar","non-dropping-particle":"","parse-names":false,"suffix":""},{"dropping-particle":"","family":"Yamazaki","given":"Takahiro","non-dropping-particle":"","parse-names":false,"suffix":""},{"dropping-particle":"","family":"Jacquelot","given":"Nicolas","non-dropping-particle":"","parse-names":false,"suffix":""},{"dropping-particle":"","family":"Enot","given":"David P","non-dropping-particle":"","parse-names":false,"suffix":""},{"dropping-particle":"","family":"Bérard","given":"Marion","non-dropping-particle":"","parse-names":false,"suffix":""},{"dropping-particle":"","family":"Nigou","given":"Jérôme","non-dropping-particle":"","parse-names":false,"suffix":""},{"dropping-particle":"","family":"Opolon","given":"Paule","non-dropping-particle":"","parse-names":false,"suffix":""},{"dropping-particle":"","family":"Eggermont","given":"Alexander","non-dropping-particle":"","parse-names":false,"suffix":""},{"dropping-particle":"","family":"Woerther","given":"Paul-Louis","non-dropping-particle":"","parse-names":false,"suffix":""},{"dropping-particle":"","family":"Chachaty","given":"Elisabeth","non-dropping-particle":"","parse-names":false,"suffix":""},{"dropping-particle":"","family":"Chaput","given":"Nathalie","non-dropping-particle":"","parse-names":false,"suffix":""},{"dropping-particle":"","family":"Robert","given":"Caroline","non-dropping-particle":"","parse-names":false,"suffix":""},{"dropping-particle":"","family":"Mateus","given":"Christina","non-dropping-particle":"","parse-names":false,"suffix":""},{"dropping-particle":"","family":"Kroemer","given":"Guido","non-dropping-particle":"","parse-names":false,"suffix":""},{"dropping-particle":"","family":"Raoult","given":"Didier","non-dropping-particle":"","parse-names":false,"suffix":""},{"dropping-particle":"","family":"Boneca","given":"Ivo Gomperts","non-dropping-particle":"","parse-names":false,"suffix":""},{"dropping-particle":"","family":"Carbonnel","given":"Franck","non-dropping-particle":"","parse-names":false,"suffix":""},{"dropping-particle":"","family":"Chamaillard","given":"Mathias","non-dropping-particle":"","parse-names":false,"suffix":""},{"dropping-particle":"","family":"Zitvogel","given":"Laurence","non-dropping-particle":"","parse-names":false,"suffix":""}],"container-title":"Science (New York, N.Y.)","id":"ITEM-2","issue":"6264","issued":{"date-parts":[["2015"]]},"page":"1079-84","title":"Anticancer immunotherapy by CTLA-4 blockade relies on the gut microbiota.","type":"article-journal","volume":"350"},"uris":["http://www.mendeley.com/documents/?uuid=99dba880-47c6-3328-ad19-b057989f0891","http://www.mendeley.com/documents/?uuid=9efbff79-8c67-4ea5-97b3-0b44a3d925e2"]}],"mendeley":{"formattedCitation":"&lt;sup&gt;[122,123]&lt;/sup&gt;","plainTextFormattedCitation":"[122,123]","previouslyFormattedCitation":"&lt;sup&gt;[122,123]&lt;/sup&gt;"},"properties":{"noteIndex":0},"schema":"https://github.com/citation-style-language/schema/raw/master/csl-citation.json"}</w:instrText>
      </w:r>
      <w:r w:rsidR="0050014A" w:rsidRPr="00F06EA4">
        <w:rPr>
          <w:lang w:val="en-US"/>
        </w:rPr>
        <w:fldChar w:fldCharType="separate"/>
      </w:r>
      <w:r w:rsidR="00F45F97" w:rsidRPr="00F06EA4">
        <w:rPr>
          <w:noProof/>
          <w:vertAlign w:val="superscript"/>
          <w:lang w:val="en-US"/>
        </w:rPr>
        <w:t>[122,123]</w:t>
      </w:r>
      <w:r w:rsidR="0050014A" w:rsidRPr="00F06EA4">
        <w:rPr>
          <w:lang w:val="en-US"/>
        </w:rPr>
        <w:fldChar w:fldCharType="end"/>
      </w:r>
      <w:r w:rsidR="0050014A" w:rsidRPr="00F06EA4">
        <w:rPr>
          <w:lang w:val="en-US"/>
        </w:rPr>
        <w:t>.</w:t>
      </w:r>
      <w:r w:rsidR="00F44C51" w:rsidRPr="00F06EA4">
        <w:rPr>
          <w:lang w:val="en-US"/>
        </w:rPr>
        <w:t xml:space="preserve"> Such findings give us </w:t>
      </w:r>
      <w:r w:rsidRPr="00F06EA4">
        <w:rPr>
          <w:lang w:val="en-US"/>
        </w:rPr>
        <w:t xml:space="preserve">a </w:t>
      </w:r>
      <w:r w:rsidR="00F44C51" w:rsidRPr="00F06EA4">
        <w:rPr>
          <w:lang w:val="en-US"/>
        </w:rPr>
        <w:t xml:space="preserve">glimpse of the potential </w:t>
      </w:r>
      <w:r w:rsidR="007F71F2" w:rsidRPr="00F06EA4">
        <w:rPr>
          <w:lang w:val="en-US"/>
        </w:rPr>
        <w:t>significance</w:t>
      </w:r>
      <w:r w:rsidR="00F44C51" w:rsidRPr="00F06EA4">
        <w:rPr>
          <w:lang w:val="en-US"/>
        </w:rPr>
        <w:t xml:space="preserve"> of microbiota </w:t>
      </w:r>
      <w:r w:rsidR="007F71F2" w:rsidRPr="00F06EA4">
        <w:rPr>
          <w:lang w:val="en-US"/>
        </w:rPr>
        <w:t>to its host.</w:t>
      </w:r>
    </w:p>
    <w:p w14:paraId="11465E45" w14:textId="7FEDF6C4" w:rsidR="00C07679" w:rsidRPr="00F06EA4" w:rsidRDefault="00812104" w:rsidP="00F67ED8">
      <w:pPr>
        <w:spacing w:after="0"/>
        <w:ind w:firstLineChars="100" w:firstLine="240"/>
        <w:rPr>
          <w:lang w:val="en-US"/>
        </w:rPr>
      </w:pPr>
      <w:r w:rsidRPr="00F06EA4">
        <w:rPr>
          <w:lang w:val="en-US"/>
        </w:rPr>
        <w:t>In</w:t>
      </w:r>
      <w:r w:rsidR="00820357" w:rsidRPr="00F06EA4">
        <w:rPr>
          <w:lang w:val="en-US"/>
        </w:rPr>
        <w:t xml:space="preserve"> </w:t>
      </w:r>
      <w:r w:rsidR="00B769C6" w:rsidRPr="00F06EA4">
        <w:rPr>
          <w:lang w:val="en-US"/>
        </w:rPr>
        <w:t xml:space="preserve">normal circumstances, intestinal bacteria </w:t>
      </w:r>
      <w:r w:rsidR="00262538" w:rsidRPr="00F06EA4">
        <w:rPr>
          <w:lang w:val="en-US"/>
        </w:rPr>
        <w:t>are barred from entering</w:t>
      </w:r>
      <w:r w:rsidR="00D74542" w:rsidRPr="00F06EA4">
        <w:rPr>
          <w:lang w:val="en-US"/>
        </w:rPr>
        <w:t xml:space="preserve"> the circulation</w:t>
      </w:r>
      <w:r w:rsidR="00262538" w:rsidRPr="00F06EA4">
        <w:rPr>
          <w:lang w:val="en-US"/>
        </w:rPr>
        <w:t xml:space="preserve"> by </w:t>
      </w:r>
      <w:r w:rsidR="00DF1F9F" w:rsidRPr="00F06EA4">
        <w:rPr>
          <w:lang w:val="en-US"/>
        </w:rPr>
        <w:t>several mechanisms</w:t>
      </w:r>
      <w:r w:rsidR="006339DB" w:rsidRPr="00F06EA4">
        <w:rPr>
          <w:lang w:val="en-US"/>
        </w:rPr>
        <w:t>,</w:t>
      </w:r>
      <w:r w:rsidR="00DF1F9F" w:rsidRPr="00F06EA4">
        <w:rPr>
          <w:lang w:val="en-US"/>
        </w:rPr>
        <w:t xml:space="preserve"> collectively </w:t>
      </w:r>
      <w:r w:rsidR="007E2804" w:rsidRPr="00F06EA4">
        <w:rPr>
          <w:lang w:val="en-US"/>
        </w:rPr>
        <w:t xml:space="preserve">known as the </w:t>
      </w:r>
      <w:r w:rsidR="00DF1F9F" w:rsidRPr="00F06EA4">
        <w:rPr>
          <w:lang w:val="en-US"/>
        </w:rPr>
        <w:t>intestinal barrier</w:t>
      </w:r>
      <w:r w:rsidR="00262538" w:rsidRPr="00F06EA4">
        <w:rPr>
          <w:lang w:val="en-US"/>
        </w:rPr>
        <w:t xml:space="preserve">. </w:t>
      </w:r>
      <w:r w:rsidR="002157B8" w:rsidRPr="00F06EA4">
        <w:rPr>
          <w:lang w:val="en-US"/>
        </w:rPr>
        <w:t xml:space="preserve"> I</w:t>
      </w:r>
      <w:r w:rsidR="007760C7" w:rsidRPr="00F06EA4">
        <w:rPr>
          <w:lang w:val="en-US"/>
        </w:rPr>
        <w:t>n</w:t>
      </w:r>
      <w:r w:rsidR="00CE57CB" w:rsidRPr="00F06EA4">
        <w:rPr>
          <w:lang w:val="en-US"/>
        </w:rPr>
        <w:t xml:space="preserve">creased permeability of the </w:t>
      </w:r>
      <w:r w:rsidR="00E43D88" w:rsidRPr="00F06EA4">
        <w:rPr>
          <w:lang w:val="en-US"/>
        </w:rPr>
        <w:t>mucosa</w:t>
      </w:r>
      <w:r w:rsidR="007760C7" w:rsidRPr="00F06EA4">
        <w:rPr>
          <w:lang w:val="en-US"/>
        </w:rPr>
        <w:t xml:space="preserve"> </w:t>
      </w:r>
      <w:r w:rsidR="002157B8" w:rsidRPr="00F06EA4">
        <w:rPr>
          <w:lang w:val="en-US"/>
        </w:rPr>
        <w:t>allows</w:t>
      </w:r>
      <w:r w:rsidR="0038653B" w:rsidRPr="00F06EA4">
        <w:rPr>
          <w:lang w:val="en-US"/>
        </w:rPr>
        <w:t xml:space="preserve"> </w:t>
      </w:r>
      <w:r w:rsidR="007760C7" w:rsidRPr="00F06EA4">
        <w:rPr>
          <w:lang w:val="en-US"/>
        </w:rPr>
        <w:t>the entry of bacteria or bacterial components</w:t>
      </w:r>
      <w:r w:rsidR="009B7804" w:rsidRPr="00F06EA4">
        <w:rPr>
          <w:lang w:val="en-US"/>
        </w:rPr>
        <w:t xml:space="preserve"> into the portal circulation</w:t>
      </w:r>
      <w:r w:rsidR="00B5381F" w:rsidRPr="00F06EA4">
        <w:rPr>
          <w:lang w:val="en-US"/>
        </w:rPr>
        <w:t xml:space="preserve"> and </w:t>
      </w:r>
      <w:r w:rsidR="00F847F3" w:rsidRPr="00F06EA4">
        <w:rPr>
          <w:lang w:val="en-US"/>
        </w:rPr>
        <w:t>subsequently</w:t>
      </w:r>
      <w:r w:rsidR="007E2804" w:rsidRPr="00F06EA4">
        <w:rPr>
          <w:lang w:val="en-US"/>
        </w:rPr>
        <w:t>,</w:t>
      </w:r>
      <w:r w:rsidR="00F847F3" w:rsidRPr="00F06EA4">
        <w:rPr>
          <w:lang w:val="en-US"/>
        </w:rPr>
        <w:t xml:space="preserve"> </w:t>
      </w:r>
      <w:r w:rsidR="007E2804" w:rsidRPr="00F06EA4">
        <w:rPr>
          <w:lang w:val="en-US"/>
        </w:rPr>
        <w:t xml:space="preserve">the </w:t>
      </w:r>
      <w:r w:rsidR="00F847F3" w:rsidRPr="00F06EA4">
        <w:rPr>
          <w:lang w:val="en-US"/>
        </w:rPr>
        <w:t xml:space="preserve">liver, where they elicit </w:t>
      </w:r>
      <w:r w:rsidR="0041467A" w:rsidRPr="00F06EA4">
        <w:rPr>
          <w:lang w:val="en-US"/>
        </w:rPr>
        <w:t>a succinct response</w:t>
      </w:r>
      <w:r w:rsidR="00EF7539" w:rsidRPr="00F06EA4">
        <w:rPr>
          <w:lang w:val="en-US"/>
        </w:rPr>
        <w:fldChar w:fldCharType="begin" w:fldLock="1"/>
      </w:r>
      <w:r w:rsidR="00F45F97" w:rsidRPr="00F06EA4">
        <w:rPr>
          <w:lang w:val="en-US"/>
        </w:rPr>
        <w:instrText>ADDIN CSL_CITATION {"citationItems":[{"id":"ITEM-1","itemData":{"DOI":"10.1016/j.jaut.2013.08.006","ISSN":"08968411","PMID":"24012346","abstract":"The study of the liver as a lymphoid organ is a growing field fueled by our better knowledge of the different component of the immune system and how they orchestrate an immune-related response. The liver have highly specialized mechanisms of immune tolerance, mainly because is continuously exposed to microbial and environmental antigens, and dietary components from the gut. Accordingly, the liver contains specialized lymphoid subpopulations acting as antigen-presenting cells. Growing evidences show that the liver is also associated with obesity-associated diseases because of its immune-related capacity to sense metabolic stress induced by nutritional surplus. Finally, the liver produces a pletora of neo-antigens being the primary metabolic organ of the body. Common immune mechanisms play a key pathogenetic role in most of acute and chronic liver diseases and in the rejection of liver allografts. Any perturbations of liver-related immune functions have important clinical implications. This issue of the Journal of Autoimmunity is focused on the more recent advances in our knowledge related to the loss of liver tolerance, a paradox for a tolerogenic organ, that leads to overactivation of the innate and adaptive immune response and the development of autoimmune liver diseases, such as autoimmune hepatitis, primary biliary cirrhosis, and primary sclerosing cholangitis. The invited expert review articles capture the underlying immunomolecular mechanisms of the development and progression of autoimmune liver diseases, the novel field of the immune-related \"liver-gut\" axis influences to the development of liver autoimmunity, the predominant role of genetic factors, and the increasingly effective immuno-therapeutic possibilities.","author":[{"dropping-particle":"","family":"Invernizzi","given":"Pietro","non-dropping-particle":"","parse-names":false,"suffix":""}],"container-title":"Journal of Autoimmunity","id":"ITEM-1","issued":{"date-parts":[["2013"]]},"page":"1-6","title":"Liver auto-immunology: The paradox of autoimmunity in a tolerogenic organ","type":"article-journal","volume":"46"},"uris":["http://www.mendeley.com/documents/?uuid=9fde6acc-d8ca-31bf-8099-34b2aea3e335","http://www.mendeley.com/documents/?uuid=e8b8445b-cac1-41ca-9274-b7f463c72a7c"]}],"mendeley":{"formattedCitation":"&lt;sup&gt;[124]&lt;/sup&gt;","plainTextFormattedCitation":"[124]","previouslyFormattedCitation":"&lt;sup&gt;[124]&lt;/sup&gt;"},"properties":{"noteIndex":0},"schema":"https://github.com/citation-style-language/schema/raw/master/csl-citation.json"}</w:instrText>
      </w:r>
      <w:r w:rsidR="00EF7539" w:rsidRPr="00F06EA4">
        <w:rPr>
          <w:lang w:val="en-US"/>
        </w:rPr>
        <w:fldChar w:fldCharType="separate"/>
      </w:r>
      <w:r w:rsidR="00F45F97" w:rsidRPr="00F06EA4">
        <w:rPr>
          <w:noProof/>
          <w:vertAlign w:val="superscript"/>
          <w:lang w:val="en-US"/>
        </w:rPr>
        <w:t>[124]</w:t>
      </w:r>
      <w:r w:rsidR="00EF7539" w:rsidRPr="00F06EA4">
        <w:rPr>
          <w:lang w:val="en-US"/>
        </w:rPr>
        <w:fldChar w:fldCharType="end"/>
      </w:r>
      <w:r w:rsidR="00CF59DD" w:rsidRPr="00F06EA4">
        <w:rPr>
          <w:lang w:val="en-US"/>
        </w:rPr>
        <w:t xml:space="preserve">. </w:t>
      </w:r>
      <w:r w:rsidR="00954ABE" w:rsidRPr="00F06EA4">
        <w:rPr>
          <w:lang w:val="en-US"/>
        </w:rPr>
        <w:t>In mouse c</w:t>
      </w:r>
      <w:r w:rsidR="00A74431" w:rsidRPr="00F06EA4">
        <w:rPr>
          <w:lang w:val="en-US"/>
        </w:rPr>
        <w:t>ancer</w:t>
      </w:r>
      <w:r w:rsidR="00954ABE" w:rsidRPr="00F06EA4">
        <w:rPr>
          <w:lang w:val="en-US"/>
        </w:rPr>
        <w:t xml:space="preserve"> models, </w:t>
      </w:r>
      <w:r w:rsidR="00407AB4" w:rsidRPr="00F06EA4">
        <w:rPr>
          <w:lang w:val="en-US"/>
        </w:rPr>
        <w:t>strong correlation</w:t>
      </w:r>
      <w:r w:rsidR="00836FE9" w:rsidRPr="00F06EA4">
        <w:rPr>
          <w:lang w:val="en-US"/>
        </w:rPr>
        <w:t xml:space="preserve"> exists</w:t>
      </w:r>
      <w:r w:rsidR="00407AB4" w:rsidRPr="00F06EA4">
        <w:rPr>
          <w:lang w:val="en-US"/>
        </w:rPr>
        <w:t xml:space="preserve"> between</w:t>
      </w:r>
      <w:r w:rsidR="0041467A" w:rsidRPr="00F06EA4">
        <w:rPr>
          <w:lang w:val="en-US"/>
        </w:rPr>
        <w:t xml:space="preserve"> circulating IL6 levels and </w:t>
      </w:r>
      <w:r w:rsidR="00407AB4" w:rsidRPr="00F06EA4">
        <w:rPr>
          <w:lang w:val="en-US"/>
        </w:rPr>
        <w:t>intestinal permeability</w:t>
      </w:r>
      <w:r w:rsidR="00836FE9" w:rsidRPr="00F06EA4">
        <w:rPr>
          <w:lang w:val="en-US"/>
        </w:rPr>
        <w:fldChar w:fldCharType="begin" w:fldLock="1"/>
      </w:r>
      <w:r w:rsidR="00F45F97" w:rsidRPr="00F06EA4">
        <w:rPr>
          <w:lang w:val="en-US"/>
        </w:rPr>
        <w:instrText>ADDIN CSL_CITATION {"citationItems":[{"id":"ITEM-1","itemData":{"DOI":"10.1016/j.bbadis.2011.08.010","ISSN":"09254439","PMID":"21914473","abstract":"BACKGROUND The Apc(Min/+) mouse, an animal model of colorectal cancer and cachexia, has a heterologous mutation in the Apc tumor suppressor gene, predisposing the mouse to intestinal and colon tumor development. This mouse develops intestinal polyps by ~4 weeks of age, and loses body weight gradually between ~14 and ~20 weeks of age. The strengths of this cachexia model derive from several features that mimic human cancer, including a gradual increase in tumor burden, chronic inflammation, and anemia. Little is known about the role of gut barrier dysfunction and endotoxemia in the development of cancer cachexia. We sought to determine how gut permeability and resultant endotoxemia change with the progression of cachexia. METHODS Intestinal gut barrier integrity was assessed by permeability to FITC-dextran (MW(av)=4000kDa; FD4). Plasma glucose and triglycerides were measured by enzymatic assays, IL-6 by enzyme-linked immunosorbent assay, and endotoxin by the limulus amoebocyte assay. Body temperature was measured using a rectal probe. RESULTS Progression of cachexia was accompanied by development of gut barrier dysfunction (permeability to FD4), hypertrophy of mesenteric lymph nodes, and an increase in plasma endotoxin concentration. Changes in blood glucose and glucose tolerance, plasma IL-6, triglycerides, and body temperature were characteristic of endotoxemia. CONCLUSION We propose a role for gut barrier dysfunction (GBD) and subsequent endotoxemia in the development of inflammation and progression of cachexia in the Apc(Min/+) mouse.","author":[{"dropping-particle":"","family":"Puppa","given":"Melissa J.","non-dropping-particle":"","parse-names":false,"suffix":""},{"dropping-particle":"","family":"White","given":"James P.","non-dropping-particle":"","parse-names":false,"suffix":""},{"dropping-particle":"","family":"Sato","given":"Shuichi","non-dropping-particle":"","parse-names":false,"suffix":""},{"dropping-particle":"","family":"Cairns","given":"Mark","non-dropping-particle":"","parse-names":false,"suffix":""},{"dropping-particle":"","family":"Baynes","given":"John W.","non-dropping-particle":"","parse-names":false,"suffix":""},{"dropping-particle":"","family":"Carson","given":"James A.","non-dropping-particle":"","parse-names":false,"suffix":""}],"container-title":"Biochimica et Biophysica Acta (BBA) - Molecular Basis of Disease","id":"ITEM-1","issue":"12","issued":{"date-parts":[["2011"]]},"page":"1601-1606","title":"Gut barrier dysfunction in the ApcMin/+ mouse model of colon cancer cachexia","type":"article-journal","volume":"1812"},"uris":["http://www.mendeley.com/documents/?uuid=efa6c341-bc06-304e-b43c-f650b81eb828","http://www.mendeley.com/documents/?uuid=fab2405b-eae4-4ca4-bae0-cab48454a48a"]},{"id":"ITEM-2","itemData":{"DOI":"10.18632/oncotarget.24804","ISSN":"1949-2553","PMID":"29719601","abstract":"Intestinal disorders often occur in cancer patients, in association with body weight loss, and this alteration is commonly attributed to the chemotherapy. Here, using a mouse model of cancer cachexia induced by ectopic transplantation of C26 cancer cells, we discovered a profound alteration in the gut functions (gut permeability, epithelial turnover, gut immunity, microbial dysbiosis) independently of any chemotherapy. These alterations occurred independently of anorexia and were driven by interleukin 6. Gut dysfunction was found to be resistant to treatments with an anti-inflammatory bacterium (Faecalibacterium prausnitzii) or with gut peptides involved in intestinal cell renewal (teduglutide, a glucagon-like peptide 2 analogue). The translational value of our findings was evaluated in 152 colorectal and lung cancer patients with or without cachexia. The serum level of the lipopolysaccharide-binding protein, often presented as a reflection of the bacterial antigen load, was not only increased in cachectic mice and cancer patients, but also strongly correlated with the serum IL-6 level and predictive of death and cachexia occurrence in these patients. Altogether, our data highlight profound alterations of the intestinal homeostasis in cancer cachexia occurring independently of any chemotherapy and food intake reduction, with potential relevance in humans. In addition, we point out the lipopolysaccharide-binding protein as a new biomarker of cancer cachexia related to gut dysbiosis.","author":[{"dropping-particle":"","family":"Bindels","given":"Laure B.","non-dropping-particle":"","parse-names":false,"suffix":""},{"dropping-particle":"","family":"Neyrinck","given":"Audrey M.","non-dropping-particle":"","parse-names":false,"suffix":""},{"dropping-particle":"","family":"Loumaye","given":"Audrey","non-dropping-particle":"","parse-names":false,"suffix":""},{"dropping-particle":"","family":"Catry","given":"Emilie","non-dropping-particle":"","parse-names":false,"suffix":""},{"dropping-particle":"","family":"Walgrave","given":"Hannah","non-dropping-particle":"","parse-names":false,"suffix":""},{"dropping-particle":"","family":"Cherbuy","given":"Claire","non-dropping-particle":"","parse-names":false,"suffix":""},{"dropping-particle":"","family":"Leclercq","given":"Sophie","non-dropping-particle":"","parse-names":false,"suffix":""},{"dropping-particle":"","family":"Hul","given":"Matthias","non-dropping-particle":"Van","parse-names":false,"suffix":""},{"dropping-particle":"","family":"Plovier","given":"Hubert","non-dropping-particle":"","parse-names":false,"suffix":""},{"dropping-particle":"","family":"Pachikian","given":"Barbara","non-dropping-particle":"","parse-names":false,"suffix":""},{"dropping-particle":"","family":"Bermúdez-Humarán","given":"Luis G.","non-dropping-particle":"","parse-names":false,"suffix":""},{"dropping-particle":"","family":"Langella","given":"Philippe","non-dropping-particle":"","parse-names":false,"suffix":""},{"dropping-particle":"","family":"Cani","given":"Patrice D.","non-dropping-particle":"","parse-names":false,"suffix":""},{"dropping-particle":"","family":"Thissen","given":"Jean-Paul","non-dropping-particle":"","parse-names":false,"suffix":""},{"dropping-particle":"","family":"Delzenne","given":"Nathalie M.","non-dropping-particle":"","parse-names":false,"suffix":""}],"container-title":"Oncotarget","id":"ITEM-2","issue":"26","issued":{"date-parts":[["2018"]]},"page":"18224-18238","title":"Increased gut permeability in cancer cachexia: mechanisms and clinical relevance","type":"article-journal","volume":"9"},"uris":["http://www.mendeley.com/documents/?uuid=ff7fc471-2495-334b-b0f9-361d535785cf","http://www.mendeley.com/documents/?uuid=f16b16f8-377b-4342-82b6-ed8ca451c7f7"]}],"mendeley":{"formattedCitation":"&lt;sup&gt;[121,125]&lt;/sup&gt;","plainTextFormattedCitation":"[121,125]","previouslyFormattedCitation":"&lt;sup&gt;[121,125]&lt;/sup&gt;"},"properties":{"noteIndex":0},"schema":"https://github.com/citation-style-language/schema/raw/master/csl-citation.json"}</w:instrText>
      </w:r>
      <w:r w:rsidR="00836FE9" w:rsidRPr="00F06EA4">
        <w:rPr>
          <w:lang w:val="en-US"/>
        </w:rPr>
        <w:fldChar w:fldCharType="separate"/>
      </w:r>
      <w:r w:rsidR="00F45F97" w:rsidRPr="00F06EA4">
        <w:rPr>
          <w:noProof/>
          <w:vertAlign w:val="superscript"/>
          <w:lang w:val="en-US"/>
        </w:rPr>
        <w:t>[121,125]</w:t>
      </w:r>
      <w:r w:rsidR="00836FE9" w:rsidRPr="00F06EA4">
        <w:rPr>
          <w:lang w:val="en-US"/>
        </w:rPr>
        <w:fldChar w:fldCharType="end"/>
      </w:r>
      <w:r w:rsidR="00407AB4" w:rsidRPr="00F06EA4">
        <w:rPr>
          <w:lang w:val="en-US"/>
        </w:rPr>
        <w:t xml:space="preserve">. </w:t>
      </w:r>
      <w:r w:rsidR="000E6051" w:rsidRPr="00F06EA4">
        <w:rPr>
          <w:lang w:val="en-US"/>
        </w:rPr>
        <w:t>A</w:t>
      </w:r>
      <w:r w:rsidR="00A614F0" w:rsidRPr="00F06EA4">
        <w:rPr>
          <w:lang w:val="en-US"/>
        </w:rPr>
        <w:t>nimal</w:t>
      </w:r>
      <w:r w:rsidR="000B3A1D" w:rsidRPr="00F06EA4">
        <w:rPr>
          <w:lang w:val="en-US"/>
        </w:rPr>
        <w:t xml:space="preserve"> models of</w:t>
      </w:r>
      <w:r w:rsidR="00A614F0" w:rsidRPr="00F06EA4">
        <w:rPr>
          <w:lang w:val="en-US"/>
        </w:rPr>
        <w:t xml:space="preserve"> colon </w:t>
      </w:r>
      <w:r w:rsidR="002D6AA0" w:rsidRPr="00F06EA4">
        <w:rPr>
          <w:lang w:val="en-US"/>
        </w:rPr>
        <w:t>cancer</w:t>
      </w:r>
      <w:r w:rsidR="000B3A1D" w:rsidRPr="00F06EA4">
        <w:rPr>
          <w:lang w:val="en-US"/>
        </w:rPr>
        <w:t xml:space="preserve"> </w:t>
      </w:r>
      <w:r w:rsidR="000E6051" w:rsidRPr="00F06EA4">
        <w:rPr>
          <w:lang w:val="en-US"/>
        </w:rPr>
        <w:t xml:space="preserve">have </w:t>
      </w:r>
      <w:r w:rsidR="00545D71" w:rsidRPr="00F06EA4">
        <w:rPr>
          <w:lang w:val="en-US"/>
        </w:rPr>
        <w:t xml:space="preserve">also </w:t>
      </w:r>
      <w:r w:rsidR="00881BDE" w:rsidRPr="00F06EA4">
        <w:rPr>
          <w:lang w:val="en-US"/>
        </w:rPr>
        <w:t>indicated</w:t>
      </w:r>
      <w:r w:rsidR="00286C97" w:rsidRPr="00F06EA4">
        <w:rPr>
          <w:lang w:val="en-US"/>
        </w:rPr>
        <w:t xml:space="preserve"> that areas adjacent to cancer present</w:t>
      </w:r>
      <w:r w:rsidR="002D6AA0" w:rsidRPr="00F06EA4">
        <w:rPr>
          <w:lang w:val="en-US"/>
        </w:rPr>
        <w:t xml:space="preserve"> a</w:t>
      </w:r>
      <w:r w:rsidR="00881BDE" w:rsidRPr="00F06EA4">
        <w:rPr>
          <w:lang w:val="en-US"/>
        </w:rPr>
        <w:t xml:space="preserve"> </w:t>
      </w:r>
      <w:r w:rsidR="00A614F0" w:rsidRPr="00F06EA4">
        <w:rPr>
          <w:lang w:val="en-US"/>
        </w:rPr>
        <w:t>disrupted barrier function</w:t>
      </w:r>
      <w:r w:rsidR="00990FBC" w:rsidRPr="00F06EA4">
        <w:rPr>
          <w:lang w:val="en-US"/>
        </w:rPr>
        <w:fldChar w:fldCharType="begin" w:fldLock="1"/>
      </w:r>
      <w:r w:rsidR="00195B6D" w:rsidRPr="00F06EA4">
        <w:rPr>
          <w:lang w:val="en-US"/>
        </w:rPr>
        <w:instrText>ADDIN CSL_CITATION {"citationItems":[{"id":"ITEM-1","itemData":{"DOI":"10.1093/carcin/20.8.1425","ISSN":"0143-3334","PMID":"10426787","abstract":"Epithelial tissues act as barriers between two fluid compartments, and the epithelial barrier function is provided by the epithelial cells and the tight junctions (TJs) that connect them. We have shown previously that chronic treatment of a cultured epithelial monolayer with phorbol ester tumor promoters induces an increase in transepithelial paracellular permeability and produces tumor-like polyps, suggesting an association between TJ permeability and tumor formation. In this study, we analyzed the association between TJ permeability and formation of tumors in vivo. The permeability of the TJs was assessed in normal human and rat colon epithelia and in colon tumors by measuring the transepithelial electrical resistance, the paracellular flux rate of D-[(14)C]mannitol and the electron microscopic evaluation of the penetration of the electron dense dye ruthenium red across the TJs. By these criteria, the TJs of human colon tumors, including carcinomas and adenomatous polyps, and the TJs of 1,2-dimethylhydrazine (DMH)-induced rat colon tumors were leakier than the TJs of normal colon. Treatment of rats with the carcinogen DMH induced a progressive increase in the number of aberrant colonic crypts, considered the putative pre-neoplastic colonic phenotype while increasing TJ permeability of the colon epithelium prior to the development of tumors. These results showed that increased TJ permeability of the colon epithelium and consequently a decrease in epithelial barrier function precede the development of colon tumors.","author":[{"dropping-particle":"","family":"Soler","given":"A P","non-dropping-particle":"","parse-names":false,"suffix":""},{"dropping-particle":"","family":"Miller","given":"R D","non-dropping-particle":"","parse-names":false,"suffix":""},{"dropping-particle":"V","family":"Laughlin","given":"K","non-dropping-particle":"","parse-names":false,"suffix":""},{"dropping-particle":"","family":"Carp","given":"N Z","non-dropping-particle":"","parse-names":false,"suffix":""},{"dropping-particle":"","family":"Klurfeld","given":"D M","non-dropping-particle":"","parse-names":false,"suffix":""},{"dropping-particle":"","family":"Mullin","given":"J M","non-dropping-particle":"","parse-names":false,"suffix":""}],"container-title":"Carcinogenesis","id":"ITEM-1","issue":"8","issued":{"date-parts":[["1999","8"]]},"page":"1425-31","title":"Increased tight junctional permeability is associated with the development of colon cancer.","type":"article-journal","volume":"20"},"uris":["http://www.mendeley.com/documents/?uuid=579c6ea8-665e-34e0-9e96-d9ae914b70aa","http://www.mendeley.com/documents/?uuid=dd5eb99e-2867-491e-a778-90959862c1c7"]},{"id":"ITEM-2","itemData":{"DOI":"10.20892/j.issn.2095-3941.2018.0016","ISSN":"2095-3941","PMID":"30197792","abstract":"Objective The morphology and functions of the proximal and distal large intestine are not the same. The incidence of colorectal cancer in these regions is also different, as tumors more often appear in the descending colon than in the ascending colon. Inflammatory bowel disease and colorectal cancer can increase transepithelial permeability, which is a sign of reduced intestinal barrier function. However, there is not enough evidence to establish a connection between the difference in colorectal cancer incidence in the proximal and distal colon and intestinal permeability or the effects of carcinogenesis on the barrier properties in various areas of the colon. The aim of the study was to assess the permeability of different segments of the large intestine according to a developed mapping methodology in healthy rats and rats with 1,2-dimethylhydrazine (DMH)-induced colon adenocarcinoma. Methods The short circuit current, the transepithelial electrical resistance and the paracellular permeability to fluorescein of large intestine wall of male Wistar rats were examined in the Ussing chambers. The optical density of the solution from the serosa side to assess the concentration of the diffused fluorescein from mucosa to serosa was analyzed by spectrophotometry. The morphometric and histological studies were performed by optical microscopy. Results Rats with DMH-induced colon adenocarcinomas showed elevated transepithelial electrical resistance in the areas of neoplasm development. In contrast, there was no change in the electrophysiological properties of tumor adjacent areas, however, the paracellular permeability of these areas to fluorescein was increased compared to the control rats and was characterized by sharply reduced barrier function. Conclusions The barrier properties of the colon vary depending on tumor location. The tumors were less permeable than the intact intestinal wall and probably have a negative influence on tumor-adjacent tissues by disrupting their barrier function.","author":[{"dropping-particle":"","family":"Viktoria","given":"V. Bekusova","non-dropping-particle":"","parse-names":false,"suffix":""},{"dropping-particle":"","family":"Evgeny","given":"L. Falchuk","non-dropping-particle":"","parse-names":false,"suffix":""},{"dropping-particle":"","family":"Larisa","given":"S. Okorokova","non-dropping-particle":"","parse-names":false,"suffix":""},{"dropping-particle":"","family":"Natalia","given":"M. Kruglova","non-dropping-particle":"","parse-names":false,"suffix":""},{"dropping-particle":"","family":"Alexander","given":"D. Nozdrachev","non-dropping-particle":"","parse-names":false,"suffix":""},{"dropping-particle":"","family":"Alexander","given":"G. Markov","non-dropping-particle":"","parse-names":false,"suffix":""}],"container-title":"Cancer Biology &amp; Medicine","id":"ITEM-2","issue":"3","issued":{"date-parts":[["2018"]]},"page":"251","title":"Increased paracellular permeability of tumor-adjacent areas in 1,2-dimethylhydrazine-induced colon carcinogenesis in rats","type":"article-journal","volume":"15"},"uris":["http://www.mendeley.com/documents/?uuid=79e7f7ee-49e2-3ca6-8ee2-248f9578569a","http://www.mendeley.com/documents/?uuid=c3028eff-a7cb-42c7-bf0a-0dac4b650c33"]}],"mendeley":{"formattedCitation":"&lt;sup&gt;[126,127]&lt;/sup&gt;","plainTextFormattedCitation":"[126,127]","previouslyFormattedCitation":"&lt;sup&gt;[126,127]&lt;/sup&gt;"},"properties":{"noteIndex":0},"schema":"https://github.com/citation-style-language/schema/raw/master/csl-citation.json"}</w:instrText>
      </w:r>
      <w:r w:rsidR="00990FBC" w:rsidRPr="00F06EA4">
        <w:rPr>
          <w:lang w:val="en-US"/>
        </w:rPr>
        <w:fldChar w:fldCharType="separate"/>
      </w:r>
      <w:r w:rsidR="00F45F97" w:rsidRPr="00F06EA4">
        <w:rPr>
          <w:noProof/>
          <w:vertAlign w:val="superscript"/>
          <w:lang w:val="en-US"/>
        </w:rPr>
        <w:t>[126,127]</w:t>
      </w:r>
      <w:r w:rsidR="00990FBC" w:rsidRPr="00F06EA4">
        <w:rPr>
          <w:lang w:val="en-US"/>
        </w:rPr>
        <w:fldChar w:fldCharType="end"/>
      </w:r>
      <w:r w:rsidR="00674EBB" w:rsidRPr="00F06EA4">
        <w:rPr>
          <w:lang w:val="en-US"/>
        </w:rPr>
        <w:t xml:space="preserve">, and that </w:t>
      </w:r>
      <w:r w:rsidR="0026017C" w:rsidRPr="00F06EA4">
        <w:rPr>
          <w:lang w:val="en-US"/>
        </w:rPr>
        <w:t xml:space="preserve">systemic inflammation may </w:t>
      </w:r>
      <w:r w:rsidR="005E246B" w:rsidRPr="00F06EA4">
        <w:rPr>
          <w:lang w:val="en-US"/>
        </w:rPr>
        <w:t>induce</w:t>
      </w:r>
      <w:r w:rsidR="00000811" w:rsidRPr="00F06EA4">
        <w:rPr>
          <w:lang w:val="en-US"/>
        </w:rPr>
        <w:t xml:space="preserve"> endotoxemia</w:t>
      </w:r>
      <w:r w:rsidR="005E246B" w:rsidRPr="00F06EA4">
        <w:rPr>
          <w:lang w:val="en-US"/>
        </w:rPr>
        <w:t xml:space="preserve"> often associated with cancer</w:t>
      </w:r>
      <w:r w:rsidR="005D4602" w:rsidRPr="00F06EA4">
        <w:rPr>
          <w:lang w:val="en-US"/>
        </w:rPr>
        <w:t>.</w:t>
      </w:r>
      <w:r w:rsidR="006A03B3" w:rsidRPr="00F06EA4">
        <w:rPr>
          <w:lang w:val="en-US"/>
        </w:rPr>
        <w:t xml:space="preserve"> </w:t>
      </w:r>
      <w:r w:rsidR="005D4602" w:rsidRPr="00F06EA4">
        <w:rPr>
          <w:lang w:val="en-US"/>
        </w:rPr>
        <w:t>Besides</w:t>
      </w:r>
      <w:r w:rsidR="007E6594" w:rsidRPr="00F06EA4">
        <w:rPr>
          <w:lang w:val="en-US"/>
        </w:rPr>
        <w:t xml:space="preserve"> bacteria or bacteria</w:t>
      </w:r>
      <w:r w:rsidR="005D4602" w:rsidRPr="00F06EA4">
        <w:rPr>
          <w:lang w:val="en-US"/>
        </w:rPr>
        <w:t>l</w:t>
      </w:r>
      <w:r w:rsidR="007E6594" w:rsidRPr="00F06EA4">
        <w:rPr>
          <w:lang w:val="en-US"/>
        </w:rPr>
        <w:t xml:space="preserve"> components, also bacteria</w:t>
      </w:r>
      <w:r w:rsidR="008D5D7C" w:rsidRPr="00F06EA4">
        <w:rPr>
          <w:lang w:val="en-US"/>
        </w:rPr>
        <w:t>l</w:t>
      </w:r>
      <w:r w:rsidR="007E6594" w:rsidRPr="00F06EA4">
        <w:rPr>
          <w:lang w:val="en-US"/>
        </w:rPr>
        <w:t xml:space="preserve"> metabolites</w:t>
      </w:r>
      <w:r w:rsidR="00892A80" w:rsidRPr="00F06EA4">
        <w:rPr>
          <w:lang w:val="en-US"/>
        </w:rPr>
        <w:t xml:space="preserve"> such</w:t>
      </w:r>
      <w:r w:rsidR="008D5D7C" w:rsidRPr="00F06EA4">
        <w:rPr>
          <w:lang w:val="en-US"/>
        </w:rPr>
        <w:t xml:space="preserve"> as</w:t>
      </w:r>
      <w:r w:rsidR="002B3DD1" w:rsidRPr="00F06EA4">
        <w:rPr>
          <w:lang w:val="en-US"/>
        </w:rPr>
        <w:t xml:space="preserve"> short-chain fatty acids (SCFAs)</w:t>
      </w:r>
      <w:r w:rsidR="007E6594" w:rsidRPr="00F06EA4">
        <w:rPr>
          <w:lang w:val="en-US"/>
        </w:rPr>
        <w:t xml:space="preserve"> </w:t>
      </w:r>
      <w:r w:rsidR="005D4602" w:rsidRPr="00F06EA4">
        <w:rPr>
          <w:lang w:val="en-US"/>
        </w:rPr>
        <w:t>can</w:t>
      </w:r>
      <w:r w:rsidR="00881BDE" w:rsidRPr="00F06EA4">
        <w:rPr>
          <w:lang w:val="en-US"/>
        </w:rPr>
        <w:t xml:space="preserve"> modulate peripheral</w:t>
      </w:r>
      <w:r w:rsidR="007E6594" w:rsidRPr="00F06EA4">
        <w:rPr>
          <w:lang w:val="en-US"/>
        </w:rPr>
        <w:t xml:space="preserve"> immune </w:t>
      </w:r>
      <w:r w:rsidR="00881BDE" w:rsidRPr="00F06EA4">
        <w:rPr>
          <w:lang w:val="en-US"/>
        </w:rPr>
        <w:t>response</w:t>
      </w:r>
      <w:r w:rsidR="007E6594" w:rsidRPr="00F06EA4">
        <w:rPr>
          <w:lang w:val="en-US"/>
        </w:rPr>
        <w:t xml:space="preserve">. </w:t>
      </w:r>
      <w:r w:rsidR="000755CB" w:rsidRPr="00F06EA4">
        <w:rPr>
          <w:lang w:val="en-US"/>
        </w:rPr>
        <w:t xml:space="preserve"> </w:t>
      </w:r>
      <w:r w:rsidR="002B3DD1" w:rsidRPr="00F06EA4">
        <w:rPr>
          <w:lang w:val="en-US"/>
        </w:rPr>
        <w:t>SCFAs</w:t>
      </w:r>
      <w:r w:rsidR="002E290D" w:rsidRPr="00F06EA4">
        <w:rPr>
          <w:lang w:val="en-US"/>
        </w:rPr>
        <w:t xml:space="preserve"> </w:t>
      </w:r>
      <w:r w:rsidR="007250BF" w:rsidRPr="00F06EA4">
        <w:rPr>
          <w:lang w:val="en-US"/>
        </w:rPr>
        <w:t>are capable of shifting</w:t>
      </w:r>
      <w:r w:rsidR="002E290D" w:rsidRPr="00F06EA4">
        <w:rPr>
          <w:lang w:val="en-US"/>
        </w:rPr>
        <w:t xml:space="preserve"> the effector T to regulatory T cell balance </w:t>
      </w:r>
      <w:r w:rsidR="007250BF" w:rsidRPr="00F06EA4">
        <w:rPr>
          <w:lang w:val="en-US"/>
        </w:rPr>
        <w:t>by facilitating the differentiation of regulatory T cells, and thereby</w:t>
      </w:r>
      <w:r w:rsidR="00A2525B" w:rsidRPr="00F06EA4">
        <w:rPr>
          <w:lang w:val="en-US"/>
        </w:rPr>
        <w:t xml:space="preserve"> limit the </w:t>
      </w:r>
      <w:r w:rsidR="002B3DD1" w:rsidRPr="00F06EA4">
        <w:rPr>
          <w:lang w:val="en-US"/>
        </w:rPr>
        <w:t xml:space="preserve">systemic inflammation </w:t>
      </w:r>
      <w:r w:rsidR="00281E5F" w:rsidRPr="00F06EA4">
        <w:rPr>
          <w:lang w:val="en-US"/>
        </w:rPr>
        <w:fldChar w:fldCharType="begin" w:fldLock="1"/>
      </w:r>
      <w:r w:rsidR="00F45F97" w:rsidRPr="00F06EA4">
        <w:rPr>
          <w:lang w:val="en-US"/>
        </w:rPr>
        <w:instrText>ADDIN CSL_CITATION {"citationItems":[{"id":"ITEM-1","itemData":{"DOI":"10.1038/nature12726","ISSN":"1476-4687","PMID":"24226773","abstract":"Intestinal microbes provide multicellular hosts with nutrients and confer resistance to infection. The delicate balance between pro- and anti-inflammatory mechanisms, essential for gut immune homeostasis, is affected by the composition of the commensal microbial community. Regulatory T cells (Treg cells) expressing transcription factor Foxp3 have a key role in limiting inflammatory responses in the intestine. Although specific members of the commensal microbial community have been found to potentiate the generation of anti-inflammatory Treg or pro-inflammatory T helper 17 (TH17) cells, the molecular cues driving this process remain elusive. Considering the vital metabolic function afforded by commensal microorganisms, we reasoned that their metabolic by-products are sensed by cells of the immune system and affect the balance between pro- and anti-inflammatory cells. We tested this hypothesis by exploring the effect of microbial metabolites on the generation of anti-inflammatory Treg cells. We found that in mice a short-chain fatty acid (SCFA), butyrate, produced by commensal microorganisms during starch fermentation, facilitated extrathymic generation of Treg cells. A boost in Treg-cell numbers after provision of butyrate was due to potentiation of extrathymic differentiation of Treg cells, as the observed phenomenon was dependent on intronic enhancer CNS1 (conserved non-coding sequence 1), essential for extrathymic but dispensable for thymic Treg-cell differentiation. In addition to butyrate, de novo Treg-cell generation in the periphery was potentiated by propionate, another SCFA of microbial origin capable of histone deacetylase (HDAC) inhibition, but not acetate, which lacks this HDAC-inhibitory activity. Our results suggest that bacterial metabolites mediate communication between the commensal microbiota and the immune system, affecting the balance between pro- and anti-inflammatory mechanisms.","author":[{"dropping-particle":"","family":"Arpaia","given":"Nicholas","non-dropping-particle":"","parse-names":false,"suffix":""},{"dropping-particle":"","family":"Campbell","given":"Clarissa","non-dropping-particle":"","parse-names":false,"suffix":""},{"dropping-particle":"","family":"Fan","given":"Xiying","non-dropping-particle":"","parse-names":false,"suffix":""},{"dropping-particle":"","family":"Dikiy","given":"Stanislav","non-dropping-particle":"","parse-names":false,"suffix":""},{"dropping-particle":"","family":"Veeken","given":"Joris","non-dropping-particle":"van der","parse-names":false,"suffix":""},{"dropping-particle":"","family":"DeRoos","given":"Paul","non-dropping-particle":"","parse-names":false,"suffix":""},{"dropping-particle":"","family":"Liu","given":"Hui","non-dropping-particle":"","parse-names":false,"suffix":""},{"dropping-particle":"","family":"Cross","given":"Justin R","non-dropping-particle":"","parse-names":false,"suffix":""},{"dropping-particle":"","family":"Pfeffer","given":"Klaus","non-dropping-particle":"","parse-names":false,"suffix":""},{"dropping-particle":"","family":"Coffer","given":"Paul J","non-dropping-particle":"","parse-names":false,"suffix":""},{"dropping-particle":"","family":"Rudensky","given":"Alexander Y","non-dropping-particle":"","parse-names":false,"suffix":""}],"container-title":"Nature","id":"ITEM-1","issue":"7480","issued":{"date-parts":[["2013"]]},"page":"451-5","title":"Metabolites produced by commensal bacteria promote peripheral regulatory T-cell generation.","type":"article-journal","volume":"504"},"uris":["http://www.mendeley.com/documents/?uuid=9a81a65e-dff4-3c93-9493-e90fd72a6614","http://www.mendeley.com/documents/?uuid=c1607d28-8ab6-4080-9a96-2bd806f2db0c"]}],"mendeley":{"formattedCitation":"&lt;sup&gt;[128]&lt;/sup&gt;","plainTextFormattedCitation":"[128]","previouslyFormattedCitation":"&lt;sup&gt;[128]&lt;/sup&gt;"},"properties":{"noteIndex":0},"schema":"https://github.com/citation-style-language/schema/raw/master/csl-citation.json"}</w:instrText>
      </w:r>
      <w:r w:rsidR="00281E5F" w:rsidRPr="00F06EA4">
        <w:rPr>
          <w:lang w:val="en-US"/>
        </w:rPr>
        <w:fldChar w:fldCharType="separate"/>
      </w:r>
      <w:r w:rsidR="00F45F97" w:rsidRPr="00F06EA4">
        <w:rPr>
          <w:noProof/>
          <w:vertAlign w:val="superscript"/>
          <w:lang w:val="en-US"/>
        </w:rPr>
        <w:t>[128]</w:t>
      </w:r>
      <w:r w:rsidR="00281E5F" w:rsidRPr="00F06EA4">
        <w:rPr>
          <w:lang w:val="en-US"/>
        </w:rPr>
        <w:fldChar w:fldCharType="end"/>
      </w:r>
      <w:r w:rsidR="002B3DD1" w:rsidRPr="00F06EA4">
        <w:rPr>
          <w:lang w:val="en-US"/>
        </w:rPr>
        <w:t>.</w:t>
      </w:r>
      <w:r w:rsidR="00881BDE" w:rsidRPr="00F06EA4">
        <w:rPr>
          <w:lang w:val="en-US"/>
        </w:rPr>
        <w:t xml:space="preserve"> </w:t>
      </w:r>
    </w:p>
    <w:p w14:paraId="0390D6F3" w14:textId="77777777" w:rsidR="00C07679" w:rsidRPr="00F06EA4" w:rsidRDefault="00C07679" w:rsidP="00F67ED8">
      <w:pPr>
        <w:spacing w:after="0"/>
        <w:rPr>
          <w:lang w:val="en-US"/>
        </w:rPr>
      </w:pPr>
    </w:p>
    <w:p w14:paraId="10BCCCA4" w14:textId="6211338E" w:rsidR="00A33490" w:rsidRPr="00F06EA4" w:rsidRDefault="00F8259E" w:rsidP="00F67ED8">
      <w:pPr>
        <w:pStyle w:val="2"/>
        <w:spacing w:before="0" w:after="0"/>
        <w:rPr>
          <w:i/>
        </w:rPr>
      </w:pPr>
      <w:bookmarkStart w:id="153" w:name="_Hlk3203747"/>
      <w:r w:rsidRPr="00F06EA4">
        <w:rPr>
          <w:i/>
        </w:rPr>
        <w:t>Skeletal muscle</w:t>
      </w:r>
      <w:r w:rsidR="006A04B7" w:rsidRPr="00F06EA4">
        <w:rPr>
          <w:i/>
        </w:rPr>
        <w:t xml:space="preserve">, </w:t>
      </w:r>
      <w:r w:rsidRPr="00F06EA4">
        <w:rPr>
          <w:i/>
        </w:rPr>
        <w:t>cancer cachexia</w:t>
      </w:r>
      <w:r w:rsidR="006A04B7" w:rsidRPr="00F06EA4">
        <w:rPr>
          <w:i/>
        </w:rPr>
        <w:t>, and amino acid metabolism</w:t>
      </w:r>
    </w:p>
    <w:bookmarkEnd w:id="153"/>
    <w:p w14:paraId="3603763D" w14:textId="3DBE03E6" w:rsidR="00A33490" w:rsidRPr="00F06EA4" w:rsidRDefault="00A33490" w:rsidP="00F67ED8">
      <w:pPr>
        <w:spacing w:after="0"/>
        <w:rPr>
          <w:lang w:val="en-US"/>
        </w:rPr>
      </w:pPr>
      <w:r w:rsidRPr="00F06EA4">
        <w:rPr>
          <w:lang w:val="en-US"/>
        </w:rPr>
        <w:t xml:space="preserve">The international consensus definition of cachexia is </w:t>
      </w:r>
      <w:r w:rsidRPr="00F06EA4">
        <w:rPr>
          <w:color w:val="000000"/>
          <w:lang w:val="en-US"/>
        </w:rPr>
        <w:t>an ongoing loss of skeletal muscle mass – with or without loss of fat mass – that cannot be fully reversed by conventional nutritional support and leads to progressive functional impairment</w:t>
      </w:r>
      <w:r w:rsidRPr="00F06EA4">
        <w:rPr>
          <w:color w:val="000000"/>
          <w:lang w:val="en-US"/>
        </w:rPr>
        <w:fldChar w:fldCharType="begin" w:fldLock="1"/>
      </w:r>
      <w:r w:rsidR="00F45F97" w:rsidRPr="00F06EA4">
        <w:rPr>
          <w:color w:val="000000"/>
          <w:lang w:val="en-US"/>
        </w:rPr>
        <w:instrText>ADDIN CSL_CITATION {"citationItems":[{"id":"ITEM-1","itemData":{"DOI":"10.1016/S1470-2045(10)70218-7","ISSN":"1474-5488","PMID":"21296615","abstract":"To develop a framework for the definition and classification of cancer cachexia a panel of experts participated in a formal consensus process, including focus groups and two Delphi rounds. Cancer cachexia was defined as a multifactorial syndrome defined by an ongoing loss of skeletal muscle mass (with or without loss of fat mass) that cannot be fully reversed by conventional nutritional support and leads to progressive functional impairment. Its pathophysiology is characterised by a negative protein and energy balance driven by a variable combination of reduced food intake and abnormal metabolism. The agreed diagnostic criterion for cachexia was weight loss greater than 5%, or weight loss greater than 2% in individuals already showing depletion according to current bodyweight and height (body-mass index [BMI] &lt;20 kg/m(2)) or skeletal muscle mass (sarcopenia). An agreement was made that the cachexia syndrome can develop progressively through various stages--precachexia to cachexia to refractory cachexia. Severity can be classified according to degree of depletion of energy stores and body protein (BMI) in combination with degree of ongoing weight loss. Assessment for classification and clinical management should include the following domains: anorexia or reduced food intake, catabolic drive, muscle mass and strength, functional and psychosocial impairment. Consensus exists on a framework for the definition and classification of cancer cachexia. After validation, this should aid clinical trial design, development of practice guidelines, and, eventually, routine clinical management.","author":[{"dropping-particle":"","family":"Fearon","given":"Kenneth","non-dropping-particle":"","parse-names":false,"suffix":""},{"dropping-particle":"","family":"Strasser","given":"Florian","non-dropping-particle":"","parse-names":false,"suffix":""},{"dropping-particle":"","family":"Anker","given":"Stefan D","non-dropping-particle":"","parse-names":false,"suffix":""},{"dropping-particle":"","family":"Bosaeus","given":"Ingvar","non-dropping-particle":"","parse-names":false,"suffix":""},{"dropping-particle":"","family":"Bruera","given":"Eduardo","non-dropping-particle":"","parse-names":false,"suffix":""},{"dropping-particle":"","family":"Fainsinger","given":"Robin L","non-dropping-particle":"","parse-names":false,"suffix":""},{"dropping-particle":"","family":"Jatoi","given":"Aminah","non-dropping-particle":"","parse-names":false,"suffix":""},{"dropping-particle":"","family":"Loprinzi","given":"Charles","non-dropping-particle":"","parse-names":false,"suffix":""},{"dropping-particle":"","family":"MacDonald","given":"Neil","non-dropping-particle":"","parse-names":false,"suffix":""},{"dropping-particle":"","family":"Mantovani","given":"Giovanni","non-dropping-particle":"","parse-names":false,"suffix":""},{"dropping-particle":"","family":"Davis","given":"Mellar","non-dropping-particle":"","parse-names":false,"suffix":""},{"dropping-particle":"","family":"Muscaritoli","given":"Maurizio","non-dropping-particle":"","parse-names":false,"suffix":""},{"dropping-particle":"","family":"Ottery","given":"Faith","non-dropping-particle":"","parse-names":false,"suffix":""},{"dropping-particle":"","family":"Radbruch","given":"Lukas","non-dropping-particle":"","parse-names":false,"suffix":""},{"dropping-particle":"","family":"Ravasco","given":"Paula","non-dropping-particle":"","parse-names":false,"suffix":""},{"dropping-particle":"","family":"Walsh","given":"Declan","non-dropping-particle":"","parse-names":false,"suffix":""},{"dropping-particle":"","family":"Wilcock","given":"Andrew","non-dropping-particle":"","parse-names":false,"suffix":""},{"dropping-particle":"","family":"Kaasa","given":"Stein","non-dropping-particle":"","parse-names":false,"suffix":""},{"dropping-particle":"","family":"Baracos","given":"Vickie E","non-dropping-particle":"","parse-names":false,"suffix":""}],"container-title":"The Lancet. Oncology","id":"ITEM-1","issue":"5","issued":{"date-parts":[["2011"]]},"page":"489-95","title":"Definition and classification of cancer cachexia: an international consensus.","type":"article-journal","volume":"12"},"uris":["http://www.mendeley.com/documents/?uuid=c70ffd86-5180-39da-8d7d-eef9d1332e9f"]}],"mendeley":{"formattedCitation":"&lt;sup&gt;[129]&lt;/sup&gt;","plainTextFormattedCitation":"[129]","previouslyFormattedCitation":"&lt;sup&gt;[129]&lt;/sup&gt;"},"properties":{"noteIndex":0},"schema":"https://github.com/citation-style-language/schema/raw/master/csl-citation.json"}</w:instrText>
      </w:r>
      <w:r w:rsidRPr="00F06EA4">
        <w:rPr>
          <w:color w:val="000000"/>
          <w:lang w:val="en-US"/>
        </w:rPr>
        <w:fldChar w:fldCharType="separate"/>
      </w:r>
      <w:r w:rsidR="00F45F97" w:rsidRPr="00F06EA4">
        <w:rPr>
          <w:noProof/>
          <w:color w:val="000000"/>
          <w:vertAlign w:val="superscript"/>
          <w:lang w:val="en-US"/>
        </w:rPr>
        <w:t>[129]</w:t>
      </w:r>
      <w:r w:rsidRPr="00F06EA4">
        <w:rPr>
          <w:color w:val="000000"/>
          <w:lang w:val="en-US"/>
        </w:rPr>
        <w:fldChar w:fldCharType="end"/>
      </w:r>
      <w:r w:rsidR="00B55340" w:rsidRPr="00F06EA4">
        <w:rPr>
          <w:color w:val="000000"/>
          <w:lang w:val="en-US"/>
        </w:rPr>
        <w:t>.</w:t>
      </w:r>
      <w:r w:rsidRPr="00F06EA4">
        <w:rPr>
          <w:color w:val="000000"/>
          <w:lang w:val="en-US"/>
        </w:rPr>
        <w:t xml:space="preserve"> </w:t>
      </w:r>
      <w:r w:rsidR="0062226B" w:rsidRPr="00F06EA4">
        <w:rPr>
          <w:lang w:val="en-US"/>
        </w:rPr>
        <w:t>Systemic inflammation is a key driving factor in cancer-associated cachexia</w:t>
      </w:r>
      <w:r w:rsidR="0062226B" w:rsidRPr="00F06EA4">
        <w:rPr>
          <w:lang w:val="en-US"/>
        </w:rPr>
        <w:fldChar w:fldCharType="begin" w:fldLock="1"/>
      </w:r>
      <w:r w:rsidR="00F45F97" w:rsidRPr="00F06EA4">
        <w:rPr>
          <w:lang w:val="en-US"/>
        </w:rPr>
        <w:instrText>ADDIN CSL_CITATION {"citationItems":[{"id":"ITEM-1","itemData":{"DOI":"10.1038/nrc3829","ISSN":"1474-1768","PMID":"25291291","abstract":"Cancer cachexia is a devastating, multifactorial and often irreversible syndrome that affects around 50-80% of cancer patients, depending on the tumour type, and that leads to substantial weight loss, primarily from loss of skeletal muscle and body fat. Since cachexia may account for up to 20% of cancer deaths, understanding the underlying molecular mechanisms is essential. The occurrence of cachexia in cancer patients is dependent on the patient response to tumour progression, including the activation of the inflammatory response and energetic inefficiency involving the mitochondria. Interestingly, crosstalk between different cell types ultimately seems to result in muscle wasting. Some of the recent progress in understanding the molecular mechanisms of cachexia may lead to new therapeutic approaches.","author":[{"dropping-particle":"","family":"Argilés","given":"Josep M","non-dropping-particle":"","parse-names":false,"suffix":""},{"dropping-particle":"","family":"Busquets","given":"Sílvia","non-dropping-particle":"","parse-names":false,"suffix":""},{"dropping-particle":"","family":"Stemmler","given":"Britta","non-dropping-particle":"","parse-names":false,"suffix":""},{"dropping-particle":"","family":"López-Soriano","given":"Francisco J","non-dropping-particle":"","parse-names":false,"suffix":""}],"container-title":"Nature reviews. Cancer","id":"ITEM-1","issue":"11","issued":{"date-parts":[["2014","11"]]},"page":"754-62","title":"Cancer cachexia: understanding the molecular basis.","type":"article-journal","volume":"14"},"uris":["http://www.mendeley.com/documents/?uuid=86c3787a-6393-4b61-b1a4-f4335c991705"]}],"mendeley":{"formattedCitation":"&lt;sup&gt;[16]&lt;/sup&gt;","plainTextFormattedCitation":"[16]","previouslyFormattedCitation":"&lt;sup&gt;[16]&lt;/sup&gt;"},"properties":{"noteIndex":0},"schema":"https://github.com/citation-style-language/schema/raw/master/csl-citation.json"}</w:instrText>
      </w:r>
      <w:r w:rsidR="0062226B" w:rsidRPr="00F06EA4">
        <w:rPr>
          <w:lang w:val="en-US"/>
        </w:rPr>
        <w:fldChar w:fldCharType="separate"/>
      </w:r>
      <w:r w:rsidR="00F45F97" w:rsidRPr="00F06EA4">
        <w:rPr>
          <w:noProof/>
          <w:vertAlign w:val="superscript"/>
          <w:lang w:val="en-US"/>
        </w:rPr>
        <w:t>[16]</w:t>
      </w:r>
      <w:r w:rsidR="0062226B" w:rsidRPr="00F06EA4">
        <w:rPr>
          <w:lang w:val="en-US"/>
        </w:rPr>
        <w:fldChar w:fldCharType="end"/>
      </w:r>
      <w:r w:rsidR="0062226B" w:rsidRPr="00F06EA4">
        <w:rPr>
          <w:lang w:val="en-US"/>
        </w:rPr>
        <w:t>. In</w:t>
      </w:r>
      <w:r w:rsidRPr="00F06EA4">
        <w:rPr>
          <w:lang w:val="en-US"/>
        </w:rPr>
        <w:t xml:space="preserve"> CRC patients, </w:t>
      </w:r>
      <w:r w:rsidR="0062226B" w:rsidRPr="00F06EA4">
        <w:rPr>
          <w:lang w:val="en-US"/>
        </w:rPr>
        <w:t xml:space="preserve">the </w:t>
      </w:r>
      <w:r w:rsidRPr="00F06EA4">
        <w:rPr>
          <w:lang w:val="en-US"/>
        </w:rPr>
        <w:t>presence of systemic inflammation</w:t>
      </w:r>
      <w:r w:rsidR="0062226B" w:rsidRPr="00F06EA4">
        <w:rPr>
          <w:lang w:val="en-US"/>
        </w:rPr>
        <w:t xml:space="preserve"> is</w:t>
      </w:r>
      <w:r w:rsidRPr="00F06EA4">
        <w:rPr>
          <w:lang w:val="en-US"/>
        </w:rPr>
        <w:t xml:space="preserve"> associate</w:t>
      </w:r>
      <w:r w:rsidR="0062226B" w:rsidRPr="00F06EA4">
        <w:rPr>
          <w:lang w:val="en-US"/>
        </w:rPr>
        <w:t>d</w:t>
      </w:r>
      <w:r w:rsidRPr="00F06EA4">
        <w:rPr>
          <w:lang w:val="en-US"/>
        </w:rPr>
        <w:t xml:space="preserve"> </w:t>
      </w:r>
      <w:r w:rsidR="00EF0F77" w:rsidRPr="00F06EA4">
        <w:rPr>
          <w:lang w:val="en-US"/>
        </w:rPr>
        <w:t>with</w:t>
      </w:r>
      <w:r w:rsidRPr="00F06EA4">
        <w:rPr>
          <w:lang w:val="en-US"/>
        </w:rPr>
        <w:t xml:space="preserve"> </w:t>
      </w:r>
      <w:r w:rsidR="00EF0F77" w:rsidRPr="00F06EA4">
        <w:rPr>
          <w:lang w:val="en-US"/>
        </w:rPr>
        <w:t>lo</w:t>
      </w:r>
      <w:r w:rsidR="00F66C7B" w:rsidRPr="00F06EA4">
        <w:rPr>
          <w:lang w:val="en-US"/>
        </w:rPr>
        <w:t>w</w:t>
      </w:r>
      <w:r w:rsidR="00EF0F77" w:rsidRPr="00F06EA4">
        <w:rPr>
          <w:lang w:val="en-US"/>
        </w:rPr>
        <w:t xml:space="preserve"> </w:t>
      </w:r>
      <w:r w:rsidRPr="00F06EA4">
        <w:rPr>
          <w:lang w:val="en-US"/>
        </w:rPr>
        <w:t>skeletal muscle</w:t>
      </w:r>
      <w:r w:rsidR="00F66C7B" w:rsidRPr="00F06EA4">
        <w:rPr>
          <w:lang w:val="en-US"/>
        </w:rPr>
        <w:t xml:space="preserve"> </w:t>
      </w:r>
      <w:r w:rsidR="00F727B1" w:rsidRPr="00F06EA4">
        <w:rPr>
          <w:lang w:val="en-US"/>
        </w:rPr>
        <w:t>mass</w:t>
      </w:r>
      <w:r w:rsidRPr="00F06EA4">
        <w:rPr>
          <w:lang w:val="en-US"/>
        </w:rPr>
        <w:fldChar w:fldCharType="begin" w:fldLock="1"/>
      </w:r>
      <w:r w:rsidR="00F45F97" w:rsidRPr="00F06EA4">
        <w:rPr>
          <w:lang w:val="en-US"/>
        </w:rPr>
        <w:instrText>ADDIN CSL_CITATION {"citationItems":[{"id":"ITEM-1","itemData":{"DOI":"10.1371/journal.pone.0041883","PMID":"22870258","abstract":"BACKGROUND Weight loss is recognised as a marker of poor prognosis in patients with cancer but the aetiology of cancer cachexia remains unclear. The aim of the present study was to examine the relationships between CT measured parameters of body composition and the systemic inflammatory response in patients with primary operable colorectal cancer. PATIENT AND METHODS 174 patients with primary operable colorectal cancer who underwent resection with curative intent (2003-2010). Image analysis of CT scans was used to measure total fat index (cm(2)/m(2)), subcutaneous fat index (cm(2)/m(2)), visceral fat index (cm(2)/m(2)) and skeletal muscle index (cm(2)/m(2)). Systemic inflammatory response was measured by serum white cell count (WCC), neutrophil:lymphocyte ratio (NLR) and the Glasgow Prognostic Score (mGPS). RESULTS There were no relationships between any parameter of body composition and serum WCC or NLR. There was a significant relationship between low skeletal muscle index and an elevated systemic inflammatory response, as measured by the mGPS (p = 0.001). This was confirmed by linear relationships between skeletal muscle index and both C-reactive protein (r = -0.21, p = 0.005) and albumin (r = 0.31, p&lt;0.001). There was no association between skeletal muscle index and tumour stage. CONCLUSIONS The present study highlights a direct relationship between low levels of skeletal muscle and the presence of a systemic inflammatory response in patients with primary operable colorectal cancer.","author":[{"dropping-particle":"","family":"Richards","given":"Colin H","non-dropping-particle":"","parse-names":false,"suffix":""},{"dropping-particle":"","family":"Roxburgh","given":"Campbell S D","non-dropping-particle":"","parse-names":false,"suffix":""},{"dropping-particle":"","family":"MacMillan","given":"Mark T","non-dropping-particle":"","parse-names":false,"suffix":""},{"dropping-particle":"","family":"Isswiasi","given":"Sanad","non-dropping-particle":"","parse-names":false,"suffix":""},{"dropping-particle":"","family":"Robertson","given":"Ewen G","non-dropping-particle":"","parse-names":false,"suffix":""},{"dropping-particle":"","family":"Guthrie","given":"Graeme K","non-dropping-particle":"","parse-names":false,"suffix":""},{"dropping-particle":"","family":"Horgan","given":"Paul G","non-dropping-particle":"","parse-names":false,"suffix":""},{"dropping-particle":"","family":"McMillan","given":"Donald C","non-dropping-particle":"","parse-names":false,"suffix":""}],"container-title":"PloS one","editor":[{"dropping-particle":"","family":"Mandell","given":"Mercedes Susan","non-dropping-particle":"","parse-names":false,"suffix":""}],"id":"ITEM-1","issue":"8","issued":{"date-parts":[["2012"]]},"page":"e41883","title":"The relationships between body composition and the systemic inflammatory response in patients with primary operable colorectal cancer.","type":"article-journal","volume":"7"},"uris":["http://www.mendeley.com/documents/?uuid=f2793168-c534-3701-98ac-804860314673"]},{"id":"ITEM-2","itemData":{"DOI":"10.1001/jamaoncol.2017.2319","ISSN":"2374-2437","PMID":"28796857","abstract":"Importance Systemic inflammation and sarcopenia are easily evaluated, predict mortality in many cancers, and are potentially modifiable. The combination of inflammation and sarcopenia may be able to identify patients with early-stage colorectal cancer (CRC) with poor prognosis. Objective To examine associations of prediagnostic systemic inflammation with at-diagnosis sarcopenia, and determine whether these factors interact to predict CRC survival, adjusting for age, ethnicity, sex, body mass index, stage, and cancer site. Design, Setting, and Participants A prospective cohort of 2470 Kaiser Permanente patients with stage I to III CRC diagnosed from 2006 through 2011. Exposures Our primary measure of inflammation was the neutrophil to lymphocyte ratio (NLR). We averaged NLR in the 24 months before diagnosis (mean count = 3 measures; mean time before diagnosis = 7 mo). The reference group was NLR of less than 3, indicating low or no inflammation. Main Outcomes and Measures Using computed tomography scans, we calculated skeletal muscle index (muscle area at the third lumbar vertebra divided by squared height). Sarcopenia was defined as less than 52 cm2/m2 and less than 38 cm2/m2 for normal or overweight men and women, respectively, and less than 54 cm2/m2 and less than 47 cm2/m2 for obese men and women, respectively. The main outcome was death (overall or CRC related). Results Among 2470 patients, 1219 (49%) were female; mean (SD) age was 63 (12) years. An NLR of 3 or greater and sarcopenia were common (1133 [46%] and 1078 [44%], respectively). Over a median of 6 years of follow-up, we observed 656 deaths, 357 from CRC. Increasing NLR was associated with sarcopenia in a dose-response manner (compared with NLR &lt; 3, odds ratio, 1.35; 95% CI, 1.10-1.67 for NLR 3 to &lt;5; 1.47; 95% CI, 1.16-1.85 for NLR ≥ 5; P for trend &lt; .001). An NLR of 3 or greater and sarcopenia independently predicted overall (hazard ratio [HR], 1.64; 95% CI, 1.40-1.91 and HR, 1.28; 95% CI, 1.10-1.53, respectively) and CRC-related death (HR, 1.71; 95% CI, 1.39-2.12 and HR, 1.42; 95% CI, 1.13-1.78, respectively). Patients with both sarcopenia and NLR of 3 or greater (vs neither) had double the risk of death, overall (HR, 2.12; 95% CI, 1.70-2.65) and CRC related (HR, 2.43; 95% CI, 1.79-3.29). Conclusions and Relevance Prediagnosis inflammation was associated with at-diagnosis sarcopenia. Sarcopenia combined with inflammation nearly doubled risk of death, suggesting that these commonly collect…","author":[{"dropping-particle":"","family":"Cespedes Feliciano","given":"Elizabeth M.","non-dropping-particle":"","parse-names":false,"suffix":""},{"dropping-particle":"","family":"Kroenke","given":"Candyce H.","non-dropping-particle":"","parse-names":false,"suffix":""},{"dropping-particle":"","family":"Meyerhardt","given":"Jeffrey A.","non-dropping-particle":"","parse-names":false,"suffix":""},{"dropping-particle":"","family":"Prado","given":"Carla M.","non-dropping-particle":"","parse-names":false,"suffix":""},{"dropping-particle":"","family":"Bradshaw","given":"Patrick T.","non-dropping-particle":"","parse-names":false,"suffix":""},{"dropping-particle":"","family":"Kwan","given":"Marilyn L.","non-dropping-particle":"","parse-names":false,"suffix":""},{"dropping-particle":"","family":"Xiao","given":"Jingjie","non-dropping-particle":"","parse-names":false,"suffix":""},{"dropping-particle":"","family":"Alexeeff","given":"Stacey","non-dropping-particle":"","parse-names":false,"suffix":""},{"dropping-particle":"","family":"Corley","given":"Douglas","non-dropping-particle":"","parse-names":false,"suffix":""},{"dropping-particle":"","family":"Weltzien","given":"Erin","non-dropping-particle":"","parse-names":false,"suffix":""},{"dropping-particle":"","family":"Castillo","given":"Adrienne L.","non-dropping-particle":"","parse-names":false,"suffix":""},{"dropping-particle":"","family":"Caan","given":"Bette J.","non-dropping-particle":"","parse-names":false,"suffix":""}],"container-title":"JAMA Oncology","id":"ITEM-2","issue":"12","issued":{"date-parts":[["2017"]]},"page":"e172319","title":"Association of Systemic Inflammation and Sarcopenia With Survival in Nonmetastatic Colorectal Cancer","type":"article-journal","volume":"3"},"uris":["http://www.mendeley.com/documents/?uuid=82d368b4-2fc3-370a-b4ec-b50dcf6b5c59","http://www.mendeley.com/documents/?uuid=501db172-8fbc-4b10-ba81-a3892223b559"]}],"mendeley":{"formattedCitation":"&lt;sup&gt;[130,131]&lt;/sup&gt;","plainTextFormattedCitation":"[130,131]","previouslyFormattedCitation":"&lt;sup&gt;[130,131]&lt;/sup&gt;"},"properties":{"noteIndex":0},"schema":"https://github.com/citation-style-language/schema/raw/master/csl-citation.json"}</w:instrText>
      </w:r>
      <w:r w:rsidRPr="00F06EA4">
        <w:rPr>
          <w:lang w:val="en-US"/>
        </w:rPr>
        <w:fldChar w:fldCharType="separate"/>
      </w:r>
      <w:r w:rsidR="00F45F97" w:rsidRPr="00F06EA4">
        <w:rPr>
          <w:noProof/>
          <w:vertAlign w:val="superscript"/>
          <w:lang w:val="en-US"/>
        </w:rPr>
        <w:t>[130,131]</w:t>
      </w:r>
      <w:r w:rsidRPr="00F06EA4">
        <w:rPr>
          <w:lang w:val="en-US"/>
        </w:rPr>
        <w:fldChar w:fldCharType="end"/>
      </w:r>
      <w:r w:rsidR="00250E5E" w:rsidRPr="00F06EA4">
        <w:rPr>
          <w:lang w:val="en-US"/>
        </w:rPr>
        <w:t xml:space="preserve">. </w:t>
      </w:r>
      <w:r w:rsidR="00491202" w:rsidRPr="00F06EA4">
        <w:rPr>
          <w:lang w:val="en-US"/>
        </w:rPr>
        <w:t xml:space="preserve">Cachexia not only reduces patient’s quality of life and treatment response, but </w:t>
      </w:r>
      <w:r w:rsidR="00906074" w:rsidRPr="00F06EA4">
        <w:rPr>
          <w:lang w:val="en-US"/>
        </w:rPr>
        <w:t xml:space="preserve">it is </w:t>
      </w:r>
      <w:r w:rsidR="007E2804" w:rsidRPr="00F06EA4">
        <w:rPr>
          <w:lang w:val="en-US"/>
        </w:rPr>
        <w:t xml:space="preserve">also </w:t>
      </w:r>
      <w:r w:rsidR="00906074" w:rsidRPr="00F06EA4">
        <w:rPr>
          <w:lang w:val="en-US"/>
        </w:rPr>
        <w:t xml:space="preserve">an indirect cause of death </w:t>
      </w:r>
      <w:r w:rsidR="00F10D23" w:rsidRPr="00F06EA4">
        <w:rPr>
          <w:lang w:val="en-US"/>
        </w:rPr>
        <w:t>in about</w:t>
      </w:r>
      <w:r w:rsidR="00491202" w:rsidRPr="00F06EA4">
        <w:rPr>
          <w:lang w:val="en-US"/>
        </w:rPr>
        <w:t xml:space="preserve"> 20% </w:t>
      </w:r>
      <w:r w:rsidR="007E2804" w:rsidRPr="00F06EA4">
        <w:rPr>
          <w:lang w:val="en-US"/>
        </w:rPr>
        <w:t xml:space="preserve">of </w:t>
      </w:r>
      <w:r w:rsidR="00F10D23" w:rsidRPr="00F06EA4">
        <w:rPr>
          <w:lang w:val="en-US"/>
        </w:rPr>
        <w:t>patients who eventually die of cancer</w:t>
      </w:r>
      <w:r w:rsidR="003B1F12" w:rsidRPr="00F06EA4">
        <w:rPr>
          <w:lang w:val="en-US"/>
        </w:rPr>
        <w:fldChar w:fldCharType="begin" w:fldLock="1"/>
      </w:r>
      <w:r w:rsidR="00F45F97" w:rsidRPr="00F06EA4">
        <w:rPr>
          <w:lang w:val="en-US"/>
        </w:rPr>
        <w:instrText>ADDIN CSL_CITATION {"citationItems":[{"id":"ITEM-1","itemData":{"DOI":"10.1038/nrc3829","ISSN":"1474-1768","PMID":"25291291","abstract":"Cancer cachexia is a devastating, multifactorial and often irreversible syndrome that affects around 50-80% of cancer patients, depending on the tumour type, and that leads to substantial weight loss, primarily from loss of skeletal muscle and body fat. Since cachexia may account for up to 20% of cancer deaths, understanding the underlying molecular mechanisms is essential. The occurrence of cachexia in cancer patients is dependent on the patient response to tumour progression, including the activation of the inflammatory response and energetic inefficiency involving the mitochondria. Interestingly, crosstalk between different cell types ultimately seems to result in muscle wasting. Some of the recent progress in understanding the molecular mechanisms of cachexia may lead to new therapeutic approaches.","author":[{"dropping-particle":"","family":"Argilés","given":"Josep M","non-dropping-particle":"","parse-names":false,"suffix":""},{"dropping-particle":"","family":"Busquets","given":"Sílvia","non-dropping-particle":"","parse-names":false,"suffix":""},{"dropping-particle":"","family":"Stemmler","given":"Britta","non-dropping-particle":"","parse-names":false,"suffix":""},{"dropping-particle":"","family":"López-Soriano","given":"Francisco J","non-dropping-particle":"","parse-names":false,"suffix":""}],"container-title":"Nature reviews. Cancer","id":"ITEM-1","issue":"11","issued":{"date-parts":[["2014","11"]]},"page":"754-62","title":"Cancer cachexia: understanding the molecular basis.","type":"article-journal","volume":"14"},"uris":["http://www.mendeley.com/documents/?uuid=86c3787a-6393-4b61-b1a4-f4335c991705"]}],"mendeley":{"formattedCitation":"&lt;sup&gt;[16]&lt;/sup&gt;","plainTextFormattedCitation":"[16]","previouslyFormattedCitation":"&lt;sup&gt;[16]&lt;/sup&gt;"},"properties":{"noteIndex":0},"schema":"https://github.com/citation-style-language/schema/raw/master/csl-citation.json"}</w:instrText>
      </w:r>
      <w:r w:rsidR="003B1F12" w:rsidRPr="00F06EA4">
        <w:rPr>
          <w:lang w:val="en-US"/>
        </w:rPr>
        <w:fldChar w:fldCharType="separate"/>
      </w:r>
      <w:r w:rsidR="00F45F97" w:rsidRPr="00F06EA4">
        <w:rPr>
          <w:noProof/>
          <w:vertAlign w:val="superscript"/>
          <w:lang w:val="en-US"/>
        </w:rPr>
        <w:t>[16]</w:t>
      </w:r>
      <w:r w:rsidR="003B1F12" w:rsidRPr="00F06EA4">
        <w:rPr>
          <w:lang w:val="en-US"/>
        </w:rPr>
        <w:fldChar w:fldCharType="end"/>
      </w:r>
      <w:r w:rsidR="00491202" w:rsidRPr="00F06EA4">
        <w:rPr>
          <w:lang w:val="en-US"/>
        </w:rPr>
        <w:t>.</w:t>
      </w:r>
    </w:p>
    <w:p w14:paraId="327A8CE0" w14:textId="719321E3" w:rsidR="00DC1708" w:rsidRPr="00F06EA4" w:rsidRDefault="00DC1708" w:rsidP="00F67ED8">
      <w:pPr>
        <w:spacing w:after="0"/>
        <w:ind w:firstLineChars="100" w:firstLine="240"/>
        <w:rPr>
          <w:lang w:val="en-US"/>
        </w:rPr>
      </w:pPr>
      <w:r w:rsidRPr="00F06EA4">
        <w:rPr>
          <w:lang w:val="en-US"/>
        </w:rPr>
        <w:t xml:space="preserve">The </w:t>
      </w:r>
      <w:r w:rsidRPr="00F06EA4">
        <w:rPr>
          <w:rStyle w:val="a6"/>
          <w:rFonts w:cs="Arial"/>
          <w:lang w:val="en-US"/>
        </w:rPr>
        <w:t>Apc</w:t>
      </w:r>
      <w:r w:rsidRPr="00F06EA4">
        <w:rPr>
          <w:rStyle w:val="a6"/>
          <w:rFonts w:cs="Arial"/>
          <w:vertAlign w:val="superscript"/>
          <w:lang w:val="en-US"/>
        </w:rPr>
        <w:t>Min/+</w:t>
      </w:r>
      <w:r w:rsidRPr="00F06EA4">
        <w:rPr>
          <w:lang w:val="en-US"/>
        </w:rPr>
        <w:t xml:space="preserve"> mouse is a widely used animal model of CRC and CRC-associated cachexia</w:t>
      </w:r>
      <w:r w:rsidR="00C031DB" w:rsidRPr="00F06EA4">
        <w:rPr>
          <w:lang w:val="en-US"/>
        </w:rPr>
        <w:fldChar w:fldCharType="begin" w:fldLock="1"/>
      </w:r>
      <w:r w:rsidR="00195B6D" w:rsidRPr="00F06EA4">
        <w:rPr>
          <w:lang w:val="en-US"/>
        </w:rPr>
        <w:instrText>ADDIN CSL_CITATION {"citationItems":[{"id":"ITEM-1","itemData":{"ISSN":"0036-8075","PMID":"1350108","abstract":"Germ-line mutations of the APC gene are responsible for familial adenomatous polyposis (FAP), an autosomal dominantly inherited disease in humans. Patients with FAP develop multiple benign colorectal tumors. Recently, a mouse lineage that exhibits an autosomal dominantly inherited predisposition to multiple intestinal neoplasia (Min) was described. Linkage analysis showed that the murine homolog of the APC gene (mApc) was tightly linked to the Min locus. Sequence comparison of mApc between normal and Min-affected mice identified a nonsense mutation, which cosegregated with the Min phenotype. This mutation is analogous to those found in FAP kindreds and in sporadic colorectal cancers.","author":[{"dropping-particle":"","family":"Su","given":"L K","non-dropping-particle":"","parse-names":false,"suffix":""},{"dropping-particle":"","family":"Kinzler","given":"K W","non-dropping-particle":"","parse-names":false,"suffix":""},{"dropping-particle":"","family":"Vogelstein","given":"B","non-dropping-particle":"","parse-names":false,"suffix":""},{"dropping-particle":"","family":"Preisinger","given":"A C","non-dropping-particle":"","parse-names":false,"suffix":""},{"dropping-particle":"","family":"Moser","given":"A R","non-dropping-particle":"","parse-names":false,"suffix":""},{"dropping-particle":"","family":"Luongo","given":"C","non-dropping-particle":"","parse-names":false,"suffix":""},{"dropping-particle":"","family":"Gould","given":"K A","non-dropping-particle":"","parse-names":false,"suffix":""},{"dropping-particle":"","family":"Dove","given":"W F","non-dropping-particle":"","parse-names":false,"suffix":""}],"container-title":"Science (New York, N.Y.)","id":"ITEM-1","issue":"5057","issued":{"date-parts":[["1992","5","1"]]},"page":"668-70","title":"Multiple intestinal neoplasia caused by a mutation in the murine homolog of the APC gene.","type":"article-journal","volume":"256"},"uris":["http://www.mendeley.com/documents/?uuid=0a3a47ce-ec13-3951-bf69-7e686cd7af66","http://www.mendeley.com/documents/?uuid=9b63cb46-27d0-40b6-b615-1d4526f00f36"]}],"mendeley":{"formattedCitation":"&lt;sup&gt;[132]&lt;/sup&gt;","plainTextFormattedCitation":"[132]","previouslyFormattedCitation":"&lt;sup&gt;[132]&lt;/sup&gt;"},"properties":{"noteIndex":0},"schema":"https://github.com/citation-style-language/schema/raw/master/csl-citation.json"}</w:instrText>
      </w:r>
      <w:r w:rsidR="00C031DB" w:rsidRPr="00F06EA4">
        <w:rPr>
          <w:lang w:val="en-US"/>
        </w:rPr>
        <w:fldChar w:fldCharType="separate"/>
      </w:r>
      <w:r w:rsidR="00F45F97" w:rsidRPr="00F06EA4">
        <w:rPr>
          <w:noProof/>
          <w:vertAlign w:val="superscript"/>
          <w:lang w:val="en-US"/>
        </w:rPr>
        <w:t>[132]</w:t>
      </w:r>
      <w:r w:rsidR="00C031DB" w:rsidRPr="00F06EA4">
        <w:rPr>
          <w:lang w:val="en-US"/>
        </w:rPr>
        <w:fldChar w:fldCharType="end"/>
      </w:r>
      <w:r w:rsidRPr="00F06EA4">
        <w:rPr>
          <w:lang w:val="en-US"/>
        </w:rPr>
        <w:t xml:space="preserve">. In this mouse line, the cachexia progression is associated with increased plasma IL6 levels, and cachexia </w:t>
      </w:r>
      <w:r w:rsidR="00F92B46" w:rsidRPr="00F06EA4">
        <w:rPr>
          <w:lang w:val="en-US"/>
        </w:rPr>
        <w:t>does not progress i</w:t>
      </w:r>
      <w:r w:rsidRPr="00F06EA4">
        <w:rPr>
          <w:lang w:val="en-US"/>
        </w:rPr>
        <w:t>n the absence of IL6 despite the presence of intestinal and colon tumors</w:t>
      </w:r>
      <w:r w:rsidR="0083557D" w:rsidRPr="00F06EA4">
        <w:rPr>
          <w:lang w:val="en-US"/>
        </w:rPr>
        <w:fldChar w:fldCharType="begin" w:fldLock="1"/>
      </w:r>
      <w:r w:rsidR="00F45F97" w:rsidRPr="00F06EA4">
        <w:rPr>
          <w:lang w:val="en-US"/>
        </w:rPr>
        <w:instrText>ADDIN CSL_CITATION {"citationItems":[{"id":"ITEM-1","itemData":{"DOI":"10.1152/ajpregu.00716.2007","ISSN":"0363-6119","PMID":"18056981","abstract":"The Apc(Min/+) mouse has a mutation in the Apc tumor suppressor gene and develops intestinal polyps, beginning at 4 wk of age. This mouse develops cachexia by 6 mo, characterized by significant loss of muscle and fat tissue. The purpose of the present study was to determine the role of circulating interleukin-6 (IL-6) and the polyp burden for the development of cachexia in Apc(Min/+) mice. At 26 wk of age, mice exhibiting severe cachectic symptoms had a 61% decrease in gastrocnemius muscle weight, complete loss of epididymal fat, a 10-fold increase in circulating IL-6 levels, and an 89% increase in intestinal polyps compared with mildly cachectic animals. Apc(Min/+)/IL-6(-/-) mice did not lose gastrocnemius muscle mass or epididymal fat pad mass while overall polyp number decreased by 32% compared with Apc(Min/+) mice. Plasmid-based IL-6 overexpression in Apc(Min/+)/IL-6(-/-) mice led to a decrease in gastrocnemius muscle mass and epididymal fat pad mass and increased intestinal polyp burden. IL-6 overexpression did not induce cachexia in non-tumor-bearing mice. These data demonstrate that IL-6 is necessary for the onset of adipose and skeletal muscle wasting in the Apc(Min/+) mouse and that circulating IL-6 can regulate Apc(Min/+) mouse tumor burden.","author":[{"dropping-particle":"","family":"Baltgalvis","given":"Kristen A.","non-dropping-particle":"","parse-names":false,"suffix":""},{"dropping-particle":"","family":"Berger","given":"Franklin G.","non-dropping-particle":"","parse-names":false,"suffix":""},{"dropping-particle":"","family":"Pena","given":"Maria Marjorette O.","non-dropping-particle":"","parse-names":false,"suffix":""},{"dropping-particle":"","family":"Davis","given":"J. Mark","non-dropping-particle":"","parse-names":false,"suffix":""},{"dropping-particle":"","family":"Muga","given":"Stephanie J.","non-dropping-particle":"","parse-names":false,"suffix":""},{"dropping-particle":"","family":"Carson","given":"James A.","non-dropping-particle":"","parse-names":false,"suffix":""}],"container-title":"American Journal of Physiology-Regulatory, Integrative and Comparative Physiology","id":"ITEM-1","issue":"2","issued":{"date-parts":[["2008","2"]]},"page":"R393-R401","title":"Interleukin-6 and cachexia in Apc Min/+ mice","type":"article-journal","volume":"294"},"uris":["http://www.mendeley.com/documents/?uuid=8b542d93-efab-3262-9698-b694b566eb7f","http://www.mendeley.com/documents/?uuid=84700b1c-4840-4f00-91a7-35ca306321f9"]}],"mendeley":{"formattedCitation":"&lt;sup&gt;[133]&lt;/sup&gt;","plainTextFormattedCitation":"[133]","previouslyFormattedCitation":"&lt;sup&gt;[133]&lt;/sup&gt;"},"properties":{"noteIndex":0},"schema":"https://github.com/citation-style-language/schema/raw/master/csl-citation.json"}</w:instrText>
      </w:r>
      <w:r w:rsidR="0083557D" w:rsidRPr="00F06EA4">
        <w:rPr>
          <w:lang w:val="en-US"/>
        </w:rPr>
        <w:fldChar w:fldCharType="separate"/>
      </w:r>
      <w:r w:rsidR="00F45F97" w:rsidRPr="00F06EA4">
        <w:rPr>
          <w:noProof/>
          <w:vertAlign w:val="superscript"/>
          <w:lang w:val="en-US"/>
        </w:rPr>
        <w:t>[133]</w:t>
      </w:r>
      <w:r w:rsidR="0083557D" w:rsidRPr="00F06EA4">
        <w:rPr>
          <w:lang w:val="en-US"/>
        </w:rPr>
        <w:fldChar w:fldCharType="end"/>
      </w:r>
      <w:r w:rsidR="007E3AD8" w:rsidRPr="00F06EA4">
        <w:rPr>
          <w:lang w:val="en-US"/>
        </w:rPr>
        <w:t>.</w:t>
      </w:r>
      <w:r w:rsidRPr="00F06EA4">
        <w:rPr>
          <w:lang w:val="en-US"/>
        </w:rPr>
        <w:t xml:space="preserve"> However, in control mice</w:t>
      </w:r>
      <w:r w:rsidR="00F577E1" w:rsidRPr="00F06EA4">
        <w:rPr>
          <w:lang w:val="en-US"/>
        </w:rPr>
        <w:t>, the</w:t>
      </w:r>
      <w:r w:rsidR="00061F0F" w:rsidRPr="00F06EA4">
        <w:rPr>
          <w:lang w:val="en-US"/>
        </w:rPr>
        <w:t xml:space="preserve"> </w:t>
      </w:r>
      <w:r w:rsidR="00F577E1" w:rsidRPr="00F06EA4">
        <w:rPr>
          <w:lang w:val="en-US"/>
        </w:rPr>
        <w:t xml:space="preserve">overexpression of </w:t>
      </w:r>
      <w:r w:rsidR="00061F0F" w:rsidRPr="00F06EA4">
        <w:rPr>
          <w:lang w:val="en-US"/>
        </w:rPr>
        <w:t>IL6</w:t>
      </w:r>
      <w:r w:rsidRPr="00F06EA4">
        <w:rPr>
          <w:lang w:val="en-US"/>
        </w:rPr>
        <w:t xml:space="preserve"> do</w:t>
      </w:r>
      <w:r w:rsidR="00061F0F" w:rsidRPr="00F06EA4">
        <w:rPr>
          <w:lang w:val="en-US"/>
        </w:rPr>
        <w:t>es</w:t>
      </w:r>
      <w:r w:rsidRPr="00F06EA4">
        <w:rPr>
          <w:lang w:val="en-US"/>
        </w:rPr>
        <w:t xml:space="preserve"> not induce cachexia</w:t>
      </w:r>
      <w:r w:rsidR="00C031DB" w:rsidRPr="00F06EA4">
        <w:rPr>
          <w:lang w:val="en-US"/>
        </w:rPr>
        <w:fldChar w:fldCharType="begin" w:fldLock="1"/>
      </w:r>
      <w:r w:rsidR="00F45F97" w:rsidRPr="00F06EA4">
        <w:rPr>
          <w:lang w:val="en-US"/>
        </w:rPr>
        <w:instrText>ADDIN CSL_CITATION {"citationItems":[{"id":"ITEM-1","itemData":{"DOI":"10.1152/ajpregu.00716.2007","ISSN":"0363-6119","PMID":"18056981","abstract":"The Apc(Min/+) mouse has a mutation in the Apc tumor suppressor gene and develops intestinal polyps, beginning at 4 wk of age. This mouse develops cachexia by 6 mo, characterized by significant loss of muscle and fat tissue. The purpose of the present study was to determine the role of circulating interleukin-6 (IL-6) and the polyp burden for the development of cachexia in Apc(Min/+) mice. At 26 wk of age, mice exhibiting severe cachectic symptoms had a 61% decrease in gastrocnemius muscle weight, complete loss of epididymal fat, a 10-fold increase in circulating IL-6 levels, and an 89% increase in intestinal polyps compared with mildly cachectic animals. Apc(Min/+)/IL-6(-/-) mice did not lose gastrocnemius muscle mass or epididymal fat pad mass while overall polyp number decreased by 32% compared with Apc(Min/+) mice. Plasmid-based IL-6 overexpression in Apc(Min/+)/IL-6(-/-) mice led to a decrease in gastrocnemius muscle mass and epididymal fat pad mass and increased intestinal polyp burden. IL-6 overexpression did not induce cachexia in non-tumor-bearing mice. These data demonstrate that IL-6 is necessary for the onset of adipose and skeletal muscle wasting in the Apc(Min/+) mouse and that circulating IL-6 can regulate Apc(Min/+) mouse tumor burden.","author":[{"dropping-particle":"","family":"Baltgalvis","given":"Kristen A.","non-dropping-particle":"","parse-names":false,"suffix":""},{"dropping-particle":"","family":"Berger","given":"Franklin G.","non-dropping-particle":"","parse-names":false,"suffix":""},{"dropping-particle":"","family":"Pena","given":"Maria Marjorette O.","non-dropping-particle":"","parse-names":false,"suffix":""},{"dropping-particle":"","family":"Davis","given":"J. Mark","non-dropping-particle":"","parse-names":false,"suffix":""},{"dropping-particle":"","family":"Muga","given":"Stephanie J.","non-dropping-particle":"","parse-names":false,"suffix":""},{"dropping-particle":"","family":"Carson","given":"James A.","non-dropping-particle":"","parse-names":false,"suffix":""}],"container-title":"American Journal of Physiology-Regulatory, Integrative and Comparative Physiology","id":"ITEM-1","issue":"2","issued":{"date-parts":[["2008","2"]]},"page":"R393-R401","title":"Interleukin-6 and cachexia in Apc Min/+ mice","type":"article-journal","volume":"294"},"uris":["http://www.mendeley.com/documents/?uuid=84700b1c-4840-4f00-91a7-35ca306321f9","http://www.mendeley.com/documents/?uuid=8b542d93-efab-3262-9698-b694b566eb7f"]}],"mendeley":{"formattedCitation":"&lt;sup&gt;[133]&lt;/sup&gt;","plainTextFormattedCitation":"[133]","previouslyFormattedCitation":"&lt;sup&gt;[133]&lt;/sup&gt;"},"properties":{"noteIndex":0},"schema":"https://github.com/citation-style-language/schema/raw/master/csl-citation.json"}</w:instrText>
      </w:r>
      <w:r w:rsidR="00C031DB" w:rsidRPr="00F06EA4">
        <w:rPr>
          <w:lang w:val="en-US"/>
        </w:rPr>
        <w:fldChar w:fldCharType="separate"/>
      </w:r>
      <w:r w:rsidR="00F45F97" w:rsidRPr="00F06EA4">
        <w:rPr>
          <w:noProof/>
          <w:vertAlign w:val="superscript"/>
          <w:lang w:val="en-US"/>
        </w:rPr>
        <w:t>[133]</w:t>
      </w:r>
      <w:r w:rsidR="00C031DB" w:rsidRPr="00F06EA4">
        <w:rPr>
          <w:lang w:val="en-US"/>
        </w:rPr>
        <w:fldChar w:fldCharType="end"/>
      </w:r>
      <w:r w:rsidR="00F577E1" w:rsidRPr="00F06EA4">
        <w:rPr>
          <w:lang w:val="en-US"/>
        </w:rPr>
        <w:t>,</w:t>
      </w:r>
      <w:r w:rsidR="00061F0F" w:rsidRPr="00F06EA4">
        <w:rPr>
          <w:lang w:val="en-US"/>
        </w:rPr>
        <w:t xml:space="preserve"> </w:t>
      </w:r>
      <w:r w:rsidR="00F577E1" w:rsidRPr="00F06EA4">
        <w:rPr>
          <w:lang w:val="en-US"/>
        </w:rPr>
        <w:t xml:space="preserve">suggesting </w:t>
      </w:r>
      <w:r w:rsidR="007B09E1" w:rsidRPr="00F06EA4">
        <w:rPr>
          <w:lang w:val="en-US"/>
        </w:rPr>
        <w:t xml:space="preserve">that </w:t>
      </w:r>
      <w:r w:rsidRPr="00F06EA4">
        <w:rPr>
          <w:lang w:val="en-US"/>
        </w:rPr>
        <w:t xml:space="preserve">IL6 is </w:t>
      </w:r>
      <w:r w:rsidR="007E2804" w:rsidRPr="00F06EA4">
        <w:rPr>
          <w:lang w:val="en-US"/>
        </w:rPr>
        <w:t xml:space="preserve">an </w:t>
      </w:r>
      <w:r w:rsidR="00E6386D" w:rsidRPr="00F06EA4">
        <w:rPr>
          <w:lang w:val="en-US"/>
        </w:rPr>
        <w:t>indispensable</w:t>
      </w:r>
      <w:r w:rsidR="00532FD7" w:rsidRPr="00F06EA4">
        <w:rPr>
          <w:lang w:val="en-US"/>
        </w:rPr>
        <w:t xml:space="preserve"> but not sufficient</w:t>
      </w:r>
      <w:r w:rsidR="007B09E1" w:rsidRPr="00F06EA4">
        <w:rPr>
          <w:lang w:val="en-US"/>
        </w:rPr>
        <w:t xml:space="preserve"> factor in cancer cachex</w:t>
      </w:r>
      <w:r w:rsidR="00532FD7" w:rsidRPr="00F06EA4">
        <w:rPr>
          <w:lang w:val="en-US"/>
        </w:rPr>
        <w:t>i</w:t>
      </w:r>
      <w:r w:rsidR="007B09E1" w:rsidRPr="00F06EA4">
        <w:rPr>
          <w:lang w:val="en-US"/>
        </w:rPr>
        <w:t>a</w:t>
      </w:r>
      <w:r w:rsidR="00F577E1" w:rsidRPr="00F06EA4">
        <w:rPr>
          <w:lang w:val="en-US"/>
        </w:rPr>
        <w:t xml:space="preserve"> pathogenesis</w:t>
      </w:r>
      <w:r w:rsidR="00532FD7" w:rsidRPr="00F06EA4">
        <w:rPr>
          <w:lang w:val="en-US"/>
        </w:rPr>
        <w:t>.</w:t>
      </w:r>
      <w:r w:rsidR="007B09E1" w:rsidRPr="00F06EA4">
        <w:rPr>
          <w:lang w:val="en-US"/>
        </w:rPr>
        <w:t xml:space="preserve"> </w:t>
      </w:r>
      <w:r w:rsidR="004E1260" w:rsidRPr="00F06EA4">
        <w:rPr>
          <w:lang w:val="en-US"/>
        </w:rPr>
        <w:t>Systemic inflammation</w:t>
      </w:r>
      <w:r w:rsidR="009005DE" w:rsidRPr="00F06EA4">
        <w:rPr>
          <w:lang w:val="en-US"/>
        </w:rPr>
        <w:t xml:space="preserve"> in </w:t>
      </w:r>
      <w:r w:rsidR="007E2804" w:rsidRPr="00F06EA4">
        <w:rPr>
          <w:lang w:val="en-US"/>
        </w:rPr>
        <w:t xml:space="preserve">the </w:t>
      </w:r>
      <w:r w:rsidR="009005DE" w:rsidRPr="00F06EA4">
        <w:rPr>
          <w:lang w:val="en-US"/>
        </w:rPr>
        <w:t>absence of malignancy</w:t>
      </w:r>
      <w:r w:rsidR="004E1260" w:rsidRPr="00F06EA4">
        <w:rPr>
          <w:lang w:val="en-US"/>
        </w:rPr>
        <w:t xml:space="preserve">, such as </w:t>
      </w:r>
      <w:r w:rsidR="004F13FA" w:rsidRPr="00F06EA4">
        <w:rPr>
          <w:lang w:val="en-US"/>
        </w:rPr>
        <w:lastRenderedPageBreak/>
        <w:t xml:space="preserve">in </w:t>
      </w:r>
      <w:r w:rsidR="004E1260" w:rsidRPr="00F06EA4">
        <w:rPr>
          <w:lang w:val="en-US"/>
        </w:rPr>
        <w:t xml:space="preserve">sepsis, </w:t>
      </w:r>
      <w:r w:rsidR="009005DE" w:rsidRPr="00F06EA4">
        <w:rPr>
          <w:lang w:val="en-US"/>
        </w:rPr>
        <w:t>is also able to induce severe muscle wasting</w:t>
      </w:r>
      <w:r w:rsidR="009005DE" w:rsidRPr="00F06EA4">
        <w:rPr>
          <w:lang w:val="en-US"/>
        </w:rPr>
        <w:fldChar w:fldCharType="begin" w:fldLock="1"/>
      </w:r>
      <w:r w:rsidR="00F45F97" w:rsidRPr="00F06EA4">
        <w:rPr>
          <w:lang w:val="en-US"/>
        </w:rPr>
        <w:instrText>ADDIN CSL_CITATION {"citationItems":[{"id":"ITEM-1","itemData":{"DOI":"10.1152/ajpcell.1992.262.6.C1513","ISSN":"0363-6143","PMID":"1377447","abstract":"Sepsis is associated with severe muscle wasting. Mechanisms responsible for sepsis-induced alterations in muscle protein metabolism were investigated in vivo and compared with changes induced by nonseptic inflammation. The rate of protein synthesis in mixed hindlimb muscles was not altered in inflammation but was inhibited 50% in sepsis. This inhibition did not result from a decreased RNA content. Instead, the translational efficiency was significantly reduced by 50% in skeletal muscle of septic animals compared with control. The effect of sepsis to lower the rate of protein synthesis was further examined using individual muscles containing different fiber types. Both the protein concentration and protein synthetic rate in fast-twitch muscles were reduced by sepsis, whereas neither of these parameters was affected in slow-twitch muscles or heart. The decreased translational efficiency did not result from a change in the rate of peptide-chain elongation. Instead, the sepsis-induced inhibition of protein synthesis resulted from a restraint in peptide-chain initiation because sepsis caused a 1.6-fold increase in free ribosomal subunits. Overall, sepsis, but not inflammation, caused an inhibition of protein synthesis primarily in muscles composed of fast-twitch fibers. The mechanism involved in the reduced rates of protein synthesis in muscles resulted from an inhibition of peptide-chain initiation, with no change in peptide-chain elongation.","author":[{"dropping-particle":"","family":"Vary","given":"T. C.","non-dropping-particle":"","parse-names":false,"suffix":""},{"dropping-particle":"","family":"Kimball","given":"S. R.","non-dropping-particle":"","parse-names":false,"suffix":""}],"container-title":"American Journal of Physiology-Cell Physiology","id":"ITEM-1","issue":"6","issued":{"date-parts":[["1992"]]},"page":"C1513-C1519","title":"Sepsis-induced changes in protein synthesis: differential effects on fast- and slow-twitch muscles","type":"article-journal","volume":"262"},"uris":["http://www.mendeley.com/documents/?uuid=511cbc8c-2dec-3b1e-8773-5d3cd8233ee4","http://www.mendeley.com/documents/?uuid=29e77cb8-5c03-4da6-869d-5797c5a0389c"]}],"mendeley":{"formattedCitation":"&lt;sup&gt;[134]&lt;/sup&gt;","plainTextFormattedCitation":"[134]","previouslyFormattedCitation":"&lt;sup&gt;[134]&lt;/sup&gt;"},"properties":{"noteIndex":0},"schema":"https://github.com/citation-style-language/schema/raw/master/csl-citation.json"}</w:instrText>
      </w:r>
      <w:r w:rsidR="009005DE" w:rsidRPr="00F06EA4">
        <w:rPr>
          <w:lang w:val="en-US"/>
        </w:rPr>
        <w:fldChar w:fldCharType="separate"/>
      </w:r>
      <w:r w:rsidR="00F45F97" w:rsidRPr="00F06EA4">
        <w:rPr>
          <w:noProof/>
          <w:vertAlign w:val="superscript"/>
          <w:lang w:val="en-US"/>
        </w:rPr>
        <w:t>[134]</w:t>
      </w:r>
      <w:r w:rsidR="009005DE" w:rsidRPr="00F06EA4">
        <w:rPr>
          <w:lang w:val="en-US"/>
        </w:rPr>
        <w:fldChar w:fldCharType="end"/>
      </w:r>
      <w:r w:rsidR="00F577E1" w:rsidRPr="00F06EA4">
        <w:rPr>
          <w:lang w:val="en-US"/>
        </w:rPr>
        <w:t>,</w:t>
      </w:r>
      <w:r w:rsidR="009005DE" w:rsidRPr="00F06EA4">
        <w:rPr>
          <w:lang w:val="en-US"/>
        </w:rPr>
        <w:t xml:space="preserve"> verifying that </w:t>
      </w:r>
      <w:r w:rsidR="007016B7" w:rsidRPr="00F06EA4">
        <w:rPr>
          <w:lang w:val="en-US"/>
        </w:rPr>
        <w:t>active</w:t>
      </w:r>
      <w:r w:rsidR="009005DE" w:rsidRPr="00F06EA4">
        <w:rPr>
          <w:lang w:val="en-US"/>
        </w:rPr>
        <w:t xml:space="preserve"> inflammatory reaction is </w:t>
      </w:r>
      <w:r w:rsidR="003C5506" w:rsidRPr="00F06EA4">
        <w:rPr>
          <w:lang w:val="en-US"/>
        </w:rPr>
        <w:t>an important</w:t>
      </w:r>
      <w:r w:rsidR="009005DE" w:rsidRPr="00F06EA4">
        <w:rPr>
          <w:lang w:val="en-US"/>
        </w:rPr>
        <w:t xml:space="preserve"> driver in muscle catabolism.   </w:t>
      </w:r>
    </w:p>
    <w:p w14:paraId="65A93C4D" w14:textId="292E5AE7" w:rsidR="00FE2363" w:rsidRPr="00F06EA4" w:rsidRDefault="005D7275" w:rsidP="00F67ED8">
      <w:pPr>
        <w:spacing w:after="0"/>
        <w:ind w:firstLineChars="100" w:firstLine="240"/>
        <w:rPr>
          <w:color w:val="3E3D40"/>
          <w:shd w:val="clear" w:color="auto" w:fill="FFFFFF"/>
          <w:lang w:val="en-US"/>
        </w:rPr>
      </w:pPr>
      <w:r w:rsidRPr="00F06EA4">
        <w:rPr>
          <w:shd w:val="clear" w:color="auto" w:fill="FFFFFF"/>
          <w:lang w:val="en-US"/>
        </w:rPr>
        <w:t>Active i</w:t>
      </w:r>
      <w:r w:rsidR="00D077F7" w:rsidRPr="00F06EA4">
        <w:rPr>
          <w:shd w:val="clear" w:color="auto" w:fill="FFFFFF"/>
          <w:lang w:val="en-US"/>
        </w:rPr>
        <w:t xml:space="preserve">mmune </w:t>
      </w:r>
      <w:r w:rsidRPr="00F06EA4">
        <w:rPr>
          <w:shd w:val="clear" w:color="auto" w:fill="FFFFFF"/>
          <w:lang w:val="en-US"/>
        </w:rPr>
        <w:t xml:space="preserve">response is </w:t>
      </w:r>
      <w:r w:rsidR="007E2804" w:rsidRPr="00F06EA4">
        <w:rPr>
          <w:shd w:val="clear" w:color="auto" w:fill="FFFFFF"/>
          <w:lang w:val="en-US"/>
        </w:rPr>
        <w:t xml:space="preserve">a </w:t>
      </w:r>
      <w:r w:rsidRPr="00F06EA4">
        <w:rPr>
          <w:shd w:val="clear" w:color="auto" w:fill="FFFFFF"/>
          <w:lang w:val="en-US"/>
        </w:rPr>
        <w:t xml:space="preserve">highly </w:t>
      </w:r>
      <w:r w:rsidR="007E2804" w:rsidRPr="00F06EA4">
        <w:rPr>
          <w:shd w:val="clear" w:color="auto" w:fill="FFFFFF"/>
          <w:lang w:val="en-US"/>
        </w:rPr>
        <w:t>energy-</w:t>
      </w:r>
      <w:r w:rsidRPr="00F06EA4">
        <w:rPr>
          <w:shd w:val="clear" w:color="auto" w:fill="FFFFFF"/>
          <w:lang w:val="en-US"/>
        </w:rPr>
        <w:t>consuming process</w:t>
      </w:r>
      <w:r w:rsidR="002050E6" w:rsidRPr="00F06EA4">
        <w:rPr>
          <w:lang w:val="en-US"/>
        </w:rPr>
        <w:fldChar w:fldCharType="begin" w:fldLock="1"/>
      </w:r>
      <w:r w:rsidR="00195B6D" w:rsidRPr="00F06EA4">
        <w:rPr>
          <w:shd w:val="clear" w:color="auto" w:fill="FFFFFF"/>
          <w:lang w:val="en-US"/>
        </w:rPr>
        <w:instrText>ADDIN CSL_CITATION {"citationItems":[{"id":"ITEM-1","itemData":{"DOI":"10.3389/fgene.2012.00267","ISSN":"1664-8021","PMID":"23413205","abstract":"The immune system is a life history trait that can be expected to trade off against other life history traits. Whether or not a trait is considered to be a life history trait has consequences for the expectation on how it responds to natural selection and evolution; in addition, it may have consequences for the outcome of artificial selection when it is included in the breeding objective. The immune system involved in pathogen resistance comprises multiple mechanisms that define a host's defensive capacity. Immune resistance involves employing mechanisms that either prevent pathogens from invading or eliminate the pathogens when they do invade. On the other hand, tolerance involves limiting the damage that is caused by the infection. Both tolerance and resistance traits require (re)allocation of resources and carry physiological costs. Examples of trade-offs between immune function and growth, reproduction and stress response are provided in this review, in addition to consequences of selection for increased production on immune function and vice versa. Reaction norms are used to deal with questions of immune resistance vs. tolerance to pathogens that relate host health to infection intensity. In essence, selection for immune tolerance in livestock is a particular case of selection for animal robustness. Since breeding goals that include robustness traits are required in the implementation of more sustainable agricultural production systems, it is of interest to investigate whether immune tolerance is a robustness trait that is positively correlated with overall animal robustness. Considerably more research is needed to estimate the shapes of the cost functions of different immune strategies, and investigate trade-offs and cross-over benefits of selection for disease resistance and/or disease tolerance in livestock production.","author":[{"dropping-particle":"","family":"Rauw","given":"Wendy M.","non-dropping-particle":"","parse-names":false,"suffix":""}],"container-title":"Frontiers in Genetics","id":"ITEM-1","issued":{"date-parts":[["2012"]]},"page":"267","title":"Immune response from a resource allocation perspective","type":"article-journal","volume":"3"},"uris":["http://www.mendeley.com/documents/?uuid=e029d692-fb03-3522-8ccb-abda23d39e6f","http://www.mendeley.com/documents/?uuid=30fd5a8c-9926-4f8d-92b4-448328f69f6b"]},{"id":"ITEM-2","itemData":{"DOI":"10.1152/ajpregu.1997.273.5.R1631","ISSN":"0002-9513","PMID":"9374803","abstract":"Animals must balance their energy budget despite seasonal changes in both energy availability and physiological expenditures. Immunity, in addition to growth, thermoregulation, and cellular maintenance, requires substantial energy to maintain function, although few studies have directly tested the energetic cost of immunity. The present study assessed the metabolic costs of an antibody response. Adult and aged male C5BL/6J mice were implanted with either empty Silastic capsules or capsules filled with melatonin and injected with either saline or keyhole limpet hemocyanin (KLH). O2 consumption was monitored periodically throughout antibody production using indirect calorimetry. KLH-injected mice mounted significant immunoglobulin G (IgG) responses and consumed more O2 compared with animals injected with saline. Melatonin treatment increased O2 consumption in mice injected with saline but suppressed the increased metabolic rate associated with an immune response in KLH-injected animals. Melatonin had no effect on immune response to KLH. Adult and aged mice did not differ in antibody response or metabolic activity. Aged mice appear unable to maintain sufficient heat production despite comparable O2 production to adult mice. These results suggest that mounting an immune response requires significant energy and therefore requires using resources that could otherwise be allocated to other physiological processes. Energetic trade-offs are likely when energy demands are high (e.g., during winter, pregnancy, or lactation). Melatonin appears to play an adaptive role in coordinating reproductive, immunologic, and energetic processes.","author":[{"dropping-particle":"","family":"Demas","given":"G E","non-dropping-particle":"","parse-names":false,"suffix":""},{"dropping-particle":"","family":"Chefer","given":"V","non-dropping-particle":"","parse-names":false,"suffix":""},{"dropping-particle":"","family":"Talan","given":"M I","non-dropping-particle":"","parse-names":false,"suffix":""},{"dropping-particle":"","family":"Nelson","given":"R J","non-dropping-particle":"","parse-names":false,"suffix":""}],"container-title":"The American journal of physiology","id":"ITEM-2","issue":"5","issued":{"date-parts":[["1997"]]},"page":"R1631-7","title":"Metabolic costs of mounting an antigen-stimulated immune response in adult and aged C57BL/6J mice.","type":"article-journal","volume":"273"},"uris":["http://www.mendeley.com/documents/?uuid=3da79e01-d423-33af-b7a8-6cdcd7ae5bb8","http://www.mendeley.com/documents/?uuid=63ad2c08-2a76-462a-a0b2-d1c9751daf8c"]}],"mendeley":{"formattedCitation":"&lt;sup&gt;[135,136]&lt;/sup&gt;","plainTextFormattedCitation":"[135,136]","previouslyFormattedCitation":"&lt;sup&gt;[135,136]&lt;/sup&gt;"},"properties":{"noteIndex":0},"schema":"https://github.com/citation-style-language/schema/raw/master/csl-citation.json"}</w:instrText>
      </w:r>
      <w:r w:rsidR="002050E6" w:rsidRPr="00F06EA4">
        <w:rPr>
          <w:shd w:val="clear" w:color="auto" w:fill="FFFFFF"/>
          <w:lang w:val="en-US"/>
        </w:rPr>
        <w:fldChar w:fldCharType="separate"/>
      </w:r>
      <w:r w:rsidR="00F45F97" w:rsidRPr="00F06EA4">
        <w:rPr>
          <w:noProof/>
          <w:shd w:val="clear" w:color="auto" w:fill="FFFFFF"/>
          <w:vertAlign w:val="superscript"/>
          <w:lang w:val="en-US"/>
        </w:rPr>
        <w:t>[135,136]</w:t>
      </w:r>
      <w:r w:rsidR="002050E6" w:rsidRPr="00F06EA4">
        <w:rPr>
          <w:lang w:val="en-US"/>
        </w:rPr>
        <w:fldChar w:fldCharType="end"/>
      </w:r>
      <w:r w:rsidRPr="00F06EA4">
        <w:rPr>
          <w:shd w:val="clear" w:color="auto" w:fill="FFFFFF"/>
          <w:lang w:val="en-US"/>
        </w:rPr>
        <w:t xml:space="preserve">. Thus, activation of systemic inflammation in cancer patients </w:t>
      </w:r>
      <w:r w:rsidR="009269F9" w:rsidRPr="00F06EA4">
        <w:rPr>
          <w:shd w:val="clear" w:color="auto" w:fill="FFFFFF"/>
          <w:lang w:val="en-US"/>
        </w:rPr>
        <w:t>requires the</w:t>
      </w:r>
      <w:r w:rsidRPr="00F06EA4">
        <w:rPr>
          <w:shd w:val="clear" w:color="auto" w:fill="FFFFFF"/>
          <w:lang w:val="en-US"/>
        </w:rPr>
        <w:t xml:space="preserve"> </w:t>
      </w:r>
      <w:r w:rsidR="009269F9" w:rsidRPr="00F06EA4">
        <w:rPr>
          <w:shd w:val="clear" w:color="auto" w:fill="FFFFFF"/>
          <w:lang w:val="en-US"/>
        </w:rPr>
        <w:t xml:space="preserve">utilization of </w:t>
      </w:r>
      <w:r w:rsidRPr="00F06EA4">
        <w:rPr>
          <w:shd w:val="clear" w:color="auto" w:fill="FFFFFF"/>
          <w:lang w:val="en-US"/>
        </w:rPr>
        <w:t xml:space="preserve">stored energy and nutrients, especially </w:t>
      </w:r>
      <w:r w:rsidR="007E2804" w:rsidRPr="00F06EA4">
        <w:rPr>
          <w:shd w:val="clear" w:color="auto" w:fill="FFFFFF"/>
          <w:lang w:val="en-US"/>
        </w:rPr>
        <w:t xml:space="preserve">as </w:t>
      </w:r>
      <w:r w:rsidRPr="00F06EA4">
        <w:rPr>
          <w:shd w:val="clear" w:color="auto" w:fill="FFFFFF"/>
          <w:lang w:val="en-US"/>
        </w:rPr>
        <w:t xml:space="preserve">anorexia is a common </w:t>
      </w:r>
      <w:r w:rsidR="00F21C11" w:rsidRPr="00F06EA4">
        <w:rPr>
          <w:shd w:val="clear" w:color="auto" w:fill="FFFFFF"/>
          <w:lang w:val="en-US"/>
        </w:rPr>
        <w:t>symptom in</w:t>
      </w:r>
      <w:r w:rsidRPr="00F06EA4">
        <w:rPr>
          <w:shd w:val="clear" w:color="auto" w:fill="FFFFFF"/>
          <w:lang w:val="en-US"/>
        </w:rPr>
        <w:t xml:space="preserve"> cancer patient</w:t>
      </w:r>
      <w:r w:rsidR="007E2804" w:rsidRPr="00F06EA4">
        <w:rPr>
          <w:shd w:val="clear" w:color="auto" w:fill="FFFFFF"/>
          <w:lang w:val="en-US"/>
        </w:rPr>
        <w:t>s</w:t>
      </w:r>
      <w:r w:rsidRPr="00F06EA4">
        <w:rPr>
          <w:shd w:val="clear" w:color="auto" w:fill="FFFFFF"/>
          <w:lang w:val="en-US"/>
        </w:rPr>
        <w:t xml:space="preserve"> with advanced </w:t>
      </w:r>
      <w:r w:rsidR="007E2804" w:rsidRPr="00F06EA4">
        <w:rPr>
          <w:shd w:val="clear" w:color="auto" w:fill="FFFFFF"/>
          <w:lang w:val="en-US"/>
        </w:rPr>
        <w:t>disease</w:t>
      </w:r>
      <w:r w:rsidRPr="00F06EA4">
        <w:rPr>
          <w:shd w:val="clear" w:color="auto" w:fill="FFFFFF"/>
          <w:lang w:val="en-US"/>
        </w:rPr>
        <w:t xml:space="preserve">. </w:t>
      </w:r>
      <w:r w:rsidR="00F02018" w:rsidRPr="00F06EA4">
        <w:rPr>
          <w:shd w:val="clear" w:color="auto" w:fill="FFFFFF"/>
          <w:lang w:val="en-US"/>
        </w:rPr>
        <w:t>Recently, we investigated the relationships between systemic inflammatory markers and circulating</w:t>
      </w:r>
      <w:r w:rsidR="00923AC1" w:rsidRPr="00F06EA4">
        <w:rPr>
          <w:shd w:val="clear" w:color="auto" w:fill="FFFFFF"/>
          <w:lang w:val="en-US"/>
        </w:rPr>
        <w:t xml:space="preserve"> levels of nine</w:t>
      </w:r>
      <w:r w:rsidR="00F02018" w:rsidRPr="00F06EA4">
        <w:rPr>
          <w:shd w:val="clear" w:color="auto" w:fill="FFFFFF"/>
          <w:lang w:val="en-US"/>
        </w:rPr>
        <w:t xml:space="preserve"> amino acid</w:t>
      </w:r>
      <w:r w:rsidR="00923AC1" w:rsidRPr="00F06EA4">
        <w:rPr>
          <w:shd w:val="clear" w:color="auto" w:fill="FFFFFF"/>
          <w:lang w:val="en-US"/>
        </w:rPr>
        <w:t>s</w:t>
      </w:r>
      <w:r w:rsidR="00F02018" w:rsidRPr="00F06EA4">
        <w:rPr>
          <w:shd w:val="clear" w:color="auto" w:fill="FFFFFF"/>
          <w:lang w:val="en-US"/>
        </w:rPr>
        <w:t xml:space="preserve"> in </w:t>
      </w:r>
      <w:r w:rsidR="00F7177E" w:rsidRPr="00F06EA4">
        <w:rPr>
          <w:shd w:val="clear" w:color="auto" w:fill="FFFFFF"/>
          <w:lang w:val="en-US"/>
        </w:rPr>
        <w:t>336 CRC patients and found that</w:t>
      </w:r>
      <w:r w:rsidR="00997D60" w:rsidRPr="00F06EA4">
        <w:rPr>
          <w:shd w:val="clear" w:color="auto" w:fill="FFFFFF"/>
          <w:lang w:val="en-US"/>
        </w:rPr>
        <w:t>, of the studied factors,</w:t>
      </w:r>
      <w:r w:rsidR="00F7177E" w:rsidRPr="00F06EA4">
        <w:rPr>
          <w:shd w:val="clear" w:color="auto" w:fill="FFFFFF"/>
          <w:lang w:val="en-US"/>
        </w:rPr>
        <w:t xml:space="preserve"> </w:t>
      </w:r>
      <w:r w:rsidR="007F65E9" w:rsidRPr="00F06EA4">
        <w:rPr>
          <w:shd w:val="clear" w:color="auto" w:fill="FFFFFF"/>
          <w:lang w:val="en-US"/>
        </w:rPr>
        <w:t xml:space="preserve">systemic inflammation </w:t>
      </w:r>
      <w:r w:rsidR="00F7177E" w:rsidRPr="00F06EA4">
        <w:rPr>
          <w:shd w:val="clear" w:color="auto" w:fill="FFFFFF"/>
          <w:lang w:val="en-US"/>
        </w:rPr>
        <w:t xml:space="preserve">was </w:t>
      </w:r>
      <w:r w:rsidR="007F65E9" w:rsidRPr="00F06EA4">
        <w:rPr>
          <w:shd w:val="clear" w:color="auto" w:fill="FFFFFF"/>
          <w:lang w:val="en-US"/>
        </w:rPr>
        <w:t xml:space="preserve">the main determinant of low serum glutamine level </w:t>
      </w:r>
      <w:r w:rsidR="00F7177E" w:rsidRPr="00F06EA4">
        <w:rPr>
          <w:shd w:val="clear" w:color="auto" w:fill="FFFFFF"/>
          <w:lang w:val="en-US"/>
        </w:rPr>
        <w:t>in these patients</w:t>
      </w:r>
      <w:r w:rsidR="009F2534" w:rsidRPr="00F06EA4">
        <w:rPr>
          <w:lang w:val="en-US"/>
        </w:rPr>
        <w:fldChar w:fldCharType="begin" w:fldLock="1"/>
      </w:r>
      <w:r w:rsidR="00F45F97" w:rsidRPr="00F06EA4">
        <w:rPr>
          <w:shd w:val="clear" w:color="auto" w:fill="FFFFFF"/>
          <w:lang w:val="en-US"/>
        </w:rPr>
        <w:instrText>ADDIN CSL_CITATION {"citationItems":[{"id":"ITEM-1","itemData":{"DOI":"10.1038/s41416-018-0357-6","ISSN":"0007-0920","PMID":"30563990","abstract":"BACKGROUND Cancer cachexia is a complex wasting syndrome affecting patients with advanced cancer, with systemic inflammation as a key component in pathogenesis. Protein degradation and release of amino acids (AAs) in skeletal muscle are stimulated in cachexia. Here, we define factors contributing to serum AA levels in colorectal cancer (CRC). METHODS Serum levels of nine AAs were characterised in 336 CRC patients and their relationships with 20 markers of systemic inflammatory reaction, clinicopathological features of cancers and patient survival were analysed. RESULTS Low serum glutamine and histidine levels and high phenylalanine levels associated with indicators of systemic inflammation, including high modified Glasgow Prognostic Score, high blood neutrophil/lymphocyte ratio and high serum levels of CRP, IL-6 and IL-8. Low levels of serum glutamine, histidine, alanine and high glycine levels also associated with advanced cancer stage and with poor cancer-specific survival in univariate analysis. CONCLUSIONS In CRC, serum AA levels are associated with systemic inflammation and disease stage. These findings may reflect muscle catabolism induced by systemic inflammation in CRC.","author":[{"dropping-particle":"","family":"Sirniö","given":"Päivi","non-dropping-particle":"","parse-names":false,"suffix":""},{"dropping-particle":"","family":"Väyrynen","given":"Juha P.","non-dropping-particle":"","parse-names":false,"suffix":""},{"dropping-particle":"","family":"Klintrup","given":"Kai","non-dropping-particle":"","parse-names":false,"suffix":""},{"dropping-particle":"","family":"Mäkelä","given":"Jyrki","non-dropping-particle":"","parse-names":false,"suffix":""},{"dropping-particle":"","family":"Karhu","given":"Toni","non-dropping-particle":"","parse-names":false,"suffix":""},{"dropping-particle":"","family":"Herzig","given":"Karl-Heinz","non-dropping-particle":"","parse-names":false,"suffix":""},{"dropping-particle":"","family":"Minkkinen","given":"Ilkka","non-dropping-particle":"","parse-names":false,"suffix":""},{"dropping-particle":"","family":"Mäkinen","given":"Markus J.","non-dropping-particle":"","parse-names":false,"suffix":""},{"dropping-particle":"","family":"Karttunen","given":"Tuomo J.","non-dropping-particle":"","parse-names":false,"suffix":""},{"dropping-particle":"","family":"Tuomisto","given":"Anne","non-dropping-particle":"","parse-names":false,"suffix":""}],"container-title":"British Journal of Cancer","id":"ITEM-1","issue":"2","issued":{"date-parts":[["2019","1"]]},"page":"238-246","title":"Alterations in serum amino-acid profile in the progression of colorectal cancer: associations with systemic inflammation, tumour stage and patient survival","type":"article-journal","volume":"120"},"uris":["http://www.mendeley.com/documents/?uuid=c85fa764-ef10-33df-8983-3a4b962d1a2d"]}],"mendeley":{"formattedCitation":"&lt;sup&gt;[137]&lt;/sup&gt;","plainTextFormattedCitation":"[137]","previouslyFormattedCitation":"&lt;sup&gt;[137]&lt;/sup&gt;"},"properties":{"noteIndex":0},"schema":"https://github.com/citation-style-language/schema/raw/master/csl-citation.json"}</w:instrText>
      </w:r>
      <w:r w:rsidR="009F2534" w:rsidRPr="00F06EA4">
        <w:rPr>
          <w:shd w:val="clear" w:color="auto" w:fill="FFFFFF"/>
          <w:lang w:val="en-US"/>
        </w:rPr>
        <w:fldChar w:fldCharType="separate"/>
      </w:r>
      <w:r w:rsidR="00F45F97" w:rsidRPr="00F06EA4">
        <w:rPr>
          <w:noProof/>
          <w:shd w:val="clear" w:color="auto" w:fill="FFFFFF"/>
          <w:vertAlign w:val="superscript"/>
          <w:lang w:val="en-US"/>
        </w:rPr>
        <w:t>[137]</w:t>
      </w:r>
      <w:r w:rsidR="009F2534" w:rsidRPr="00F06EA4">
        <w:rPr>
          <w:lang w:val="en-US"/>
        </w:rPr>
        <w:fldChar w:fldCharType="end"/>
      </w:r>
      <w:r w:rsidR="007F65E9" w:rsidRPr="00F06EA4">
        <w:rPr>
          <w:shd w:val="clear" w:color="auto" w:fill="FFFFFF"/>
          <w:lang w:val="en-US"/>
        </w:rPr>
        <w:t xml:space="preserve">. </w:t>
      </w:r>
      <w:r w:rsidR="0091191A" w:rsidRPr="00F06EA4">
        <w:rPr>
          <w:shd w:val="clear" w:color="auto" w:fill="FFFFFF"/>
          <w:lang w:val="en-US"/>
        </w:rPr>
        <w:t xml:space="preserve">Glutamine </w:t>
      </w:r>
      <w:r w:rsidR="00952BB1" w:rsidRPr="00F06EA4">
        <w:rPr>
          <w:shd w:val="clear" w:color="auto" w:fill="FFFFFF"/>
          <w:lang w:val="en-US"/>
        </w:rPr>
        <w:t xml:space="preserve">is the most abundant </w:t>
      </w:r>
      <w:r w:rsidR="0091191A" w:rsidRPr="00F06EA4">
        <w:rPr>
          <w:shd w:val="clear" w:color="auto" w:fill="FFFFFF"/>
          <w:lang w:val="en-US"/>
        </w:rPr>
        <w:t>amino acid i</w:t>
      </w:r>
      <w:r w:rsidR="00952BB1" w:rsidRPr="00F06EA4">
        <w:rPr>
          <w:shd w:val="clear" w:color="auto" w:fill="FFFFFF"/>
          <w:lang w:val="en-US"/>
        </w:rPr>
        <w:t>n the body</w:t>
      </w:r>
      <w:r w:rsidR="00411D9F" w:rsidRPr="00F06EA4">
        <w:rPr>
          <w:shd w:val="clear" w:color="auto" w:fill="FFFFFF"/>
          <w:lang w:val="en-US"/>
        </w:rPr>
        <w:t xml:space="preserve">, </w:t>
      </w:r>
      <w:r w:rsidR="00743CFC" w:rsidRPr="00F06EA4">
        <w:rPr>
          <w:shd w:val="clear" w:color="auto" w:fill="FFFFFF"/>
          <w:lang w:val="en-US"/>
        </w:rPr>
        <w:t xml:space="preserve">and circulating glutamine </w:t>
      </w:r>
      <w:r w:rsidR="00411D9F" w:rsidRPr="00F06EA4">
        <w:rPr>
          <w:shd w:val="clear" w:color="auto" w:fill="FFFFFF"/>
          <w:lang w:val="en-US"/>
        </w:rPr>
        <w:t xml:space="preserve">is mainly </w:t>
      </w:r>
      <w:r w:rsidR="00923AC1" w:rsidRPr="00F06EA4">
        <w:rPr>
          <w:shd w:val="clear" w:color="auto" w:fill="FFFFFF"/>
          <w:lang w:val="en-US"/>
        </w:rPr>
        <w:t xml:space="preserve">derived </w:t>
      </w:r>
      <w:r w:rsidR="00411D9F" w:rsidRPr="00F06EA4">
        <w:rPr>
          <w:shd w:val="clear" w:color="auto" w:fill="FFFFFF"/>
          <w:lang w:val="en-US"/>
        </w:rPr>
        <w:t>from skeletal muscle</w:t>
      </w:r>
      <w:r w:rsidR="00923AC1" w:rsidRPr="00F06EA4">
        <w:rPr>
          <w:shd w:val="clear" w:color="auto" w:fill="FFFFFF"/>
          <w:lang w:val="en-US"/>
        </w:rPr>
        <w:t xml:space="preserve">, functioning </w:t>
      </w:r>
      <w:r w:rsidR="00F75966" w:rsidRPr="00F06EA4">
        <w:rPr>
          <w:shd w:val="clear" w:color="auto" w:fill="FFFFFF"/>
          <w:lang w:val="en-US"/>
        </w:rPr>
        <w:t xml:space="preserve">as an </w:t>
      </w:r>
      <w:r w:rsidR="00F75966" w:rsidRPr="00F06EA4">
        <w:rPr>
          <w:lang w:val="en-US"/>
        </w:rPr>
        <w:t>inter-organ carbon, nitrogen and energy transporter</w:t>
      </w:r>
      <w:r w:rsidR="00AF1E33" w:rsidRPr="00F06EA4">
        <w:rPr>
          <w:lang w:val="en-US"/>
        </w:rPr>
        <w:t xml:space="preserve"> to be utilized by </w:t>
      </w:r>
      <w:r w:rsidR="00AF1E33" w:rsidRPr="00F06EA4">
        <w:rPr>
          <w:shd w:val="clear" w:color="auto" w:fill="FFFFFF"/>
          <w:lang w:val="en-US"/>
        </w:rPr>
        <w:t>rapidly dividing cells such as enterocytes and lymphocytes</w:t>
      </w:r>
      <w:r w:rsidR="00F75966" w:rsidRPr="00F06EA4">
        <w:rPr>
          <w:lang w:val="en-US"/>
        </w:rPr>
        <w:fldChar w:fldCharType="begin" w:fldLock="1"/>
      </w:r>
      <w:r w:rsidR="00F45F97" w:rsidRPr="00F06EA4">
        <w:rPr>
          <w:lang w:val="en-US"/>
        </w:rPr>
        <w:instrText>ADDIN CSL_CITATION {"citationItems":[{"id":"ITEM-1","itemData":{"DOI":"10.1172/JCI69600","ISSN":"1558-8238","PMID":"23999442","abstract":"Glutamine is an abundant and versatile nutrient that participates in energy formation, redox homeostasis, macromolecular synthesis, and signaling in cancer cells. These characteristics make glutamine metabolism an appealing target for new clinical strategies to detect, monitor, and treat cancer. Here we review the metabolic functions of glutamine as a super nutrient and the surprising roles of glutamine in supporting the biological hallmarks of malignancy. We also review recent efforts in imaging and therapeutics to exploit tumor cell glutamine dependence, discuss some of the challenges in this arena, and suggest a disease-focused paradigm to deploy these emerging approaches.","author":[{"dropping-particle":"","family":"Hensley","given":"Christopher T.","non-dropping-particle":"","parse-names":false,"suffix":""},{"dropping-particle":"","family":"Wasti","given":"Ajla T.","non-dropping-particle":"","parse-names":false,"suffix":""},{"dropping-particle":"","family":"DeBerardinis","given":"Ralph J.","non-dropping-particle":"","parse-names":false,"suffix":""}],"container-title":"The Journal of clinical investigation","id":"ITEM-1","issue":"9","issued":{"date-parts":[["2013","9"]]},"page":"3678-84","title":"Glutamine and cancer: cell biology, physiology, and clinical opportunities.","type":"article-journal","volume":"123"},"uris":["http://www.mendeley.com/documents/?uuid=d0a2fea8-dea5-3409-a522-b027b1f78b55"]}],"mendeley":{"formattedCitation":"&lt;sup&gt;[138]&lt;/sup&gt;","plainTextFormattedCitation":"[138]","previouslyFormattedCitation":"&lt;sup&gt;[138]&lt;/sup&gt;"},"properties":{"noteIndex":0},"schema":"https://github.com/citation-style-language/schema/raw/master/csl-citation.json"}</w:instrText>
      </w:r>
      <w:r w:rsidR="00F75966" w:rsidRPr="00F06EA4">
        <w:rPr>
          <w:lang w:val="en-US"/>
        </w:rPr>
        <w:fldChar w:fldCharType="separate"/>
      </w:r>
      <w:r w:rsidR="00F45F97" w:rsidRPr="00F06EA4">
        <w:rPr>
          <w:noProof/>
          <w:vertAlign w:val="superscript"/>
          <w:lang w:val="en-US"/>
        </w:rPr>
        <w:t>[138]</w:t>
      </w:r>
      <w:r w:rsidR="00F75966" w:rsidRPr="00F06EA4">
        <w:rPr>
          <w:lang w:val="en-US"/>
        </w:rPr>
        <w:fldChar w:fldCharType="end"/>
      </w:r>
      <w:r w:rsidR="00923AC1" w:rsidRPr="00F06EA4">
        <w:rPr>
          <w:lang w:val="en-US"/>
        </w:rPr>
        <w:t>.</w:t>
      </w:r>
      <w:r w:rsidR="00F75966" w:rsidRPr="00F06EA4">
        <w:rPr>
          <w:lang w:val="en-US"/>
        </w:rPr>
        <w:t xml:space="preserve"> </w:t>
      </w:r>
      <w:r w:rsidR="00AF1E33" w:rsidRPr="00F06EA4">
        <w:rPr>
          <w:lang w:val="en-US"/>
        </w:rPr>
        <w:t>In healthy humans, circulating glutamine is mainly consumed in the gut and kidney</w:t>
      </w:r>
      <w:r w:rsidR="00AF1E33" w:rsidRPr="00F06EA4">
        <w:rPr>
          <w:lang w:val="en-US"/>
        </w:rPr>
        <w:fldChar w:fldCharType="begin" w:fldLock="1"/>
      </w:r>
      <w:r w:rsidR="00F45F97" w:rsidRPr="00F06EA4">
        <w:rPr>
          <w:lang w:val="en-US"/>
        </w:rPr>
        <w:instrText>ADDIN CSL_CITATION {"citationItems":[{"id":"ITEM-1","itemData":{"DOI":"10.1172/JCI69600","ISSN":"1558-8238","PMID":"23999442","abstract":"Glutamine is an abundant and versatile nutrient that participates in energy formation, redox homeostasis, macromolecular synthesis, and signaling in cancer cells. These characteristics make glutamine metabolism an appealing target for new clinical strategies to detect, monitor, and treat cancer. Here we review the metabolic functions of glutamine as a super nutrient and the surprising roles of glutamine in supporting the biological hallmarks of malignancy. We also review recent efforts in imaging and therapeutics to exploit tumor cell glutamine dependence, discuss some of the challenges in this arena, and suggest a disease-focused paradigm to deploy these emerging approaches.","author":[{"dropping-particle":"","family":"Hensley","given":"Christopher T.","non-dropping-particle":"","parse-names":false,"suffix":""},{"dropping-particle":"","family":"Wasti","given":"Ajla T.","non-dropping-particle":"","parse-names":false,"suffix":""},{"dropping-particle":"","family":"DeBerardinis","given":"Ralph J.","non-dropping-particle":"","parse-names":false,"suffix":""}],"container-title":"The Journal of clinical investigation","id":"ITEM-1","issue":"9","issued":{"date-parts":[["2013","9"]]},"page":"3678-84","title":"Glutamine and cancer: cell biology, physiology, and clinical opportunities.","type":"article-journal","volume":"123"},"uris":["http://www.mendeley.com/documents/?uuid=d0a2fea8-dea5-3409-a522-b027b1f78b55"]}],"mendeley":{"formattedCitation":"&lt;sup&gt;[138]&lt;/sup&gt;","plainTextFormattedCitation":"[138]","previouslyFormattedCitation":"&lt;sup&gt;[138]&lt;/sup&gt;"},"properties":{"noteIndex":0},"schema":"https://github.com/citation-style-language/schema/raw/master/csl-citation.json"}</w:instrText>
      </w:r>
      <w:r w:rsidR="00AF1E33" w:rsidRPr="00F06EA4">
        <w:rPr>
          <w:lang w:val="en-US"/>
        </w:rPr>
        <w:fldChar w:fldCharType="separate"/>
      </w:r>
      <w:r w:rsidR="00F45F97" w:rsidRPr="00F06EA4">
        <w:rPr>
          <w:noProof/>
          <w:vertAlign w:val="superscript"/>
          <w:lang w:val="en-US"/>
        </w:rPr>
        <w:t>[138]</w:t>
      </w:r>
      <w:r w:rsidR="00AF1E33" w:rsidRPr="00F06EA4">
        <w:rPr>
          <w:lang w:val="en-US"/>
        </w:rPr>
        <w:fldChar w:fldCharType="end"/>
      </w:r>
      <w:r w:rsidR="00923AC1" w:rsidRPr="00F06EA4">
        <w:rPr>
          <w:lang w:val="en-US"/>
        </w:rPr>
        <w:t>.</w:t>
      </w:r>
      <w:r w:rsidR="00AF1E33" w:rsidRPr="00F06EA4">
        <w:rPr>
          <w:lang w:val="en-US"/>
        </w:rPr>
        <w:t xml:space="preserve"> </w:t>
      </w:r>
      <w:r w:rsidR="007E6BA0" w:rsidRPr="00F06EA4">
        <w:rPr>
          <w:lang w:val="en-US"/>
        </w:rPr>
        <w:t>Tumor tissue can either consume or produce glutamine, depending on tissue of origin and oncogene activation</w:t>
      </w:r>
      <w:r w:rsidR="007E6BA0" w:rsidRPr="00F06EA4">
        <w:rPr>
          <w:lang w:val="en-US"/>
        </w:rPr>
        <w:fldChar w:fldCharType="begin" w:fldLock="1"/>
      </w:r>
      <w:r w:rsidR="00F45F97" w:rsidRPr="00F06EA4">
        <w:rPr>
          <w:lang w:val="en-US"/>
        </w:rPr>
        <w:instrText>ADDIN CSL_CITATION {"citationItems":[{"id":"ITEM-1","itemData":{"DOI":"10.1016/j.cmet.2011.12.015","ISSN":"1932-7420","PMID":"22326218","abstract":"The altered metabolism of tumors has been considered a target for anticancer therapy. However, the relationship between distinct tumor-initiating lesions and anomalies of tumor metabolism in vivo has not been addressed. We report that MYC-induced mouse liver tumors significantly increase both glucose and glutamine catabolism, whereas MET-induced liver tumors use glucose to produce glutamine. Increased glutamine catabolism in MYC-induced liver tumors is associated with decreased levels of glutamine synthetase (Glul) and the switch from Gls2 to Gls1 glutaminase. In contrast to liver tumors, MYC-induced lung tumors display increased expression of both Glul and Gls1 and accumulate glutamine. We also show that inhibition of Gls1 kills cells that overexpress MYC and catabolize glutamine. Our results suggest that the metabolic profiles of tumors are likely to depend on both the genotype and tissue of origin and have implications regarding the design of therapies targeting tumor metabolism.","author":[{"dropping-particle":"","family":"Yuneva","given":"Mariia O","non-dropping-particle":"","parse-names":false,"suffix":""},{"dropping-particle":"","family":"Fan","given":"Teresa W M","non-dropping-particle":"","parse-names":false,"suffix":""},{"dropping-particle":"","family":"Allen","given":"Thaddeus D","non-dropping-particle":"","parse-names":false,"suffix":""},{"dropping-particle":"","family":"Higashi","given":"Richard M","non-dropping-particle":"","parse-names":false,"suffix":""},{"dropping-particle":"V","family":"Ferraris","given":"Dana","non-dropping-particle":"","parse-names":false,"suffix":""},{"dropping-particle":"","family":"Tsukamoto","given":"Takashi","non-dropping-particle":"","parse-names":false,"suffix":""},{"dropping-particle":"","family":"Matés","given":"José M","non-dropping-particle":"","parse-names":false,"suffix":""},{"dropping-particle":"","family":"Alonso","given":"Francisco J","non-dropping-particle":"","parse-names":false,"suffix":""},{"dropping-particle":"","family":"Wang","given":"Chunmei","non-dropping-particle":"","parse-names":false,"suffix":""},{"dropping-particle":"","family":"Seo","given":"Youngho","non-dropping-particle":"","parse-names":false,"suffix":""},{"dropping-particle":"","family":"Chen","given":"Xin","non-dropping-particle":"","parse-names":false,"suffix":""},{"dropping-particle":"","family":"Bishop","given":"J Michael","non-dropping-particle":"","parse-names":false,"suffix":""}],"container-title":"Cell metabolism","id":"ITEM-1","issue":"2","issued":{"date-parts":[["2012"]]},"page":"157-70","title":"The metabolic profile of tumors depends on both the responsible genetic lesion and tissue type.","type":"article-journal","volume":"15"},"uris":["http://www.mendeley.com/documents/?uuid=e467b358-9066-316a-85c4-b0788015a94d"]}],"mendeley":{"formattedCitation":"&lt;sup&gt;[139]&lt;/sup&gt;","plainTextFormattedCitation":"[139]","previouslyFormattedCitation":"&lt;sup&gt;[139]&lt;/sup&gt;"},"properties":{"noteIndex":0},"schema":"https://github.com/citation-style-language/schema/raw/master/csl-citation.json"}</w:instrText>
      </w:r>
      <w:r w:rsidR="007E6BA0" w:rsidRPr="00F06EA4">
        <w:rPr>
          <w:lang w:val="en-US"/>
        </w:rPr>
        <w:fldChar w:fldCharType="separate"/>
      </w:r>
      <w:r w:rsidR="00F45F97" w:rsidRPr="00F06EA4">
        <w:rPr>
          <w:noProof/>
          <w:vertAlign w:val="superscript"/>
          <w:lang w:val="en-US"/>
        </w:rPr>
        <w:t>[139]</w:t>
      </w:r>
      <w:r w:rsidR="007E6BA0" w:rsidRPr="00F06EA4">
        <w:rPr>
          <w:lang w:val="en-US"/>
        </w:rPr>
        <w:fldChar w:fldCharType="end"/>
      </w:r>
      <w:r w:rsidR="00923AC1" w:rsidRPr="00F06EA4">
        <w:rPr>
          <w:lang w:val="en-US"/>
        </w:rPr>
        <w:t>.</w:t>
      </w:r>
      <w:r w:rsidR="00F25EC1" w:rsidRPr="00F06EA4">
        <w:rPr>
          <w:lang w:val="en-US"/>
        </w:rPr>
        <w:t xml:space="preserve"> Patients with sepsis have decreased plasma glutamine levels</w:t>
      </w:r>
      <w:r w:rsidR="00F25EC1" w:rsidRPr="00F06EA4">
        <w:rPr>
          <w:lang w:val="en-US"/>
        </w:rPr>
        <w:fldChar w:fldCharType="begin" w:fldLock="1"/>
      </w:r>
      <w:r w:rsidR="00F45F97" w:rsidRPr="00F06EA4">
        <w:rPr>
          <w:lang w:val="en-US"/>
        </w:rPr>
        <w:instrText>ADDIN CSL_CITATION {"citationItems":[{"id":"ITEM-1","itemData":{"DOI":"10.1042/CS20080444","ISSN":"1470-8736","PMID":"19105791","abstract":"Arginine has vasodilatory effects, via its conversion by NO synthase into NO, and immunomodulatory actions which play important roles in sepsis. Protein breakdown affects arginine availability and the release of asymmetric dimethylarginine, an inhibitor of NO synthase, may therefore affect NO synthesis in patients with sepsis. The objective of the present study was to investigate whole-body in vivo arginine and citrulline metabolism and NO synthesis rates, and their relationship to protein breakdown in patients with sepsis or septic shock and in healthy volunteers. Endogenous leucine flux, an index of whole-body protein breakdown rate, was measured in 13 critically ill patients with sepsis or septic shock and seven healthy controls using an intravenous infusion of [1-13C]leucine. Arginine flux, citrulline flux and the rate of conversion of arginine into citrulline (an index of NO synthesis) were measured with intravenous infusions of [15N2]guanidino-arginine and [5,5-2H2]citrulline. Plasma concentrations of nitrite plus nitrate, arginine, citrulline and asymmetric dimethylarginine were measured. Compared with controls, patients had a higher leucine flux and higher NO metabolites, but arginine flux, plasma asymmetric dimethylarginine concentration and the rate of NO synthesis were not different. Citrulline flux and plasma arginine and citrulline were lower in patients than in controls. Arginine production was positively correlated with the protein breakdown rate. Whole-body arginine production and NO synthesis were similar in patients with sepsis and septic shock and healthy controls. Despite increased proteolysis in sepsis, there is a decreased arginine plasma concentration, suggesting inadequate de novo synthesis secondary to decreased citrulline production.","author":[{"dropping-particle":"","family":"Kao","given":"Christina C.","non-dropping-particle":"","parse-names":false,"suffix":""},{"dropping-particle":"","family":"Bandi","given":"Venkata","non-dropping-particle":"","parse-names":false,"suffix":""},{"dropping-particle":"","family":"Guntupalli","given":"Kalpalatha K.","non-dropping-particle":"","parse-names":false,"suffix":""},{"dropping-particle":"","family":"Wu","given":"Manhong","non-dropping-particle":"","parse-names":false,"suffix":""},{"dropping-particle":"","family":"Castillo","given":"Leticia","non-dropping-particle":"","parse-names":false,"suffix":""},{"dropping-particle":"","family":"Jahoor","given":"Farook","non-dropping-particle":"","parse-names":false,"suffix":""}],"container-title":"Clinical science (London, England : 1979)","id":"ITEM-1","issue":"1","issued":{"date-parts":[["2009"]]},"page":"23-30","title":"Arginine, citrulline and nitric oxide metabolism in sepsis.","type":"article-journal","volume":"117"},"uris":["http://www.mendeley.com/documents/?uuid=8bd67912-e015-3eff-90f3-1638d26a6896"]}],"mendeley":{"formattedCitation":"&lt;sup&gt;[140]&lt;/sup&gt;","plainTextFormattedCitation":"[140]","previouslyFormattedCitation":"&lt;sup&gt;[140]&lt;/sup&gt;"},"properties":{"noteIndex":0},"schema":"https://github.com/citation-style-language/schema/raw/master/csl-citation.json"}</w:instrText>
      </w:r>
      <w:r w:rsidR="00F25EC1" w:rsidRPr="00F06EA4">
        <w:rPr>
          <w:lang w:val="en-US"/>
        </w:rPr>
        <w:fldChar w:fldCharType="separate"/>
      </w:r>
      <w:r w:rsidR="00F45F97" w:rsidRPr="00F06EA4">
        <w:rPr>
          <w:noProof/>
          <w:vertAlign w:val="superscript"/>
          <w:lang w:val="en-US"/>
        </w:rPr>
        <w:t>[140]</w:t>
      </w:r>
      <w:r w:rsidR="00F25EC1" w:rsidRPr="00F06EA4">
        <w:rPr>
          <w:lang w:val="en-US"/>
        </w:rPr>
        <w:fldChar w:fldCharType="end"/>
      </w:r>
      <w:r w:rsidR="00F25EC1" w:rsidRPr="00F06EA4">
        <w:rPr>
          <w:lang w:val="en-US"/>
        </w:rPr>
        <w:t xml:space="preserve"> result</w:t>
      </w:r>
      <w:r w:rsidR="000F3931" w:rsidRPr="00F06EA4">
        <w:rPr>
          <w:lang w:val="en-US"/>
        </w:rPr>
        <w:t>ing</w:t>
      </w:r>
      <w:r w:rsidR="00F25EC1" w:rsidRPr="00F06EA4">
        <w:rPr>
          <w:lang w:val="en-US"/>
        </w:rPr>
        <w:t xml:space="preserve"> from increased glutamine consumption</w:t>
      </w:r>
      <w:r w:rsidR="007B3981" w:rsidRPr="00F06EA4">
        <w:rPr>
          <w:lang w:val="en-US"/>
        </w:rPr>
        <w:fldChar w:fldCharType="begin" w:fldLock="1"/>
      </w:r>
      <w:r w:rsidR="007B3981" w:rsidRPr="00F06EA4">
        <w:rPr>
          <w:lang w:val="en-US"/>
        </w:rPr>
        <w:instrText>ADDIN CSL_CITATION {"citationItems":[{"id":"ITEM-1","itemData":{"DOI":"10.1152/ajpendo.00628.2012","ISSN":"1522-1555","PMID":"23612995","abstract":"In enterocytes, glutamine serves as the major source of energy; another metabolic fate of glutamine is conversion to citrulline. Because sepsis can affect gut function and integrity, alterations in glutamine metabolism may exist and lead to decreased citrulline production. This study aimed to investigate how sepsis affects glutamine metabolism, including its conversion to citrulline, by measuring glutamine and citrulline flux, fractional splanchnic extraction of glutamine and leucine, and the contribution of glutamine nitrogen to citrulline in septic patients and healthy controls. Eight patients with severe sepsis and 10 healthy controls were given primed, constant intravenous infusion of [(2)H2]citrulline and sequential administration of intravenous and enteral [α-(15)N]glutamine and [(13)C]leucine in the postabsorptive state. The results showed that, compared with healthy controls, septic patients had a significantly lower whole body citrulline flux and plasma concentration, higher endogenous leucine flux, and higher glutamine clearance. Fractional splanchnic extraction of leucine was higher in septic patients than in controls, but fractional extraction of glutamine was not different. The majority of the (15)N label transferred from glutamine to citrulline was found at the α-position. These results demonstrate that lower glutamine plasma concentrations in sepsis were a result of increased glutamine clearance. Despite adequate splanchnic uptake of glutamine, there is decreased production of citrulline, suggesting a defect in the metabolic conversion of glutamine to citrulline, decreased uptake of glutamine by the enterocyte but increased uptake by the liver, and/or shunting of glutamine to other metabolic pathways.","author":[{"dropping-particle":"","family":"Kao","given":"Christina","non-dropping-particle":"","parse-names":false,"suffix":""},{"dropping-particle":"","family":"Hsu","given":"Jean","non-dropping-particle":"","parse-names":false,"suffix":""},{"dropping-particle":"","family":"Bandi","given":"Venkata","non-dropping-particle":"","parse-names":false,"suffix":""},{"dropping-particle":"","family":"Jahoor","given":"Farook","non-dropping-particle":"","parse-names":false,"suffix":""}],"container-title":"American journal of physiology. Endocrinology and metabolism","id":"ITEM-1","issue":"12","issued":{"date-parts":[["2013"]]},"page":"E1359-64","title":"Alterations in glutamine metabolism and its conversion to citrulline in sepsis.","type":"article-journal","volume":"304"},"uris":["http://www.mendeley.com/documents/?uuid=0c81493d-c736-35f4-bd3f-54c188ea212a"]}],"mendeley":{"formattedCitation":"&lt;sup&gt;[141]&lt;/sup&gt;","plainTextFormattedCitation":"[141]","previouslyFormattedCitation":"&lt;sup&gt;[141]&lt;/sup&gt;"},"properties":{"noteIndex":0},"schema":"https://github.com/citation-style-language/schema/raw/master/csl-citation.json"}</w:instrText>
      </w:r>
      <w:r w:rsidR="007B3981" w:rsidRPr="00F06EA4">
        <w:rPr>
          <w:lang w:val="en-US"/>
        </w:rPr>
        <w:fldChar w:fldCharType="separate"/>
      </w:r>
      <w:r w:rsidR="007B3981" w:rsidRPr="00F06EA4">
        <w:rPr>
          <w:noProof/>
          <w:vertAlign w:val="superscript"/>
          <w:lang w:val="en-US"/>
        </w:rPr>
        <w:t>[141]</w:t>
      </w:r>
      <w:r w:rsidR="007B3981" w:rsidRPr="00F06EA4">
        <w:rPr>
          <w:lang w:val="en-US"/>
        </w:rPr>
        <w:fldChar w:fldCharType="end"/>
      </w:r>
      <w:r w:rsidR="00F25EC1" w:rsidRPr="00F06EA4">
        <w:rPr>
          <w:lang w:val="en-US"/>
        </w:rPr>
        <w:t>.</w:t>
      </w:r>
      <w:r w:rsidR="00111849" w:rsidRPr="00F06EA4">
        <w:rPr>
          <w:lang w:val="en-US"/>
        </w:rPr>
        <w:t xml:space="preserve"> </w:t>
      </w:r>
      <w:r w:rsidR="00DF094A" w:rsidRPr="00F06EA4">
        <w:rPr>
          <w:lang w:val="en-US"/>
        </w:rPr>
        <w:t xml:space="preserve">Mouse studies have shown that </w:t>
      </w:r>
      <w:r w:rsidR="00865F96" w:rsidRPr="00F06EA4">
        <w:rPr>
          <w:lang w:val="en-US"/>
        </w:rPr>
        <w:t xml:space="preserve">tumor induces </w:t>
      </w:r>
      <w:r w:rsidR="001E0FB3" w:rsidRPr="00F06EA4">
        <w:rPr>
          <w:lang w:val="en-US"/>
        </w:rPr>
        <w:t xml:space="preserve">a </w:t>
      </w:r>
      <w:r w:rsidR="00865F96" w:rsidRPr="00F06EA4">
        <w:rPr>
          <w:lang w:val="en-US"/>
        </w:rPr>
        <w:t>decrease in circulating glutamine level</w:t>
      </w:r>
      <w:r w:rsidR="001E0FB3" w:rsidRPr="00F06EA4">
        <w:rPr>
          <w:lang w:val="en-US"/>
        </w:rPr>
        <w:t>s</w:t>
      </w:r>
      <w:r w:rsidR="00865F96" w:rsidRPr="00F06EA4">
        <w:rPr>
          <w:lang w:val="en-US"/>
        </w:rPr>
        <w:t>, stimulates glutamine release and de</w:t>
      </w:r>
      <w:r w:rsidR="00FC2DC5" w:rsidRPr="00F06EA4">
        <w:rPr>
          <w:lang w:val="en-US"/>
        </w:rPr>
        <w:t>crease</w:t>
      </w:r>
      <w:r w:rsidR="009269F9" w:rsidRPr="00F06EA4">
        <w:rPr>
          <w:lang w:val="en-US"/>
        </w:rPr>
        <w:t>s</w:t>
      </w:r>
      <w:r w:rsidR="00865F96" w:rsidRPr="00F06EA4">
        <w:rPr>
          <w:lang w:val="en-US"/>
        </w:rPr>
        <w:t xml:space="preserve"> the glutamine content in skeletal muscle</w:t>
      </w:r>
      <w:r w:rsidR="00865F96" w:rsidRPr="00F06EA4">
        <w:rPr>
          <w:lang w:val="en-US"/>
        </w:rPr>
        <w:fldChar w:fldCharType="begin" w:fldLock="1"/>
      </w:r>
      <w:r w:rsidR="00195B6D" w:rsidRPr="00F06EA4">
        <w:rPr>
          <w:lang w:val="en-US"/>
        </w:rPr>
        <w:instrText>ADDIN CSL_CITATION {"citationItems":[{"id":"ITEM-1","itemData":{"DOI":"10.1097/00000658-199306000-00007","ISSN":"0003-4932","PMID":"8099476","abstract":"OBJECTIVE The effects of progressive malignant growth on glutamine metabolism in skeletal muscle and in kidney were investigated. SUMMARY BACKGROUND DATA Fast-growing tumors consume considerable quantities of glutamine and lead to a decrease in circulating glutamine concentrations. METHODS Experiments were performed at various stages of tumor growth in rats implanted subcutaneously with the non-metastasizing methylcholanthrene-induced (MCA) fibrosarcoma and in pair-fed non tumor-bearing controls. RESULTS Tumor growth stimulated a twofold increase in hindquarter (muscle) glutamine release, which was not due to an increase in blood flow, but rather to a doubling in the fractional release rate. Consequently, a progressive decrease in skeletal muscle glutamine concentrations was observed over time. Simultaneously, the activity of glutamine synthetase (GS), the principal enzyme of de novo glutamine biosynthesis, increased more than twofold. This increase in muscle GS activity was accompanied by an increase in GS mRNA but the augmentation in GS expression apparently could not match the increased rate of efflux since muscle depletion developed. In rats with large tumors and severe glutamine depletion, GS activity was not elevated. Glutamine feeding increased muscle glutamine concentrations and glutamine synthetase specific activity. Although tumor growth led to the development of mild systemic acidemia, the classic renal adaptations normally observed, i.e., elevated glutaminase activity and accelerated renal glutamine utilization, were not present in acidotic tumor-bearing rats. Instead, renal GS activity was increased in tumor-bearing animals and ammoniagenesis was enhanced, in spite of a reduction in net renal glutamine uptake. CONCLUSIONS These data suggest that marked alterations in muscle and renal glutamine handling occur in the host with cancer; the enhanced muscle glutamine release in conjunction with no increase in renal consumption is consistent with increased glutamine uptake in other organs, most likely the tumor itself and the liver.","author":[{"dropping-particle":"","family":"Chen","given":"M K","non-dropping-particle":"","parse-names":false,"suffix":""},{"dropping-particle":"","family":"Espat","given":"N J","non-dropping-particle":"","parse-names":false,"suffix":""},{"dropping-particle":"","family":"Bland","given":"K I","non-dropping-particle":"","parse-names":false,"suffix":""},{"dropping-particle":"","family":"Copeland","given":"E M","non-dropping-particle":"","parse-names":false,"suffix":""},{"dropping-particle":"","family":"Souba","given":"W W","non-dropping-particle":"","parse-names":false,"suffix":""}],"container-title":"Annals of surgery","id":"ITEM-1","issue":"6","issued":{"date-parts":[["1993","6"]]},"page":"655-66; discussion 666-7","title":"Influence of progressive tumor growth on glutamine metabolism in skeletal muscle and kidney.","type":"article-journal","volume":"217"},"uris":["http://www.mendeley.com/documents/?uuid=9d9e2e8a-b001-350e-ae59-b51eb79d56b2","http://www.mendeley.com/documents/?uuid=60fd1dc2-033e-4391-82b5-cfceee12b95d"]}],"mendeley":{"formattedCitation":"&lt;sup&gt;[142]&lt;/sup&gt;","plainTextFormattedCitation":"[142]","previouslyFormattedCitation":"&lt;sup&gt;[142]&lt;/sup&gt;"},"properties":{"noteIndex":0},"schema":"https://github.com/citation-style-language/schema/raw/master/csl-citation.json"}</w:instrText>
      </w:r>
      <w:r w:rsidR="00865F96" w:rsidRPr="00F06EA4">
        <w:rPr>
          <w:lang w:val="en-US"/>
        </w:rPr>
        <w:fldChar w:fldCharType="separate"/>
      </w:r>
      <w:r w:rsidR="00F45F97" w:rsidRPr="00F06EA4">
        <w:rPr>
          <w:noProof/>
          <w:vertAlign w:val="superscript"/>
          <w:lang w:val="en-US"/>
        </w:rPr>
        <w:t>[142]</w:t>
      </w:r>
      <w:r w:rsidR="00865F96" w:rsidRPr="00F06EA4">
        <w:rPr>
          <w:lang w:val="en-US"/>
        </w:rPr>
        <w:fldChar w:fldCharType="end"/>
      </w:r>
      <w:r w:rsidR="00865F96" w:rsidRPr="00F06EA4">
        <w:rPr>
          <w:lang w:val="en-US"/>
        </w:rPr>
        <w:t xml:space="preserve">. </w:t>
      </w:r>
      <w:r w:rsidR="00A02513" w:rsidRPr="00F06EA4">
        <w:rPr>
          <w:lang w:val="en-US"/>
        </w:rPr>
        <w:t>Accordingly, i</w:t>
      </w:r>
      <w:r w:rsidR="00FE2363" w:rsidRPr="00F06EA4">
        <w:rPr>
          <w:color w:val="3E3D40"/>
          <w:shd w:val="clear" w:color="auto" w:fill="FFFFFF"/>
          <w:lang w:val="en-US"/>
        </w:rPr>
        <w:t xml:space="preserve">t has been suggested that </w:t>
      </w:r>
      <w:r w:rsidR="00A02513" w:rsidRPr="00F06EA4">
        <w:rPr>
          <w:color w:val="3E3D40"/>
          <w:shd w:val="clear" w:color="auto" w:fill="FFFFFF"/>
          <w:lang w:val="en-US"/>
        </w:rPr>
        <w:t xml:space="preserve">altered </w:t>
      </w:r>
      <w:r w:rsidR="00C82D78" w:rsidRPr="00F06EA4">
        <w:rPr>
          <w:color w:val="3E3D40"/>
          <w:shd w:val="clear" w:color="auto" w:fill="FFFFFF"/>
          <w:lang w:val="en-US"/>
        </w:rPr>
        <w:t xml:space="preserve">interorgan </w:t>
      </w:r>
      <w:r w:rsidR="00A02513" w:rsidRPr="00F06EA4">
        <w:rPr>
          <w:color w:val="3E3D40"/>
          <w:shd w:val="clear" w:color="auto" w:fill="FFFFFF"/>
          <w:lang w:val="en-US"/>
        </w:rPr>
        <w:t>glutamine homeostasis in cancer patient</w:t>
      </w:r>
      <w:r w:rsidR="00C82D78" w:rsidRPr="00F06EA4">
        <w:rPr>
          <w:color w:val="3E3D40"/>
          <w:shd w:val="clear" w:color="auto" w:fill="FFFFFF"/>
          <w:lang w:val="en-US"/>
        </w:rPr>
        <w:t>s</w:t>
      </w:r>
      <w:r w:rsidR="00A02513" w:rsidRPr="00F06EA4">
        <w:rPr>
          <w:color w:val="3E3D40"/>
          <w:shd w:val="clear" w:color="auto" w:fill="FFFFFF"/>
          <w:lang w:val="en-US"/>
        </w:rPr>
        <w:t xml:space="preserve"> is </w:t>
      </w:r>
      <w:r w:rsidR="009269F9" w:rsidRPr="00F06EA4">
        <w:rPr>
          <w:color w:val="3E3D40"/>
          <w:shd w:val="clear" w:color="auto" w:fill="FFFFFF"/>
          <w:lang w:val="en-US"/>
        </w:rPr>
        <w:t xml:space="preserve">an </w:t>
      </w:r>
      <w:r w:rsidR="00A02513" w:rsidRPr="00F06EA4">
        <w:rPr>
          <w:color w:val="3E3D40"/>
          <w:shd w:val="clear" w:color="auto" w:fill="FFFFFF"/>
          <w:lang w:val="en-US"/>
        </w:rPr>
        <w:t xml:space="preserve">essential </w:t>
      </w:r>
      <w:r w:rsidR="00FE2363" w:rsidRPr="00F06EA4">
        <w:rPr>
          <w:color w:val="3E3D40"/>
          <w:shd w:val="clear" w:color="auto" w:fill="FFFFFF"/>
          <w:lang w:val="en-US"/>
        </w:rPr>
        <w:t xml:space="preserve">driver </w:t>
      </w:r>
      <w:r w:rsidR="00A02513" w:rsidRPr="00F06EA4">
        <w:rPr>
          <w:color w:val="3E3D40"/>
          <w:shd w:val="clear" w:color="auto" w:fill="FFFFFF"/>
          <w:lang w:val="en-US"/>
        </w:rPr>
        <w:t>in</w:t>
      </w:r>
      <w:r w:rsidR="00FE2363" w:rsidRPr="00F06EA4">
        <w:rPr>
          <w:color w:val="3E3D40"/>
          <w:shd w:val="clear" w:color="auto" w:fill="FFFFFF"/>
          <w:lang w:val="en-US"/>
        </w:rPr>
        <w:t xml:space="preserve"> cachexia. </w:t>
      </w:r>
    </w:p>
    <w:p w14:paraId="61564186" w14:textId="77777777" w:rsidR="00C82D78" w:rsidRPr="00F06EA4" w:rsidRDefault="00C82D78" w:rsidP="00F67ED8">
      <w:pPr>
        <w:spacing w:after="0"/>
        <w:rPr>
          <w:rStyle w:val="a5"/>
          <w:rFonts w:cs="Arial"/>
          <w:lang w:val="en-US"/>
        </w:rPr>
      </w:pPr>
    </w:p>
    <w:p w14:paraId="6FF459CB" w14:textId="7FDBE173" w:rsidR="00CB49EF" w:rsidRPr="00F06EA4" w:rsidRDefault="00CB49EF" w:rsidP="00F67ED8">
      <w:pPr>
        <w:pStyle w:val="1"/>
        <w:spacing w:before="0" w:after="0"/>
        <w:jc w:val="both"/>
        <w:rPr>
          <w:sz w:val="24"/>
        </w:rPr>
      </w:pPr>
      <w:bookmarkStart w:id="154" w:name="_Hlk3203770"/>
      <w:r w:rsidRPr="00F06EA4">
        <w:rPr>
          <w:sz w:val="24"/>
        </w:rPr>
        <w:t>PROGNOSTIC SIGNIFICANCE OF SYSTEMIC INFLAMMAT</w:t>
      </w:r>
      <w:r w:rsidR="00BC24DC" w:rsidRPr="00F06EA4">
        <w:rPr>
          <w:sz w:val="24"/>
        </w:rPr>
        <w:t>ION AND ASSOCIATED PARAM</w:t>
      </w:r>
      <w:r w:rsidR="0040523A" w:rsidRPr="00F06EA4">
        <w:rPr>
          <w:sz w:val="24"/>
        </w:rPr>
        <w:t>E</w:t>
      </w:r>
      <w:r w:rsidR="00BC24DC" w:rsidRPr="00F06EA4">
        <w:rPr>
          <w:sz w:val="24"/>
        </w:rPr>
        <w:t>TERS</w:t>
      </w:r>
      <w:r w:rsidRPr="00F06EA4">
        <w:rPr>
          <w:sz w:val="24"/>
        </w:rPr>
        <w:t xml:space="preserve"> IN </w:t>
      </w:r>
      <w:bookmarkEnd w:id="154"/>
      <w:r w:rsidR="008735D8" w:rsidRPr="00F06EA4">
        <w:rPr>
          <w:sz w:val="24"/>
        </w:rPr>
        <w:t>CRC</w:t>
      </w:r>
    </w:p>
    <w:p w14:paraId="6B8E7B7F" w14:textId="5001280C" w:rsidR="00E63E71" w:rsidRPr="00F06EA4" w:rsidRDefault="009269F9" w:rsidP="00F67ED8">
      <w:pPr>
        <w:spacing w:after="0"/>
        <w:rPr>
          <w:lang w:val="en-US"/>
        </w:rPr>
      </w:pPr>
      <w:r w:rsidRPr="00F06EA4">
        <w:rPr>
          <w:lang w:val="en-US"/>
        </w:rPr>
        <w:t xml:space="preserve">The </w:t>
      </w:r>
      <w:r w:rsidR="00820750" w:rsidRPr="00F06EA4">
        <w:rPr>
          <w:lang w:val="en-US"/>
        </w:rPr>
        <w:t xml:space="preserve">prognostic and predictive classification </w:t>
      </w:r>
      <w:r w:rsidRPr="00F06EA4">
        <w:rPr>
          <w:lang w:val="en-US"/>
        </w:rPr>
        <w:t xml:space="preserve">of CRC </w:t>
      </w:r>
      <w:r w:rsidR="00820750" w:rsidRPr="00F06EA4">
        <w:rPr>
          <w:lang w:val="en-US"/>
        </w:rPr>
        <w:t xml:space="preserve">has </w:t>
      </w:r>
      <w:r w:rsidRPr="00F06EA4">
        <w:rPr>
          <w:lang w:val="en-US"/>
        </w:rPr>
        <w:t xml:space="preserve">mainly </w:t>
      </w:r>
      <w:r w:rsidR="00820750" w:rsidRPr="00F06EA4">
        <w:rPr>
          <w:lang w:val="en-US"/>
        </w:rPr>
        <w:t>been based on tumor stage</w:t>
      </w:r>
      <w:r w:rsidR="00820750" w:rsidRPr="00F06EA4">
        <w:rPr>
          <w:lang w:val="en-US"/>
        </w:rPr>
        <w:fldChar w:fldCharType="begin" w:fldLock="1"/>
      </w:r>
      <w:r w:rsidR="00F45F97" w:rsidRPr="00F06EA4">
        <w:rPr>
          <w:lang w:val="en-US"/>
        </w:rPr>
        <w:instrText>ADDIN CSL_CITATION {"citationItems":[{"id":"ITEM-1","itemData":{"DOI":"10.1093/annonc/mds236","ISSN":"1569-8041","PMID":"23012255","abstract":"Colorectal cancer (CRC) is the most common tumour type in both sexes combined in Western countries. Although screening programmes including the implementation of faecal occult blood test and colonoscopy might be able to reduce mortality by removing precursor lesions and by making diagnosis at an earlier stage, the burden of disease and mortality is still high. Improvement of diagnostic and treatment options increased staging accuracy, functional outcome for early stages as well as survival. Although high quality surgery is still the mainstay of curative treatment, the management of CRC must be a multi-modal approach performed by an experienced multi-disciplinary expert team. Optimal choice of the individual treatment modality according to disease localization and extent, tumour biology and patient factors is able to maintain quality of life, enables long-term survival and even cure in selected patients by a combination of chemotherapy and surgery. Treatment decisions must be based on the available evidence, which has been the basis for this consensus conference-based guideline delivering a clear proposal for diagnostic and treatment measures in each stage of rectal and colon cancer and the individual clinical situations. This ESMO guideline is recommended to be used as the basis for treatment and management decisions.","author":[{"dropping-particle":"","family":"Schmoll","given":"H J","non-dropping-particle":"","parse-names":false,"suffix":""},{"dropping-particle":"","family":"Cutsem","given":"E","non-dropping-particle":"Van","parse-names":false,"suffix":""},{"dropping-particle":"","family":"Stein","given":"a","non-dropping-particle":"","parse-names":false,"suffix":""},{"dropping-particle":"","family":"Valentini","given":"V","non-dropping-particle":"","parse-names":false,"suffix":""},{"dropping-particle":"","family":"Glimelius","given":"B","non-dropping-particle":"","parse-names":false,"suffix":""},{"dropping-particle":"","family":"Haustermans","given":"K","non-dropping-particle":"","parse-names":false,"suffix":""},{"dropping-particle":"","family":"Nordlinger","given":"B","non-dropping-particle":"","parse-names":false,"suffix":""},{"dropping-particle":"","family":"Velde","given":"C J","non-dropping-particle":"van de","parse-names":false,"suffix":""},{"dropping-particle":"","family":"Balmana","given":"J","non-dropping-particle":"","parse-names":false,"suffix":""},{"dropping-particle":"","family":"Regula","given":"J","non-dropping-particle":"","parse-names":false,"suffix":""},{"dropping-particle":"","family":"Nagtegaal","given":"I D","non-dropping-particle":"","parse-names":false,"suffix":""},{"dropping-particle":"","family":"Beets-Tan","given":"R G","non-dropping-particle":"","parse-names":false,"suffix":""},{"dropping-particle":"","family":"Arnold","given":"D","non-dropping-particle":"","parse-names":false,"suffix":""},{"dropping-particle":"","family":"Ciardiello","given":"F","non-dropping-particle":"","parse-names":false,"suffix":""},{"dropping-particle":"","family":"Hoff","given":"P","non-dropping-particle":"","parse-names":false,"suffix":""},{"dropping-particle":"","family":"Kerr","given":"D","non-dropping-particle":"","parse-names":false,"suffix":""},{"dropping-particle":"","family":"Köhne","given":"C H","non-dropping-particle":"","parse-names":false,"suffix":""},{"dropping-particle":"","family":"Labianca","given":"R","non-dropping-particle":"","parse-names":false,"suffix":""},{"dropping-particle":"","family":"Price","given":"T","non-dropping-particle":"","parse-names":false,"suffix":""},{"dropping-particle":"","family":"Scheithauer","given":"W","non-dropping-particle":"","parse-names":false,"suffix":""},{"dropping-particle":"","family":"Sobrero","given":"a","non-dropping-particle":"","parse-names":false,"suffix":""},{"dropping-particle":"","family":"Tabernero","given":"J","non-dropping-particle":"","parse-names":false,"suffix":""},{"dropping-particle":"","family":"Aderka","given":"D","non-dropping-particle":"","parse-names":false,"suffix":""},{"dropping-particle":"","family":"Barroso","given":"S","non-dropping-particle":"","parse-names":false,"suffix":""},{"dropping-particle":"","family":"Bodoky","given":"G","non-dropping-particle":"","parse-names":false,"suffix":""},{"dropping-particle":"","family":"Douillard","given":"J Y","non-dropping-particle":"","parse-names":false,"suffix":""},{"dropping-particle":"","family":"Ghazaly","given":"H","non-dropping-particle":"El","parse-names":false,"suffix":""},{"dropping-particle":"","family":"Gallardo","given":"J","non-dropping-particle":"","parse-names":false,"suffix":""},{"dropping-particle":"","family":"Garin","given":"a","non-dropping-particle":"","parse-names":false,"suffix":""},{"dropping-particle":"","family":"Glynne-Jones","given":"R","non-dropping-particle":"","parse-names":false,"suffix":""},{"dropping-particle":"","family":"Jordan","given":"K","non-dropping-particle":"","parse-names":false,"suffix":""},{"dropping-particle":"","family":"Meshcheryakov","given":"a","non-dropping-particle":"","parse-names":false,"suffix":""},{"dropping-particle":"","family":"Papamichail","given":"D","non-dropping-particle":"","parse-names":false,"suffix":""},{"dropping-particle":"","family":"Pfeiffer","given":"P","non-dropping-particle":"","parse-names":false,"suffix":""},{"dropping-particle":"","family":"Souglakos","given":"I","non-dropping-particle":"","parse-names":false,"suffix":""},{"dropping-particle":"","family":"Turhal","given":"S","non-dropping-particle":"","parse-names":false,"suffix":""},{"dropping-particle":"","family":"Cervantes","given":"a","non-dropping-particle":"","parse-names":false,"suffix":""}],"container-title":"Annals of oncology : official journal of the European Society for Medical Oncology / ESMO","id":"ITEM-1","issue":"10","issued":{"date-parts":[["2012","10"]]},"page":"2479-516","title":"ESMO Consensus Guidelines for management of patients with colon and rectal cancer. a personalized approach to clinical decision making.","type":"article-journal","volume":"23"},"uris":["http://www.mendeley.com/documents/?uuid=17505cc7-1231-4729-9e88-d78b2810fa25"]},{"id":"ITEM-2","itemData":{"DOI":"10.1093/annonc/mdx224","ISSN":"1569-8041","PMID":"28881920","author":[{"dropping-particle":"","family":"Glynne-Jones","given":"R.","non-dropping-particle":"","parse-names":false,"suffix":""},{"dropping-particle":"","family":"Wyrwicz","given":"L.","non-dropping-particle":"","parse-names":false,"suffix":""},{"dropping-particle":"","family":"Tiret","given":"E.","non-dropping-particle":"","parse-names":false,"suffix":""},{"dropping-particle":"","family":"Brown","given":"G.","non-dropping-particle":"","parse-names":false,"suffix":""},{"dropping-particle":"","family":"Rödel","given":"C.","non-dropping-particle":"","parse-names":false,"suffix":""},{"dropping-particle":"","family":"Cervantes","given":"A.","non-dropping-particle":"","parse-names":false,"suffix":""},{"dropping-particle":"","family":"Arnold","given":"D.","non-dropping-particle":"","parse-names":false,"suffix":""},{"dropping-particle":"","family":"ESMO Guidelines Committee","given":"","non-dropping-particle":"","parse-names":false,"suffix":""}],"container-title":"Annals of oncology : official journal of the European Society for Medical Oncology","id":"ITEM-2","issue":"suppl_4","issued":{"date-parts":[["2017","7"]]},"page":"iv22-iv40","title":"Rectal cancer: ESMO Clinical Practice Guidelines for diagnosis, treatment and follow-up.","type":"article-journal","volume":"28"},"uris":["http://www.mendeley.com/documents/?uuid=959ab58c-6f95-47a6-92ff-17e76aaf07cd"]}],"mendeley":{"formattedCitation":"&lt;sup&gt;[143,144]&lt;/sup&gt;","plainTextFormattedCitation":"[143,144]","previouslyFormattedCitation":"&lt;sup&gt;[143,144]&lt;/sup&gt;"},"properties":{"noteIndex":0},"schema":"https://github.com/citation-style-language/schema/raw/master/csl-citation.json"}</w:instrText>
      </w:r>
      <w:r w:rsidR="00820750" w:rsidRPr="00F06EA4">
        <w:rPr>
          <w:lang w:val="en-US"/>
        </w:rPr>
        <w:fldChar w:fldCharType="separate"/>
      </w:r>
      <w:r w:rsidR="00F45F97" w:rsidRPr="00F06EA4">
        <w:rPr>
          <w:noProof/>
          <w:vertAlign w:val="superscript"/>
          <w:lang w:val="en-US"/>
        </w:rPr>
        <w:t>[143,144]</w:t>
      </w:r>
      <w:r w:rsidR="00820750" w:rsidRPr="00F06EA4">
        <w:rPr>
          <w:lang w:val="en-US"/>
        </w:rPr>
        <w:fldChar w:fldCharType="end"/>
      </w:r>
      <w:r w:rsidR="00820750" w:rsidRPr="00F06EA4">
        <w:rPr>
          <w:lang w:val="en-US"/>
        </w:rPr>
        <w:t>. However, each patient and tumor is unique</w:t>
      </w:r>
      <w:r w:rsidR="00820750" w:rsidRPr="00F06EA4">
        <w:rPr>
          <w:lang w:val="en-US"/>
        </w:rPr>
        <w:fldChar w:fldCharType="begin" w:fldLock="1"/>
      </w:r>
      <w:r w:rsidR="00F45F97" w:rsidRPr="00F06EA4">
        <w:rPr>
          <w:lang w:val="en-US"/>
        </w:rPr>
        <w:instrText>ADDIN CSL_CITATION {"citationItems":[{"id":"ITEM-1","itemData":{"DOI":"10.1586/erm.12.46","ISBN":"4048949993","ISSN":"1744-8352","PMID":"22845482","abstract":"Cancers are complex multifactorial diseases. For centuries, conventional organ-based classification system (i.e., breast cancer, lung cancer, colon cancer, colorectal cancer, prostate cancer, lymphoma, leukemia, and so on) has been utilized. Recently, molecular diagnostics has become an essential component in clinical decision-making. However, tumor evolution and behavior cannot accurately be predicted, despite numerous research studies reporting promising tumor biomarkers. To advance molecular diagnostics, a better understanding of intratumor and intertumor heterogeneity is essential. Tumor cells interact with the extracellular matrix and host non-neoplastic cells in the tumor microenvironment, which is influenced by genomic variation, hormones, and dietary, lifestyle and environmental exposures, implicated by molecular pathological epidemiology. Essentially, each tumor possesses its own unique characteristics in terms of molecular make-up, tumor microenvironment and interactomes within and between neoplastic and host cells. Starting from the unique tumor concept and paradigm, we can better classify tumors by molecular methods, and move closer toward personalized cancer medicine and prevention.","author":[{"dropping-particle":"","family":"Ogino","given":"Shuji","non-dropping-particle":"","parse-names":false,"suffix":""},{"dropping-particle":"","family":"Fuchs","given":"Charles S","non-dropping-particle":"","parse-names":false,"suffix":""},{"dropping-particle":"","family":"Giovannucci","given":"Edward","non-dropping-particle":"","parse-names":false,"suffix":""}],"container-title":"Expert review of molecular diagnostics","id":"ITEM-1","issue":"6","issued":{"date-parts":[["2012"]]},"page":"621-8","title":"How many molecular subtypes? Implications of the unique tumor principle in personalized medicine.","type":"article-journal","volume":"12"},"uris":["http://www.mendeley.com/documents/?uuid=85e15537-1bb0-4d81-8121-ff18c693eebe","http://www.mendeley.com/documents/?uuid=99ba05b1-4dde-455f-90b8-75ed0d2546d7"]}],"mendeley":{"formattedCitation":"&lt;sup&gt;[145]&lt;/sup&gt;","plainTextFormattedCitation":"[145]","previouslyFormattedCitation":"&lt;sup&gt;[145]&lt;/sup&gt;"},"properties":{"noteIndex":0},"schema":"https://github.com/citation-style-language/schema/raw/master/csl-citation.json"}</w:instrText>
      </w:r>
      <w:r w:rsidR="00820750" w:rsidRPr="00F06EA4">
        <w:rPr>
          <w:lang w:val="en-US"/>
        </w:rPr>
        <w:fldChar w:fldCharType="separate"/>
      </w:r>
      <w:r w:rsidR="00F45F97" w:rsidRPr="00F06EA4">
        <w:rPr>
          <w:noProof/>
          <w:vertAlign w:val="superscript"/>
          <w:lang w:val="en-US"/>
        </w:rPr>
        <w:t>[145]</w:t>
      </w:r>
      <w:r w:rsidR="00820750" w:rsidRPr="00F06EA4">
        <w:rPr>
          <w:lang w:val="en-US"/>
        </w:rPr>
        <w:fldChar w:fldCharType="end"/>
      </w:r>
      <w:r w:rsidR="00820750" w:rsidRPr="00F06EA4">
        <w:rPr>
          <w:lang w:val="en-US"/>
        </w:rPr>
        <w:t xml:space="preserve">, and </w:t>
      </w:r>
      <w:r w:rsidR="000C1831" w:rsidRPr="00F06EA4">
        <w:rPr>
          <w:lang w:val="en-US"/>
        </w:rPr>
        <w:t xml:space="preserve">a </w:t>
      </w:r>
      <w:r w:rsidR="00820750" w:rsidRPr="00F06EA4">
        <w:rPr>
          <w:lang w:val="en-US"/>
        </w:rPr>
        <w:t xml:space="preserve">more exact classification of the disease based on the features of </w:t>
      </w:r>
      <w:r w:rsidR="000C1831" w:rsidRPr="00F06EA4">
        <w:rPr>
          <w:lang w:val="en-US"/>
        </w:rPr>
        <w:t xml:space="preserve">the </w:t>
      </w:r>
      <w:r w:rsidR="00820750" w:rsidRPr="00F06EA4">
        <w:rPr>
          <w:lang w:val="en-US"/>
        </w:rPr>
        <w:t>tumor and host could enable more personalized treatments.</w:t>
      </w:r>
      <w:r w:rsidR="007148FF" w:rsidRPr="00F06EA4">
        <w:rPr>
          <w:lang w:val="en-US"/>
        </w:rPr>
        <w:t xml:space="preserve"> Indeed, patient selection for anti-EGFR treatment for metastatic CRC is currently based on </w:t>
      </w:r>
      <w:r w:rsidR="007148FF" w:rsidRPr="00F06EA4">
        <w:rPr>
          <w:i/>
          <w:lang w:val="en-US"/>
        </w:rPr>
        <w:t>RAS</w:t>
      </w:r>
      <w:r w:rsidR="007148FF" w:rsidRPr="00F06EA4">
        <w:rPr>
          <w:lang w:val="en-US"/>
        </w:rPr>
        <w:t xml:space="preserve"> and</w:t>
      </w:r>
      <w:r w:rsidR="007148FF" w:rsidRPr="00F06EA4">
        <w:rPr>
          <w:i/>
          <w:lang w:val="en-US"/>
        </w:rPr>
        <w:t xml:space="preserve"> BRAF </w:t>
      </w:r>
      <w:r w:rsidR="007148FF" w:rsidRPr="00F06EA4">
        <w:rPr>
          <w:lang w:val="en-US"/>
        </w:rPr>
        <w:t>mutation testing</w:t>
      </w:r>
      <w:r w:rsidR="007148FF" w:rsidRPr="00F06EA4">
        <w:rPr>
          <w:lang w:val="en-US"/>
        </w:rPr>
        <w:fldChar w:fldCharType="begin" w:fldLock="1"/>
      </w:r>
      <w:r w:rsidR="00F45F97" w:rsidRPr="00F06EA4">
        <w:rPr>
          <w:lang w:val="en-US"/>
        </w:rPr>
        <w:instrText>ADDIN CSL_CITATION {"citationItems":[{"id":"ITEM-1","itemData":{"DOI":"10.1093/annonc/mdw235","ISBN":"1569-8041 (Electronic) 0923-7534 (Linking)","ISSN":"1569-8041","PMID":"27380959","abstract":"Colorectal cancer (CRC) is one of the most common malignancies in Western countries. Over the last 20 years, and the last decade in particular, the clinical outcome for patients with metastatic CRC (mCRC) has improved greatly due not only to an increase in the number of patients being referred for and undergoing surgical resection of their localised metastatic disease but also to a more strategic approach to the delivery of systemic therapy and an expansion in the use of ablative techniques. This reflects the increase in the number of patients that are being managed within a multidisciplinary team environment and specialist cancer centres, and the emergence over the same time period not only of improved imaging techniques but also prognostic and predictive molecular markers. Treatment decisions for patients with mCRC must be evidence-based. Thus, these ESMO consensus guidelines have been developed based on the current available evidence to provide a series of evidence-based recommendations to assist in the treatment and management of patients with mCRC in this rapidly evolving treatment setting.","author":[{"dropping-particle":"","family":"Cutsem","given":"Eric","non-dropping-particle":"Van","parse-names":false,"suffix":""},{"dropping-particle":"","family":"Cervantes","given":"A.","non-dropping-particle":"","parse-names":false,"suffix":""},{"dropping-particle":"","family":"Adam","given":"R.","non-dropping-particle":"","parse-names":false,"suffix":""},{"dropping-particle":"","family":"Sobrero","given":"A.","non-dropping-particle":"","parse-names":false,"suffix":""},{"dropping-particle":"","family":"Krieken","given":"J. H.","non-dropping-particle":"Van","parse-names":false,"suffix":""},{"dropping-particle":"","family":"Aderka","given":"D.","non-dropping-particle":"","parse-names":false,"suffix":""},{"dropping-particle":"","family":"Aranda Aguilar","given":"E.","non-dropping-particle":"","parse-names":false,"suffix":""},{"dropping-particle":"","family":"Bardelli","given":"A.","non-dropping-particle":"","parse-names":false,"suffix":""},{"dropping-particle":"","family":"Benson","given":"A.","non-dropping-particle":"","parse-names":false,"suffix":""},{"dropping-particle":"","family":"Bodoky","given":"G.","non-dropping-particle":"","parse-names":false,"suffix":""},{"dropping-particle":"","family":"Ciardiello","given":"F.","non-dropping-particle":"","parse-names":false,"suffix":""},{"dropping-particle":"","family":"D'Hoore","given":"A.","non-dropping-particle":"","parse-names":false,"suffix":""},{"dropping-particle":"","family":"Diaz-Rubio","given":"E.","non-dropping-particle":"","parse-names":false,"suffix":""},{"dropping-particle":"","family":"Douillard","given":"J-Y","non-dropping-particle":"","parse-names":false,"suffix":""},{"dropping-particle":"","family":"Ducreux","given":"M.","non-dropping-particle":"","parse-names":false,"suffix":""},{"dropping-particle":"","family":"Falcone","given":"A.","non-dropping-particle":"","parse-names":false,"suffix":""},{"dropping-particle":"","family":"Grothey","given":"A.","non-dropping-particle":"","parse-names":false,"suffix":""},{"dropping-particle":"","family":"Gruenberger","given":"T.","non-dropping-particle":"","parse-names":false,"suffix":""},{"dropping-particle":"","family":"Haustermans","given":"K.","non-dropping-particle":"","parse-names":false,"suffix":""},{"dropping-particle":"","family":"Heinemann","given":"V.","non-dropping-particle":"","parse-names":false,"suffix":""},{"dropping-particle":"","family":"Hoff","given":"P.","non-dropping-particle":"","parse-names":false,"suffix":""},{"dropping-particle":"","family":"Köhne","given":"C-H","non-dropping-particle":"","parse-names":false,"suffix":""},{"dropping-particle":"","family":"Labianca","given":"R.","non-dropping-particle":"","parse-names":false,"suffix":""},{"dropping-particle":"","family":"Laurent-Puig","given":"P.","non-dropping-particle":"","parse-names":false,"suffix":""},{"dropping-particle":"","family":"Ma","given":"B.","non-dropping-particle":"","parse-names":false,"suffix":""},{"dropping-particle":"","family":"Maughan","given":"T.","non-dropping-particle":"","parse-names":false,"suffix":""},{"dropping-particle":"","family":"Muro","given":"K.","non-dropping-particle":"","parse-names":false,"suffix":""},{"dropping-particle":"","family":"Normanno","given":"N.","non-dropping-particle":"","parse-names":false,"suffix":""},{"dropping-particle":"","family":"Österlund","given":"P.","non-dropping-particle":"","parse-names":false,"suffix":""},{"dropping-particle":"","family":"Oyen","given":"W J G","non-dropping-particle":"","parse-names":false,"suffix":""},{"dropping-particle":"","family":"Papamichael","given":"D.","non-dropping-particle":"","parse-names":false,"suffix":""},{"dropping-particle":"","family":"Pentheroudakis","given":"G.","non-dropping-particle":"","parse-names":false,"suffix":""},{"dropping-particle":"","family":"Pfeiffer","given":"P.","non-dropping-particle":"","parse-names":false,"suffix":""},{"dropping-particle":"","family":"Price","given":"T. J.","non-dropping-particle":"","parse-names":false,"suffix":""},{"dropping-particle":"","family":"Punt","given":"C.","non-dropping-particle":"","parse-names":false,"suffix":""},{"dropping-particle":"","family":"Ricke","given":"J.","non-dropping-particle":"","parse-names":false,"suffix":""},{"dropping-particle":"","family":"Roth","given":"A.","non-dropping-particle":"","parse-names":false,"suffix":""},{"dropping-particle":"","family":"Salazar","given":"R.","non-dropping-particle":"","parse-names":false,"suffix":""},{"dropping-particle":"","family":"Scheithauer","given":"W.","non-dropping-particle":"","parse-names":false,"suffix":""},{"dropping-particle":"","family":"Schmoll","given":"H. J.","non-dropping-particle":"","parse-names":false,"suffix":""},{"dropping-particle":"","family":"Tabernero","given":"J.","non-dropping-particle":"","parse-names":false,"suffix":""},{"dropping-particle":"","family":"Taïeb","given":"J.","non-dropping-particle":"","parse-names":false,"suffix":""},{"dropping-particle":"","family":"Tejpar","given":"S.","non-dropping-particle":"","parse-names":false,"suffix":""},{"dropping-particle":"","family":"Wasan","given":"H.","non-dropping-particle":"","parse-names":false,"suffix":""},{"dropping-particle":"","family":"Yoshino","given":"T.","non-dropping-particle":"","parse-names":false,"suffix":""},{"dropping-particle":"","family":"Zaanan","given":"A.","non-dropping-particle":"","parse-names":false,"suffix":""},{"dropping-particle":"","family":"Arnold","given":"D.","non-dropping-particle":"","parse-names":false,"suffix":""}],"container-title":"Annals of oncology : official journal of the European Society for Medical Oncology","id":"ITEM-1","issue":"8","issued":{"date-parts":[["2016"]]},"page":"1386-422","title":"ESMO consensus guidelines for the management of patients with metastatic colorectal cancer.","type":"article-journal","volume":"27"},"uris":["http://www.mendeley.com/documents/?uuid=66ea29a4-8e44-4149-a2c4-7e352fc2a37a","http://www.mendeley.com/documents/?uuid=50ffc3a4-8372-4cdb-ba88-444d38ab5eec"]}],"mendeley":{"formattedCitation":"&lt;sup&gt;[146]&lt;/sup&gt;","plainTextFormattedCitation":"[146]","previouslyFormattedCitation":"&lt;sup&gt;[146]&lt;/sup&gt;"},"properties":{"noteIndex":0},"schema":"https://github.com/citation-style-language/schema/raw/master/csl-citation.json"}</w:instrText>
      </w:r>
      <w:r w:rsidR="007148FF" w:rsidRPr="00F06EA4">
        <w:rPr>
          <w:lang w:val="en-US"/>
        </w:rPr>
        <w:fldChar w:fldCharType="separate"/>
      </w:r>
      <w:r w:rsidR="00F45F97" w:rsidRPr="00F06EA4">
        <w:rPr>
          <w:noProof/>
          <w:vertAlign w:val="superscript"/>
          <w:lang w:val="en-US"/>
        </w:rPr>
        <w:t>[146]</w:t>
      </w:r>
      <w:r w:rsidR="007148FF" w:rsidRPr="00F06EA4">
        <w:rPr>
          <w:lang w:val="en-US"/>
        </w:rPr>
        <w:fldChar w:fldCharType="end"/>
      </w:r>
      <w:r w:rsidR="00B5563B" w:rsidRPr="00F06EA4">
        <w:rPr>
          <w:lang w:val="en-US"/>
        </w:rPr>
        <w:t>,</w:t>
      </w:r>
      <w:r w:rsidR="007148FF" w:rsidRPr="00F06EA4">
        <w:rPr>
          <w:lang w:val="en-US"/>
        </w:rPr>
        <w:t xml:space="preserve"> and anti-PD1 antibody treatment has been approved for metastatic  CRC with high-level microsatellite instability or mismatch repair deficiency</w:t>
      </w:r>
      <w:r w:rsidR="007148FF" w:rsidRPr="00F06EA4">
        <w:rPr>
          <w:lang w:val="en-US"/>
        </w:rPr>
        <w:fldChar w:fldCharType="begin" w:fldLock="1"/>
      </w:r>
      <w:r w:rsidR="00F45F97" w:rsidRPr="00F06EA4">
        <w:rPr>
          <w:lang w:val="en-US"/>
        </w:rPr>
        <w:instrText>ADDIN CSL_CITATION {"citationItems":[{"id":"ITEM-1","itemData":{"DOI":"10.1136/gutjnl-2017-315537","ISSN":"1468-3288","PMID":"29437869","abstract":"Immunotherapy strategies targeting immune checkpoints such as the CTLA4 and CD274 (programmed cell death 1 ligand 1, PD-L1)/PDCD1 (programmed cell death 1, PD-1) T-cell coreceptor pathways are revolutionising oncology. The approval of pembrolizumab use for solid tumours with high-level microsatellite instability or mismatch repair deficiency by the US Food and Drug Administration highlights promise of precision immuno-oncology. However, despite evidence indicating influences of exogenous and endogenous factors such as diet, nutrients, alcohol, smoking, obesity, lifestyle, environmental exposures and microbiome on tumour-immune interactions, integrative analyses of those factors and immunity lag behind. Immune cell analyses in the tumour microenvironment have not adequately been integrated into large-scale studies. Addressing this gap, the transdisciplinary field of molecular pathological epidemiology (MPE) offers research frameworks to integrate tumour immunology into population health sciences, and link the exposures and germline genetics (eg, HLA genotypes) to tumour and immune characteristics. Multilevel research using bioinformatics, in vivo pathology and omics (genomics, epigenomics, transcriptomics, proteomics and metabolomics) technologies is possible with use of tissue, peripheral blood circulating cells, cell-free plasma, stool, sputum, urine and other body fluids. This immunology-MPE model can synergise with experimental immunology, microbiology and systems biology. GI neoplasms represent exemplary diseases for the immunology-MPE model, given rich microbiota and immune tissues of intestines, and the well-established carcinogenic role of intestinal inflammation. Proof-of-principle studies on colorectal cancer provided insights into immunomodulating effects of aspirin, vitamin D, inflammatory diets and omega-3 polyunsaturated fatty acids. The integrated immunology-MPE model can contribute to better understanding of environment-tumour-immune interactions, and effective immunoprevention and immunotherapy strategies for precision medicine.","author":[{"dropping-particle":"","family":"Ogino","given":"Shuji","non-dropping-particle":"","parse-names":false,"suffix":""},{"dropping-particle":"","family":"Nowak","given":"Jonathan A","non-dropping-particle":"","parse-names":false,"suffix":""},{"dropping-particle":"","family":"Hamada","given":"Tsuyoshi","non-dropping-particle":"","parse-names":false,"suffix":""},{"dropping-particle":"","family":"Phipps","given":"Amanda I","non-dropping-particle":"","parse-names":false,"suffix":""},{"dropping-particle":"","family":"Peters","given":"Ulrike","non-dropping-particle":"","parse-names":false,"suffix":""},{"dropping-particle":"","family":"Milner","given":"Danny A","non-dropping-particle":"","parse-names":false,"suffix":""},{"dropping-particle":"","family":"Giovannucci","given":"Edward L","non-dropping-particle":"","parse-names":false,"suffix":""},{"dropping-particle":"","family":"Nishihara","given":"Reiko","non-dropping-particle":"","parse-names":false,"suffix":""},{"dropping-particle":"","family":"Giannakis","given":"Marios","non-dropping-particle":"","parse-names":false,"suffix":""},{"dropping-particle":"","family":"Garrett","given":"Wendy S","non-dropping-particle":"","parse-names":false,"suffix":""},{"dropping-particle":"","family":"Song","given":"Mingyang","non-dropping-particle":"","parse-names":false,"suffix":""}],"container-title":"Gut","id":"ITEM-1","issue":"6","issued":{"date-parts":[["2018"]]},"page":"1168-1180","title":"Integrative analysis of exogenous, endogenous, tumour and immune factors for precision medicine.","type":"article-journal","volume":"67"},"uris":["http://www.mendeley.com/documents/?uuid=67453a00-8205-45cd-9e54-32ad0a4dbf9e","http://www.mendeley.com/documents/?uuid=4182cf77-34e0-4469-ac5e-44c344adb30d"]}],"mendeley":{"formattedCitation":"&lt;sup&gt;[147]&lt;/sup&gt;","plainTextFormattedCitation":"[147]","previouslyFormattedCitation":"&lt;sup&gt;[147]&lt;/sup&gt;"},"properties":{"noteIndex":0},"schema":"https://github.com/citation-style-language/schema/raw/master/csl-citation.json"}</w:instrText>
      </w:r>
      <w:r w:rsidR="007148FF" w:rsidRPr="00F06EA4">
        <w:rPr>
          <w:lang w:val="en-US"/>
        </w:rPr>
        <w:fldChar w:fldCharType="separate"/>
      </w:r>
      <w:r w:rsidR="00F45F97" w:rsidRPr="00F06EA4">
        <w:rPr>
          <w:noProof/>
          <w:vertAlign w:val="superscript"/>
          <w:lang w:val="en-US"/>
        </w:rPr>
        <w:t>[147]</w:t>
      </w:r>
      <w:r w:rsidR="007148FF" w:rsidRPr="00F06EA4">
        <w:rPr>
          <w:lang w:val="en-US"/>
        </w:rPr>
        <w:fldChar w:fldCharType="end"/>
      </w:r>
      <w:r w:rsidR="00474BC5" w:rsidRPr="00F06EA4">
        <w:rPr>
          <w:lang w:val="en-US"/>
        </w:rPr>
        <w:t>.</w:t>
      </w:r>
      <w:r w:rsidR="007148FF" w:rsidRPr="00F06EA4">
        <w:rPr>
          <w:lang w:val="en-US"/>
        </w:rPr>
        <w:t xml:space="preserve"> Considering the impact of systemic inflammation in CRC progression, systemic inflammatory markers represent potential additional prognostic and predictive </w:t>
      </w:r>
      <w:r w:rsidR="001555DB" w:rsidRPr="00F06EA4">
        <w:rPr>
          <w:lang w:val="en-US"/>
        </w:rPr>
        <w:t>parameters</w:t>
      </w:r>
      <w:r w:rsidR="00E63E71" w:rsidRPr="00F06EA4">
        <w:rPr>
          <w:lang w:val="en-US"/>
        </w:rPr>
        <w:t xml:space="preserve"> (Table 5)</w:t>
      </w:r>
      <w:r w:rsidR="007148FF" w:rsidRPr="00F06EA4">
        <w:rPr>
          <w:lang w:val="en-US"/>
        </w:rPr>
        <w:t>.</w:t>
      </w:r>
      <w:r w:rsidR="00E63E71" w:rsidRPr="00F06EA4">
        <w:rPr>
          <w:lang w:val="en-US"/>
        </w:rPr>
        <w:t xml:space="preserve"> </w:t>
      </w:r>
    </w:p>
    <w:p w14:paraId="52A5BBD9" w14:textId="61F21004" w:rsidR="00191A65" w:rsidRPr="00F06EA4" w:rsidRDefault="00306BB4" w:rsidP="00F67ED8">
      <w:pPr>
        <w:spacing w:after="0"/>
        <w:ind w:firstLineChars="100" w:firstLine="240"/>
        <w:rPr>
          <w:lang w:val="en-US"/>
        </w:rPr>
      </w:pPr>
      <w:r w:rsidRPr="00F06EA4">
        <w:rPr>
          <w:lang w:val="en-US"/>
        </w:rPr>
        <w:lastRenderedPageBreak/>
        <w:t xml:space="preserve">Acute phase proteins, including CRP, albumin, and their composite mGPS (mGPS0: </w:t>
      </w:r>
      <w:r w:rsidR="00BE6100" w:rsidRPr="00F06EA4">
        <w:rPr>
          <w:lang w:val="en-US"/>
        </w:rPr>
        <w:t>serum CRP ≤</w:t>
      </w:r>
      <w:r w:rsidR="007B3981" w:rsidRPr="00F06EA4">
        <w:rPr>
          <w:lang w:val="en-US"/>
        </w:rPr>
        <w:t xml:space="preserve"> </w:t>
      </w:r>
      <w:r w:rsidR="00BE6100" w:rsidRPr="00F06EA4">
        <w:rPr>
          <w:lang w:val="en-US"/>
        </w:rPr>
        <w:t>10 mg/L and serum albumin ≥</w:t>
      </w:r>
      <w:r w:rsidR="007B3981" w:rsidRPr="00F06EA4">
        <w:rPr>
          <w:lang w:val="en-US"/>
        </w:rPr>
        <w:t xml:space="preserve"> </w:t>
      </w:r>
      <w:r w:rsidR="00BE6100" w:rsidRPr="00F06EA4">
        <w:rPr>
          <w:lang w:val="en-US"/>
        </w:rPr>
        <w:t>35 g/L or &lt;</w:t>
      </w:r>
      <w:r w:rsidR="007B3981" w:rsidRPr="00F06EA4">
        <w:rPr>
          <w:lang w:val="en-US"/>
        </w:rPr>
        <w:t xml:space="preserve"> </w:t>
      </w:r>
      <w:r w:rsidR="00BE6100" w:rsidRPr="00F06EA4">
        <w:rPr>
          <w:lang w:val="en-US"/>
        </w:rPr>
        <w:t>35 g/L; mGPS1</w:t>
      </w:r>
      <w:r w:rsidR="00E82E5D" w:rsidRPr="00F06EA4">
        <w:rPr>
          <w:lang w:val="en-US"/>
        </w:rPr>
        <w:t>:</w:t>
      </w:r>
      <w:r w:rsidR="00BE6100" w:rsidRPr="00F06EA4">
        <w:rPr>
          <w:lang w:val="en-US"/>
        </w:rPr>
        <w:t xml:space="preserve"> serum CRP &gt;</w:t>
      </w:r>
      <w:r w:rsidR="007B3981" w:rsidRPr="00F06EA4">
        <w:rPr>
          <w:lang w:val="en-US"/>
        </w:rPr>
        <w:t xml:space="preserve"> </w:t>
      </w:r>
      <w:r w:rsidR="00BE6100" w:rsidRPr="00F06EA4">
        <w:rPr>
          <w:lang w:val="en-US"/>
        </w:rPr>
        <w:t>10 mg/L and serum albumin ≥</w:t>
      </w:r>
      <w:r w:rsidR="007B3981" w:rsidRPr="00F06EA4">
        <w:rPr>
          <w:lang w:val="en-US"/>
        </w:rPr>
        <w:t xml:space="preserve"> </w:t>
      </w:r>
      <w:r w:rsidR="00BE6100" w:rsidRPr="00F06EA4">
        <w:rPr>
          <w:lang w:val="en-US"/>
        </w:rPr>
        <w:t>35 g/L; mGPS2</w:t>
      </w:r>
      <w:r w:rsidR="00E82E5D" w:rsidRPr="00F06EA4">
        <w:rPr>
          <w:lang w:val="en-US"/>
        </w:rPr>
        <w:t>:</w:t>
      </w:r>
      <w:r w:rsidR="00BE6100" w:rsidRPr="00F06EA4">
        <w:rPr>
          <w:lang w:val="en-US"/>
        </w:rPr>
        <w:t xml:space="preserve"> serum CRP &gt;</w:t>
      </w:r>
      <w:r w:rsidR="007B3981" w:rsidRPr="00F06EA4">
        <w:rPr>
          <w:lang w:val="en-US"/>
        </w:rPr>
        <w:t xml:space="preserve"> </w:t>
      </w:r>
      <w:r w:rsidR="00BE6100" w:rsidRPr="00F06EA4">
        <w:rPr>
          <w:lang w:val="en-US"/>
        </w:rPr>
        <w:t>10 mg/L and serum albumin &lt;</w:t>
      </w:r>
      <w:r w:rsidR="007B3981" w:rsidRPr="00F06EA4">
        <w:rPr>
          <w:lang w:val="en-US"/>
        </w:rPr>
        <w:t xml:space="preserve"> </w:t>
      </w:r>
      <w:r w:rsidR="00BE6100" w:rsidRPr="00F06EA4">
        <w:rPr>
          <w:lang w:val="en-US"/>
        </w:rPr>
        <w:t>35 g/L)</w:t>
      </w:r>
      <w:r w:rsidR="00C77BA8" w:rsidRPr="00F06EA4">
        <w:rPr>
          <w:lang w:val="en-US"/>
        </w:rPr>
        <w:t xml:space="preserve">, are among the </w:t>
      </w:r>
      <w:r w:rsidR="000C1831" w:rsidRPr="00F06EA4">
        <w:rPr>
          <w:lang w:val="en-US"/>
        </w:rPr>
        <w:t>best-</w:t>
      </w:r>
      <w:r w:rsidR="00C77BA8" w:rsidRPr="00F06EA4">
        <w:rPr>
          <w:lang w:val="en-US"/>
        </w:rPr>
        <w:t xml:space="preserve">studied </w:t>
      </w:r>
      <w:r w:rsidR="003702BF" w:rsidRPr="00F06EA4">
        <w:rPr>
          <w:lang w:val="en-US"/>
        </w:rPr>
        <w:t xml:space="preserve">systemic </w:t>
      </w:r>
      <w:r w:rsidR="000C1831" w:rsidRPr="00F06EA4">
        <w:rPr>
          <w:lang w:val="en-US"/>
        </w:rPr>
        <w:t>inflammation-</w:t>
      </w:r>
      <w:r w:rsidR="003702BF" w:rsidRPr="00F06EA4">
        <w:rPr>
          <w:lang w:val="en-US"/>
        </w:rPr>
        <w:t>based prognostic parameters in CRC</w:t>
      </w:r>
      <w:r w:rsidR="00BE6100" w:rsidRPr="00F06EA4">
        <w:rPr>
          <w:lang w:val="en-US"/>
        </w:rPr>
        <w:fldChar w:fldCharType="begin" w:fldLock="1"/>
      </w:r>
      <w:r w:rsidR="00F45F97" w:rsidRPr="00F06EA4">
        <w:rPr>
          <w:lang w:val="en-US"/>
        </w:rPr>
        <w:instrText>ADDIN CSL_CITATION {"citationItems":[{"id":"ITEM-1","itemData":{"DOI":"10.1016/j.ctrv.2012.08.003","ISSN":"1532-1967","PMID":"22995477","abstract":"Since the initial work, a decade ago that the combination of C-reactive protein and albumin, the Glasgow Prognostic Score (GPS), had independent prognostic value in patients with cancer, there have been more than 60 studies (&gt;30,000 patients) that have examined and validated the use of the GPS or the modified GPS (mGPS) in a variety of cancer scenarios. The present review provides a concise overview of these studies and comments on the current and future clinical utility of this simple objective systemic inflammation-based score. The GPS/mGPS had independent prognostic value in (a) unselected cohorts (4 studies, &gt;19,400 patients) (b) operable disease (28 studies, &gt;8,000 patients) (c) chemo/radiotherapy (11 studies, &gt;1500 patients) (d) inoperable disease (11 studies, &gt;2,000 patients). Association studies (15 studies, &gt;2,000 patients) pointed to an increased GPS/mGPS being associated with increased weight and muscle loss, poor performance status, increased comorbidity, increased pro-inflammatory and angiogenic cytokines and complications on treatment. These studies have originated from 13 different countries, in particular the UK and Japan. A chronic systemic inflammatory response, as evidenced by the GPS/mGPS, is clearly implicated in the prognosis of patients with cancer in a variety of clinical scenarios. The GPS/mGPS is the most extensively validated of the systemic inflammation-based prognostic scores and therefore may be used in the routine clinical assessment of patients with cancer. It not only identifies patients at risk but also provides a well defined therapeutic target for future clinical trials. It remains to be determined whether the GPS has prognostic value in other disease states.","author":[{"dropping-particle":"","family":"McMillan","given":"Donald C","non-dropping-particle":"","parse-names":false,"suffix":""}],"container-title":"Cancer treatment reviews","id":"ITEM-1","issue":"5","issued":{"date-parts":[["2013","8"]]},"page":"534-40","publisher":"Elsevier Ltd","title":"The systemic inflammation-based Glasgow Prognostic Score: a decade of experience in patients with cancer.","type":"article-journal","volume":"39"},"uris":["http://www.mendeley.com/documents/?uuid=92eb3bb9-b84a-46cc-ac46-1cf0941ffbb2"]}],"mendeley":{"formattedCitation":"&lt;sup&gt;[10]&lt;/sup&gt;","plainTextFormattedCitation":"[10]","previouslyFormattedCitation":"&lt;sup&gt;[10]&lt;/sup&gt;"},"properties":{"noteIndex":0},"schema":"https://github.com/citation-style-language/schema/raw/master/csl-citation.json"}</w:instrText>
      </w:r>
      <w:r w:rsidR="00BE6100" w:rsidRPr="00F06EA4">
        <w:rPr>
          <w:lang w:val="en-US"/>
        </w:rPr>
        <w:fldChar w:fldCharType="separate"/>
      </w:r>
      <w:r w:rsidR="00F45F97" w:rsidRPr="00F06EA4">
        <w:rPr>
          <w:noProof/>
          <w:vertAlign w:val="superscript"/>
          <w:lang w:val="en-US"/>
        </w:rPr>
        <w:t>[10]</w:t>
      </w:r>
      <w:r w:rsidR="00BE6100" w:rsidRPr="00F06EA4">
        <w:rPr>
          <w:lang w:val="en-US"/>
        </w:rPr>
        <w:fldChar w:fldCharType="end"/>
      </w:r>
      <w:r w:rsidR="00BE6100" w:rsidRPr="00F06EA4">
        <w:rPr>
          <w:lang w:val="en-US"/>
        </w:rPr>
        <w:t>.</w:t>
      </w:r>
      <w:r w:rsidR="00C516A5" w:rsidRPr="00F06EA4">
        <w:rPr>
          <w:lang w:val="en-US"/>
        </w:rPr>
        <w:t xml:space="preserve"> </w:t>
      </w:r>
      <w:r w:rsidR="00D11518" w:rsidRPr="00F06EA4">
        <w:rPr>
          <w:lang w:val="en-US"/>
        </w:rPr>
        <w:t xml:space="preserve">Numerous studies have reported that </w:t>
      </w:r>
      <w:r w:rsidR="00FD1E8C" w:rsidRPr="00F06EA4">
        <w:rPr>
          <w:lang w:val="en-US"/>
        </w:rPr>
        <w:t>high circulating CRP levels, low albumin levels and high mGPS are associated with adverse patient outcome</w:t>
      </w:r>
      <w:r w:rsidR="00175C22" w:rsidRPr="00F06EA4">
        <w:rPr>
          <w:lang w:val="en-US"/>
        </w:rPr>
        <w:t xml:space="preserve"> (Table 5)</w:t>
      </w:r>
      <w:r w:rsidR="004A2833" w:rsidRPr="00F06EA4">
        <w:rPr>
          <w:lang w:val="en-US"/>
        </w:rPr>
        <w:t>.</w:t>
      </w:r>
      <w:r w:rsidR="00C516A5" w:rsidRPr="00F06EA4">
        <w:rPr>
          <w:lang w:val="en-US"/>
        </w:rPr>
        <w:t xml:space="preserve"> </w:t>
      </w:r>
      <w:r w:rsidR="000C1831" w:rsidRPr="00F06EA4">
        <w:rPr>
          <w:lang w:val="en-US"/>
        </w:rPr>
        <w:t>In addition</w:t>
      </w:r>
      <w:r w:rsidR="00274F61" w:rsidRPr="00F06EA4">
        <w:rPr>
          <w:lang w:val="en-US"/>
        </w:rPr>
        <w:t>,</w:t>
      </w:r>
      <w:r w:rsidR="00DF39A5" w:rsidRPr="00F06EA4">
        <w:rPr>
          <w:lang w:val="en-US"/>
        </w:rPr>
        <w:t xml:space="preserve"> blood</w:t>
      </w:r>
      <w:r w:rsidR="00274F61" w:rsidRPr="00F06EA4">
        <w:rPr>
          <w:lang w:val="en-US"/>
        </w:rPr>
        <w:t xml:space="preserve"> differential</w:t>
      </w:r>
      <w:r w:rsidR="00DF39A5" w:rsidRPr="00F06EA4">
        <w:rPr>
          <w:lang w:val="en-US"/>
        </w:rPr>
        <w:t xml:space="preserve"> </w:t>
      </w:r>
      <w:r w:rsidR="00274F61" w:rsidRPr="00F06EA4">
        <w:rPr>
          <w:lang w:val="en-US"/>
        </w:rPr>
        <w:t xml:space="preserve">leukocyte count parameters have well-established prognostic value in CRC. </w:t>
      </w:r>
      <w:r w:rsidR="00D76B28" w:rsidRPr="00F06EA4">
        <w:rPr>
          <w:lang w:val="en-US"/>
        </w:rPr>
        <w:t>M</w:t>
      </w:r>
      <w:r w:rsidR="00C746F2" w:rsidRPr="00F06EA4">
        <w:rPr>
          <w:lang w:val="en-US"/>
        </w:rPr>
        <w:t>yeloid cell proliferation</w:t>
      </w:r>
      <w:r w:rsidR="00D76B28" w:rsidRPr="00F06EA4">
        <w:rPr>
          <w:lang w:val="en-US"/>
        </w:rPr>
        <w:t>, associated with systemic response to CRC,</w:t>
      </w:r>
      <w:r w:rsidR="00C746F2" w:rsidRPr="00F06EA4">
        <w:rPr>
          <w:lang w:val="en-US"/>
        </w:rPr>
        <w:t xml:space="preserve"> leads to an increase in circulating neutrophil and monocyte counts</w:t>
      </w:r>
      <w:r w:rsidR="00321B65" w:rsidRPr="00F06EA4">
        <w:rPr>
          <w:lang w:val="en-US"/>
        </w:rPr>
        <w:t>, relative to lymphocytes,</w:t>
      </w:r>
      <w:r w:rsidR="00F430BB" w:rsidRPr="00F06EA4">
        <w:rPr>
          <w:lang w:val="en-US"/>
        </w:rPr>
        <w:t xml:space="preserve"> </w:t>
      </w:r>
      <w:r w:rsidR="00D76B28" w:rsidRPr="00F06EA4">
        <w:rPr>
          <w:lang w:val="en-US"/>
        </w:rPr>
        <w:t>which has been associated with adverse outcome</w:t>
      </w:r>
      <w:r w:rsidR="00A03FC4" w:rsidRPr="00F06EA4">
        <w:rPr>
          <w:lang w:val="en-US"/>
        </w:rPr>
        <w:fldChar w:fldCharType="begin" w:fldLock="1"/>
      </w:r>
      <w:r w:rsidR="00F45F97" w:rsidRPr="00F06EA4">
        <w:rPr>
          <w:lang w:val="en-US"/>
        </w:rPr>
        <w:instrText>ADDIN CSL_CITATION {"citationItems":[{"id":"ITEM-1","itemData":{"DOI":"10.1097/MD.0000000000014126","ISBN":"0000000000","ISSN":"1536-5964","PMID":"30653142","abstract":"BACKGROUND Preoperative neutrophil-to-lymphocyte ratio (NLR) has been suggested as a useful predictive factor for prognosis in patients with various cancers. However, the prognostic value of NLR in patients with colorectal cancer (CRC) remains controversial. Therefore, the goal of this study was to perform a meta-analysis to evaluate the prognostic value of NLR in patients with CRC undergoing curative surgery. METHODS PubMed, EMBASE and Cochrane Library databases were searched to screen the relevant studies. Pooled hazard ratio (HR) with 95% confidence interval (CI) was used to assess the associations of preoperative NLR and overall survival (OS), disease-free survival (DFS), recurrence free survival (RFS) and disease specific survival (DSS) by STATA 13.0 software. RESULTS Sixteen studies involving 5897 patients were included in our meta-analysis. Our pooled results demonstrated that high NLR was associated with poor OS (HR: 1.66, 95%CI: 1.36-2.02, P &lt; .001), DFS (HR = 1.54, 95%CI: 1.18-2.02, P = .002), RFS (HR = 2.31, 95%CI: 1.68-3.17, P &lt; .001) and DSS (HR = 2.27; 95% CI: 1.75-2.96, P &lt; .001). When the patients were stratified according to country, sample size, NLR cut-off, follow up and postoperative chemotherapy, high NLR was still significantly correlated with OS. The limitation was that the majority of enrolled studies were retrospective. CONCLUSION Preoperative NLR may be an effective predictive biomarker for prognosis in patients with CRC. Detection of NLR may be beneficial to identify the high-risk patients who need other antitumor therapies in addition to surgery.","author":[{"dropping-particle":"","family":"Li","given":"Hongcai","non-dropping-particle":"","parse-names":false,"suffix":""},{"dropping-particle":"","family":"Zhao","given":"Yan","non-dropping-particle":"","parse-names":false,"suffix":""},{"dropping-particle":"","family":"Zheng","given":"Fengying","non-dropping-particle":"","parse-names":false,"suffix":""}],"container-title":"Medicine","id":"ITEM-1","issue":"3","issued":{"date-parts":[["2019","1"]]},"page":"e14126","title":"Prognostic significance of elevated preoperative neutrophil-to-lymphocyte ratio for patients with colorectal cancer undergoing curative surgery: A meta-analysis.","type":"article-journal","volume":"98"},"uris":["http://www.mendeley.com/documents/?uuid=506b4fb2-a037-4dc0-a8c0-b9d677d84685"]},{"id":"ITEM-2","itemData":{"DOI":"10.1016/j.ijsu.2018.05.030","ISSN":"1743-9159","PMID":"29807167","abstract":"PURPOSE The lymphocyte to monocyte ratio, an inflammation-based score, has been used to predict the biological behavior of malignant tumors. However, the relationship between the lymphocyte to monocyte ratio and clinical outcomes in patients with colorectal cancer remains controversial. We conducted a meta-analysis to identify the association between the lymphocyte to monocyte ratio and the prognosis of patients with colorectal cancer. METHODS Data were retrieved from PubMed, Embase, and Web of science, the hazard ratio and odds ratios with 95% confidence intervals were used to assess the prognostic value of the lymphocyte to monocyte ratio. Outcomes of interest included prognosis, such as overall survival, disease-free survival, and cancer-specific survival in patients with colorectal cancer. RESULTS fifteen retrospective, observational, cohort studies involving 11,783 patients were identified. A high lymphocyte to monocyte ratio (LMR) was a significant predictor of better overall survival (hazard ratio = 0.57, 95% confidence interval: 0.52-0.62, P &lt; 0.001), disease-free survival (hazard ratio = 0.77, 95% confidence interval: 0.70-0.84, P &lt; 0.001), and cancer-specific survival (hazard ratio = 0.55, 95% confidence interval: 0.32-0.95, P = 0.031). Increased LMR is also significantly associated with the tumor invasion depth (OR: 0.77, 95% CI: 0.61-0.97) and tumor size (OR: 0.74, 95% CI: 0.61-0.89). CONCLUSIONS Our study indicated that a high lymphocyte to monocyte ratio might be a useful marker for colorectal cancer prognosis. As most of these findings were from retrospective studies, further studies are needed to verify the significance of the lymphocyte to monocyte ratio in clinical practice.","author":[{"dropping-particle":"","family":"Tan","given":"Dewen","non-dropping-particle":"","parse-names":false,"suffix":""},{"dropping-particle":"","family":"Fu","given":"Yan","non-dropping-particle":"","parse-names":false,"suffix":""},{"dropping-particle":"","family":"Tong","given":"Weidong","non-dropping-particle":"","parse-names":false,"suffix":""},{"dropping-particle":"","family":"Li","given":"Fan","non-dropping-particle":"","parse-names":false,"suffix":""}],"container-title":"International journal of surgery (London, England)","id":"ITEM-2","issued":{"date-parts":[["2018"]]},"page":"128-138","title":"Prognostic significance of lymphocyte to monocyte ratio in colorectal cancer: A meta-analysis.","type":"article-journal","volume":"55"},"uris":["http://www.mendeley.com/documents/?uuid=8cb5c0c8-2eb0-4dca-9380-e6a54b60cd35"]}],"mendeley":{"formattedCitation":"&lt;sup&gt;[148,149]&lt;/sup&gt;","plainTextFormattedCitation":"[148,149]","previouslyFormattedCitation":"&lt;sup&gt;[148,149]&lt;/sup&gt;"},"properties":{"noteIndex":0},"schema":"https://github.com/citation-style-language/schema/raw/master/csl-citation.json"}</w:instrText>
      </w:r>
      <w:r w:rsidR="00A03FC4" w:rsidRPr="00F06EA4">
        <w:rPr>
          <w:lang w:val="en-US"/>
        </w:rPr>
        <w:fldChar w:fldCharType="separate"/>
      </w:r>
      <w:r w:rsidR="00F45F97" w:rsidRPr="00F06EA4">
        <w:rPr>
          <w:noProof/>
          <w:vertAlign w:val="superscript"/>
          <w:lang w:val="en-US"/>
        </w:rPr>
        <w:t>[148,149]</w:t>
      </w:r>
      <w:r w:rsidR="00A03FC4" w:rsidRPr="00F06EA4">
        <w:rPr>
          <w:lang w:val="en-US"/>
        </w:rPr>
        <w:fldChar w:fldCharType="end"/>
      </w:r>
      <w:r w:rsidR="00D76B28" w:rsidRPr="00F06EA4">
        <w:rPr>
          <w:lang w:val="en-US"/>
        </w:rPr>
        <w:t>. I</w:t>
      </w:r>
      <w:r w:rsidR="00F430BB" w:rsidRPr="00F06EA4">
        <w:rPr>
          <w:lang w:val="en-US"/>
        </w:rPr>
        <w:t xml:space="preserve">ndices </w:t>
      </w:r>
      <w:r w:rsidR="00321B65" w:rsidRPr="00F06EA4">
        <w:rPr>
          <w:lang w:val="en-US"/>
        </w:rPr>
        <w:t xml:space="preserve">based on </w:t>
      </w:r>
      <w:r w:rsidR="004609CA" w:rsidRPr="00F06EA4">
        <w:rPr>
          <w:lang w:val="en-US"/>
        </w:rPr>
        <w:t>relative counts of these cell types</w:t>
      </w:r>
      <w:r w:rsidR="00D76B28" w:rsidRPr="00F06EA4">
        <w:rPr>
          <w:lang w:val="en-US"/>
        </w:rPr>
        <w:t xml:space="preserve"> represent promising prognostic parameters.</w:t>
      </w:r>
      <w:r w:rsidR="008A0960" w:rsidRPr="00F06EA4">
        <w:rPr>
          <w:lang w:val="en-US"/>
        </w:rPr>
        <w:t xml:space="preserve"> </w:t>
      </w:r>
      <w:r w:rsidR="00DE2416" w:rsidRPr="00F06EA4">
        <w:rPr>
          <w:lang w:val="en-US"/>
        </w:rPr>
        <w:t>Preoperative a</w:t>
      </w:r>
      <w:r w:rsidR="008A0960" w:rsidRPr="00F06EA4">
        <w:rPr>
          <w:lang w:val="en-US"/>
        </w:rPr>
        <w:t>nemia</w:t>
      </w:r>
      <w:r w:rsidR="00F26441" w:rsidRPr="00F06EA4">
        <w:rPr>
          <w:lang w:val="en-US"/>
        </w:rPr>
        <w:t>, reflec</w:t>
      </w:r>
      <w:r w:rsidR="00DE2416" w:rsidRPr="00F06EA4">
        <w:rPr>
          <w:lang w:val="en-US"/>
        </w:rPr>
        <w:t>t</w:t>
      </w:r>
      <w:r w:rsidR="00F26441" w:rsidRPr="00F06EA4">
        <w:rPr>
          <w:lang w:val="en-US"/>
        </w:rPr>
        <w:t>ing</w:t>
      </w:r>
      <w:r w:rsidR="00DE2416" w:rsidRPr="00F06EA4">
        <w:rPr>
          <w:lang w:val="en-US"/>
        </w:rPr>
        <w:t xml:space="preserve"> systemic inflammation in a subset of patients, has also been associated with adverse outcome</w:t>
      </w:r>
      <w:r w:rsidR="00DE2416" w:rsidRPr="00F06EA4">
        <w:rPr>
          <w:lang w:val="en-US"/>
        </w:rPr>
        <w:fldChar w:fldCharType="begin" w:fldLock="1"/>
      </w:r>
      <w:r w:rsidR="00F45F97" w:rsidRPr="00F06EA4">
        <w:rPr>
          <w:lang w:val="en-US"/>
        </w:rPr>
        <w:instrText>ADDIN CSL_CITATION {"citationItems":[{"id":"ITEM-1","itemData":{"DOI":"10.1016/j.suronc.2017.01.005","ISSN":"1879-3320","PMID":"28317592","abstract":"OBJECTIVE To evaluate the long-term prognostic factor of preoperative anemia in colorectal cancer patients. BACKGROUND Anemia is frequently observed in colorectal cancer patients, with a case incidence of 30 to 67 percent. Besides an indicator of tumor-induced blood loss and inflammation, anemia in cancer is also suggested to be a cause of inferior outcome, possibly via worsening of tumor hypoxia. As surgery is likely to enhance anemia, the long-term prognostic value of preoperative anemia seems most interesting. METHODS Comprehensive searches were carried out in all relevant databases, including MEDLINE, Embase and Web-of-Science. To include studies addressing overall survival, follow-up had to be at least 24 months or till death. For pooling of survival results, a mixed-linear (fixed-effects) model was fit to the reported hazard ratios (HRs) to calculate a pooled estimate and confidence interval. RESULTS We included 12 studies comprising 3588 patients to estimate the association between preoperative anemia and overall survival (OS) and disease-free survival (DFS). In a fixed-effects meta-analysis of eight studies, including both colon and rectal cancer, preoperative anemia was significantly associated with poor OS (HR 1.56; 95% CI 1.30 to 1.88; p &lt; 0.001). A meta-analysis of seven studies also showed that preoperative anemia was significantly associated with poor DFS (HR 1.34; 95% CI 1.11 to 1.61; p = 0.002). Restricted to studies exclusively on colon cancer or rectal cancer, HRs for OS were 1.25 (95% CI 1.00 to 1.55; p = 0.05) and 2.59 (95% CI 1.68 to 4.01; p &lt; 0.001), respectively, while HRs for DFS were 1.21 (95% CI 0.96 to 1.52; p = 0.11) and 1.61 (95% CI 1.18 to 2.21; p = 0.003). CONCLUSION The present meta-analysis reveals that preoperative anemia is significantly associated with decreased long-term OS and DFS in rectal cancer, but not in colon cancer patients, although this meta-analysis is mainly based on retrospective studies with high heterogeneity. These results justify raised awareness about the impact of preoperative anemia on long-term survival.","author":[{"dropping-particle":"","family":"Wilson","given":"M. J.","non-dropping-particle":"","parse-names":false,"suffix":""},{"dropping-particle":"","family":"Haaren","given":"M.","non-dropping-particle":"van","parse-names":false,"suffix":""},{"dropping-particle":"","family":"Harlaar","given":"J. J.","non-dropping-particle":"","parse-names":false,"suffix":""},{"dropping-particle":"","family":"Park","given":"Hee Chul","non-dropping-particle":"","parse-names":false,"suffix":""},{"dropping-particle":"","family":"Bonjer","given":"H. J.","non-dropping-particle":"","parse-names":false,"suffix":""},{"dropping-particle":"","family":"Jeekel","given":"J.","non-dropping-particle":"","parse-names":false,"suffix":""},{"dropping-particle":"","family":"Zwaginga","given":"J. J.","non-dropping-particle":"","parse-names":false,"suffix":""},{"dropping-particle":"","family":"Schipperus","given":"M.","non-dropping-particle":"","parse-names":false,"suffix":""}],"container-title":"Surgical oncology","id":"ITEM-1","issue":"1","issued":{"date-parts":[["2017"]]},"page":"96-104","title":"Long-term prognostic value of preoperative anemia in patients with colorectal cancer: A systematic review and meta-analysis.","type":"article-journal","volume":"26"},"uris":["http://www.mendeley.com/documents/?uuid=a00dc8f1-7299-4e83-ba3e-cab3a69f4497"]}],"mendeley":{"formattedCitation":"&lt;sup&gt;[150]&lt;/sup&gt;","plainTextFormattedCitation":"[150]","previouslyFormattedCitation":"&lt;sup&gt;[150]&lt;/sup&gt;"},"properties":{"noteIndex":0},"schema":"https://github.com/citation-style-language/schema/raw/master/csl-citation.json"}</w:instrText>
      </w:r>
      <w:r w:rsidR="00DE2416" w:rsidRPr="00F06EA4">
        <w:rPr>
          <w:lang w:val="en-US"/>
        </w:rPr>
        <w:fldChar w:fldCharType="separate"/>
      </w:r>
      <w:r w:rsidR="00F45F97" w:rsidRPr="00F06EA4">
        <w:rPr>
          <w:noProof/>
          <w:vertAlign w:val="superscript"/>
          <w:lang w:val="en-US"/>
        </w:rPr>
        <w:t>[150]</w:t>
      </w:r>
      <w:r w:rsidR="00DE2416" w:rsidRPr="00F06EA4">
        <w:rPr>
          <w:lang w:val="en-US"/>
        </w:rPr>
        <w:fldChar w:fldCharType="end"/>
      </w:r>
      <w:r w:rsidR="00DE2416" w:rsidRPr="00F06EA4">
        <w:rPr>
          <w:lang w:val="en-US"/>
        </w:rPr>
        <w:t>.</w:t>
      </w:r>
      <w:r w:rsidR="00557292" w:rsidRPr="00F06EA4">
        <w:rPr>
          <w:lang w:val="en-US"/>
        </w:rPr>
        <w:t xml:space="preserve"> </w:t>
      </w:r>
      <w:r w:rsidR="000C1831" w:rsidRPr="00F06EA4">
        <w:rPr>
          <w:lang w:val="en-US"/>
        </w:rPr>
        <w:t>P</w:t>
      </w:r>
      <w:r w:rsidR="0002010B" w:rsidRPr="00F06EA4">
        <w:rPr>
          <w:lang w:val="en-US"/>
        </w:rPr>
        <w:t xml:space="preserve">latelet count and platelet-to-lymphocyte ratio can </w:t>
      </w:r>
      <w:r w:rsidR="000C1831" w:rsidRPr="00F06EA4">
        <w:rPr>
          <w:lang w:val="en-US"/>
        </w:rPr>
        <w:t xml:space="preserve">also provide </w:t>
      </w:r>
      <w:r w:rsidR="006A10C8" w:rsidRPr="00F06EA4">
        <w:rPr>
          <w:lang w:val="en-US"/>
        </w:rPr>
        <w:t xml:space="preserve">potentially </w:t>
      </w:r>
      <w:r w:rsidR="0002010B" w:rsidRPr="00F06EA4">
        <w:rPr>
          <w:lang w:val="en-US"/>
        </w:rPr>
        <w:t>clinically relevant prognostic information</w:t>
      </w:r>
      <w:r w:rsidR="0002010B" w:rsidRPr="00F06EA4">
        <w:rPr>
          <w:lang w:val="en-US"/>
        </w:rPr>
        <w:fldChar w:fldCharType="begin" w:fldLock="1"/>
      </w:r>
      <w:r w:rsidR="00F45F97" w:rsidRPr="00F06EA4">
        <w:rPr>
          <w:lang w:val="en-US"/>
        </w:rPr>
        <w:instrText>ADDIN CSL_CITATION {"citationItems":[{"id":"ITEM-1","itemData":{"DOI":"10.21873/anticanres.11878","ISSN":"1791-7530","PMID":"28870890","abstract":"AIM The current study aimed to determine the prognostic significance of thrombocytosis in patients with colorectal cancer (CRC) by a meta-analysis of the literature. PATIENTS AND METHODS The meta-analysis followed the 2009 guidelines of Preferred Reporting Items for Systematic Reviews and Meta-Analyses. A systematic literature review was conducted from PubMed and Web of Science for articles published up to May 15, 2015. Sixteen studies with a total of 5,619 patients met the inclusion criteria. Hazard ratios and 95% confidence intervals were retrieved from the original articles, calculated from the published Kaplan-Meier survival curves, or the corresponding authors were contacted for additional information. Heterogeneity was assessed using the I2 statistic and Chi-square tests. Publication bias was assessed by Begg's funnel plot, Egger's linear regression test and trim-and-fill method. Sensitivity analysis was performed to validate the reliability. RESULTS Thrombocytosis is associated with shorter overall, disease-free and cancer-specific survival. Overall survival is reduced in patients with thrombocytosis regardless of their clinical tumor stage, and ethnicity. Shortened disease-free survival is associated with elevated platelet count in the non-specific stage (I-IV), localized tumor (stage I-III), and in the Asian patient population. Thrombocytosis is further associated with reduced cancer-specific survival in the non-specific stage and in Asian patients. Finally, thrombocytosis is significantly related to female patients, colon tumor location, T3-4 stage, lymph node positivity, metastasis, undifferentiated histology and lymphatic involvement. CONCLUSION Thrombocytosis portends adverse prognosis in CRC, and may serve as a clinically useful marker to facilitate risk stratification and guide postoperative management.","author":[{"dropping-particle":"","family":"Gu","given":"Dongmin","non-dropping-particle":"","parse-names":false,"suffix":""},{"dropping-particle":"","family":"Szallasi","given":"Arpad","non-dropping-particle":"","parse-names":false,"suffix":""}],"container-title":"Anticancer research","id":"ITEM-1","issue":"9","issued":{"date-parts":[["2017"]]},"page":"4717-4726","title":"Thrombocytosis Portends Adverse Prognosis in Colorectal Cancer: A Meta-Analysis of 5,619 Patients in 16 Individual Studies.","type":"article-journal","volume":"37"},"uris":["http://www.mendeley.com/documents/?uuid=57c429e1-b243-42d2-95ad-888dd7e8f918"]},{"id":"ITEM-2","itemData":{"DOI":"10.1097/MD.0000000000010831","ISBN":"0000000000","ISSN":"1536-5964","PMID":"29879017","abstract":"BACKGROUND Recently, a wide variety of studies have suggested that elevated platelet counts are associated with survival in patients with colorectal cancer. On one hand several studies suggest a negative connection in colorectal cancer patients with pre-operative thrombocytosis, on the other hand other studies contradicts this. However, it remains unknown whether elevated platelet counts are associated with survival in colorectal cancer patients. We therefore conducted this meta-analysis to evaluate the prognostic role of platelet counts in colorectal cancer. METHODS PubMed, Embase, and the Cochrane Library databases were searched from their inception to October 15, 2016 to identify relevant studies that have explored the prognostic role of platelet counts in colorectal cancer. Studies that examined the association between platelet counts and prognoses in colorectal cancer and that provided a hazard ratio (HR) and 95% confidence interval (CI) for overall survival (OS) and/or disease-free survival (DFS) were included. RESULTS This meta-analysis included 9 retrospective cohort studies involving 3413 patients with colorectal cancer. OS was shorter in patients with elevated platelet counts than in patients with normal counts (HR 2.11, 95% CI: 1.68-2.65). For DFS, an elevated platelet count was also a poor predictor (HR 2.51, 95% CI: 1.84-3.43). CONCLUSION In this meta-analysis, we suggest that an elevated platelet count is a negative predictor of survival in both primary colorectal cancer and resectable colorectal liver metastases.","author":[{"dropping-particle":"","family":"Rao","given":"Xu-Dong","non-dropping-particle":"","parse-names":false,"suffix":""},{"dropping-particle":"","family":"Zhang","given":"Hua","non-dropping-particle":"","parse-names":false,"suffix":""},{"dropping-particle":"","family":"Xu","given":"Zheng-Shui","non-dropping-particle":"","parse-names":false,"suffix":""},{"dropping-particle":"","family":"Cheng","given":"Hua","non-dropping-particle":"","parse-names":false,"suffix":""},{"dropping-particle":"","family":"Shen","given":"Wei","non-dropping-particle":"","parse-names":false,"suffix":""},{"dropping-particle":"","family":"Wang","given":"Xin-Ping","non-dropping-particle":"","parse-names":false,"suffix":""}],"container-title":"Medicine","id":"ITEM-2","issue":"23","issued":{"date-parts":[["2018"]]},"page":"e10831","title":"Poor prognostic role of the pretreatment platelet counts in colorectal cancer: A meta-analysis.","type":"article-journal","volume":"97"},"uris":["http://www.mendeley.com/documents/?uuid=985e6093-b975-4a55-bce6-8bb1996fa4f4"]},{"id":"ITEM-3","itemData":{"DOI":"10.1097/MD.0000000000003837","ISBN":"0000000000","ISSN":"1536-5964","PMID":"27310960","abstract":"Many studies have been reported that platelet-lymphocyte ratio (PLR) may be associated with the prognosis of colorectal cancer (CRC), but the results are inconsistent. Current opinion on the prognostic role of the PLR in CRC is inconsistent and inconclusive. Therefore, we conduct a meta-analysis that combines these studies and to identify the prognostic value of PLR in patients with CRC. Data were retrieved from PubMed, EMBASE, Cochrane Library, and Web of Science databases that came from inception through January 2016. We extracted data from the characteristics of each study and analyzed the relationship between PLR and overall survival (OS), disease-free survival (DFS), or other prognosis in patients with CRC by using the hazard ratio (HR) and 95% confidence intervals (95% CIs). Of the 256 identified studies, 15 studies were included and a total of 3991 patients were included. In a meta-analysis, patients with an elevated PLR had a significantly lower OS (pooled HR, 1.53; 95% CI, 1.24-1.89; P ≤ 0.001), DFS (pooled HR, 1.68; 95% CI, 1.07-2.62; P = 0.023). Even after sensitivity analyses and trim and fill method, high PLR remains significantly predictive poorer OS, but not DFS. In addition, our meta-analysis indicated that increased PLR is also significantly associated with the poor tumor differentiation [odds ratio (OR) 2.12; 95% CI, 1.45-3.08, P &lt; 0.001)], the propensity toward depth of infiltration (OR 1.69; 95% CI, 1.20-2.39, P = 0.003), and recurrence in patients with CRC (HR, 2.71; 95% CI, 1.31-5.60, P = 0.005). This meta-analysis suggested that a high peripheral blood PLR can be used as a predictor of OS connected with clinicopathological parameters in patients with CRC, not DFS. These ratios may thus contribute to inform more personalized treatment decisions and predict treatment outcomes.","author":[{"dropping-particle":"","family":"Tan","given":"Dewen","non-dropping-particle":"","parse-names":false,"suffix":""},{"dropping-particle":"","family":"Fu","given":"Yan","non-dropping-particle":"","parse-names":false,"suffix":""},{"dropping-particle":"","family":"Su","given":"Qi","non-dropping-particle":"","parse-names":false,"suffix":""},{"dropping-particle":"","family":"Wang","given":"Heling","non-dropping-particle":"","parse-names":false,"suffix":""}],"container-title":"Medicine","id":"ITEM-3","issue":"24","issued":{"date-parts":[["2016","6"]]},"page":"e3837","title":"Prognostic role of platelet-lymphocyte ratio in colorectal cancer: A systematic review and meta-analysis.","type":"article-journal","volume":"95"},"uris":["http://www.mendeley.com/documents/?uuid=eddee38e-c553-4d72-ad94-a10932a7869d"]}],"mendeley":{"formattedCitation":"&lt;sup&gt;[151–153]&lt;/sup&gt;","plainTextFormattedCitation":"[151–153]","previouslyFormattedCitation":"&lt;sup&gt;[151–153]&lt;/sup&gt;"},"properties":{"noteIndex":0},"schema":"https://github.com/citation-style-language/schema/raw/master/csl-citation.json"}</w:instrText>
      </w:r>
      <w:r w:rsidR="0002010B" w:rsidRPr="00F06EA4">
        <w:rPr>
          <w:lang w:val="en-US"/>
        </w:rPr>
        <w:fldChar w:fldCharType="separate"/>
      </w:r>
      <w:r w:rsidR="00F45F97" w:rsidRPr="00F06EA4">
        <w:rPr>
          <w:noProof/>
          <w:vertAlign w:val="superscript"/>
          <w:lang w:val="en-US"/>
        </w:rPr>
        <w:t>[151–153]</w:t>
      </w:r>
      <w:r w:rsidR="0002010B" w:rsidRPr="00F06EA4">
        <w:rPr>
          <w:lang w:val="en-US"/>
        </w:rPr>
        <w:fldChar w:fldCharType="end"/>
      </w:r>
      <w:r w:rsidR="0002010B" w:rsidRPr="00F06EA4">
        <w:rPr>
          <w:lang w:val="en-US"/>
        </w:rPr>
        <w:t>, with high platelet counts associated with poor survival.</w:t>
      </w:r>
      <w:r w:rsidR="002830B7" w:rsidRPr="00F06EA4">
        <w:rPr>
          <w:lang w:val="en-US"/>
        </w:rPr>
        <w:t xml:space="preserve"> </w:t>
      </w:r>
      <w:r w:rsidR="000C1831" w:rsidRPr="00F06EA4">
        <w:rPr>
          <w:lang w:val="en-US"/>
        </w:rPr>
        <w:t xml:space="preserve">In future, more </w:t>
      </w:r>
      <w:r w:rsidR="002830B7" w:rsidRPr="00F06EA4">
        <w:rPr>
          <w:lang w:val="en-US"/>
        </w:rPr>
        <w:t>sophisticated analyses</w:t>
      </w:r>
      <w:r w:rsidR="00A64DB5" w:rsidRPr="00F06EA4">
        <w:rPr>
          <w:lang w:val="en-US"/>
        </w:rPr>
        <w:t xml:space="preserve"> of platelet</w:t>
      </w:r>
      <w:r w:rsidR="00CE67EC" w:rsidRPr="00F06EA4">
        <w:rPr>
          <w:lang w:val="en-US"/>
        </w:rPr>
        <w:t xml:space="preserve"> composition</w:t>
      </w:r>
      <w:r w:rsidR="006A10C8" w:rsidRPr="00F06EA4">
        <w:rPr>
          <w:lang w:val="en-US"/>
        </w:rPr>
        <w:t xml:space="preserve"> and function</w:t>
      </w:r>
      <w:r w:rsidR="002830B7" w:rsidRPr="00F06EA4">
        <w:rPr>
          <w:lang w:val="en-US"/>
        </w:rPr>
        <w:t xml:space="preserve">, such as </w:t>
      </w:r>
      <w:r w:rsidR="004865E0" w:rsidRPr="00F06EA4">
        <w:rPr>
          <w:lang w:val="en-US"/>
        </w:rPr>
        <w:t>platelet R</w:t>
      </w:r>
      <w:r w:rsidR="001E26D7" w:rsidRPr="00F06EA4">
        <w:rPr>
          <w:lang w:val="en-US"/>
        </w:rPr>
        <w:t xml:space="preserve">NA </w:t>
      </w:r>
      <w:r w:rsidR="00CE67EC" w:rsidRPr="00F06EA4">
        <w:rPr>
          <w:lang w:val="en-US"/>
        </w:rPr>
        <w:t xml:space="preserve">sequencing, may </w:t>
      </w:r>
      <w:r w:rsidR="00406997" w:rsidRPr="00F06EA4">
        <w:rPr>
          <w:lang w:val="en-US"/>
        </w:rPr>
        <w:t>complement these parameters</w:t>
      </w:r>
      <w:r w:rsidR="004A51FC" w:rsidRPr="00F06EA4">
        <w:rPr>
          <w:lang w:val="en-US"/>
        </w:rPr>
        <w:t xml:space="preserve"> to provide more nuanced information of </w:t>
      </w:r>
      <w:r w:rsidR="008165F4" w:rsidRPr="00F06EA4">
        <w:rPr>
          <w:lang w:val="en-US"/>
        </w:rPr>
        <w:t xml:space="preserve">the status of </w:t>
      </w:r>
      <w:r w:rsidR="00DF04BA" w:rsidRPr="00F06EA4">
        <w:rPr>
          <w:lang w:val="en-US"/>
        </w:rPr>
        <w:t>platelet activation and education during systemic inflammation</w:t>
      </w:r>
      <w:r w:rsidR="004A51FC" w:rsidRPr="00F06EA4">
        <w:rPr>
          <w:lang w:val="en-US"/>
        </w:rPr>
        <w:fldChar w:fldCharType="begin" w:fldLock="1"/>
      </w:r>
      <w:r w:rsidR="00F45F97" w:rsidRPr="00F06EA4">
        <w:rPr>
          <w:lang w:val="en-US"/>
        </w:rPr>
        <w:instrText>ADDIN CSL_CITATION {"citationItems":[{"id":"ITEM-1","itemData":{"DOI":"10.1158/0008-5472.CAN-18-0887","ISBN":"1098-0121","ISSN":"1538-7445","PMID":"29921699","abstract":"Liquid biopsies represent a potential revolution in cancer diagnostics as a noninvasive method for detecting and monitoring diseases, complementary to or even replacing current tissue biopsy approaches. Several blood-based biosources and biomolecules, such as cell-free DNA and RNA, proteins, circulating tumor cells, and extracellular vesicles, have been explored for molecular test development. We recently discovered the potential of tumor-educated blood platelets (TEP) as a noninvasive biomarker trove for RNA biomarker panels. TEPs are involved in the progression and spread of several solid tumors, and spliced TEP RNA surrogate signatures can provide specific information on the presence, location, and molecular characteristics of cancers. So far, TEP samples from patients with different tumor types, including lung, brain, and breast cancers, have been tested, and it has been shown that TEPs from patients with cancer are distinct from those with inflammatory and other noncancerous diseases. It remains to be investigated how platelets are \"educated,\" which mechanisms cause intraplatelet RNA splicing, and whether the relative contribution of specific platelet subpopulations changes in patients with cancer. Ultimately, TEP RNA may complement currently used biosources and biomolecules employed for liquid biopsy diagnosis, potentially enhancing the detection of cancer in an early stage and facilitating noninvasive disease monitoring. Cancer Res; 78(13); 3407-12. ©2018 AACR.","author":[{"dropping-particle":"","family":"Best","given":"Myron G.","non-dropping-particle":"","parse-names":false,"suffix":""},{"dropping-particle":"","family":"Wesseling","given":"Pieter","non-dropping-particle":"","parse-names":false,"suffix":""},{"dropping-particle":"","family":"Wurdinger","given":"Thomas","non-dropping-particle":"","parse-names":false,"suffix":""}],"container-title":"Cancer research","id":"ITEM-1","issue":"13","issued":{"date-parts":[["2018","7"]]},"page":"3407-3412","title":"Tumor-Educated Platelets as a Noninvasive Biomarker Source for Cancer Detection and Progression Monitoring.","type":"article-journal","volume":"78"},"uris":["http://www.mendeley.com/documents/?uuid=6566df65-21cb-4bc8-afef-e13c035c654a"]}],"mendeley":{"formattedCitation":"&lt;sup&gt;[21]&lt;/sup&gt;","plainTextFormattedCitation":"[21]","previouslyFormattedCitation":"&lt;sup&gt;[21]&lt;/sup&gt;"},"properties":{"noteIndex":0},"schema":"https://github.com/citation-style-language/schema/raw/master/csl-citation.json"}</w:instrText>
      </w:r>
      <w:r w:rsidR="004A51FC" w:rsidRPr="00F06EA4">
        <w:rPr>
          <w:lang w:val="en-US"/>
        </w:rPr>
        <w:fldChar w:fldCharType="separate"/>
      </w:r>
      <w:r w:rsidR="00F45F97" w:rsidRPr="00F06EA4">
        <w:rPr>
          <w:noProof/>
          <w:vertAlign w:val="superscript"/>
          <w:lang w:val="en-US"/>
        </w:rPr>
        <w:t>[21]</w:t>
      </w:r>
      <w:r w:rsidR="004A51FC" w:rsidRPr="00F06EA4">
        <w:rPr>
          <w:lang w:val="en-US"/>
        </w:rPr>
        <w:fldChar w:fldCharType="end"/>
      </w:r>
      <w:r w:rsidR="00406997" w:rsidRPr="00F06EA4">
        <w:rPr>
          <w:lang w:val="en-US"/>
        </w:rPr>
        <w:t>.</w:t>
      </w:r>
    </w:p>
    <w:p w14:paraId="70D750BC" w14:textId="0B31B59B" w:rsidR="001555DB" w:rsidRPr="00F06EA4" w:rsidRDefault="00DF04BA" w:rsidP="00F67ED8">
      <w:pPr>
        <w:spacing w:after="0"/>
        <w:ind w:firstLineChars="100" w:firstLine="240"/>
        <w:rPr>
          <w:lang w:val="en-US"/>
        </w:rPr>
      </w:pPr>
      <w:r w:rsidRPr="00F06EA4">
        <w:rPr>
          <w:lang w:val="en-US"/>
        </w:rPr>
        <w:t xml:space="preserve">Several studies have indicated that circulating cytokine concentrations </w:t>
      </w:r>
      <w:r w:rsidR="002363B2" w:rsidRPr="00F06EA4">
        <w:rPr>
          <w:lang w:val="en-US"/>
        </w:rPr>
        <w:t>provide prognostic information in CRC</w:t>
      </w:r>
      <w:r w:rsidR="00A0059E" w:rsidRPr="00F06EA4">
        <w:rPr>
          <w:lang w:val="en-US"/>
        </w:rPr>
        <w:t>.</w:t>
      </w:r>
      <w:r w:rsidR="00065983" w:rsidRPr="00F06EA4">
        <w:rPr>
          <w:lang w:val="en-US"/>
        </w:rPr>
        <w:t xml:space="preserve"> </w:t>
      </w:r>
      <w:r w:rsidR="00284ECB" w:rsidRPr="00F06EA4">
        <w:rPr>
          <w:lang w:val="en-US"/>
        </w:rPr>
        <w:t>Recently</w:t>
      </w:r>
      <w:r w:rsidR="002E337E" w:rsidRPr="00F06EA4">
        <w:rPr>
          <w:lang w:val="en-US"/>
        </w:rPr>
        <w:t xml:space="preserve">, </w:t>
      </w:r>
      <w:r w:rsidR="00D86A76" w:rsidRPr="00F06EA4">
        <w:rPr>
          <w:lang w:val="en-US"/>
        </w:rPr>
        <w:t xml:space="preserve">using proximity extension assays, </w:t>
      </w:r>
      <w:r w:rsidR="002E337E" w:rsidRPr="00F06EA4">
        <w:rPr>
          <w:lang w:val="en-US"/>
        </w:rPr>
        <w:t>Bir</w:t>
      </w:r>
      <w:r w:rsidR="00D25D64" w:rsidRPr="00F06EA4">
        <w:rPr>
          <w:lang w:val="en-US"/>
        </w:rPr>
        <w:t xml:space="preserve">gisson </w:t>
      </w:r>
      <w:r w:rsidR="0046007C" w:rsidRPr="00F06EA4">
        <w:rPr>
          <w:i/>
          <w:iCs/>
          <w:lang w:val="en-US"/>
        </w:rPr>
        <w:t>et al</w:t>
      </w:r>
      <w:r w:rsidR="00D25D64" w:rsidRPr="00F06EA4">
        <w:rPr>
          <w:lang w:val="en-US"/>
        </w:rPr>
        <w:fldChar w:fldCharType="begin" w:fldLock="1"/>
      </w:r>
      <w:r w:rsidR="00F45F97" w:rsidRPr="00F06EA4">
        <w:rPr>
          <w:lang w:val="en-US"/>
        </w:rPr>
        <w:instrText>ADDIN CSL_CITATION {"citationItems":[{"id":"ITEM-1","itemData":{"DOI":"10.1016/j.tranon.2018.05.012","ISSN":"1936-5233","PMID":"29982101","abstract":"BACKGROUND Due to difficulties in predicting recurrences in colorectal cancer stages II and III, reliable prognostic biomarkers could be a breakthrough for individualized treatment and follow-up. OBJECTIVE To find potential prognostic protein biomarkers in colorectal cancer, using the proximity extension assays. METHODS A panel of 92 oncology-related proteins was analyzed with proximity extension assays, in plasma from a cohort of 261 colorectal cancer patients with stage II-IV. The survival analyses were corrected for disease stage and age, and the recurrence analyses were corrected for disease stage. The significance threshold was adjusted for multiple comparisons. RESULTS The plasma proteins expression levels had a greater prognostic relevance in disease stage III colorectal cancer than in disease stage II, and for overall survival than for time to recurrence. Osteoprotegerin was the only biomarker candidate in the protein panel that had a statistical significant association with overall survival (P = .00029). None of the proteins were statistically significantly associated with time to recurrence. CONCLUSIONS Of the 92 analyzed plasma proteins, osteoprotegerin showed the strongest prognostic impact in patients with colorectal cancer, and therefore osteoprotegerin is a potential predictive marker, and it also could be a target for treatments.","author":[{"dropping-particle":"","family":"Birgisson","given":"Helgi","non-dropping-particle":"","parse-names":false,"suffix":""},{"dropping-particle":"","family":"Tsimogiannis","given":"Kostas","non-dropping-particle":"","parse-names":false,"suffix":""},{"dropping-particle":"","family":"Freyhult","given":"Eva","non-dropping-particle":"","parse-names":false,"suffix":""},{"dropping-particle":"","family":"Kamali-Moghaddam","given":"Masood","non-dropping-particle":"","parse-names":false,"suffix":""}],"container-title":"Translational oncology","id":"ITEM-1","issue":"4","issued":{"date-parts":[["2018","7"]]},"page":"1034-1043","title":"Plasma Protein Profiling Reveal Osteoprotegerin as a Marker of Prognostic Impact for Colorectal Cancer.","type":"article-journal","volume":"11"},"uris":["http://www.mendeley.com/documents/?uuid=e04cf5cb-6c26-44a0-9177-c4a2c0d7113b"]}],"mendeley":{"formattedCitation":"&lt;sup&gt;[20]&lt;/sup&gt;","plainTextFormattedCitation":"[20]","previouslyFormattedCitation":"&lt;sup&gt;[20]&lt;/sup&gt;"},"properties":{"noteIndex":0},"schema":"https://github.com/citation-style-language/schema/raw/master/csl-citation.json"}</w:instrText>
      </w:r>
      <w:r w:rsidR="00D25D64" w:rsidRPr="00F06EA4">
        <w:rPr>
          <w:lang w:val="en-US"/>
        </w:rPr>
        <w:fldChar w:fldCharType="separate"/>
      </w:r>
      <w:r w:rsidR="00F45F97" w:rsidRPr="00F06EA4">
        <w:rPr>
          <w:noProof/>
          <w:vertAlign w:val="superscript"/>
          <w:lang w:val="en-US"/>
        </w:rPr>
        <w:t>[20]</w:t>
      </w:r>
      <w:r w:rsidR="00D25D64" w:rsidRPr="00F06EA4">
        <w:rPr>
          <w:lang w:val="en-US"/>
        </w:rPr>
        <w:fldChar w:fldCharType="end"/>
      </w:r>
      <w:r w:rsidR="00D25D64" w:rsidRPr="00F06EA4">
        <w:rPr>
          <w:lang w:val="en-US"/>
        </w:rPr>
        <w:t xml:space="preserve"> analyzed plasma levels of </w:t>
      </w:r>
      <w:r w:rsidR="002E337E" w:rsidRPr="00F06EA4">
        <w:rPr>
          <w:lang w:val="en-US"/>
        </w:rPr>
        <w:t>92 oncology-related proteins</w:t>
      </w:r>
      <w:r w:rsidR="00D8598D" w:rsidRPr="00F06EA4">
        <w:rPr>
          <w:lang w:val="en-US"/>
        </w:rPr>
        <w:t>, including</w:t>
      </w:r>
      <w:r w:rsidR="00277715" w:rsidRPr="00F06EA4">
        <w:rPr>
          <w:lang w:val="en-US"/>
        </w:rPr>
        <w:t xml:space="preserve"> an assemblage of cytokines, chemokines, and growth factors,</w:t>
      </w:r>
      <w:r w:rsidR="002E337E" w:rsidRPr="00F06EA4">
        <w:rPr>
          <w:lang w:val="en-US"/>
        </w:rPr>
        <w:t xml:space="preserve"> in a cohort of 261 </w:t>
      </w:r>
      <w:r w:rsidR="00812D5E" w:rsidRPr="00F06EA4">
        <w:rPr>
          <w:lang w:val="en-US"/>
        </w:rPr>
        <w:t xml:space="preserve">stage II-IV </w:t>
      </w:r>
      <w:r w:rsidR="008735D8" w:rsidRPr="00F06EA4">
        <w:rPr>
          <w:lang w:val="en-US"/>
        </w:rPr>
        <w:t>CRC</w:t>
      </w:r>
      <w:r w:rsidR="002E337E" w:rsidRPr="00F06EA4">
        <w:rPr>
          <w:lang w:val="en-US"/>
        </w:rPr>
        <w:t xml:space="preserve"> patients</w:t>
      </w:r>
      <w:r w:rsidR="00812D5E" w:rsidRPr="00F06EA4">
        <w:rPr>
          <w:lang w:val="en-US"/>
        </w:rPr>
        <w:t>.</w:t>
      </w:r>
      <w:r w:rsidR="001324D3" w:rsidRPr="00F06EA4">
        <w:rPr>
          <w:lang w:val="en-US"/>
        </w:rPr>
        <w:t xml:space="preserve"> Many of these </w:t>
      </w:r>
      <w:r w:rsidR="008455BA" w:rsidRPr="00F06EA4">
        <w:rPr>
          <w:lang w:val="en-US"/>
        </w:rPr>
        <w:t>molecules</w:t>
      </w:r>
      <w:r w:rsidR="001324D3" w:rsidRPr="00F06EA4">
        <w:rPr>
          <w:lang w:val="en-US"/>
        </w:rPr>
        <w:t>, including</w:t>
      </w:r>
      <w:r w:rsidR="005D2B4D" w:rsidRPr="00F06EA4">
        <w:rPr>
          <w:lang w:val="en-US"/>
        </w:rPr>
        <w:t xml:space="preserve"> CSF1, CXCL10, CXCL9, </w:t>
      </w:r>
      <w:r w:rsidR="00E258A4" w:rsidRPr="00F06EA4">
        <w:rPr>
          <w:lang w:val="en-US"/>
        </w:rPr>
        <w:t>HGF</w:t>
      </w:r>
      <w:r w:rsidR="008455BA" w:rsidRPr="00F06EA4">
        <w:rPr>
          <w:lang w:val="en-US"/>
        </w:rPr>
        <w:t xml:space="preserve"> (hepatocyte growth factor)</w:t>
      </w:r>
      <w:r w:rsidR="00E258A4" w:rsidRPr="00F06EA4">
        <w:rPr>
          <w:lang w:val="en-US"/>
        </w:rPr>
        <w:t xml:space="preserve">, IL6, </w:t>
      </w:r>
      <w:r w:rsidR="008455BA" w:rsidRPr="00F06EA4">
        <w:rPr>
          <w:lang w:val="en-US"/>
        </w:rPr>
        <w:t>osteoprotegerin, PGF (placenta</w:t>
      </w:r>
      <w:r w:rsidR="00D75AF7" w:rsidRPr="00F06EA4">
        <w:rPr>
          <w:lang w:val="en-US"/>
        </w:rPr>
        <w:t>l</w:t>
      </w:r>
      <w:r w:rsidR="008455BA" w:rsidRPr="00F06EA4">
        <w:rPr>
          <w:lang w:val="en-US"/>
        </w:rPr>
        <w:t xml:space="preserve"> growth factor),</w:t>
      </w:r>
      <w:r w:rsidR="00ED0FA2" w:rsidRPr="00F06EA4">
        <w:rPr>
          <w:lang w:val="en-US"/>
        </w:rPr>
        <w:t xml:space="preserve"> and VEGFA</w:t>
      </w:r>
      <w:r w:rsidR="00E70EB9" w:rsidRPr="00F06EA4">
        <w:rPr>
          <w:lang w:val="en-US"/>
        </w:rPr>
        <w:t>,</w:t>
      </w:r>
      <w:r w:rsidR="001324D3" w:rsidRPr="00F06EA4">
        <w:rPr>
          <w:lang w:val="en-US"/>
        </w:rPr>
        <w:t xml:space="preserve"> </w:t>
      </w:r>
      <w:r w:rsidR="00D86A76" w:rsidRPr="00F06EA4">
        <w:rPr>
          <w:lang w:val="en-US"/>
        </w:rPr>
        <w:t xml:space="preserve">were </w:t>
      </w:r>
      <w:r w:rsidR="001324D3" w:rsidRPr="00F06EA4">
        <w:rPr>
          <w:lang w:val="en-US"/>
        </w:rPr>
        <w:t>significantly associated with survival in univariable analysis</w:t>
      </w:r>
      <w:r w:rsidR="00ED0FA2" w:rsidRPr="00F06EA4">
        <w:rPr>
          <w:lang w:val="en-US"/>
        </w:rPr>
        <w:t xml:space="preserve">, and </w:t>
      </w:r>
      <w:r w:rsidR="00995EA4" w:rsidRPr="00F06EA4">
        <w:rPr>
          <w:lang w:val="en-US"/>
        </w:rPr>
        <w:t xml:space="preserve">of these, </w:t>
      </w:r>
      <w:r w:rsidR="00ED0FA2" w:rsidRPr="00F06EA4">
        <w:rPr>
          <w:lang w:val="en-US"/>
        </w:rPr>
        <w:t>osteoprotegerin</w:t>
      </w:r>
      <w:r w:rsidR="00995EA4" w:rsidRPr="00F06EA4">
        <w:rPr>
          <w:lang w:val="en-US"/>
        </w:rPr>
        <w:t xml:space="preserve"> </w:t>
      </w:r>
      <w:r w:rsidR="00D86A76" w:rsidRPr="00F06EA4">
        <w:rPr>
          <w:lang w:val="en-US"/>
        </w:rPr>
        <w:t xml:space="preserve">was the </w:t>
      </w:r>
      <w:r w:rsidR="00995EA4" w:rsidRPr="00F06EA4">
        <w:rPr>
          <w:lang w:val="en-US"/>
        </w:rPr>
        <w:t xml:space="preserve">best </w:t>
      </w:r>
      <w:r w:rsidR="00D86A76" w:rsidRPr="00F06EA4">
        <w:rPr>
          <w:lang w:val="en-US"/>
        </w:rPr>
        <w:t xml:space="preserve">in predicting </w:t>
      </w:r>
      <w:r w:rsidR="00B6433E" w:rsidRPr="00F06EA4">
        <w:rPr>
          <w:lang w:val="en-US"/>
        </w:rPr>
        <w:t xml:space="preserve">survival in multivariable </w:t>
      </w:r>
      <w:r w:rsidR="00914D5C" w:rsidRPr="00F06EA4">
        <w:rPr>
          <w:lang w:val="en-US"/>
        </w:rPr>
        <w:t xml:space="preserve">survival </w:t>
      </w:r>
      <w:r w:rsidR="00B6433E" w:rsidRPr="00F06EA4">
        <w:rPr>
          <w:lang w:val="en-US"/>
        </w:rPr>
        <w:t>model</w:t>
      </w:r>
      <w:r w:rsidR="00914D5C" w:rsidRPr="00F06EA4">
        <w:rPr>
          <w:lang w:val="en-US"/>
        </w:rPr>
        <w:t>s</w:t>
      </w:r>
      <w:r w:rsidR="00F91A60" w:rsidRPr="00F06EA4">
        <w:rPr>
          <w:lang w:val="en-US"/>
        </w:rPr>
        <w:fldChar w:fldCharType="begin" w:fldLock="1"/>
      </w:r>
      <w:r w:rsidR="00F45F97" w:rsidRPr="00F06EA4">
        <w:rPr>
          <w:lang w:val="en-US"/>
        </w:rPr>
        <w:instrText>ADDIN CSL_CITATION {"citationItems":[{"id":"ITEM-1","itemData":{"DOI":"10.1016/j.tranon.2018.05.012","ISSN":"1936-5233","PMID":"29982101","abstract":"BACKGROUND Due to difficulties in predicting recurrences in colorectal cancer stages II and III, reliable prognostic biomarkers could be a breakthrough for individualized treatment and follow-up. OBJECTIVE To find potential prognostic protein biomarkers in colorectal cancer, using the proximity extension assays. METHODS A panel of 92 oncology-related proteins was analyzed with proximity extension assays, in plasma from a cohort of 261 colorectal cancer patients with stage II-IV. The survival analyses were corrected for disease stage and age, and the recurrence analyses were corrected for disease stage. The significance threshold was adjusted for multiple comparisons. RESULTS The plasma proteins expression levels had a greater prognostic relevance in disease stage III colorectal cancer than in disease stage II, and for overall survival than for time to recurrence. Osteoprotegerin was the only biomarker candidate in the protein panel that had a statistical significant association with overall survival (P = .00029). None of the proteins were statistically significantly associated with time to recurrence. CONCLUSIONS Of the 92 analyzed plasma proteins, osteoprotegerin showed the strongest prognostic impact in patients with colorectal cancer, and therefore osteoprotegerin is a potential predictive marker, and it also could be a target for treatments.","author":[{"dropping-particle":"","family":"Birgisson","given":"Helgi","non-dropping-particle":"","parse-names":false,"suffix":""},{"dropping-particle":"","family":"Tsimogiannis","given":"Kostas","non-dropping-particle":"","parse-names":false,"suffix":""},{"dropping-particle":"","family":"Freyhult","given":"Eva","non-dropping-particle":"","parse-names":false,"suffix":""},{"dropping-particle":"","family":"Kamali-Moghaddam","given":"Masood","non-dropping-particle":"","parse-names":false,"suffix":""}],"container-title":"Translational oncology","id":"ITEM-1","issue":"4","issued":{"date-parts":[["2018","7"]]},"page":"1034-1043","title":"Plasma Protein Profiling Reveal Osteoprotegerin as a Marker of Prognostic Impact for Colorectal Cancer.","type":"article-journal","volume":"11"},"uris":["http://www.mendeley.com/documents/?uuid=e04cf5cb-6c26-44a0-9177-c4a2c0d7113b"]}],"mendeley":{"formattedCitation":"&lt;sup&gt;[20]&lt;/sup&gt;","plainTextFormattedCitation":"[20]","previouslyFormattedCitation":"&lt;sup&gt;[20]&lt;/sup&gt;"},"properties":{"noteIndex":0},"schema":"https://github.com/citation-style-language/schema/raw/master/csl-citation.json"}</w:instrText>
      </w:r>
      <w:r w:rsidR="00F91A60" w:rsidRPr="00F06EA4">
        <w:rPr>
          <w:lang w:val="en-US"/>
        </w:rPr>
        <w:fldChar w:fldCharType="separate"/>
      </w:r>
      <w:r w:rsidR="00F45F97" w:rsidRPr="00F06EA4">
        <w:rPr>
          <w:noProof/>
          <w:vertAlign w:val="superscript"/>
          <w:lang w:val="en-US"/>
        </w:rPr>
        <w:t>[20]</w:t>
      </w:r>
      <w:r w:rsidR="00F91A60" w:rsidRPr="00F06EA4">
        <w:rPr>
          <w:lang w:val="en-US"/>
        </w:rPr>
        <w:fldChar w:fldCharType="end"/>
      </w:r>
      <w:r w:rsidR="009F1B41" w:rsidRPr="00F06EA4">
        <w:rPr>
          <w:lang w:val="en-US"/>
        </w:rPr>
        <w:t xml:space="preserve">. </w:t>
      </w:r>
      <w:r w:rsidR="00F91A60" w:rsidRPr="00F06EA4">
        <w:rPr>
          <w:lang w:val="en-US"/>
        </w:rPr>
        <w:t>Analy</w:t>
      </w:r>
      <w:r w:rsidR="00611670" w:rsidRPr="00F06EA4">
        <w:rPr>
          <w:lang w:val="en-US"/>
        </w:rPr>
        <w:t xml:space="preserve">zing multiple markers in one sample </w:t>
      </w:r>
      <w:r w:rsidR="007446EC" w:rsidRPr="00F06EA4">
        <w:rPr>
          <w:lang w:val="en-US"/>
        </w:rPr>
        <w:t xml:space="preserve">may improve the prognostic power relative to measuring the levels of </w:t>
      </w:r>
      <w:r w:rsidR="002E337E" w:rsidRPr="00F06EA4">
        <w:rPr>
          <w:lang w:val="en-US"/>
        </w:rPr>
        <w:t xml:space="preserve">a single marker. </w:t>
      </w:r>
      <w:r w:rsidR="009F1B41" w:rsidRPr="00F06EA4">
        <w:rPr>
          <w:lang w:val="en-US"/>
        </w:rPr>
        <w:t xml:space="preserve">However, caution needs to be </w:t>
      </w:r>
      <w:r w:rsidR="008F13E3" w:rsidRPr="00F06EA4">
        <w:rPr>
          <w:lang w:val="en-US"/>
        </w:rPr>
        <w:t xml:space="preserve">employed when interpreting </w:t>
      </w:r>
      <w:r w:rsidR="00D86A76" w:rsidRPr="00F06EA4">
        <w:rPr>
          <w:lang w:val="en-US"/>
        </w:rPr>
        <w:t xml:space="preserve">the </w:t>
      </w:r>
      <w:r w:rsidR="008F13E3" w:rsidRPr="00F06EA4">
        <w:rPr>
          <w:lang w:val="en-US"/>
        </w:rPr>
        <w:t>results of such studies because of the well-know</w:t>
      </w:r>
      <w:r w:rsidR="00F03A20" w:rsidRPr="00F06EA4">
        <w:rPr>
          <w:lang w:val="en-US"/>
        </w:rPr>
        <w:t>n</w:t>
      </w:r>
      <w:r w:rsidR="008F13E3" w:rsidRPr="00F06EA4">
        <w:rPr>
          <w:lang w:val="en-US"/>
        </w:rPr>
        <w:t xml:space="preserve"> risk of multiple hypothesis testing</w:t>
      </w:r>
      <w:r w:rsidR="00D8604F" w:rsidRPr="00F06EA4">
        <w:rPr>
          <w:lang w:val="en-US"/>
        </w:rPr>
        <w:t xml:space="preserve">, </w:t>
      </w:r>
      <w:r w:rsidR="003E374D" w:rsidRPr="00F06EA4">
        <w:rPr>
          <w:lang w:val="en-US"/>
        </w:rPr>
        <w:t xml:space="preserve">necessitating confirmation </w:t>
      </w:r>
      <w:r w:rsidR="00301DE3" w:rsidRPr="00F06EA4">
        <w:rPr>
          <w:lang w:val="en-US"/>
        </w:rPr>
        <w:t xml:space="preserve">of the findings </w:t>
      </w:r>
      <w:r w:rsidR="003E374D" w:rsidRPr="00F06EA4">
        <w:rPr>
          <w:lang w:val="en-US"/>
        </w:rPr>
        <w:t>in independent study populations.</w:t>
      </w:r>
      <w:r w:rsidR="003F38A0" w:rsidRPr="00F06EA4">
        <w:rPr>
          <w:lang w:val="en-US"/>
        </w:rPr>
        <w:t xml:space="preserve"> As indicated by a recent meta-analysis</w:t>
      </w:r>
      <w:r w:rsidR="001555DB" w:rsidRPr="00F06EA4">
        <w:rPr>
          <w:lang w:val="en-US"/>
        </w:rPr>
        <w:fldChar w:fldCharType="begin" w:fldLock="1"/>
      </w:r>
      <w:r w:rsidR="00F45F97" w:rsidRPr="00F06EA4">
        <w:rPr>
          <w:lang w:val="en-US"/>
        </w:rPr>
        <w:instrText>ADDIN CSL_CITATION {"citationItems":[{"id":"ITEM-1","itemData":{"DOI":"10.21037/jgo.2018.07.11","ISSN":"2078-6891","PMID":"30788169","abstract":"The link between inflammation and outcome has been established in colorectal cancer through experimental evidence demonstrating an influential role of pro-inflammatory cytokines on tumour growth and progression. Furthermore, prognostic scores based on overall markers of systemic inflammation such as C-reactive protein and neutrophil count have been validated. Over recent years, an increasing number of inflammatory cytokines have been identified as prognostic predictors in colorectal cancer and the aim of this review was to evaluate the literature on the prognostic value of multiple cytokine measurement. The English language literature published since the year 2000 was searched using terms including, 'colorectal cancer', 'cytokines' and 'prognosis' through Medline, Embase and Scopus databases. Reports were screened by two independent reviewers and studies evaluating fewer than three cytokines were excluded. Quality assessments were performed in six domains before data extraction was undertaken in duplicate. Seven studies were found to evaluate multiple cytokines after 570 records were screened. The quality of these studies ranged from poor to moderate and were heterogeneous in terms of the patient population and the number and selection of cytokines tested. Four studies combined multiple cytokine levels into a single score and found them to be predictive of prognosis whereas the association between individual cytokines and outcome was not demonstrated consistently. The combination of multiple cytokine markers into a single prognostic score shows promise in colorectal cancer and further research is required to establish and validate such a score.","author":[{"dropping-particle":"","family":"Gunawardene","given":"Ashok","non-dropping-particle":"","parse-names":false,"suffix":""},{"dropping-particle":"","family":"Dennett","given":"Elizabeth","non-dropping-particle":"","parse-names":false,"suffix":""},{"dropping-particle":"","family":"Larsen","given":"Peter","non-dropping-particle":"","parse-names":false,"suffix":""}],"container-title":"Journal of gastrointestinal oncology","id":"ITEM-1","issue":"1","issued":{"date-parts":[["2019"]]},"page":"134-143","title":"Prognostic value of multiple cytokine analysis in colorectal cancer: a systematic review.","type":"article-journal","volume":"10"},"uris":["http://www.mendeley.com/documents/?uuid=0f2c68cb-af02-422a-848e-83c8435cf0cf"]}],"mendeley":{"formattedCitation":"&lt;sup&gt;[154]&lt;/sup&gt;","plainTextFormattedCitation":"[154]","previouslyFormattedCitation":"&lt;sup&gt;[154]&lt;/sup&gt;"},"properties":{"noteIndex":0},"schema":"https://github.com/citation-style-language/schema/raw/master/csl-citation.json"}</w:instrText>
      </w:r>
      <w:r w:rsidR="001555DB" w:rsidRPr="00F06EA4">
        <w:rPr>
          <w:lang w:val="en-US"/>
        </w:rPr>
        <w:fldChar w:fldCharType="separate"/>
      </w:r>
      <w:r w:rsidR="00F45F97" w:rsidRPr="00F06EA4">
        <w:rPr>
          <w:noProof/>
          <w:vertAlign w:val="superscript"/>
          <w:lang w:val="en-US"/>
        </w:rPr>
        <w:t>[154]</w:t>
      </w:r>
      <w:r w:rsidR="001555DB" w:rsidRPr="00F06EA4">
        <w:rPr>
          <w:lang w:val="en-US"/>
        </w:rPr>
        <w:fldChar w:fldCharType="end"/>
      </w:r>
      <w:r w:rsidR="003F38A0" w:rsidRPr="00F06EA4">
        <w:rPr>
          <w:lang w:val="en-US"/>
        </w:rPr>
        <w:t xml:space="preserve">, a few multiple cytokine array studies have been conducted in CRC, but </w:t>
      </w:r>
      <w:r w:rsidR="006A577E" w:rsidRPr="00F06EA4">
        <w:rPr>
          <w:lang w:val="en-US"/>
        </w:rPr>
        <w:lastRenderedPageBreak/>
        <w:t xml:space="preserve">mainly in </w:t>
      </w:r>
      <w:r w:rsidR="00F976B8" w:rsidRPr="00F06EA4">
        <w:rPr>
          <w:lang w:val="en-US"/>
        </w:rPr>
        <w:t>fairly small populations, with varying markers and methods,</w:t>
      </w:r>
      <w:r w:rsidR="006E51FB" w:rsidRPr="00F06EA4">
        <w:rPr>
          <w:lang w:val="en-US"/>
        </w:rPr>
        <w:t xml:space="preserve"> making further larger scale studies necessary to </w:t>
      </w:r>
      <w:r w:rsidR="00FB267F" w:rsidRPr="00F06EA4">
        <w:rPr>
          <w:lang w:val="en-US"/>
        </w:rPr>
        <w:t xml:space="preserve">draw </w:t>
      </w:r>
      <w:r w:rsidR="006E51FB" w:rsidRPr="00F06EA4">
        <w:rPr>
          <w:lang w:val="en-US"/>
        </w:rPr>
        <w:t xml:space="preserve">more convincing </w:t>
      </w:r>
      <w:r w:rsidR="00FB267F" w:rsidRPr="00F06EA4">
        <w:rPr>
          <w:lang w:val="en-US"/>
        </w:rPr>
        <w:t xml:space="preserve">conclusion </w:t>
      </w:r>
      <w:r w:rsidR="006E51FB" w:rsidRPr="00F06EA4">
        <w:rPr>
          <w:lang w:val="en-US"/>
        </w:rPr>
        <w:t xml:space="preserve">about </w:t>
      </w:r>
      <w:r w:rsidR="00301DE3" w:rsidRPr="00F06EA4">
        <w:rPr>
          <w:lang w:val="en-US"/>
        </w:rPr>
        <w:t xml:space="preserve">the prognostic significance of </w:t>
      </w:r>
      <w:r w:rsidR="00995EA4" w:rsidRPr="00F06EA4">
        <w:rPr>
          <w:lang w:val="en-US"/>
        </w:rPr>
        <w:t>the reported marker combinations.</w:t>
      </w:r>
    </w:p>
    <w:p w14:paraId="0EA813E1" w14:textId="225C21A7" w:rsidR="001555DB" w:rsidRPr="00F06EA4" w:rsidRDefault="001652CB" w:rsidP="00F67ED8">
      <w:pPr>
        <w:spacing w:after="0"/>
        <w:ind w:firstLineChars="100" w:firstLine="240"/>
        <w:rPr>
          <w:lang w:val="en-US"/>
        </w:rPr>
      </w:pPr>
      <w:r w:rsidRPr="00F06EA4">
        <w:rPr>
          <w:lang w:val="en-US"/>
        </w:rPr>
        <w:t>During the past decade, i</w:t>
      </w:r>
      <w:r w:rsidR="00325FE9" w:rsidRPr="00F06EA4">
        <w:rPr>
          <w:lang w:val="en-US"/>
        </w:rPr>
        <w:t>ncreasing effort has</w:t>
      </w:r>
      <w:r w:rsidRPr="00F06EA4">
        <w:rPr>
          <w:lang w:val="en-US"/>
        </w:rPr>
        <w:t xml:space="preserve"> been directed </w:t>
      </w:r>
      <w:r w:rsidR="00FB267F" w:rsidRPr="00F06EA4">
        <w:rPr>
          <w:lang w:val="en-US"/>
        </w:rPr>
        <w:t xml:space="preserve">towards </w:t>
      </w:r>
      <w:r w:rsidRPr="00F06EA4">
        <w:rPr>
          <w:lang w:val="en-US"/>
        </w:rPr>
        <w:t xml:space="preserve">the investigation of circulating </w:t>
      </w:r>
      <w:r w:rsidR="00FB267F" w:rsidRPr="00F06EA4">
        <w:rPr>
          <w:lang w:val="en-US"/>
        </w:rPr>
        <w:t>tumor-</w:t>
      </w:r>
      <w:r w:rsidR="00E35F2E" w:rsidRPr="00F06EA4">
        <w:rPr>
          <w:lang w:val="en-US"/>
        </w:rPr>
        <w:t>derived extracellular vesicles</w:t>
      </w:r>
      <w:r w:rsidRPr="00F06EA4">
        <w:rPr>
          <w:lang w:val="en-US"/>
        </w:rPr>
        <w:t xml:space="preserve"> as potential prognostic and diagnostic biomarkers in CRC and other tumors. </w:t>
      </w:r>
      <w:r w:rsidR="00FB267F" w:rsidRPr="00F06EA4">
        <w:rPr>
          <w:lang w:val="en-US"/>
        </w:rPr>
        <w:t xml:space="preserve">Based on this approach, several </w:t>
      </w:r>
      <w:r w:rsidR="00856BEE" w:rsidRPr="00F06EA4">
        <w:rPr>
          <w:lang w:val="en-US"/>
        </w:rPr>
        <w:t>promising results</w:t>
      </w:r>
      <w:r w:rsidR="0040735A" w:rsidRPr="00F06EA4">
        <w:rPr>
          <w:lang w:val="en-US"/>
        </w:rPr>
        <w:t xml:space="preserve"> </w:t>
      </w:r>
      <w:r w:rsidR="00856BEE" w:rsidRPr="00F06EA4">
        <w:rPr>
          <w:lang w:val="en-US"/>
        </w:rPr>
        <w:t>have been</w:t>
      </w:r>
      <w:r w:rsidR="0040735A" w:rsidRPr="00F06EA4">
        <w:rPr>
          <w:lang w:val="en-US"/>
        </w:rPr>
        <w:t xml:space="preserve"> reported.</w:t>
      </w:r>
      <w:r w:rsidR="00856BEE" w:rsidRPr="00F06EA4">
        <w:rPr>
          <w:lang w:val="en-US"/>
        </w:rPr>
        <w:t xml:space="preserve"> </w:t>
      </w:r>
      <w:r w:rsidR="0040735A" w:rsidRPr="00F06EA4">
        <w:rPr>
          <w:lang w:val="en-US"/>
        </w:rPr>
        <w:t xml:space="preserve">For example, Liu </w:t>
      </w:r>
      <w:r w:rsidR="0046007C" w:rsidRPr="00F06EA4">
        <w:rPr>
          <w:i/>
          <w:iCs/>
          <w:lang w:val="en-US"/>
        </w:rPr>
        <w:t>et al</w:t>
      </w:r>
      <w:r w:rsidR="007B3981" w:rsidRPr="00F06EA4">
        <w:rPr>
          <w:lang w:val="en-US"/>
        </w:rPr>
        <w:fldChar w:fldCharType="begin" w:fldLock="1"/>
      </w:r>
      <w:r w:rsidR="007B3981" w:rsidRPr="00F06EA4">
        <w:rPr>
          <w:lang w:val="en-US"/>
        </w:rPr>
        <w:instrText>ADDIN CSL_CITATION {"citationItems":[{"id":"ITEM-1","itemData":{"DOI":"10.1158/1055-9965.EPI-18-0067","ISSN":"1538-7755","PMID":"29739748","abstract":"Background: Colorectal cancer is one of the most common cancers worldwide usually is associated with poor prognosis due to the advanced stage when diagnosed. This study aimed to investigate whether specific circulating exosomal miRNAs could act as biomarkers for early diagnosis of colorectal cancer.Methods: A total of 369 peripheral blood samples were included in this study. In the discovery phase, circulating exosomal miR-27a and miR-130a were selected after synthetical analysis of two GEO datasets and TCGA database. The differential expression and diagnostic utility of miR-27a and miR-130a panel were validated using qRT-PCR and ROC curve analysis in subsequent training phase, validation phase, and external validation phase. The prognosis of circulating exosomal miR-27a and miR-130a were investigated using the Kaplan-Meier method.Results: The expression of exosomal miR-27a and miR-130a in plasma significantly increased in colorectal cancer. The area under ROC curves (AUC) of miR-27a (miR-130a) were 0.773 (0.742) in the training phase, 0.82 (0.787) in the validation phase, and 0.746 (0.697) in the external validation phase. The combination of two miRNAs presented higher diagnostic utility for colorectal cancer (AUCs = 0.846, 0.898, and 0.801 for the training, validation, and external validation phases, respectively). Patients with colorectal cancer with high expression of circulating exosomal miR-27a or miR-130a underwent poorer prognosis.Conclusions: We identified a circulating exosomal miRNAs panel for the detection of colorectal cancer.Impact: The exosomal miR-27a and miR-130a panel in plasma may act as a noninvasive biomarker for early detection and predicting prognosis of colorectal cancer. Cancer Epidemiol Biomarkers Prev; 27(7); 746-54. ©2018 AACR.","author":[{"dropping-particle":"","family":"Liu","given":"Xiangxiang","non-dropping-particle":"","parse-names":false,"suffix":""},{"dropping-particle":"","family":"Pan","given":"Bei","non-dropping-particle":"","parse-names":false,"suffix":""},{"dropping-particle":"","family":"Sun","given":"Li","non-dropping-particle":"","parse-names":false,"suffix":""},{"dropping-particle":"","family":"Chen","given":"Xiaoxiang","non-dropping-particle":"","parse-names":false,"suffix":""},{"dropping-particle":"","family":"Zeng","given":"Kaixuan","non-dropping-particle":"","parse-names":false,"suffix":""},{"dropping-particle":"","family":"Hu","given":"Xiuxiu","non-dropping-particle":"","parse-names":false,"suffix":""},{"dropping-particle":"","family":"Xu","given":"Tao","non-dropping-particle":"","parse-names":false,"suffix":""},{"dropping-particle":"","family":"Xu","given":"Mu","non-dropping-particle":"","parse-names":false,"suffix":""},{"dropping-particle":"","family":"Wang","given":"Shukui","non-dropping-particle":"","parse-names":false,"suffix":""}],"container-title":"Cancer epidemiology, biomarkers &amp; prevention : a publication of the American Association for Cancer Research, cosponsored by the American Society of Preventive Oncology","id":"ITEM-1","issue":"7","issued":{"date-parts":[["2018","7"]]},"page":"746-754","title":"Circulating Exosomal miR-27a and miR-130a Act as Novel Diagnostic and Prognostic Biomarkers of Colorectal Cancer.","type":"article-journal","volume":"27"},"uris":["http://www.mendeley.com/documents/?uuid=61356ad8-9856-46f6-b021-f774ad50e13d"]}],"mendeley":{"formattedCitation":"&lt;sup&gt;[22]&lt;/sup&gt;","plainTextFormattedCitation":"[22]","previouslyFormattedCitation":"&lt;sup&gt;[22]&lt;/sup&gt;"},"properties":{"noteIndex":0},"schema":"https://github.com/citation-style-language/schema/raw/master/csl-citation.json"}</w:instrText>
      </w:r>
      <w:r w:rsidR="007B3981" w:rsidRPr="00F06EA4">
        <w:rPr>
          <w:lang w:val="en-US"/>
        </w:rPr>
        <w:fldChar w:fldCharType="separate"/>
      </w:r>
      <w:r w:rsidR="007B3981" w:rsidRPr="00F06EA4">
        <w:rPr>
          <w:noProof/>
          <w:vertAlign w:val="superscript"/>
          <w:lang w:val="en-US"/>
        </w:rPr>
        <w:t>[22]</w:t>
      </w:r>
      <w:r w:rsidR="007B3981" w:rsidRPr="00F06EA4">
        <w:rPr>
          <w:lang w:val="en-US"/>
        </w:rPr>
        <w:fldChar w:fldCharType="end"/>
      </w:r>
      <w:r w:rsidR="0040735A" w:rsidRPr="00F06EA4">
        <w:rPr>
          <w:lang w:val="en-US"/>
        </w:rPr>
        <w:t xml:space="preserve"> recently </w:t>
      </w:r>
      <w:r w:rsidR="00C60DB7" w:rsidRPr="00F06EA4">
        <w:rPr>
          <w:lang w:val="en-US"/>
        </w:rPr>
        <w:t xml:space="preserve">studied </w:t>
      </w:r>
      <w:r w:rsidR="00B5685D" w:rsidRPr="00F06EA4">
        <w:rPr>
          <w:lang w:val="en-US"/>
        </w:rPr>
        <w:t xml:space="preserve">circulating exosomal miRNA content </w:t>
      </w:r>
      <w:r w:rsidR="00C60DB7" w:rsidRPr="00F06EA4">
        <w:rPr>
          <w:lang w:val="en-US"/>
        </w:rPr>
        <w:t xml:space="preserve">from </w:t>
      </w:r>
      <w:r w:rsidR="00EC56FE" w:rsidRPr="00F06EA4">
        <w:rPr>
          <w:lang w:val="en-US"/>
        </w:rPr>
        <w:t xml:space="preserve">369 </w:t>
      </w:r>
      <w:r w:rsidR="00C60DB7" w:rsidRPr="00F06EA4">
        <w:rPr>
          <w:lang w:val="en-US"/>
        </w:rPr>
        <w:t>stage I</w:t>
      </w:r>
      <w:r w:rsidR="00FB267F" w:rsidRPr="00F06EA4">
        <w:rPr>
          <w:lang w:val="en-US"/>
        </w:rPr>
        <w:t>–</w:t>
      </w:r>
      <w:r w:rsidR="00C60DB7" w:rsidRPr="00F06EA4">
        <w:rPr>
          <w:lang w:val="en-US"/>
        </w:rPr>
        <w:t xml:space="preserve">IV CRC patients. </w:t>
      </w:r>
      <w:r w:rsidR="00EC56FE" w:rsidRPr="00F06EA4">
        <w:rPr>
          <w:lang w:val="en-US"/>
        </w:rPr>
        <w:t>They found that e</w:t>
      </w:r>
      <w:r w:rsidR="0040735A" w:rsidRPr="00F06EA4">
        <w:rPr>
          <w:lang w:val="en-US"/>
        </w:rPr>
        <w:t>xosomal miR-27a and miR-130a</w:t>
      </w:r>
      <w:r w:rsidR="00E80B20" w:rsidRPr="00F06EA4">
        <w:rPr>
          <w:lang w:val="en-US"/>
        </w:rPr>
        <w:t xml:space="preserve"> predicted survival</w:t>
      </w:r>
      <w:r w:rsidR="00021A8A" w:rsidRPr="00F06EA4">
        <w:rPr>
          <w:lang w:val="en-US"/>
        </w:rPr>
        <w:t>. However, as for multiplex cytokine arrays, the selection of optimal combination of markers as well as independent validation studies would be required to establish circulating exosomal miRNA signatures as clinically relevant prognostic parameters in CRC.</w:t>
      </w:r>
    </w:p>
    <w:p w14:paraId="235C4FCA" w14:textId="77777777" w:rsidR="00BC24DC" w:rsidRPr="00F06EA4" w:rsidRDefault="00BC24DC" w:rsidP="00F67ED8">
      <w:pPr>
        <w:spacing w:after="0"/>
        <w:rPr>
          <w:lang w:val="en-US"/>
        </w:rPr>
      </w:pPr>
    </w:p>
    <w:p w14:paraId="2CCC11F9" w14:textId="6D4F0873" w:rsidR="00B65669" w:rsidRPr="00F06EA4" w:rsidRDefault="00CB49EF" w:rsidP="00F67ED8">
      <w:pPr>
        <w:pStyle w:val="1"/>
        <w:spacing w:before="0" w:after="0"/>
        <w:jc w:val="both"/>
        <w:rPr>
          <w:sz w:val="24"/>
        </w:rPr>
      </w:pPr>
      <w:r w:rsidRPr="00F06EA4">
        <w:rPr>
          <w:sz w:val="24"/>
        </w:rPr>
        <w:t>CONCLUSION</w:t>
      </w:r>
    </w:p>
    <w:p w14:paraId="4A72F940" w14:textId="7BC23B7E" w:rsidR="001246A5" w:rsidRPr="00F06EA4" w:rsidRDefault="00BD79B7" w:rsidP="00F67ED8">
      <w:pPr>
        <w:spacing w:after="0"/>
        <w:rPr>
          <w:lang w:val="en-US"/>
        </w:rPr>
      </w:pPr>
      <w:r w:rsidRPr="00F06EA4">
        <w:rPr>
          <w:lang w:val="en-US"/>
        </w:rPr>
        <w:t>The research conducted during the past few decad</w:t>
      </w:r>
      <w:r w:rsidR="00AC0F1E" w:rsidRPr="00F06EA4">
        <w:rPr>
          <w:lang w:val="en-US"/>
        </w:rPr>
        <w:t>e</w:t>
      </w:r>
      <w:r w:rsidRPr="00F06EA4">
        <w:rPr>
          <w:lang w:val="en-US"/>
        </w:rPr>
        <w:t>s indicates that s</w:t>
      </w:r>
      <w:r w:rsidR="00063F1A" w:rsidRPr="00F06EA4">
        <w:rPr>
          <w:lang w:val="en-US"/>
        </w:rPr>
        <w:t xml:space="preserve">ystemic inflammation </w:t>
      </w:r>
      <w:r w:rsidR="00F03A20" w:rsidRPr="00F06EA4">
        <w:rPr>
          <w:lang w:val="en-US"/>
        </w:rPr>
        <w:t xml:space="preserve">has </w:t>
      </w:r>
      <w:r w:rsidR="00E36161" w:rsidRPr="00F06EA4">
        <w:rPr>
          <w:lang w:val="en-US"/>
        </w:rPr>
        <w:t>wide-ranging</w:t>
      </w:r>
      <w:r w:rsidRPr="00F06EA4">
        <w:rPr>
          <w:lang w:val="en-US"/>
        </w:rPr>
        <w:t xml:space="preserve"> effects on CRC progression</w:t>
      </w:r>
      <w:r w:rsidR="00663C9C" w:rsidRPr="00F06EA4">
        <w:rPr>
          <w:lang w:val="en-US"/>
        </w:rPr>
        <w:t>, including</w:t>
      </w:r>
      <w:r w:rsidRPr="00F06EA4">
        <w:rPr>
          <w:lang w:val="en-US"/>
        </w:rPr>
        <w:t xml:space="preserve"> </w:t>
      </w:r>
      <w:r w:rsidR="008C7690" w:rsidRPr="00F06EA4">
        <w:rPr>
          <w:lang w:val="en-US"/>
        </w:rPr>
        <w:t xml:space="preserve">supporting primary tumor invasion, proliferation, angiogenesis, and </w:t>
      </w:r>
      <w:r w:rsidRPr="00F06EA4">
        <w:rPr>
          <w:lang w:val="en-US"/>
        </w:rPr>
        <w:t>metastasis</w:t>
      </w:r>
      <w:r w:rsidR="008C7690" w:rsidRPr="00F06EA4">
        <w:rPr>
          <w:lang w:val="en-US"/>
        </w:rPr>
        <w:t>, as well as suppressing anti-tumor immunity</w:t>
      </w:r>
      <w:r w:rsidR="00663C9C" w:rsidRPr="00F06EA4">
        <w:rPr>
          <w:lang w:val="en-US"/>
        </w:rPr>
        <w:t xml:space="preserve">. </w:t>
      </w:r>
      <w:r w:rsidR="00F50C18" w:rsidRPr="00F06EA4">
        <w:rPr>
          <w:lang w:val="en-US"/>
        </w:rPr>
        <w:t xml:space="preserve">Several systemic </w:t>
      </w:r>
      <w:r w:rsidR="00FB267F" w:rsidRPr="00F06EA4">
        <w:rPr>
          <w:lang w:val="en-US"/>
        </w:rPr>
        <w:t>inflammation-</w:t>
      </w:r>
      <w:r w:rsidR="00F50C18" w:rsidRPr="00F06EA4">
        <w:rPr>
          <w:lang w:val="en-US"/>
        </w:rPr>
        <w:t>based prognostic parameters, such as neutrophil-lymphocyte ratio</w:t>
      </w:r>
      <w:r w:rsidR="0026597B" w:rsidRPr="00F06EA4">
        <w:rPr>
          <w:lang w:val="en-US"/>
        </w:rPr>
        <w:t>,</w:t>
      </w:r>
      <w:r w:rsidR="00F50C18" w:rsidRPr="00F06EA4">
        <w:rPr>
          <w:lang w:val="en-US"/>
        </w:rPr>
        <w:t xml:space="preserve"> modified Glasgow Prognostic Score</w:t>
      </w:r>
      <w:r w:rsidR="0026597B" w:rsidRPr="00F06EA4">
        <w:rPr>
          <w:lang w:val="en-US"/>
        </w:rPr>
        <w:t>, and platelet-lymphocyte ratio</w:t>
      </w:r>
      <w:r w:rsidR="00F50C18" w:rsidRPr="00F06EA4">
        <w:rPr>
          <w:lang w:val="en-US"/>
        </w:rPr>
        <w:t>, have been found to have impressive prognostic value in a large number of studies</w:t>
      </w:r>
      <w:r w:rsidR="006D1EDC" w:rsidRPr="00F06EA4">
        <w:rPr>
          <w:lang w:val="en-US"/>
        </w:rPr>
        <w:t xml:space="preserve"> and </w:t>
      </w:r>
      <w:r w:rsidR="00F727B1" w:rsidRPr="00F06EA4">
        <w:rPr>
          <w:lang w:val="en-US"/>
        </w:rPr>
        <w:t>are</w:t>
      </w:r>
      <w:r w:rsidR="006D1EDC" w:rsidRPr="00F06EA4">
        <w:rPr>
          <w:lang w:val="en-US"/>
        </w:rPr>
        <w:t xml:space="preserve"> widely available in </w:t>
      </w:r>
      <w:r w:rsidR="0039303D" w:rsidRPr="00F06EA4">
        <w:rPr>
          <w:lang w:val="en-US"/>
        </w:rPr>
        <w:t xml:space="preserve">clinical </w:t>
      </w:r>
      <w:r w:rsidR="006D1EDC" w:rsidRPr="00F06EA4">
        <w:rPr>
          <w:lang w:val="en-US"/>
        </w:rPr>
        <w:t>laborator</w:t>
      </w:r>
      <w:r w:rsidR="0039303D" w:rsidRPr="00F06EA4">
        <w:rPr>
          <w:lang w:val="en-US"/>
        </w:rPr>
        <w:t xml:space="preserve">ies </w:t>
      </w:r>
      <w:r w:rsidR="00614448" w:rsidRPr="00F06EA4">
        <w:rPr>
          <w:lang w:val="en-US"/>
        </w:rPr>
        <w:t>worldwide</w:t>
      </w:r>
      <w:r w:rsidR="00F50C18" w:rsidRPr="00F06EA4">
        <w:rPr>
          <w:lang w:val="en-US"/>
        </w:rPr>
        <w:t xml:space="preserve">. However, </w:t>
      </w:r>
      <w:r w:rsidR="007A21CB" w:rsidRPr="00F06EA4">
        <w:rPr>
          <w:lang w:val="en-US"/>
        </w:rPr>
        <w:t>larger-scale</w:t>
      </w:r>
      <w:r w:rsidR="0026597B" w:rsidRPr="00F06EA4">
        <w:rPr>
          <w:lang w:val="en-US"/>
        </w:rPr>
        <w:t xml:space="preserve"> multi-institutional studies of their predictive value</w:t>
      </w:r>
      <w:r w:rsidR="00DA0CE8" w:rsidRPr="00F06EA4">
        <w:rPr>
          <w:lang w:val="en-US"/>
        </w:rPr>
        <w:t xml:space="preserve"> for the response to specific adjuvant therapies are needed. Moreover, </w:t>
      </w:r>
      <w:r w:rsidR="00F50C18" w:rsidRPr="00F06EA4">
        <w:rPr>
          <w:lang w:val="en-US"/>
        </w:rPr>
        <w:t xml:space="preserve">these markers only begin to scratch the surface of the potential of systemic </w:t>
      </w:r>
      <w:r w:rsidR="00FB267F" w:rsidRPr="00F06EA4">
        <w:rPr>
          <w:lang w:val="en-US"/>
        </w:rPr>
        <w:t>inflammation-</w:t>
      </w:r>
      <w:r w:rsidR="008E1240" w:rsidRPr="00F06EA4">
        <w:rPr>
          <w:lang w:val="en-US"/>
        </w:rPr>
        <w:t xml:space="preserve">based biomarkers in predicting patient survival. In future, additional tests, such as multiple cytokine-chemokine-growth factor assays, </w:t>
      </w:r>
      <w:r w:rsidR="0026597B" w:rsidRPr="00F06EA4">
        <w:rPr>
          <w:lang w:val="en-US"/>
        </w:rPr>
        <w:t xml:space="preserve">analysis of </w:t>
      </w:r>
      <w:r w:rsidR="00FB267F" w:rsidRPr="00F06EA4">
        <w:rPr>
          <w:lang w:val="en-US"/>
        </w:rPr>
        <w:t>tumor-</w:t>
      </w:r>
      <w:r w:rsidR="00A21B9D" w:rsidRPr="00F06EA4">
        <w:rPr>
          <w:lang w:val="en-US"/>
        </w:rPr>
        <w:t xml:space="preserve">derived </w:t>
      </w:r>
      <w:r w:rsidR="0026597B" w:rsidRPr="00F06EA4">
        <w:rPr>
          <w:lang w:val="en-US"/>
        </w:rPr>
        <w:t xml:space="preserve">extracellular vesicles, and profiling of </w:t>
      </w:r>
      <w:r w:rsidR="00FB267F" w:rsidRPr="00F06EA4">
        <w:rPr>
          <w:lang w:val="en-US"/>
        </w:rPr>
        <w:t>tumor-</w:t>
      </w:r>
      <w:r w:rsidR="00A21B9D" w:rsidRPr="00F06EA4">
        <w:rPr>
          <w:lang w:val="en-US"/>
        </w:rPr>
        <w:t>educated platelet</w:t>
      </w:r>
      <w:r w:rsidR="0026597B" w:rsidRPr="00F06EA4">
        <w:rPr>
          <w:lang w:val="en-US"/>
        </w:rPr>
        <w:t xml:space="preserve"> transcriptome may translate into improved prognostic and predictive parameters, ultimately enabling accurate identification of patients who </w:t>
      </w:r>
      <w:r w:rsidR="00FB267F" w:rsidRPr="00F06EA4">
        <w:rPr>
          <w:lang w:val="en-US"/>
        </w:rPr>
        <w:t xml:space="preserve">might </w:t>
      </w:r>
      <w:r w:rsidR="0026597B" w:rsidRPr="00F06EA4">
        <w:rPr>
          <w:lang w:val="en-US"/>
        </w:rPr>
        <w:t xml:space="preserve">benefit from specific adjuvant therapies, as well as into improved methods of non-invasive disease monitoring. </w:t>
      </w:r>
      <w:r w:rsidR="002265C3" w:rsidRPr="00F06EA4">
        <w:rPr>
          <w:lang w:val="en-US"/>
        </w:rPr>
        <w:t xml:space="preserve">Factors regulating </w:t>
      </w:r>
      <w:r w:rsidR="00760474" w:rsidRPr="00F06EA4">
        <w:rPr>
          <w:lang w:val="en-US"/>
        </w:rPr>
        <w:t xml:space="preserve">the formation of </w:t>
      </w:r>
      <w:r w:rsidR="002265C3" w:rsidRPr="00F06EA4">
        <w:rPr>
          <w:lang w:val="en-US"/>
        </w:rPr>
        <w:t>pre-</w:t>
      </w:r>
      <w:r w:rsidR="00063F1A" w:rsidRPr="00F06EA4">
        <w:rPr>
          <w:lang w:val="en-US"/>
        </w:rPr>
        <w:t>metastatic niche</w:t>
      </w:r>
      <w:r w:rsidR="00760474" w:rsidRPr="00F06EA4">
        <w:rPr>
          <w:lang w:val="en-US"/>
        </w:rPr>
        <w:t>s</w:t>
      </w:r>
      <w:r w:rsidR="00BD4A94" w:rsidRPr="00F06EA4">
        <w:rPr>
          <w:lang w:val="en-US"/>
        </w:rPr>
        <w:t xml:space="preserve"> in CRC</w:t>
      </w:r>
      <w:r w:rsidR="002265C3" w:rsidRPr="00F06EA4">
        <w:rPr>
          <w:lang w:val="en-US"/>
        </w:rPr>
        <w:t>, suppression</w:t>
      </w:r>
      <w:r w:rsidR="00760474" w:rsidRPr="00F06EA4">
        <w:rPr>
          <w:lang w:val="en-US"/>
        </w:rPr>
        <w:t xml:space="preserve"> of anti-tumor immunity</w:t>
      </w:r>
      <w:r w:rsidR="002265C3" w:rsidRPr="00F06EA4">
        <w:rPr>
          <w:lang w:val="en-US"/>
        </w:rPr>
        <w:t xml:space="preserve">, </w:t>
      </w:r>
      <w:r w:rsidR="00760474" w:rsidRPr="00F06EA4">
        <w:rPr>
          <w:lang w:val="en-US"/>
        </w:rPr>
        <w:t xml:space="preserve">tumor-platelet </w:t>
      </w:r>
      <w:r w:rsidR="00760474" w:rsidRPr="00F06EA4">
        <w:rPr>
          <w:lang w:val="en-US"/>
        </w:rPr>
        <w:lastRenderedPageBreak/>
        <w:t xml:space="preserve">interactions, and </w:t>
      </w:r>
      <w:r w:rsidR="00FB267F" w:rsidRPr="00F06EA4">
        <w:rPr>
          <w:lang w:val="en-US"/>
        </w:rPr>
        <w:t>CRC-</w:t>
      </w:r>
      <w:r w:rsidR="006B7C7B" w:rsidRPr="00F06EA4">
        <w:rPr>
          <w:lang w:val="en-US"/>
        </w:rPr>
        <w:t xml:space="preserve">associated </w:t>
      </w:r>
      <w:r w:rsidR="00760474" w:rsidRPr="00F06EA4">
        <w:rPr>
          <w:lang w:val="en-US"/>
        </w:rPr>
        <w:t xml:space="preserve">cachexia </w:t>
      </w:r>
      <w:r w:rsidR="0026597B" w:rsidRPr="00F06EA4">
        <w:rPr>
          <w:lang w:val="en-US"/>
        </w:rPr>
        <w:t xml:space="preserve">also </w:t>
      </w:r>
      <w:r w:rsidR="00760474" w:rsidRPr="00F06EA4">
        <w:rPr>
          <w:lang w:val="en-US"/>
        </w:rPr>
        <w:t>represent potential targets for drug development</w:t>
      </w:r>
      <w:r w:rsidR="006250B4" w:rsidRPr="00F06EA4">
        <w:rPr>
          <w:lang w:val="en-US"/>
        </w:rPr>
        <w:t>.</w:t>
      </w:r>
      <w:r w:rsidR="005207C7" w:rsidRPr="00F06EA4">
        <w:rPr>
          <w:lang w:val="en-US"/>
        </w:rPr>
        <w:t xml:space="preserve"> </w:t>
      </w:r>
    </w:p>
    <w:p w14:paraId="041DC60A" w14:textId="3FE8D9DF" w:rsidR="00F01897" w:rsidRPr="00F06EA4" w:rsidRDefault="00F01897" w:rsidP="00F67ED8">
      <w:pPr>
        <w:spacing w:after="0"/>
        <w:rPr>
          <w:lang w:val="en-US"/>
        </w:rPr>
      </w:pPr>
      <w:r w:rsidRPr="00F06EA4">
        <w:rPr>
          <w:lang w:val="en-US"/>
        </w:rPr>
        <w:br w:type="page"/>
      </w:r>
    </w:p>
    <w:p w14:paraId="0543236F" w14:textId="1B0E820E" w:rsidR="002635FC" w:rsidRDefault="00CB49EF" w:rsidP="00F67ED8">
      <w:pPr>
        <w:pStyle w:val="1"/>
        <w:spacing w:before="0" w:after="0"/>
        <w:jc w:val="both"/>
        <w:rPr>
          <w:sz w:val="24"/>
        </w:rPr>
      </w:pPr>
      <w:r w:rsidRPr="00F06EA4">
        <w:rPr>
          <w:sz w:val="24"/>
        </w:rPr>
        <w:lastRenderedPageBreak/>
        <w:t>REFERENCES</w:t>
      </w:r>
    </w:p>
    <w:p w14:paraId="0EB1D03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 </w:t>
      </w:r>
      <w:r w:rsidRPr="00B605E7">
        <w:rPr>
          <w:rFonts w:eastAsia="等线"/>
          <w:b/>
          <w:kern w:val="2"/>
          <w:lang w:val="en-US" w:eastAsia="zh-CN"/>
        </w:rPr>
        <w:t>Hanahan D</w:t>
      </w:r>
      <w:r w:rsidRPr="00B605E7">
        <w:rPr>
          <w:rFonts w:eastAsia="等线"/>
          <w:kern w:val="2"/>
          <w:lang w:val="en-US" w:eastAsia="zh-CN"/>
        </w:rPr>
        <w:t xml:space="preserve">, Weinberg RA. Hallmarks of cancer: the next generation. </w:t>
      </w:r>
      <w:r w:rsidRPr="00B605E7">
        <w:rPr>
          <w:rFonts w:eastAsia="等线"/>
          <w:i/>
          <w:kern w:val="2"/>
          <w:lang w:val="en-US" w:eastAsia="zh-CN"/>
        </w:rPr>
        <w:t>Cell</w:t>
      </w:r>
      <w:r w:rsidRPr="00B605E7">
        <w:rPr>
          <w:rFonts w:eastAsia="等线"/>
          <w:kern w:val="2"/>
          <w:lang w:val="en-US" w:eastAsia="zh-CN"/>
        </w:rPr>
        <w:t xml:space="preserve"> 2011; </w:t>
      </w:r>
      <w:r w:rsidRPr="00B605E7">
        <w:rPr>
          <w:rFonts w:eastAsia="等线"/>
          <w:b/>
          <w:kern w:val="2"/>
          <w:lang w:val="en-US" w:eastAsia="zh-CN"/>
        </w:rPr>
        <w:t>144</w:t>
      </w:r>
      <w:r w:rsidRPr="00B605E7">
        <w:rPr>
          <w:rFonts w:eastAsia="等线"/>
          <w:kern w:val="2"/>
          <w:lang w:val="en-US" w:eastAsia="zh-CN"/>
        </w:rPr>
        <w:t>: 646-674 [PMID: 21376230 DOI: 10.1016/j.cell.2011.02.013]</w:t>
      </w:r>
    </w:p>
    <w:p w14:paraId="568DBB1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 </w:t>
      </w:r>
      <w:r w:rsidRPr="00B605E7">
        <w:rPr>
          <w:rFonts w:eastAsia="等线"/>
          <w:b/>
          <w:kern w:val="2"/>
          <w:lang w:val="en-US" w:eastAsia="zh-CN"/>
        </w:rPr>
        <w:t>McAllister SS</w:t>
      </w:r>
      <w:r w:rsidRPr="00B605E7">
        <w:rPr>
          <w:rFonts w:eastAsia="等线"/>
          <w:kern w:val="2"/>
          <w:lang w:val="en-US" w:eastAsia="zh-CN"/>
        </w:rPr>
        <w:t xml:space="preserve">, Weinberg RA. Tumor-host interactions: a far-reaching relationship. </w:t>
      </w:r>
      <w:r w:rsidRPr="00B605E7">
        <w:rPr>
          <w:rFonts w:eastAsia="等线"/>
          <w:i/>
          <w:kern w:val="2"/>
          <w:lang w:val="en-US" w:eastAsia="zh-CN"/>
        </w:rPr>
        <w:t>J Clin Oncol</w:t>
      </w:r>
      <w:r w:rsidRPr="00B605E7">
        <w:rPr>
          <w:rFonts w:eastAsia="等线"/>
          <w:kern w:val="2"/>
          <w:lang w:val="en-US" w:eastAsia="zh-CN"/>
        </w:rPr>
        <w:t xml:space="preserve"> 2010; </w:t>
      </w:r>
      <w:r w:rsidRPr="00B605E7">
        <w:rPr>
          <w:rFonts w:eastAsia="等线"/>
          <w:b/>
          <w:kern w:val="2"/>
          <w:lang w:val="en-US" w:eastAsia="zh-CN"/>
        </w:rPr>
        <w:t>28</w:t>
      </w:r>
      <w:r w:rsidRPr="00B605E7">
        <w:rPr>
          <w:rFonts w:eastAsia="等线"/>
          <w:kern w:val="2"/>
          <w:lang w:val="en-US" w:eastAsia="zh-CN"/>
        </w:rPr>
        <w:t>: 4022-4028 [PMID: 20644094 DOI: 10.1200/JCO.2010.28.4257]</w:t>
      </w:r>
    </w:p>
    <w:p w14:paraId="164EB3B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 </w:t>
      </w:r>
      <w:r w:rsidRPr="00B605E7">
        <w:rPr>
          <w:rFonts w:eastAsia="等线"/>
          <w:b/>
          <w:kern w:val="2"/>
          <w:lang w:val="en-US" w:eastAsia="zh-CN"/>
        </w:rPr>
        <w:t>Schreiber RD</w:t>
      </w:r>
      <w:r w:rsidRPr="00B605E7">
        <w:rPr>
          <w:rFonts w:eastAsia="等线"/>
          <w:kern w:val="2"/>
          <w:lang w:val="en-US" w:eastAsia="zh-CN"/>
        </w:rPr>
        <w:t xml:space="preserve">, Old LJ, Smyth MJ. Cancer immunoediting: integrating immunity's roles in cancer suppression and promotion. </w:t>
      </w:r>
      <w:r w:rsidRPr="00B605E7">
        <w:rPr>
          <w:rFonts w:eastAsia="等线"/>
          <w:i/>
          <w:kern w:val="2"/>
          <w:lang w:val="en-US" w:eastAsia="zh-CN"/>
        </w:rPr>
        <w:t>Science</w:t>
      </w:r>
      <w:r w:rsidRPr="00B605E7">
        <w:rPr>
          <w:rFonts w:eastAsia="等线"/>
          <w:kern w:val="2"/>
          <w:lang w:val="en-US" w:eastAsia="zh-CN"/>
        </w:rPr>
        <w:t xml:space="preserve"> 2011; </w:t>
      </w:r>
      <w:r w:rsidRPr="00B605E7">
        <w:rPr>
          <w:rFonts w:eastAsia="等线"/>
          <w:b/>
          <w:kern w:val="2"/>
          <w:lang w:val="en-US" w:eastAsia="zh-CN"/>
        </w:rPr>
        <w:t>331</w:t>
      </w:r>
      <w:r w:rsidRPr="00B605E7">
        <w:rPr>
          <w:rFonts w:eastAsia="等线"/>
          <w:kern w:val="2"/>
          <w:lang w:val="en-US" w:eastAsia="zh-CN"/>
        </w:rPr>
        <w:t>: 1565-1570 [PMID: 21436444 DOI: 10.1126/science.1203486]</w:t>
      </w:r>
    </w:p>
    <w:p w14:paraId="6451A8A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 </w:t>
      </w:r>
      <w:r w:rsidRPr="00B605E7">
        <w:rPr>
          <w:rFonts w:eastAsia="等线"/>
          <w:b/>
          <w:kern w:val="2"/>
          <w:lang w:val="en-US" w:eastAsia="zh-CN"/>
        </w:rPr>
        <w:t>Balkwill FR</w:t>
      </w:r>
      <w:r w:rsidRPr="00B605E7">
        <w:rPr>
          <w:rFonts w:eastAsia="等线"/>
          <w:kern w:val="2"/>
          <w:lang w:val="en-US" w:eastAsia="zh-CN"/>
        </w:rPr>
        <w:t xml:space="preserve">, Capasso M, Hagemann T. The tumor microenvironment at a glance. </w:t>
      </w:r>
      <w:r w:rsidRPr="00B605E7">
        <w:rPr>
          <w:rFonts w:eastAsia="等线"/>
          <w:i/>
          <w:kern w:val="2"/>
          <w:lang w:val="en-US" w:eastAsia="zh-CN"/>
        </w:rPr>
        <w:t>J Cell Sci</w:t>
      </w:r>
      <w:r w:rsidRPr="00B605E7">
        <w:rPr>
          <w:rFonts w:eastAsia="等线"/>
          <w:kern w:val="2"/>
          <w:lang w:val="en-US" w:eastAsia="zh-CN"/>
        </w:rPr>
        <w:t xml:space="preserve"> 2012; </w:t>
      </w:r>
      <w:r w:rsidRPr="00B605E7">
        <w:rPr>
          <w:rFonts w:eastAsia="等线"/>
          <w:b/>
          <w:kern w:val="2"/>
          <w:lang w:val="en-US" w:eastAsia="zh-CN"/>
        </w:rPr>
        <w:t>125</w:t>
      </w:r>
      <w:r w:rsidRPr="00B605E7">
        <w:rPr>
          <w:rFonts w:eastAsia="等线"/>
          <w:kern w:val="2"/>
          <w:lang w:val="en-US" w:eastAsia="zh-CN"/>
        </w:rPr>
        <w:t>: 5591-5596 [PMID: 23420197 DOI: 10.1242/jcs.116392]</w:t>
      </w:r>
    </w:p>
    <w:p w14:paraId="2BC016D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 </w:t>
      </w:r>
      <w:r w:rsidRPr="00B605E7">
        <w:rPr>
          <w:rFonts w:eastAsia="等线"/>
          <w:b/>
          <w:kern w:val="2"/>
          <w:lang w:val="en-US" w:eastAsia="zh-CN"/>
        </w:rPr>
        <w:t>McAllister SS</w:t>
      </w:r>
      <w:r w:rsidRPr="00B605E7">
        <w:rPr>
          <w:rFonts w:eastAsia="等线"/>
          <w:kern w:val="2"/>
          <w:lang w:val="en-US" w:eastAsia="zh-CN"/>
        </w:rPr>
        <w:t xml:space="preserve">, Weinberg RA. The tumour-induced systemic environment as a critical regulator of cancer progression and metastasis. </w:t>
      </w:r>
      <w:r w:rsidRPr="00B605E7">
        <w:rPr>
          <w:rFonts w:eastAsia="等线"/>
          <w:i/>
          <w:kern w:val="2"/>
          <w:lang w:val="en-US" w:eastAsia="zh-CN"/>
        </w:rPr>
        <w:t>Nat Cell Biol</w:t>
      </w:r>
      <w:r w:rsidRPr="00B605E7">
        <w:rPr>
          <w:rFonts w:eastAsia="等线"/>
          <w:kern w:val="2"/>
          <w:lang w:val="en-US" w:eastAsia="zh-CN"/>
        </w:rPr>
        <w:t xml:space="preserve"> 2014; </w:t>
      </w:r>
      <w:r w:rsidRPr="00B605E7">
        <w:rPr>
          <w:rFonts w:eastAsia="等线"/>
          <w:b/>
          <w:kern w:val="2"/>
          <w:lang w:val="en-US" w:eastAsia="zh-CN"/>
        </w:rPr>
        <w:t>16</w:t>
      </w:r>
      <w:r w:rsidRPr="00B605E7">
        <w:rPr>
          <w:rFonts w:eastAsia="等线"/>
          <w:kern w:val="2"/>
          <w:lang w:val="en-US" w:eastAsia="zh-CN"/>
        </w:rPr>
        <w:t>: 717-727 [PMID: 25082194 DOI: 10.1038/ncb3015]</w:t>
      </w:r>
    </w:p>
    <w:p w14:paraId="033804F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 </w:t>
      </w:r>
      <w:r w:rsidRPr="00B605E7">
        <w:rPr>
          <w:rFonts w:eastAsia="等线"/>
          <w:b/>
          <w:kern w:val="2"/>
          <w:lang w:val="en-US" w:eastAsia="zh-CN"/>
        </w:rPr>
        <w:t>Dolan RD</w:t>
      </w:r>
      <w:r w:rsidRPr="00B605E7">
        <w:rPr>
          <w:rFonts w:eastAsia="等线"/>
          <w:kern w:val="2"/>
          <w:lang w:val="en-US" w:eastAsia="zh-CN"/>
        </w:rPr>
        <w:t xml:space="preserve">, McSorley ST, Horgan PG, Laird B, McMillan DC. The role of the systemic inflammatory response in predicting outcomes in patients with advanced inoperable cancer: Systematic review and meta-analysis. </w:t>
      </w:r>
      <w:r w:rsidRPr="00B605E7">
        <w:rPr>
          <w:rFonts w:eastAsia="等线"/>
          <w:i/>
          <w:kern w:val="2"/>
          <w:lang w:val="en-US" w:eastAsia="zh-CN"/>
        </w:rPr>
        <w:t>Crit Rev Oncol Hematol</w:t>
      </w:r>
      <w:r w:rsidRPr="00B605E7">
        <w:rPr>
          <w:rFonts w:eastAsia="等线"/>
          <w:kern w:val="2"/>
          <w:lang w:val="en-US" w:eastAsia="zh-CN"/>
        </w:rPr>
        <w:t xml:space="preserve"> 2017; </w:t>
      </w:r>
      <w:r w:rsidRPr="00B605E7">
        <w:rPr>
          <w:rFonts w:eastAsia="等线"/>
          <w:b/>
          <w:kern w:val="2"/>
          <w:lang w:val="en-US" w:eastAsia="zh-CN"/>
        </w:rPr>
        <w:t>116</w:t>
      </w:r>
      <w:r w:rsidRPr="00B605E7">
        <w:rPr>
          <w:rFonts w:eastAsia="等线"/>
          <w:kern w:val="2"/>
          <w:lang w:val="en-US" w:eastAsia="zh-CN"/>
        </w:rPr>
        <w:t>: 134-146 [PMID: 28693795 DOI: 10.1016/j.critrevonc.2017.06.002]</w:t>
      </w:r>
    </w:p>
    <w:p w14:paraId="1723B56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 </w:t>
      </w:r>
      <w:r w:rsidRPr="00B605E7">
        <w:rPr>
          <w:rFonts w:eastAsia="等线"/>
          <w:b/>
          <w:kern w:val="2"/>
          <w:lang w:val="en-US" w:eastAsia="zh-CN"/>
        </w:rPr>
        <w:t>Siegel RL</w:t>
      </w:r>
      <w:r w:rsidRPr="00B605E7">
        <w:rPr>
          <w:rFonts w:eastAsia="等线"/>
          <w:kern w:val="2"/>
          <w:lang w:val="en-US" w:eastAsia="zh-CN"/>
        </w:rPr>
        <w:t xml:space="preserve">, Miller KD, Jemal A. Cancer statistics, 2018. </w:t>
      </w:r>
      <w:r w:rsidRPr="00B605E7">
        <w:rPr>
          <w:rFonts w:eastAsia="等线"/>
          <w:i/>
          <w:kern w:val="2"/>
          <w:lang w:val="en-US" w:eastAsia="zh-CN"/>
        </w:rPr>
        <w:t>CA Cancer J Clin</w:t>
      </w:r>
      <w:r w:rsidRPr="00B605E7">
        <w:rPr>
          <w:rFonts w:eastAsia="等线"/>
          <w:kern w:val="2"/>
          <w:lang w:val="en-US" w:eastAsia="zh-CN"/>
        </w:rPr>
        <w:t xml:space="preserve"> 2018; </w:t>
      </w:r>
      <w:r w:rsidRPr="00B605E7">
        <w:rPr>
          <w:rFonts w:eastAsia="等线"/>
          <w:b/>
          <w:kern w:val="2"/>
          <w:lang w:val="en-US" w:eastAsia="zh-CN"/>
        </w:rPr>
        <w:t>68</w:t>
      </w:r>
      <w:r w:rsidRPr="00B605E7">
        <w:rPr>
          <w:rFonts w:eastAsia="等线"/>
          <w:kern w:val="2"/>
          <w:lang w:val="en-US" w:eastAsia="zh-CN"/>
        </w:rPr>
        <w:t>: 7-30 [PMID: 29313949 DOI: 10.3322/caac.21442]</w:t>
      </w:r>
    </w:p>
    <w:p w14:paraId="4FF1F37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 </w:t>
      </w:r>
      <w:r w:rsidRPr="00B605E7">
        <w:rPr>
          <w:rFonts w:eastAsia="等线"/>
          <w:b/>
          <w:kern w:val="2"/>
          <w:lang w:val="en-US" w:eastAsia="zh-CN"/>
        </w:rPr>
        <w:t>Park JH</w:t>
      </w:r>
      <w:r w:rsidRPr="00B605E7">
        <w:rPr>
          <w:rFonts w:eastAsia="等线"/>
          <w:kern w:val="2"/>
          <w:lang w:val="en-US" w:eastAsia="zh-CN"/>
        </w:rPr>
        <w:t xml:space="preserve">, Watt DG, Roxburgh CS, Horgan PG, McMillan DC. Colorectal Cancer, Systemic Inflammation, and Outcome: Staging the Tumor and Staging the Host. </w:t>
      </w:r>
      <w:r w:rsidRPr="00B605E7">
        <w:rPr>
          <w:rFonts w:eastAsia="等线"/>
          <w:i/>
          <w:kern w:val="2"/>
          <w:lang w:val="en-US" w:eastAsia="zh-CN"/>
        </w:rPr>
        <w:t>Ann Surg</w:t>
      </w:r>
      <w:r w:rsidRPr="00B605E7">
        <w:rPr>
          <w:rFonts w:eastAsia="等线"/>
          <w:kern w:val="2"/>
          <w:lang w:val="en-US" w:eastAsia="zh-CN"/>
        </w:rPr>
        <w:t xml:space="preserve"> 2016; </w:t>
      </w:r>
      <w:r w:rsidRPr="00B605E7">
        <w:rPr>
          <w:rFonts w:eastAsia="等线"/>
          <w:b/>
          <w:kern w:val="2"/>
          <w:lang w:val="en-US" w:eastAsia="zh-CN"/>
        </w:rPr>
        <w:t>263</w:t>
      </w:r>
      <w:r w:rsidRPr="00B605E7">
        <w:rPr>
          <w:rFonts w:eastAsia="等线"/>
          <w:kern w:val="2"/>
          <w:lang w:val="en-US" w:eastAsia="zh-CN"/>
        </w:rPr>
        <w:t>: 326-336 [PMID: 25575264 DOI: 10.1097/SLA.0000000000001122]</w:t>
      </w:r>
    </w:p>
    <w:p w14:paraId="10156FE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 </w:t>
      </w:r>
      <w:r w:rsidRPr="00B605E7">
        <w:rPr>
          <w:rFonts w:eastAsia="等线"/>
          <w:b/>
          <w:kern w:val="2"/>
          <w:lang w:val="en-US" w:eastAsia="zh-CN"/>
        </w:rPr>
        <w:t>Kantola T</w:t>
      </w:r>
      <w:r w:rsidRPr="00B605E7">
        <w:rPr>
          <w:rFonts w:eastAsia="等线"/>
          <w:kern w:val="2"/>
          <w:lang w:val="en-US" w:eastAsia="zh-CN"/>
        </w:rPr>
        <w:t xml:space="preserve">, Klintrup K, Väyrynen JP, Vornanen J, Bloigu R, Karhu T, Herzig KH, Näpänkangas J, Mäkelä J, Karttunen TJ, Tuomisto A, Mäkinen MJ. Reply: Comment on 'Stage-dependent alterations of the serum cytokine pattern in colorectal carcinoma'. </w:t>
      </w:r>
      <w:r w:rsidRPr="00B605E7">
        <w:rPr>
          <w:rFonts w:eastAsia="等线"/>
          <w:i/>
          <w:kern w:val="2"/>
          <w:lang w:val="en-US" w:eastAsia="zh-CN"/>
        </w:rPr>
        <w:t>Br J Cancer</w:t>
      </w:r>
      <w:r w:rsidRPr="00B605E7">
        <w:rPr>
          <w:rFonts w:eastAsia="等线"/>
          <w:kern w:val="2"/>
          <w:lang w:val="en-US" w:eastAsia="zh-CN"/>
        </w:rPr>
        <w:t xml:space="preserve"> 2013; </w:t>
      </w:r>
      <w:r w:rsidRPr="00B605E7">
        <w:rPr>
          <w:rFonts w:eastAsia="等线"/>
          <w:b/>
          <w:kern w:val="2"/>
          <w:lang w:val="en-US" w:eastAsia="zh-CN"/>
        </w:rPr>
        <w:t>108</w:t>
      </w:r>
      <w:r w:rsidRPr="00B605E7">
        <w:rPr>
          <w:rFonts w:eastAsia="等线"/>
          <w:kern w:val="2"/>
          <w:lang w:val="en-US" w:eastAsia="zh-CN"/>
        </w:rPr>
        <w:t>: 1917-1918 [PMID: 23579221 DOI: 10.1038/bjc.2013.162]</w:t>
      </w:r>
    </w:p>
    <w:p w14:paraId="2171A9D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 </w:t>
      </w:r>
      <w:r w:rsidRPr="00B605E7">
        <w:rPr>
          <w:rFonts w:eastAsia="等线"/>
          <w:b/>
          <w:kern w:val="2"/>
          <w:lang w:val="en-US" w:eastAsia="zh-CN"/>
        </w:rPr>
        <w:t>McMillan DC</w:t>
      </w:r>
      <w:r w:rsidRPr="00B605E7">
        <w:rPr>
          <w:rFonts w:eastAsia="等线"/>
          <w:kern w:val="2"/>
          <w:lang w:val="en-US" w:eastAsia="zh-CN"/>
        </w:rPr>
        <w:t xml:space="preserve">. The systemic inflammation-based Glasgow Prognostic Score: a decade of experience in patients with cancer. </w:t>
      </w:r>
      <w:r w:rsidRPr="00B605E7">
        <w:rPr>
          <w:rFonts w:eastAsia="等线"/>
          <w:i/>
          <w:kern w:val="2"/>
          <w:lang w:val="en-US" w:eastAsia="zh-CN"/>
        </w:rPr>
        <w:t>Cancer Treat Rev</w:t>
      </w:r>
      <w:r w:rsidRPr="00B605E7">
        <w:rPr>
          <w:rFonts w:eastAsia="等线"/>
          <w:kern w:val="2"/>
          <w:lang w:val="en-US" w:eastAsia="zh-CN"/>
        </w:rPr>
        <w:t xml:space="preserve"> 2013; </w:t>
      </w:r>
      <w:r w:rsidRPr="00B605E7">
        <w:rPr>
          <w:rFonts w:eastAsia="等线"/>
          <w:b/>
          <w:kern w:val="2"/>
          <w:lang w:val="en-US" w:eastAsia="zh-CN"/>
        </w:rPr>
        <w:t>39</w:t>
      </w:r>
      <w:r w:rsidRPr="00B605E7">
        <w:rPr>
          <w:rFonts w:eastAsia="等线"/>
          <w:kern w:val="2"/>
          <w:lang w:val="en-US" w:eastAsia="zh-CN"/>
        </w:rPr>
        <w:t>: 534-540 [PMID: 22995477 DOI: 10.1016/j.ctrv.2012.08.003]</w:t>
      </w:r>
    </w:p>
    <w:p w14:paraId="208D38D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 </w:t>
      </w:r>
      <w:r w:rsidRPr="00B605E7">
        <w:rPr>
          <w:rFonts w:eastAsia="等线"/>
          <w:b/>
          <w:kern w:val="2"/>
          <w:lang w:val="en-US" w:eastAsia="zh-CN"/>
        </w:rPr>
        <w:t>Ding PR</w:t>
      </w:r>
      <w:r w:rsidRPr="00B605E7">
        <w:rPr>
          <w:rFonts w:eastAsia="等线"/>
          <w:kern w:val="2"/>
          <w:lang w:val="en-US" w:eastAsia="zh-CN"/>
        </w:rPr>
        <w:t xml:space="preserve">, An X, Zhang RX, Fang YJ, Li LR, Chen G, Wu XJ, Lu ZH, Lin JZ, Kong LH, Wan DS, Pan ZZ. Elevated preoperative neutrophil to lymphocyte ratio predicts risk of </w:t>
      </w:r>
      <w:r w:rsidRPr="00B605E7">
        <w:rPr>
          <w:rFonts w:eastAsia="等线"/>
          <w:kern w:val="2"/>
          <w:lang w:val="en-US" w:eastAsia="zh-CN"/>
        </w:rPr>
        <w:lastRenderedPageBreak/>
        <w:t xml:space="preserve">recurrence following curative resection for stage IIA colon cancer. </w:t>
      </w:r>
      <w:r w:rsidRPr="00B605E7">
        <w:rPr>
          <w:rFonts w:eastAsia="等线"/>
          <w:i/>
          <w:kern w:val="2"/>
          <w:lang w:val="en-US" w:eastAsia="zh-CN"/>
        </w:rPr>
        <w:t>Int J Colorectal Dis</w:t>
      </w:r>
      <w:r w:rsidRPr="00B605E7">
        <w:rPr>
          <w:rFonts w:eastAsia="等线"/>
          <w:kern w:val="2"/>
          <w:lang w:val="en-US" w:eastAsia="zh-CN"/>
        </w:rPr>
        <w:t xml:space="preserve"> 2010; </w:t>
      </w:r>
      <w:r w:rsidRPr="00B605E7">
        <w:rPr>
          <w:rFonts w:eastAsia="等线"/>
          <w:b/>
          <w:kern w:val="2"/>
          <w:lang w:val="en-US" w:eastAsia="zh-CN"/>
        </w:rPr>
        <w:t>25</w:t>
      </w:r>
      <w:r w:rsidRPr="00B605E7">
        <w:rPr>
          <w:rFonts w:eastAsia="等线"/>
          <w:kern w:val="2"/>
          <w:lang w:val="en-US" w:eastAsia="zh-CN"/>
        </w:rPr>
        <w:t>: 1427-1433 [PMID: 20821217 DOI: 10.1007/s00384-010-1052-0]</w:t>
      </w:r>
    </w:p>
    <w:p w14:paraId="64C9FEC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 </w:t>
      </w:r>
      <w:r w:rsidRPr="00B605E7">
        <w:rPr>
          <w:rFonts w:eastAsia="等线"/>
          <w:b/>
          <w:kern w:val="2"/>
          <w:lang w:val="en-US" w:eastAsia="zh-CN"/>
        </w:rPr>
        <w:t>Dolan RD</w:t>
      </w:r>
      <w:r w:rsidRPr="00B605E7">
        <w:rPr>
          <w:rFonts w:eastAsia="等线"/>
          <w:kern w:val="2"/>
          <w:lang w:val="en-US" w:eastAsia="zh-CN"/>
        </w:rPr>
        <w:t xml:space="preserve">, Lim J, McSorley ST, Horgan PG, McMillan DC. The role of the systemic inflammatory response in predicting outcomes in patients with operable cancer: Systematic review and meta-analysis. </w:t>
      </w:r>
      <w:r w:rsidRPr="00B605E7">
        <w:rPr>
          <w:rFonts w:eastAsia="等线"/>
          <w:i/>
          <w:kern w:val="2"/>
          <w:lang w:val="en-US" w:eastAsia="zh-CN"/>
        </w:rPr>
        <w:t>Sci Rep</w:t>
      </w:r>
      <w:r w:rsidRPr="00B605E7">
        <w:rPr>
          <w:rFonts w:eastAsia="等线"/>
          <w:kern w:val="2"/>
          <w:lang w:val="en-US" w:eastAsia="zh-CN"/>
        </w:rPr>
        <w:t xml:space="preserve"> 2017; </w:t>
      </w:r>
      <w:r w:rsidRPr="00B605E7">
        <w:rPr>
          <w:rFonts w:eastAsia="等线"/>
          <w:b/>
          <w:kern w:val="2"/>
          <w:lang w:val="en-US" w:eastAsia="zh-CN"/>
        </w:rPr>
        <w:t>7</w:t>
      </w:r>
      <w:r w:rsidRPr="00B605E7">
        <w:rPr>
          <w:rFonts w:eastAsia="等线"/>
          <w:kern w:val="2"/>
          <w:lang w:val="en-US" w:eastAsia="zh-CN"/>
        </w:rPr>
        <w:t>: 16717 [PMID: 29196718 DOI: 10.1038/s41598-017-16955-5]</w:t>
      </w:r>
    </w:p>
    <w:p w14:paraId="3440B38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 </w:t>
      </w:r>
      <w:r w:rsidRPr="00B605E7">
        <w:rPr>
          <w:rFonts w:eastAsia="等线"/>
          <w:b/>
          <w:kern w:val="2"/>
          <w:lang w:val="en-US" w:eastAsia="zh-CN"/>
        </w:rPr>
        <w:t>Haram A</w:t>
      </w:r>
      <w:r w:rsidRPr="00B605E7">
        <w:rPr>
          <w:rFonts w:eastAsia="等线"/>
          <w:kern w:val="2"/>
          <w:lang w:val="en-US" w:eastAsia="zh-CN"/>
        </w:rPr>
        <w:t xml:space="preserve">, Boland MR, Kelly ME, Bolger JC, Waldron RM, Kerin MJ. The prognostic value of neutrophil-to-lymphocyte ratio in colorectal cancer: A systematic review. </w:t>
      </w:r>
      <w:r w:rsidRPr="00B605E7">
        <w:rPr>
          <w:rFonts w:eastAsia="等线"/>
          <w:i/>
          <w:kern w:val="2"/>
          <w:lang w:val="en-US" w:eastAsia="zh-CN"/>
        </w:rPr>
        <w:t>J Surg Oncol</w:t>
      </w:r>
      <w:r w:rsidRPr="00B605E7">
        <w:rPr>
          <w:rFonts w:eastAsia="等线"/>
          <w:kern w:val="2"/>
          <w:lang w:val="en-US" w:eastAsia="zh-CN"/>
        </w:rPr>
        <w:t xml:space="preserve"> 2017; </w:t>
      </w:r>
      <w:r w:rsidRPr="00B605E7">
        <w:rPr>
          <w:rFonts w:eastAsia="等线"/>
          <w:b/>
          <w:kern w:val="2"/>
          <w:lang w:val="en-US" w:eastAsia="zh-CN"/>
        </w:rPr>
        <w:t>115</w:t>
      </w:r>
      <w:r w:rsidRPr="00B605E7">
        <w:rPr>
          <w:rFonts w:eastAsia="等线"/>
          <w:kern w:val="2"/>
          <w:lang w:val="en-US" w:eastAsia="zh-CN"/>
        </w:rPr>
        <w:t>: 470-479 [PMID: 28105646 DOI: 10.1002/jso.24523]</w:t>
      </w:r>
    </w:p>
    <w:p w14:paraId="3133E63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 </w:t>
      </w:r>
      <w:r w:rsidRPr="00B605E7">
        <w:rPr>
          <w:rFonts w:eastAsia="等线"/>
          <w:b/>
          <w:kern w:val="2"/>
          <w:lang w:val="en-US" w:eastAsia="zh-CN"/>
        </w:rPr>
        <w:t>Park JH</w:t>
      </w:r>
      <w:r w:rsidRPr="00B605E7">
        <w:rPr>
          <w:rFonts w:eastAsia="等线"/>
          <w:kern w:val="2"/>
          <w:lang w:val="en-US" w:eastAsia="zh-CN"/>
        </w:rPr>
        <w:t xml:space="preserve">, van Wyk H, Roxburgh CSD, Horgan PG, Edwards J, McMillan DC. Tumour invasiveness, the local and systemic environment and the basis of staging systems in colorectal cancer. </w:t>
      </w:r>
      <w:r w:rsidRPr="00B605E7">
        <w:rPr>
          <w:rFonts w:eastAsia="等线"/>
          <w:i/>
          <w:kern w:val="2"/>
          <w:lang w:val="en-US" w:eastAsia="zh-CN"/>
        </w:rPr>
        <w:t>Br J Cancer</w:t>
      </w:r>
      <w:r w:rsidRPr="00B605E7">
        <w:rPr>
          <w:rFonts w:eastAsia="等线"/>
          <w:kern w:val="2"/>
          <w:lang w:val="en-US" w:eastAsia="zh-CN"/>
        </w:rPr>
        <w:t xml:space="preserve"> 2017; </w:t>
      </w:r>
      <w:r w:rsidRPr="00B605E7">
        <w:rPr>
          <w:rFonts w:eastAsia="等线"/>
          <w:b/>
          <w:kern w:val="2"/>
          <w:lang w:val="en-US" w:eastAsia="zh-CN"/>
        </w:rPr>
        <w:t>116</w:t>
      </w:r>
      <w:r w:rsidRPr="00B605E7">
        <w:rPr>
          <w:rFonts w:eastAsia="等线"/>
          <w:kern w:val="2"/>
          <w:lang w:val="en-US" w:eastAsia="zh-CN"/>
        </w:rPr>
        <w:t>: 1444-1450 [PMID: 28427085 DOI: 10.1038/bjc.2017.108]</w:t>
      </w:r>
    </w:p>
    <w:p w14:paraId="2F145B5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 </w:t>
      </w:r>
      <w:r w:rsidRPr="00B605E7">
        <w:rPr>
          <w:rFonts w:eastAsia="等线"/>
          <w:b/>
          <w:kern w:val="2"/>
          <w:lang w:val="en-US" w:eastAsia="zh-CN"/>
        </w:rPr>
        <w:t>Gabay C</w:t>
      </w:r>
      <w:r w:rsidRPr="00B605E7">
        <w:rPr>
          <w:rFonts w:eastAsia="等线"/>
          <w:kern w:val="2"/>
          <w:lang w:val="en-US" w:eastAsia="zh-CN"/>
        </w:rPr>
        <w:t xml:space="preserve">, Kushner I. Acute-phase proteins and other systemic responses to inflammation. </w:t>
      </w:r>
      <w:r w:rsidRPr="00B605E7">
        <w:rPr>
          <w:rFonts w:eastAsia="等线"/>
          <w:i/>
          <w:kern w:val="2"/>
          <w:lang w:val="en-US" w:eastAsia="zh-CN"/>
        </w:rPr>
        <w:t>N Engl J Med</w:t>
      </w:r>
      <w:r w:rsidRPr="00B605E7">
        <w:rPr>
          <w:rFonts w:eastAsia="等线"/>
          <w:kern w:val="2"/>
          <w:lang w:val="en-US" w:eastAsia="zh-CN"/>
        </w:rPr>
        <w:t xml:space="preserve"> 1999; </w:t>
      </w:r>
      <w:r w:rsidRPr="00B605E7">
        <w:rPr>
          <w:rFonts w:eastAsia="等线"/>
          <w:b/>
          <w:kern w:val="2"/>
          <w:lang w:val="en-US" w:eastAsia="zh-CN"/>
        </w:rPr>
        <w:t>340</w:t>
      </w:r>
      <w:r w:rsidRPr="00B605E7">
        <w:rPr>
          <w:rFonts w:eastAsia="等线"/>
          <w:kern w:val="2"/>
          <w:lang w:val="en-US" w:eastAsia="zh-CN"/>
        </w:rPr>
        <w:t>: 448-454 [PMID: 9971870 DOI: 10.1056/NEJM199902113400607]</w:t>
      </w:r>
    </w:p>
    <w:p w14:paraId="3B02219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 </w:t>
      </w:r>
      <w:r w:rsidRPr="00B605E7">
        <w:rPr>
          <w:rFonts w:eastAsia="等线"/>
          <w:b/>
          <w:kern w:val="2"/>
          <w:lang w:val="en-US" w:eastAsia="zh-CN"/>
        </w:rPr>
        <w:t>Argilés JM</w:t>
      </w:r>
      <w:r w:rsidRPr="00B605E7">
        <w:rPr>
          <w:rFonts w:eastAsia="等线"/>
          <w:kern w:val="2"/>
          <w:lang w:val="en-US" w:eastAsia="zh-CN"/>
        </w:rPr>
        <w:t xml:space="preserve">, Busquets S, Stemmler B, López-Soriano FJ. Cancer cachexia: understanding the molecular basis. </w:t>
      </w:r>
      <w:r w:rsidRPr="00B605E7">
        <w:rPr>
          <w:rFonts w:eastAsia="等线"/>
          <w:i/>
          <w:kern w:val="2"/>
          <w:lang w:val="en-US" w:eastAsia="zh-CN"/>
        </w:rPr>
        <w:t>Nat Rev Cancer</w:t>
      </w:r>
      <w:r w:rsidRPr="00B605E7">
        <w:rPr>
          <w:rFonts w:eastAsia="等线"/>
          <w:kern w:val="2"/>
          <w:lang w:val="en-US" w:eastAsia="zh-CN"/>
        </w:rPr>
        <w:t xml:space="preserve"> 2014; </w:t>
      </w:r>
      <w:r w:rsidRPr="00B605E7">
        <w:rPr>
          <w:rFonts w:eastAsia="等线"/>
          <w:b/>
          <w:kern w:val="2"/>
          <w:lang w:val="en-US" w:eastAsia="zh-CN"/>
        </w:rPr>
        <w:t>14</w:t>
      </w:r>
      <w:r w:rsidRPr="00B605E7">
        <w:rPr>
          <w:rFonts w:eastAsia="等线"/>
          <w:kern w:val="2"/>
          <w:lang w:val="en-US" w:eastAsia="zh-CN"/>
        </w:rPr>
        <w:t>: 754-762 [PMID: 25291291 DOI: 10.1038/nrc3829]</w:t>
      </w:r>
    </w:p>
    <w:p w14:paraId="5BD005D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 </w:t>
      </w:r>
      <w:r w:rsidRPr="00B605E7">
        <w:rPr>
          <w:rFonts w:eastAsia="等线"/>
          <w:b/>
          <w:kern w:val="2"/>
          <w:lang w:val="en-US" w:eastAsia="zh-CN"/>
        </w:rPr>
        <w:t>Roxburgh CS</w:t>
      </w:r>
      <w:r w:rsidRPr="00B605E7">
        <w:rPr>
          <w:rFonts w:eastAsia="等线"/>
          <w:kern w:val="2"/>
          <w:lang w:val="en-US" w:eastAsia="zh-CN"/>
        </w:rPr>
        <w:t xml:space="preserve">, McMillan DC. Cancer and systemic inflammation: treat the tumour and treat the host. </w:t>
      </w:r>
      <w:r w:rsidRPr="00B605E7">
        <w:rPr>
          <w:rFonts w:eastAsia="等线"/>
          <w:i/>
          <w:kern w:val="2"/>
          <w:lang w:val="en-US" w:eastAsia="zh-CN"/>
        </w:rPr>
        <w:t>Br J Cancer</w:t>
      </w:r>
      <w:r w:rsidRPr="00B605E7">
        <w:rPr>
          <w:rFonts w:eastAsia="等线"/>
          <w:kern w:val="2"/>
          <w:lang w:val="en-US" w:eastAsia="zh-CN"/>
        </w:rPr>
        <w:t xml:space="preserve"> 2014; </w:t>
      </w:r>
      <w:r w:rsidRPr="00B605E7">
        <w:rPr>
          <w:rFonts w:eastAsia="等线"/>
          <w:b/>
          <w:kern w:val="2"/>
          <w:lang w:val="en-US" w:eastAsia="zh-CN"/>
        </w:rPr>
        <w:t>110</w:t>
      </w:r>
      <w:r w:rsidRPr="00B605E7">
        <w:rPr>
          <w:rFonts w:eastAsia="等线"/>
          <w:kern w:val="2"/>
          <w:lang w:val="en-US" w:eastAsia="zh-CN"/>
        </w:rPr>
        <w:t>: 1409-1412 [PMID: 24548867 DOI: 10.1038/bjc.2014.90]</w:t>
      </w:r>
    </w:p>
    <w:p w14:paraId="567CA40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 </w:t>
      </w:r>
      <w:r w:rsidRPr="00B605E7">
        <w:rPr>
          <w:rFonts w:eastAsia="等线"/>
          <w:b/>
          <w:kern w:val="2"/>
          <w:lang w:val="en-US" w:eastAsia="zh-CN"/>
        </w:rPr>
        <w:t>Kantola T</w:t>
      </w:r>
      <w:r w:rsidRPr="00B605E7">
        <w:rPr>
          <w:rFonts w:eastAsia="等线"/>
          <w:kern w:val="2"/>
          <w:lang w:val="en-US" w:eastAsia="zh-CN"/>
        </w:rPr>
        <w:t xml:space="preserve">, Klintrup K, Väyrynen JP, Vornanen J, Bloigu R, Karhu T, Herzig KH, Näpänkangas J, Mäkelä J, Karttunen TJ, Tuomisto A, Mäkinen MJ. Stage-dependent alterations of the serum cytokine pattern in colorectal carcinoma. </w:t>
      </w:r>
      <w:r w:rsidRPr="00B605E7">
        <w:rPr>
          <w:rFonts w:eastAsia="等线"/>
          <w:i/>
          <w:kern w:val="2"/>
          <w:lang w:val="en-US" w:eastAsia="zh-CN"/>
        </w:rPr>
        <w:t>Br J Cancer</w:t>
      </w:r>
      <w:r w:rsidRPr="00B605E7">
        <w:rPr>
          <w:rFonts w:eastAsia="等线"/>
          <w:kern w:val="2"/>
          <w:lang w:val="en-US" w:eastAsia="zh-CN"/>
        </w:rPr>
        <w:t xml:space="preserve"> 2012; </w:t>
      </w:r>
      <w:r w:rsidRPr="00B605E7">
        <w:rPr>
          <w:rFonts w:eastAsia="等线"/>
          <w:b/>
          <w:kern w:val="2"/>
          <w:lang w:val="en-US" w:eastAsia="zh-CN"/>
        </w:rPr>
        <w:t>107</w:t>
      </w:r>
      <w:r w:rsidRPr="00B605E7">
        <w:rPr>
          <w:rFonts w:eastAsia="等线"/>
          <w:kern w:val="2"/>
          <w:lang w:val="en-US" w:eastAsia="zh-CN"/>
        </w:rPr>
        <w:t>: 1729-1736 [PMID: 23059742 DOI: 10.1038/bjc.2012.456]</w:t>
      </w:r>
    </w:p>
    <w:p w14:paraId="06AC9C3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19 </w:t>
      </w:r>
      <w:r w:rsidRPr="00B605E7">
        <w:rPr>
          <w:rFonts w:eastAsia="等线"/>
          <w:b/>
          <w:kern w:val="2"/>
          <w:lang w:val="en-US" w:eastAsia="zh-CN"/>
        </w:rPr>
        <w:t>Chen ZY</w:t>
      </w:r>
      <w:r w:rsidRPr="00B605E7">
        <w:rPr>
          <w:rFonts w:eastAsia="等线"/>
          <w:kern w:val="2"/>
          <w:lang w:val="en-US" w:eastAsia="zh-CN"/>
        </w:rPr>
        <w:t xml:space="preserve">, Raghav K, Lieu CH, Jiang ZQ, Eng C, Vauthey JN, Chang GJ, Qiao W, Morris J, Hong D, Hoff P, Tran H, Menter DG, Heymach J, Overman M, Kopetz S. Cytokine profile and prognostic significance of high neutrophil-lymphocyte ratio in colorectal cancer. </w:t>
      </w:r>
      <w:r w:rsidRPr="00B605E7">
        <w:rPr>
          <w:rFonts w:eastAsia="等线"/>
          <w:i/>
          <w:kern w:val="2"/>
          <w:lang w:val="en-US" w:eastAsia="zh-CN"/>
        </w:rPr>
        <w:t>Br J Cancer</w:t>
      </w:r>
      <w:r w:rsidRPr="00B605E7">
        <w:rPr>
          <w:rFonts w:eastAsia="等线"/>
          <w:kern w:val="2"/>
          <w:lang w:val="en-US" w:eastAsia="zh-CN"/>
        </w:rPr>
        <w:t xml:space="preserve"> 2015; </w:t>
      </w:r>
      <w:r w:rsidRPr="00B605E7">
        <w:rPr>
          <w:rFonts w:eastAsia="等线"/>
          <w:b/>
          <w:kern w:val="2"/>
          <w:lang w:val="en-US" w:eastAsia="zh-CN"/>
        </w:rPr>
        <w:t>112</w:t>
      </w:r>
      <w:r w:rsidRPr="00B605E7">
        <w:rPr>
          <w:rFonts w:eastAsia="等线"/>
          <w:kern w:val="2"/>
          <w:lang w:val="en-US" w:eastAsia="zh-CN"/>
        </w:rPr>
        <w:t>: 1088-1097 [PMID: 25688736 DOI: 10.1038/bjc.2015.61]</w:t>
      </w:r>
    </w:p>
    <w:p w14:paraId="26F1F2B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20 </w:t>
      </w:r>
      <w:r w:rsidRPr="00B605E7">
        <w:rPr>
          <w:rFonts w:eastAsia="等线"/>
          <w:b/>
          <w:kern w:val="2"/>
          <w:lang w:val="en-US" w:eastAsia="zh-CN"/>
        </w:rPr>
        <w:t>Birgisson H</w:t>
      </w:r>
      <w:r w:rsidRPr="00B605E7">
        <w:rPr>
          <w:rFonts w:eastAsia="等线"/>
          <w:kern w:val="2"/>
          <w:lang w:val="en-US" w:eastAsia="zh-CN"/>
        </w:rPr>
        <w:t xml:space="preserve">, Tsimogiannis K, Freyhult E, Kamali-Moghaddam M. Plasma Protein Profiling Reveal Osteoprotegerin as a Marker of Prognostic Impact for Colorectal Cancer. </w:t>
      </w:r>
      <w:r w:rsidRPr="00B605E7">
        <w:rPr>
          <w:rFonts w:eastAsia="等线"/>
          <w:i/>
          <w:kern w:val="2"/>
          <w:lang w:val="en-US" w:eastAsia="zh-CN"/>
        </w:rPr>
        <w:t>Transl Oncol</w:t>
      </w:r>
      <w:r w:rsidRPr="00B605E7">
        <w:rPr>
          <w:rFonts w:eastAsia="等线"/>
          <w:kern w:val="2"/>
          <w:lang w:val="en-US" w:eastAsia="zh-CN"/>
        </w:rPr>
        <w:t xml:space="preserve"> 2018; </w:t>
      </w:r>
      <w:r w:rsidRPr="00B605E7">
        <w:rPr>
          <w:rFonts w:eastAsia="等线"/>
          <w:b/>
          <w:kern w:val="2"/>
          <w:lang w:val="en-US" w:eastAsia="zh-CN"/>
        </w:rPr>
        <w:t>11</w:t>
      </w:r>
      <w:r w:rsidRPr="00B605E7">
        <w:rPr>
          <w:rFonts w:eastAsia="等线"/>
          <w:kern w:val="2"/>
          <w:lang w:val="en-US" w:eastAsia="zh-CN"/>
        </w:rPr>
        <w:t>: 1034-1043 [PMID: 29982101 DOI: 10.1016/j.tranon.2018.05.012]</w:t>
      </w:r>
    </w:p>
    <w:p w14:paraId="2AF9900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21 </w:t>
      </w:r>
      <w:r w:rsidRPr="00B605E7">
        <w:rPr>
          <w:rFonts w:eastAsia="等线"/>
          <w:b/>
          <w:kern w:val="2"/>
          <w:lang w:val="en-US" w:eastAsia="zh-CN"/>
        </w:rPr>
        <w:t>Best MG</w:t>
      </w:r>
      <w:r w:rsidRPr="00B605E7">
        <w:rPr>
          <w:rFonts w:eastAsia="等线"/>
          <w:kern w:val="2"/>
          <w:lang w:val="en-US" w:eastAsia="zh-CN"/>
        </w:rPr>
        <w:t xml:space="preserve">, Wesseling P, Wurdinger T. Tumor-Educated Platelets as a Noninvasive </w:t>
      </w:r>
      <w:r w:rsidRPr="00B605E7">
        <w:rPr>
          <w:rFonts w:eastAsia="等线"/>
          <w:kern w:val="2"/>
          <w:lang w:val="en-US" w:eastAsia="zh-CN"/>
        </w:rPr>
        <w:lastRenderedPageBreak/>
        <w:t xml:space="preserve">Biomarker Source for Cancer Detection and Progression Monitoring. </w:t>
      </w:r>
      <w:r w:rsidRPr="00B605E7">
        <w:rPr>
          <w:rFonts w:eastAsia="等线"/>
          <w:i/>
          <w:kern w:val="2"/>
          <w:lang w:val="en-US" w:eastAsia="zh-CN"/>
        </w:rPr>
        <w:t>Cancer Res</w:t>
      </w:r>
      <w:r w:rsidRPr="00B605E7">
        <w:rPr>
          <w:rFonts w:eastAsia="等线"/>
          <w:kern w:val="2"/>
          <w:lang w:val="en-US" w:eastAsia="zh-CN"/>
        </w:rPr>
        <w:t xml:space="preserve"> 2018; </w:t>
      </w:r>
      <w:r w:rsidRPr="00B605E7">
        <w:rPr>
          <w:rFonts w:eastAsia="等线"/>
          <w:b/>
          <w:kern w:val="2"/>
          <w:lang w:val="en-US" w:eastAsia="zh-CN"/>
        </w:rPr>
        <w:t>78</w:t>
      </w:r>
      <w:r w:rsidRPr="00B605E7">
        <w:rPr>
          <w:rFonts w:eastAsia="等线"/>
          <w:kern w:val="2"/>
          <w:lang w:val="en-US" w:eastAsia="zh-CN"/>
        </w:rPr>
        <w:t>: 3407-3412 [PMID: 29921699 DOI: 10.1158/0008-5472.CAN-18-0887]</w:t>
      </w:r>
    </w:p>
    <w:p w14:paraId="4316465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22 </w:t>
      </w:r>
      <w:r w:rsidRPr="00B605E7">
        <w:rPr>
          <w:rFonts w:eastAsia="等线"/>
          <w:b/>
          <w:kern w:val="2"/>
          <w:lang w:val="en-US" w:eastAsia="zh-CN"/>
        </w:rPr>
        <w:t>Liu X</w:t>
      </w:r>
      <w:r w:rsidRPr="00B605E7">
        <w:rPr>
          <w:rFonts w:eastAsia="等线"/>
          <w:kern w:val="2"/>
          <w:lang w:val="en-US" w:eastAsia="zh-CN"/>
        </w:rPr>
        <w:t xml:space="preserve">, Pan B, Sun L, Chen X, Zeng K, Hu X, Xu T, Xu M, Wang S. Circulating Exosomal miR-27a and miR-130a Act as Novel Diagnostic and Prognostic Biomarkers of Colorectal Cancer. </w:t>
      </w:r>
      <w:r w:rsidRPr="00B605E7">
        <w:rPr>
          <w:rFonts w:eastAsia="等线"/>
          <w:i/>
          <w:kern w:val="2"/>
          <w:lang w:val="en-US" w:eastAsia="zh-CN"/>
        </w:rPr>
        <w:t>Cancer Epidemiol Biomarkers Prev</w:t>
      </w:r>
      <w:r w:rsidRPr="00B605E7">
        <w:rPr>
          <w:rFonts w:eastAsia="等线"/>
          <w:kern w:val="2"/>
          <w:lang w:val="en-US" w:eastAsia="zh-CN"/>
        </w:rPr>
        <w:t xml:space="preserve"> 2018; </w:t>
      </w:r>
      <w:r w:rsidRPr="00B605E7">
        <w:rPr>
          <w:rFonts w:eastAsia="等线"/>
          <w:b/>
          <w:kern w:val="2"/>
          <w:lang w:val="en-US" w:eastAsia="zh-CN"/>
        </w:rPr>
        <w:t>27</w:t>
      </w:r>
      <w:r w:rsidRPr="00B605E7">
        <w:rPr>
          <w:rFonts w:eastAsia="等线"/>
          <w:kern w:val="2"/>
          <w:lang w:val="en-US" w:eastAsia="zh-CN"/>
        </w:rPr>
        <w:t>: 746-754 [PMID: 29739748 DOI: 10.1158/1055-9965.EPI-18-0067]</w:t>
      </w:r>
    </w:p>
    <w:p w14:paraId="48943DA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23 </w:t>
      </w:r>
      <w:r w:rsidRPr="00B605E7">
        <w:rPr>
          <w:rFonts w:eastAsia="等线"/>
          <w:b/>
          <w:kern w:val="2"/>
          <w:lang w:val="en-US" w:eastAsia="zh-CN"/>
        </w:rPr>
        <w:t>Xu J</w:t>
      </w:r>
      <w:r w:rsidRPr="00B605E7">
        <w:rPr>
          <w:rFonts w:eastAsia="等线"/>
          <w:kern w:val="2"/>
          <w:lang w:val="en-US" w:eastAsia="zh-CN"/>
        </w:rPr>
        <w:t xml:space="preserve">, Ye Y, Zhang H, Szmitkowski M, Mäkinen MJ, Li P, Xia D, Yang J, Wu Y, Wu H. Diagnostic and Prognostic Value of Serum Interleukin-6 in Colorectal Cancer. </w:t>
      </w:r>
      <w:r w:rsidRPr="00B605E7">
        <w:rPr>
          <w:rFonts w:eastAsia="等线"/>
          <w:i/>
          <w:kern w:val="2"/>
          <w:lang w:val="en-US" w:eastAsia="zh-CN"/>
        </w:rPr>
        <w:t>Medicine (Baltimore)</w:t>
      </w:r>
      <w:r w:rsidRPr="00B605E7">
        <w:rPr>
          <w:rFonts w:eastAsia="等线"/>
          <w:kern w:val="2"/>
          <w:lang w:val="en-US" w:eastAsia="zh-CN"/>
        </w:rPr>
        <w:t xml:space="preserve"> 2016; </w:t>
      </w:r>
      <w:r w:rsidRPr="00B605E7">
        <w:rPr>
          <w:rFonts w:eastAsia="等线"/>
          <w:b/>
          <w:kern w:val="2"/>
          <w:lang w:val="en-US" w:eastAsia="zh-CN"/>
        </w:rPr>
        <w:t>95</w:t>
      </w:r>
      <w:r w:rsidRPr="00B605E7">
        <w:rPr>
          <w:rFonts w:eastAsia="等线"/>
          <w:kern w:val="2"/>
          <w:lang w:val="en-US" w:eastAsia="zh-CN"/>
        </w:rPr>
        <w:t>: e2502 [PMID: 26765465 DOI: 10.1097/MD.0000000000002502]</w:t>
      </w:r>
    </w:p>
    <w:p w14:paraId="7A0D502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24 </w:t>
      </w:r>
      <w:r w:rsidRPr="00B605E7">
        <w:rPr>
          <w:rFonts w:eastAsia="等线"/>
          <w:b/>
          <w:kern w:val="2"/>
          <w:lang w:val="en-US" w:eastAsia="zh-CN"/>
        </w:rPr>
        <w:t>Jin WJ</w:t>
      </w:r>
      <w:r w:rsidRPr="00B605E7">
        <w:rPr>
          <w:rFonts w:eastAsia="等线"/>
          <w:kern w:val="2"/>
          <w:lang w:val="en-US" w:eastAsia="zh-CN"/>
        </w:rPr>
        <w:t xml:space="preserve">, Xu JM, Xu WL, Gu DH, Li PW. Diagnostic value of interleukin-8 in colorectal cancer: a case-control study and meta-analysis. </w:t>
      </w:r>
      <w:r w:rsidRPr="00B605E7">
        <w:rPr>
          <w:rFonts w:eastAsia="等线"/>
          <w:i/>
          <w:kern w:val="2"/>
          <w:lang w:val="en-US" w:eastAsia="zh-CN"/>
        </w:rPr>
        <w:t>World J Gastroenterol</w:t>
      </w:r>
      <w:r w:rsidRPr="00B605E7">
        <w:rPr>
          <w:rFonts w:eastAsia="等线"/>
          <w:kern w:val="2"/>
          <w:lang w:val="en-US" w:eastAsia="zh-CN"/>
        </w:rPr>
        <w:t xml:space="preserve"> 2014; </w:t>
      </w:r>
      <w:r w:rsidRPr="00B605E7">
        <w:rPr>
          <w:rFonts w:eastAsia="等线"/>
          <w:b/>
          <w:kern w:val="2"/>
          <w:lang w:val="en-US" w:eastAsia="zh-CN"/>
        </w:rPr>
        <w:t>20</w:t>
      </w:r>
      <w:r w:rsidRPr="00B605E7">
        <w:rPr>
          <w:rFonts w:eastAsia="等线"/>
          <w:kern w:val="2"/>
          <w:lang w:val="en-US" w:eastAsia="zh-CN"/>
        </w:rPr>
        <w:t>: 16334-16342 [PMID: 25473192 DOI: 10.3748/wjg.v20.i43.16334]</w:t>
      </w:r>
    </w:p>
    <w:p w14:paraId="6BC811D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25 </w:t>
      </w:r>
      <w:r w:rsidRPr="00B605E7">
        <w:rPr>
          <w:rFonts w:eastAsia="等线"/>
          <w:b/>
          <w:kern w:val="2"/>
          <w:lang w:val="en-US" w:eastAsia="zh-CN"/>
        </w:rPr>
        <w:t>Liu Z</w:t>
      </w:r>
      <w:r w:rsidRPr="00B605E7">
        <w:rPr>
          <w:rFonts w:eastAsia="等线"/>
          <w:kern w:val="2"/>
          <w:lang w:val="en-US" w:eastAsia="zh-CN"/>
        </w:rPr>
        <w:t xml:space="preserve">, Zhang Y, Niu Y, Li K, Liu X, Chen H, Gao C. A systematic review and meta-analysis of diagnostic and prognostic serum biomarkers of colorectal cancer. </w:t>
      </w:r>
      <w:r w:rsidRPr="00B605E7">
        <w:rPr>
          <w:rFonts w:eastAsia="等线"/>
          <w:i/>
          <w:kern w:val="2"/>
          <w:lang w:val="en-US" w:eastAsia="zh-CN"/>
        </w:rPr>
        <w:t>PLoS One</w:t>
      </w:r>
      <w:r w:rsidRPr="00B605E7">
        <w:rPr>
          <w:rFonts w:eastAsia="等线"/>
          <w:kern w:val="2"/>
          <w:lang w:val="en-US" w:eastAsia="zh-CN"/>
        </w:rPr>
        <w:t xml:space="preserve"> 2014; </w:t>
      </w:r>
      <w:r w:rsidRPr="00B605E7">
        <w:rPr>
          <w:rFonts w:eastAsia="等线"/>
          <w:b/>
          <w:kern w:val="2"/>
          <w:lang w:val="en-US" w:eastAsia="zh-CN"/>
        </w:rPr>
        <w:t>9</w:t>
      </w:r>
      <w:r w:rsidRPr="00B605E7">
        <w:rPr>
          <w:rFonts w:eastAsia="等线"/>
          <w:kern w:val="2"/>
          <w:lang w:val="en-US" w:eastAsia="zh-CN"/>
        </w:rPr>
        <w:t>: e103910 [PMID: 25105762 DOI: 10.1371/journal.pone.0103910]</w:t>
      </w:r>
    </w:p>
    <w:p w14:paraId="7561A87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26 </w:t>
      </w:r>
      <w:r w:rsidRPr="00B605E7">
        <w:rPr>
          <w:rFonts w:eastAsia="等线"/>
          <w:b/>
          <w:kern w:val="2"/>
          <w:lang w:val="en-US" w:eastAsia="zh-CN"/>
        </w:rPr>
        <w:t>Fukuyama T</w:t>
      </w:r>
      <w:r w:rsidRPr="00B605E7">
        <w:rPr>
          <w:rFonts w:eastAsia="等线"/>
          <w:kern w:val="2"/>
          <w:lang w:val="en-US" w:eastAsia="zh-CN"/>
        </w:rPr>
        <w:t xml:space="preserve">, Ichiki Y, Yamada S, Shigematsu Y, Baba T, Nagata Y, Mizukami M, Sugaya M, Takenoyama M, Hanagiri T, Sugio K, Yasumoto K. Cytokine production of lung cancer cell lines: Correlation between their production and the inflammatory/immunological responses both in vivo and in vitro. </w:t>
      </w:r>
      <w:r w:rsidRPr="00B605E7">
        <w:rPr>
          <w:rFonts w:eastAsia="等线"/>
          <w:i/>
          <w:kern w:val="2"/>
          <w:lang w:val="en-US" w:eastAsia="zh-CN"/>
        </w:rPr>
        <w:t>Cancer Sci</w:t>
      </w:r>
      <w:r w:rsidRPr="00B605E7">
        <w:rPr>
          <w:rFonts w:eastAsia="等线"/>
          <w:kern w:val="2"/>
          <w:lang w:val="en-US" w:eastAsia="zh-CN"/>
        </w:rPr>
        <w:t xml:space="preserve"> 2007; </w:t>
      </w:r>
      <w:r w:rsidRPr="00B605E7">
        <w:rPr>
          <w:rFonts w:eastAsia="等线"/>
          <w:b/>
          <w:kern w:val="2"/>
          <w:lang w:val="en-US" w:eastAsia="zh-CN"/>
        </w:rPr>
        <w:t>98</w:t>
      </w:r>
      <w:r w:rsidRPr="00B605E7">
        <w:rPr>
          <w:rFonts w:eastAsia="等线"/>
          <w:kern w:val="2"/>
          <w:lang w:val="en-US" w:eastAsia="zh-CN"/>
        </w:rPr>
        <w:t>: 1048-1054 [PMID: 17511773 DOI: 10.1111/j.1349-7006.2007.00507.x]</w:t>
      </w:r>
    </w:p>
    <w:p w14:paraId="3E87E59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27 </w:t>
      </w:r>
      <w:r w:rsidRPr="00B605E7">
        <w:rPr>
          <w:rFonts w:eastAsia="等线"/>
          <w:b/>
          <w:kern w:val="2"/>
          <w:lang w:val="en-US" w:eastAsia="zh-CN"/>
        </w:rPr>
        <w:t>Tao L</w:t>
      </w:r>
      <w:r w:rsidRPr="00B605E7">
        <w:rPr>
          <w:rFonts w:eastAsia="等线"/>
          <w:kern w:val="2"/>
          <w:lang w:val="en-US" w:eastAsia="zh-CN"/>
        </w:rPr>
        <w:t xml:space="preserve">, Huang G, Song H, Chen Y, Chen L. Cancer associated fibroblasts: An essential role in the tumor microenvironment. </w:t>
      </w:r>
      <w:r w:rsidRPr="00B605E7">
        <w:rPr>
          <w:rFonts w:eastAsia="等线"/>
          <w:i/>
          <w:kern w:val="2"/>
          <w:lang w:val="en-US" w:eastAsia="zh-CN"/>
        </w:rPr>
        <w:t>Oncol Lett</w:t>
      </w:r>
      <w:r w:rsidRPr="00B605E7">
        <w:rPr>
          <w:rFonts w:eastAsia="等线"/>
          <w:kern w:val="2"/>
          <w:lang w:val="en-US" w:eastAsia="zh-CN"/>
        </w:rPr>
        <w:t xml:space="preserve"> 2017; </w:t>
      </w:r>
      <w:r w:rsidRPr="00B605E7">
        <w:rPr>
          <w:rFonts w:eastAsia="等线"/>
          <w:b/>
          <w:kern w:val="2"/>
          <w:lang w:val="en-US" w:eastAsia="zh-CN"/>
        </w:rPr>
        <w:t>14</w:t>
      </w:r>
      <w:r w:rsidRPr="00B605E7">
        <w:rPr>
          <w:rFonts w:eastAsia="等线"/>
          <w:kern w:val="2"/>
          <w:lang w:val="en-US" w:eastAsia="zh-CN"/>
        </w:rPr>
        <w:t>: 2611-2620 [PMID: 28927027 DOI: 10.3892/ol.2017.6497]</w:t>
      </w:r>
    </w:p>
    <w:p w14:paraId="7E7EE8E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28 </w:t>
      </w:r>
      <w:r w:rsidRPr="00B605E7">
        <w:rPr>
          <w:rFonts w:eastAsia="等线"/>
          <w:b/>
          <w:kern w:val="2"/>
          <w:lang w:val="en-US" w:eastAsia="zh-CN"/>
        </w:rPr>
        <w:t>Guerriero JL</w:t>
      </w:r>
      <w:r w:rsidRPr="00B605E7">
        <w:rPr>
          <w:rFonts w:eastAsia="等线"/>
          <w:kern w:val="2"/>
          <w:lang w:val="en-US" w:eastAsia="zh-CN"/>
        </w:rPr>
        <w:t xml:space="preserve">. Macrophages: The Road Less Traveled, Changing Anticancer Therapy. </w:t>
      </w:r>
      <w:r w:rsidRPr="00B605E7">
        <w:rPr>
          <w:rFonts w:eastAsia="等线"/>
          <w:i/>
          <w:kern w:val="2"/>
          <w:lang w:val="en-US" w:eastAsia="zh-CN"/>
        </w:rPr>
        <w:t>Trends Mol Med</w:t>
      </w:r>
      <w:r w:rsidRPr="00B605E7">
        <w:rPr>
          <w:rFonts w:eastAsia="等线"/>
          <w:kern w:val="2"/>
          <w:lang w:val="en-US" w:eastAsia="zh-CN"/>
        </w:rPr>
        <w:t xml:space="preserve"> 2018; </w:t>
      </w:r>
      <w:r w:rsidRPr="00B605E7">
        <w:rPr>
          <w:rFonts w:eastAsia="等线"/>
          <w:b/>
          <w:kern w:val="2"/>
          <w:lang w:val="en-US" w:eastAsia="zh-CN"/>
        </w:rPr>
        <w:t>24</w:t>
      </w:r>
      <w:r w:rsidRPr="00B605E7">
        <w:rPr>
          <w:rFonts w:eastAsia="等线"/>
          <w:kern w:val="2"/>
          <w:lang w:val="en-US" w:eastAsia="zh-CN"/>
        </w:rPr>
        <w:t>: 472-489 [PMID: 29655673 DOI: 10.1016/j.molmed.2018.03.006]</w:t>
      </w:r>
    </w:p>
    <w:p w14:paraId="65B8ED9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29 </w:t>
      </w:r>
      <w:r w:rsidRPr="00B605E7">
        <w:rPr>
          <w:rFonts w:eastAsia="等线"/>
          <w:b/>
          <w:kern w:val="2"/>
          <w:lang w:val="en-US" w:eastAsia="zh-CN"/>
        </w:rPr>
        <w:t>Nagasaki T</w:t>
      </w:r>
      <w:r w:rsidRPr="00B605E7">
        <w:rPr>
          <w:rFonts w:eastAsia="等线"/>
          <w:kern w:val="2"/>
          <w:lang w:val="en-US" w:eastAsia="zh-CN"/>
        </w:rPr>
        <w:t xml:space="preserve">, Hara M, Nakanishi H, Takahashi H, Sato M, Takeyama H. Interleukin-6 released by colon cancer-associated fibroblasts is critical for tumour angiogenesis: anti-interleukin-6 receptor antibody suppressed angiogenesis and inhibited tumour-stroma interaction. </w:t>
      </w:r>
      <w:r w:rsidRPr="00B605E7">
        <w:rPr>
          <w:rFonts w:eastAsia="等线"/>
          <w:i/>
          <w:kern w:val="2"/>
          <w:lang w:val="en-US" w:eastAsia="zh-CN"/>
        </w:rPr>
        <w:t>Br J Cancer</w:t>
      </w:r>
      <w:r w:rsidRPr="00B605E7">
        <w:rPr>
          <w:rFonts w:eastAsia="等线"/>
          <w:kern w:val="2"/>
          <w:lang w:val="en-US" w:eastAsia="zh-CN"/>
        </w:rPr>
        <w:t xml:space="preserve"> 2014; </w:t>
      </w:r>
      <w:r w:rsidRPr="00B605E7">
        <w:rPr>
          <w:rFonts w:eastAsia="等线"/>
          <w:b/>
          <w:kern w:val="2"/>
          <w:lang w:val="en-US" w:eastAsia="zh-CN"/>
        </w:rPr>
        <w:t>110</w:t>
      </w:r>
      <w:r w:rsidRPr="00B605E7">
        <w:rPr>
          <w:rFonts w:eastAsia="等线"/>
          <w:kern w:val="2"/>
          <w:lang w:val="en-US" w:eastAsia="zh-CN"/>
        </w:rPr>
        <w:t>: 469-478 [PMID: 24346288 DOI: 10.1038/bjc.2013.748]</w:t>
      </w:r>
    </w:p>
    <w:p w14:paraId="027F521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30 </w:t>
      </w:r>
      <w:r w:rsidRPr="00B605E7">
        <w:rPr>
          <w:rFonts w:eastAsia="等线"/>
          <w:b/>
          <w:kern w:val="2"/>
          <w:lang w:val="en-US" w:eastAsia="zh-CN"/>
        </w:rPr>
        <w:t>Xiao YC</w:t>
      </w:r>
      <w:r w:rsidRPr="00B605E7">
        <w:rPr>
          <w:rFonts w:eastAsia="等线"/>
          <w:kern w:val="2"/>
          <w:lang w:val="en-US" w:eastAsia="zh-CN"/>
        </w:rPr>
        <w:t xml:space="preserve">, Yang ZB, Cheng XS, Fang XB, Shen T, Xia CF, Liu P, Qian HH, Sun B, Yin ZF, Li YF. CXCL8, overexpressed in colorectal cancer, enhances the resistance of colorectal </w:t>
      </w:r>
      <w:r w:rsidRPr="00B605E7">
        <w:rPr>
          <w:rFonts w:eastAsia="等线"/>
          <w:kern w:val="2"/>
          <w:lang w:val="en-US" w:eastAsia="zh-CN"/>
        </w:rPr>
        <w:lastRenderedPageBreak/>
        <w:t xml:space="preserve">cancer cells to anoikis. </w:t>
      </w:r>
      <w:r w:rsidRPr="00B605E7">
        <w:rPr>
          <w:rFonts w:eastAsia="等线"/>
          <w:i/>
          <w:kern w:val="2"/>
          <w:lang w:val="en-US" w:eastAsia="zh-CN"/>
        </w:rPr>
        <w:t>Cancer Lett</w:t>
      </w:r>
      <w:r w:rsidRPr="00B605E7">
        <w:rPr>
          <w:rFonts w:eastAsia="等线"/>
          <w:kern w:val="2"/>
          <w:lang w:val="en-US" w:eastAsia="zh-CN"/>
        </w:rPr>
        <w:t xml:space="preserve"> 2015; </w:t>
      </w:r>
      <w:r w:rsidRPr="00B605E7">
        <w:rPr>
          <w:rFonts w:eastAsia="等线"/>
          <w:b/>
          <w:kern w:val="2"/>
          <w:lang w:val="en-US" w:eastAsia="zh-CN"/>
        </w:rPr>
        <w:t>361</w:t>
      </w:r>
      <w:r w:rsidRPr="00B605E7">
        <w:rPr>
          <w:rFonts w:eastAsia="等线"/>
          <w:kern w:val="2"/>
          <w:lang w:val="en-US" w:eastAsia="zh-CN"/>
        </w:rPr>
        <w:t>: 22-32 [PMID: 25687885 DOI: 10.1016/j.canlet.2015.02.021]</w:t>
      </w:r>
    </w:p>
    <w:p w14:paraId="697BD6A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31 </w:t>
      </w:r>
      <w:r w:rsidRPr="00B605E7">
        <w:rPr>
          <w:rFonts w:eastAsia="等线"/>
          <w:b/>
          <w:kern w:val="2"/>
          <w:lang w:val="en-US" w:eastAsia="zh-CN"/>
        </w:rPr>
        <w:t>Waldner MJ</w:t>
      </w:r>
      <w:r w:rsidRPr="00B605E7">
        <w:rPr>
          <w:rFonts w:eastAsia="等线"/>
          <w:kern w:val="2"/>
          <w:lang w:val="en-US" w:eastAsia="zh-CN"/>
        </w:rPr>
        <w:t xml:space="preserve">, Foersch S, Neurath MF. Interleukin-6--a key regulator of colorectal cancer development. </w:t>
      </w:r>
      <w:r w:rsidRPr="00B605E7">
        <w:rPr>
          <w:rFonts w:eastAsia="等线"/>
          <w:i/>
          <w:kern w:val="2"/>
          <w:lang w:val="en-US" w:eastAsia="zh-CN"/>
        </w:rPr>
        <w:t>Int J Biol Sci</w:t>
      </w:r>
      <w:r w:rsidRPr="00B605E7">
        <w:rPr>
          <w:rFonts w:eastAsia="等线"/>
          <w:kern w:val="2"/>
          <w:lang w:val="en-US" w:eastAsia="zh-CN"/>
        </w:rPr>
        <w:t xml:space="preserve"> 2012; </w:t>
      </w:r>
      <w:r w:rsidRPr="00B605E7">
        <w:rPr>
          <w:rFonts w:eastAsia="等线"/>
          <w:b/>
          <w:kern w:val="2"/>
          <w:lang w:val="en-US" w:eastAsia="zh-CN"/>
        </w:rPr>
        <w:t>8</w:t>
      </w:r>
      <w:r w:rsidRPr="00B605E7">
        <w:rPr>
          <w:rFonts w:eastAsia="等线"/>
          <w:kern w:val="2"/>
          <w:lang w:val="en-US" w:eastAsia="zh-CN"/>
        </w:rPr>
        <w:t>: 1248-1253 [PMID: 23136553 DOI: 10.7150/ijbs.4614]</w:t>
      </w:r>
    </w:p>
    <w:p w14:paraId="4EE5956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32 </w:t>
      </w:r>
      <w:r w:rsidRPr="00B605E7">
        <w:rPr>
          <w:rFonts w:eastAsia="等线"/>
          <w:b/>
          <w:kern w:val="2"/>
          <w:lang w:val="en-US" w:eastAsia="zh-CN"/>
        </w:rPr>
        <w:t>Qian BZ</w:t>
      </w:r>
      <w:r w:rsidRPr="00B605E7">
        <w:rPr>
          <w:rFonts w:eastAsia="等线"/>
          <w:kern w:val="2"/>
          <w:lang w:val="en-US" w:eastAsia="zh-CN"/>
        </w:rPr>
        <w:t xml:space="preserve">, Li J, Zhang H, Kitamura T, Zhang J, Campion LR, Kaiser EA, Snyder LA, Pollard JW. CCL2 recruits inflammatory monocytes to facilitate breast-tumour metastasis. </w:t>
      </w:r>
      <w:r w:rsidRPr="00B605E7">
        <w:rPr>
          <w:rFonts w:eastAsia="等线"/>
          <w:i/>
          <w:kern w:val="2"/>
          <w:lang w:val="en-US" w:eastAsia="zh-CN"/>
        </w:rPr>
        <w:t>Nature</w:t>
      </w:r>
      <w:r w:rsidRPr="00B605E7">
        <w:rPr>
          <w:rFonts w:eastAsia="等线"/>
          <w:kern w:val="2"/>
          <w:lang w:val="en-US" w:eastAsia="zh-CN"/>
        </w:rPr>
        <w:t xml:space="preserve"> 2011; </w:t>
      </w:r>
      <w:r w:rsidRPr="00B605E7">
        <w:rPr>
          <w:rFonts w:eastAsia="等线"/>
          <w:b/>
          <w:kern w:val="2"/>
          <w:lang w:val="en-US" w:eastAsia="zh-CN"/>
        </w:rPr>
        <w:t>475</w:t>
      </w:r>
      <w:r w:rsidRPr="00B605E7">
        <w:rPr>
          <w:rFonts w:eastAsia="等线"/>
          <w:kern w:val="2"/>
          <w:lang w:val="en-US" w:eastAsia="zh-CN"/>
        </w:rPr>
        <w:t>: 222-225 [PMID: 21654748 DOI: 10.1038/nature10138]</w:t>
      </w:r>
    </w:p>
    <w:p w14:paraId="58A1D37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33 </w:t>
      </w:r>
      <w:r w:rsidRPr="00B605E7">
        <w:rPr>
          <w:rFonts w:eastAsia="等线"/>
          <w:b/>
          <w:kern w:val="2"/>
          <w:lang w:val="en-US" w:eastAsia="zh-CN"/>
        </w:rPr>
        <w:t>Heidemann J</w:t>
      </w:r>
      <w:r w:rsidRPr="00B605E7">
        <w:rPr>
          <w:rFonts w:eastAsia="等线"/>
          <w:kern w:val="2"/>
          <w:lang w:val="en-US" w:eastAsia="zh-CN"/>
        </w:rPr>
        <w:t xml:space="preserve">, Ogawa H, Dwinell MB, Rafiee P, Maaser C, Gockel HR, Otterson MF, Ota DM, Lugering N, Domschke W, Binion DG. Angiogenic effects of interleukin 8 (CXCL8) in human intestinal microvascular endothelial cells are mediated by CXCR2. </w:t>
      </w:r>
      <w:r w:rsidRPr="00B605E7">
        <w:rPr>
          <w:rFonts w:eastAsia="等线"/>
          <w:i/>
          <w:kern w:val="2"/>
          <w:lang w:val="en-US" w:eastAsia="zh-CN"/>
        </w:rPr>
        <w:t>J Biol Chem</w:t>
      </w:r>
      <w:r w:rsidRPr="00B605E7">
        <w:rPr>
          <w:rFonts w:eastAsia="等线"/>
          <w:kern w:val="2"/>
          <w:lang w:val="en-US" w:eastAsia="zh-CN"/>
        </w:rPr>
        <w:t xml:space="preserve"> 2003; </w:t>
      </w:r>
      <w:r w:rsidRPr="00B605E7">
        <w:rPr>
          <w:rFonts w:eastAsia="等线"/>
          <w:b/>
          <w:kern w:val="2"/>
          <w:lang w:val="en-US" w:eastAsia="zh-CN"/>
        </w:rPr>
        <w:t>278</w:t>
      </w:r>
      <w:r w:rsidRPr="00B605E7">
        <w:rPr>
          <w:rFonts w:eastAsia="等线"/>
          <w:kern w:val="2"/>
          <w:lang w:val="en-US" w:eastAsia="zh-CN"/>
        </w:rPr>
        <w:t>: 8508-8515 [PMID: 12496258 DOI: 10.1074/jbc.M208231200]</w:t>
      </w:r>
    </w:p>
    <w:p w14:paraId="533A021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34 </w:t>
      </w:r>
      <w:r w:rsidRPr="00B605E7">
        <w:rPr>
          <w:rFonts w:eastAsia="等线"/>
          <w:b/>
          <w:kern w:val="2"/>
          <w:lang w:val="en-US" w:eastAsia="zh-CN"/>
        </w:rPr>
        <w:t>Hamilton TA</w:t>
      </w:r>
      <w:r w:rsidRPr="00B605E7">
        <w:rPr>
          <w:rFonts w:eastAsia="等线"/>
          <w:kern w:val="2"/>
          <w:lang w:val="en-US" w:eastAsia="zh-CN"/>
        </w:rPr>
        <w:t xml:space="preserve">, Zhao C, Pavicic PG Jr, Datta S. Myeloid colony-stimulating factors as regulators of macrophage polarization. </w:t>
      </w:r>
      <w:r w:rsidRPr="00B605E7">
        <w:rPr>
          <w:rFonts w:eastAsia="等线"/>
          <w:i/>
          <w:kern w:val="2"/>
          <w:lang w:val="en-US" w:eastAsia="zh-CN"/>
        </w:rPr>
        <w:t>Front Immunol</w:t>
      </w:r>
      <w:r w:rsidRPr="00B605E7">
        <w:rPr>
          <w:rFonts w:eastAsia="等线"/>
          <w:kern w:val="2"/>
          <w:lang w:val="en-US" w:eastAsia="zh-CN"/>
        </w:rPr>
        <w:t xml:space="preserve"> 2014; </w:t>
      </w:r>
      <w:r w:rsidRPr="00B605E7">
        <w:rPr>
          <w:rFonts w:eastAsia="等线"/>
          <w:b/>
          <w:kern w:val="2"/>
          <w:lang w:val="en-US" w:eastAsia="zh-CN"/>
        </w:rPr>
        <w:t>5</w:t>
      </w:r>
      <w:r w:rsidRPr="00B605E7">
        <w:rPr>
          <w:rFonts w:eastAsia="等线"/>
          <w:kern w:val="2"/>
          <w:lang w:val="en-US" w:eastAsia="zh-CN"/>
        </w:rPr>
        <w:t>: 554 [PMID: 25484881 DOI: 10.3389/fimmu.2014.00554]</w:t>
      </w:r>
    </w:p>
    <w:p w14:paraId="736E732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35 </w:t>
      </w:r>
      <w:r w:rsidRPr="00B605E7">
        <w:rPr>
          <w:rFonts w:eastAsia="等线"/>
          <w:b/>
          <w:kern w:val="2"/>
          <w:lang w:val="en-US" w:eastAsia="zh-CN"/>
        </w:rPr>
        <w:t>Manning S</w:t>
      </w:r>
      <w:r w:rsidRPr="00B605E7">
        <w:rPr>
          <w:rFonts w:eastAsia="等线"/>
          <w:kern w:val="2"/>
          <w:lang w:val="en-US" w:eastAsia="zh-CN"/>
        </w:rPr>
        <w:t xml:space="preserve">, Danielson KM. The immunomodulatory role of tumor-derived extracellular vesicles in colorectal cancer. </w:t>
      </w:r>
      <w:r w:rsidRPr="00B605E7">
        <w:rPr>
          <w:rFonts w:eastAsia="等线"/>
          <w:i/>
          <w:kern w:val="2"/>
          <w:lang w:val="en-US" w:eastAsia="zh-CN"/>
        </w:rPr>
        <w:t>Immunol Cell Biol</w:t>
      </w:r>
      <w:r w:rsidRPr="00B605E7">
        <w:rPr>
          <w:rFonts w:eastAsia="等线"/>
          <w:kern w:val="2"/>
          <w:lang w:val="en-US" w:eastAsia="zh-CN"/>
        </w:rPr>
        <w:t xml:space="preserve"> 2018 [PMID: 29575270 DOI: 10.1111/imcb.12038]</w:t>
      </w:r>
    </w:p>
    <w:p w14:paraId="6F45BB9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36 </w:t>
      </w:r>
      <w:r w:rsidRPr="00B605E7">
        <w:rPr>
          <w:rFonts w:eastAsia="等线"/>
          <w:b/>
          <w:kern w:val="2"/>
          <w:lang w:val="en-US" w:eastAsia="zh-CN"/>
        </w:rPr>
        <w:t>Becker A</w:t>
      </w:r>
      <w:r w:rsidRPr="00B605E7">
        <w:rPr>
          <w:rFonts w:eastAsia="等线"/>
          <w:kern w:val="2"/>
          <w:lang w:val="en-US" w:eastAsia="zh-CN"/>
        </w:rPr>
        <w:t xml:space="preserve">, Thakur BK, Weiss JM, Kim HS, Peinado H, Lyden D. Extracellular Vesicles in Cancer: Cell-to-Cell Mediators of Metastasis. </w:t>
      </w:r>
      <w:r w:rsidRPr="00B605E7">
        <w:rPr>
          <w:rFonts w:eastAsia="等线"/>
          <w:i/>
          <w:kern w:val="2"/>
          <w:lang w:val="en-US" w:eastAsia="zh-CN"/>
        </w:rPr>
        <w:t>Cancer Cell</w:t>
      </w:r>
      <w:r w:rsidRPr="00B605E7">
        <w:rPr>
          <w:rFonts w:eastAsia="等线"/>
          <w:kern w:val="2"/>
          <w:lang w:val="en-US" w:eastAsia="zh-CN"/>
        </w:rPr>
        <w:t xml:space="preserve"> 2016; </w:t>
      </w:r>
      <w:r w:rsidRPr="00B605E7">
        <w:rPr>
          <w:rFonts w:eastAsia="等线"/>
          <w:b/>
          <w:kern w:val="2"/>
          <w:lang w:val="en-US" w:eastAsia="zh-CN"/>
        </w:rPr>
        <w:t>30</w:t>
      </w:r>
      <w:r w:rsidRPr="00B605E7">
        <w:rPr>
          <w:rFonts w:eastAsia="等线"/>
          <w:kern w:val="2"/>
          <w:lang w:val="en-US" w:eastAsia="zh-CN"/>
        </w:rPr>
        <w:t>: 836-848 [PMID: 27960084 DOI: 10.1016/j.ccell.2016.10.009]</w:t>
      </w:r>
    </w:p>
    <w:p w14:paraId="6139C6A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37 </w:t>
      </w:r>
      <w:r w:rsidRPr="00B605E7">
        <w:rPr>
          <w:rFonts w:eastAsia="等线"/>
          <w:b/>
          <w:kern w:val="2"/>
          <w:lang w:val="en-US" w:eastAsia="zh-CN"/>
        </w:rPr>
        <w:t>Yamada N</w:t>
      </w:r>
      <w:r w:rsidRPr="00B605E7">
        <w:rPr>
          <w:rFonts w:eastAsia="等线"/>
          <w:kern w:val="2"/>
          <w:lang w:val="en-US" w:eastAsia="zh-CN"/>
        </w:rPr>
        <w:t xml:space="preserve">, Kuranaga Y, Kumazaki M, Shinohara H, Taniguchi K, Akao Y. Colorectal cancer cell-derived extracellular vesicles induce phenotypic alteration of T cells into tumor-growth supporting cells with transforming growth factor-β1-mediated suppression. </w:t>
      </w:r>
      <w:r w:rsidRPr="00B605E7">
        <w:rPr>
          <w:rFonts w:eastAsia="等线"/>
          <w:i/>
          <w:kern w:val="2"/>
          <w:lang w:val="en-US" w:eastAsia="zh-CN"/>
        </w:rPr>
        <w:t>Oncotarget</w:t>
      </w:r>
      <w:r w:rsidRPr="00B605E7">
        <w:rPr>
          <w:rFonts w:eastAsia="等线"/>
          <w:kern w:val="2"/>
          <w:lang w:val="en-US" w:eastAsia="zh-CN"/>
        </w:rPr>
        <w:t xml:space="preserve"> 2016; </w:t>
      </w:r>
      <w:r w:rsidRPr="00B605E7">
        <w:rPr>
          <w:rFonts w:eastAsia="等线"/>
          <w:b/>
          <w:kern w:val="2"/>
          <w:lang w:val="en-US" w:eastAsia="zh-CN"/>
        </w:rPr>
        <w:t>7</w:t>
      </w:r>
      <w:r w:rsidRPr="00B605E7">
        <w:rPr>
          <w:rFonts w:eastAsia="等线"/>
          <w:kern w:val="2"/>
          <w:lang w:val="en-US" w:eastAsia="zh-CN"/>
        </w:rPr>
        <w:t>: 27033-27043 [PMID: 27081032 DOI: 10.18632/oncotarget.7041]</w:t>
      </w:r>
    </w:p>
    <w:p w14:paraId="0086BCD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38 </w:t>
      </w:r>
      <w:r w:rsidRPr="00B605E7">
        <w:rPr>
          <w:rFonts w:eastAsia="等线"/>
          <w:b/>
          <w:kern w:val="2"/>
          <w:lang w:val="en-US" w:eastAsia="zh-CN"/>
        </w:rPr>
        <w:t>Chen Y</w:t>
      </w:r>
      <w:r w:rsidRPr="00B605E7">
        <w:rPr>
          <w:rFonts w:eastAsia="等线"/>
          <w:kern w:val="2"/>
          <w:lang w:val="en-US" w:eastAsia="zh-CN"/>
        </w:rPr>
        <w:t xml:space="preserve">, Xie Y, Xu L, Zhan S, Xiao Y, Gao Y, Wu B, Ge W. Protein content and functional characteristics of serum-purified exosomes from patients with colorectal cancer revealed by quantitative proteomics. </w:t>
      </w:r>
      <w:r w:rsidRPr="00B605E7">
        <w:rPr>
          <w:rFonts w:eastAsia="等线"/>
          <w:i/>
          <w:kern w:val="2"/>
          <w:lang w:val="en-US" w:eastAsia="zh-CN"/>
        </w:rPr>
        <w:t>Int J Cancer</w:t>
      </w:r>
      <w:r w:rsidRPr="00B605E7">
        <w:rPr>
          <w:rFonts w:eastAsia="等线"/>
          <w:kern w:val="2"/>
          <w:lang w:val="en-US" w:eastAsia="zh-CN"/>
        </w:rPr>
        <w:t xml:space="preserve"> 2017; </w:t>
      </w:r>
      <w:r w:rsidRPr="00B605E7">
        <w:rPr>
          <w:rFonts w:eastAsia="等线"/>
          <w:b/>
          <w:kern w:val="2"/>
          <w:lang w:val="en-US" w:eastAsia="zh-CN"/>
        </w:rPr>
        <w:t>140</w:t>
      </w:r>
      <w:r w:rsidRPr="00B605E7">
        <w:rPr>
          <w:rFonts w:eastAsia="等线"/>
          <w:kern w:val="2"/>
          <w:lang w:val="en-US" w:eastAsia="zh-CN"/>
        </w:rPr>
        <w:t>: 900-913 [PMID: 27813080 DOI: 10.1002/ijc.30496]</w:t>
      </w:r>
    </w:p>
    <w:p w14:paraId="4C06C16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39 </w:t>
      </w:r>
      <w:r w:rsidRPr="00B605E7">
        <w:rPr>
          <w:rFonts w:eastAsia="等线"/>
          <w:b/>
          <w:kern w:val="2"/>
          <w:lang w:val="en-US" w:eastAsia="zh-CN"/>
        </w:rPr>
        <w:t>Alfonsi R</w:t>
      </w:r>
      <w:r w:rsidRPr="00B605E7">
        <w:rPr>
          <w:rFonts w:eastAsia="等线"/>
          <w:kern w:val="2"/>
          <w:lang w:val="en-US" w:eastAsia="zh-CN"/>
        </w:rPr>
        <w:t xml:space="preserve">, Grassi L, Signore M, Bonci D. The Double Face of Exosome-Carried MicroRNAs in Cancer Immunomodulation. </w:t>
      </w:r>
      <w:r w:rsidRPr="00B605E7">
        <w:rPr>
          <w:rFonts w:eastAsia="等线"/>
          <w:i/>
          <w:kern w:val="2"/>
          <w:lang w:val="en-US" w:eastAsia="zh-CN"/>
        </w:rPr>
        <w:t>Int J Mol Sci</w:t>
      </w:r>
      <w:r w:rsidRPr="00B605E7">
        <w:rPr>
          <w:rFonts w:eastAsia="等线"/>
          <w:kern w:val="2"/>
          <w:lang w:val="en-US" w:eastAsia="zh-CN"/>
        </w:rPr>
        <w:t xml:space="preserve"> 2018; </w:t>
      </w:r>
      <w:r w:rsidRPr="00B605E7">
        <w:rPr>
          <w:rFonts w:eastAsia="等线"/>
          <w:b/>
          <w:kern w:val="2"/>
          <w:lang w:val="en-US" w:eastAsia="zh-CN"/>
        </w:rPr>
        <w:t>19</w:t>
      </w:r>
      <w:r w:rsidRPr="00B605E7">
        <w:rPr>
          <w:rFonts w:eastAsia="等线"/>
          <w:kern w:val="2"/>
          <w:lang w:val="en-US" w:eastAsia="zh-CN"/>
        </w:rPr>
        <w:t>:  [PMID: 29652798 DOI: 10.3390/ijms19041183]</w:t>
      </w:r>
    </w:p>
    <w:p w14:paraId="3A370CC0" w14:textId="77777777" w:rsidR="00B605E7" w:rsidRPr="009207AD" w:rsidRDefault="00B605E7" w:rsidP="00F67ED8">
      <w:pPr>
        <w:widowControl w:val="0"/>
        <w:spacing w:after="0"/>
        <w:rPr>
          <w:rFonts w:eastAsia="等线"/>
          <w:kern w:val="2"/>
          <w:lang w:val="en-US" w:eastAsia="zh-CN"/>
        </w:rPr>
      </w:pPr>
      <w:r w:rsidRPr="009207AD">
        <w:rPr>
          <w:rFonts w:eastAsia="等线"/>
          <w:kern w:val="2"/>
          <w:lang w:val="en-US" w:eastAsia="zh-CN"/>
        </w:rPr>
        <w:lastRenderedPageBreak/>
        <w:t xml:space="preserve">40 </w:t>
      </w:r>
      <w:r w:rsidRPr="009207AD">
        <w:rPr>
          <w:rFonts w:eastAsia="等线"/>
          <w:b/>
          <w:bCs/>
          <w:kern w:val="2"/>
          <w:lang w:val="en-US" w:eastAsia="zh-CN"/>
        </w:rPr>
        <w:t>Väyrynen JP</w:t>
      </w:r>
      <w:r w:rsidRPr="009207AD">
        <w:rPr>
          <w:rFonts w:eastAsia="等线"/>
          <w:kern w:val="2"/>
          <w:shd w:val="clear" w:color="auto" w:fill="FFFFFF"/>
          <w:lang w:val="en-US" w:eastAsia="zh-CN"/>
        </w:rPr>
        <w:t xml:space="preserve">, Tuomisto A, Klintrup K, Mäkelä J, Karttunen TJ, Mäkinen MJ. Detailed analysis of inflammatory cell infiltration in colorectal cancer. </w:t>
      </w:r>
      <w:r w:rsidRPr="009207AD">
        <w:rPr>
          <w:rFonts w:eastAsia="等线"/>
          <w:i/>
          <w:iCs/>
          <w:kern w:val="2"/>
          <w:lang w:val="en-US" w:eastAsia="zh-CN"/>
        </w:rPr>
        <w:t>Br J Cancer</w:t>
      </w:r>
      <w:r w:rsidRPr="009207AD">
        <w:rPr>
          <w:rFonts w:eastAsia="等线"/>
          <w:kern w:val="2"/>
          <w:shd w:val="clear" w:color="auto" w:fill="FFFFFF"/>
          <w:lang w:val="en-US" w:eastAsia="zh-CN"/>
        </w:rPr>
        <w:t xml:space="preserve"> 2013; </w:t>
      </w:r>
      <w:r w:rsidRPr="009207AD">
        <w:rPr>
          <w:rFonts w:eastAsia="等线"/>
          <w:b/>
          <w:bCs/>
          <w:kern w:val="2"/>
          <w:lang w:val="en-US" w:eastAsia="zh-CN"/>
        </w:rPr>
        <w:t>109</w:t>
      </w:r>
      <w:r w:rsidRPr="009207AD">
        <w:rPr>
          <w:rFonts w:eastAsia="等线"/>
          <w:kern w:val="2"/>
          <w:shd w:val="clear" w:color="auto" w:fill="FFFFFF"/>
          <w:lang w:val="en-US" w:eastAsia="zh-CN"/>
        </w:rPr>
        <w:t>: 1839-1847 [PMID: 24008661 DOI: 10.1038/bjc.2013.508]</w:t>
      </w:r>
    </w:p>
    <w:p w14:paraId="6CF0EFB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41 </w:t>
      </w:r>
      <w:r w:rsidRPr="00B605E7">
        <w:rPr>
          <w:rFonts w:eastAsia="等线"/>
          <w:b/>
          <w:kern w:val="2"/>
          <w:lang w:val="en-US" w:eastAsia="zh-CN"/>
        </w:rPr>
        <w:t>Bindea G</w:t>
      </w:r>
      <w:r w:rsidRPr="00B605E7">
        <w:rPr>
          <w:rFonts w:eastAsia="等线"/>
          <w:kern w:val="2"/>
          <w:lang w:val="en-US" w:eastAsia="zh-CN"/>
        </w:rPr>
        <w:t xml:space="preserve">, Mlecnik B, Tosolini M, Kirilovsky A, Waldner M, Obenauf AC, Angell H, Fredriksen T, Lafontaine L, Berger A, Bruneval P, Fridman WH, Becker C, Pagès F, Speicher MR, Trajanoski Z, Galon J. Spatiotemporal dynamics of intratumoral immune cells reveal the immune landscape in human cancer. </w:t>
      </w:r>
      <w:r w:rsidRPr="00B605E7">
        <w:rPr>
          <w:rFonts w:eastAsia="等线"/>
          <w:i/>
          <w:kern w:val="2"/>
          <w:lang w:val="en-US" w:eastAsia="zh-CN"/>
        </w:rPr>
        <w:t>Immunity</w:t>
      </w:r>
      <w:r w:rsidRPr="00B605E7">
        <w:rPr>
          <w:rFonts w:eastAsia="等线"/>
          <w:kern w:val="2"/>
          <w:lang w:val="en-US" w:eastAsia="zh-CN"/>
        </w:rPr>
        <w:t xml:space="preserve"> 2013; </w:t>
      </w:r>
      <w:r w:rsidRPr="00B605E7">
        <w:rPr>
          <w:rFonts w:eastAsia="等线"/>
          <w:b/>
          <w:kern w:val="2"/>
          <w:lang w:val="en-US" w:eastAsia="zh-CN"/>
        </w:rPr>
        <w:t>39</w:t>
      </w:r>
      <w:r w:rsidRPr="00B605E7">
        <w:rPr>
          <w:rFonts w:eastAsia="等线"/>
          <w:kern w:val="2"/>
          <w:lang w:val="en-US" w:eastAsia="zh-CN"/>
        </w:rPr>
        <w:t>: 782-795 [PMID: 24138885 DOI: 10.1016/j.immuni.2013.10.003]</w:t>
      </w:r>
    </w:p>
    <w:p w14:paraId="722A75F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42 </w:t>
      </w:r>
      <w:r w:rsidRPr="00B605E7">
        <w:rPr>
          <w:rFonts w:eastAsia="等线"/>
          <w:b/>
          <w:kern w:val="2"/>
          <w:lang w:val="en-US" w:eastAsia="zh-CN"/>
        </w:rPr>
        <w:t>Klintrup K</w:t>
      </w:r>
      <w:r w:rsidRPr="00B605E7">
        <w:rPr>
          <w:rFonts w:eastAsia="等线"/>
          <w:kern w:val="2"/>
          <w:lang w:val="en-US" w:eastAsia="zh-CN"/>
        </w:rPr>
        <w:t xml:space="preserve">, Mäkinen JM, Kauppila S, Väre PO, Melkko J, Tuominen H, Tuppurainen K, Mäkelä J, Karttunen TJ, Mäkinen MJ. Inflammation and prognosis in colorectal cancer. </w:t>
      </w:r>
      <w:r w:rsidRPr="00B605E7">
        <w:rPr>
          <w:rFonts w:eastAsia="等线"/>
          <w:i/>
          <w:kern w:val="2"/>
          <w:lang w:val="en-US" w:eastAsia="zh-CN"/>
        </w:rPr>
        <w:t>Eur J Cancer</w:t>
      </w:r>
      <w:r w:rsidRPr="00B605E7">
        <w:rPr>
          <w:rFonts w:eastAsia="等线"/>
          <w:kern w:val="2"/>
          <w:lang w:val="en-US" w:eastAsia="zh-CN"/>
        </w:rPr>
        <w:t xml:space="preserve"> 2005; </w:t>
      </w:r>
      <w:r w:rsidRPr="00B605E7">
        <w:rPr>
          <w:rFonts w:eastAsia="等线"/>
          <w:b/>
          <w:kern w:val="2"/>
          <w:lang w:val="en-US" w:eastAsia="zh-CN"/>
        </w:rPr>
        <w:t>41</w:t>
      </w:r>
      <w:r w:rsidRPr="00B605E7">
        <w:rPr>
          <w:rFonts w:eastAsia="等线"/>
          <w:kern w:val="2"/>
          <w:lang w:val="en-US" w:eastAsia="zh-CN"/>
        </w:rPr>
        <w:t>: 2645-2654 [PMID: 16239109 DOI: 10.1016/j.ejca.2005.07.017]</w:t>
      </w:r>
    </w:p>
    <w:p w14:paraId="61FC36B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43 </w:t>
      </w:r>
      <w:r w:rsidRPr="00B605E7">
        <w:rPr>
          <w:rFonts w:eastAsia="等线"/>
          <w:b/>
          <w:kern w:val="2"/>
          <w:lang w:val="en-US" w:eastAsia="zh-CN"/>
        </w:rPr>
        <w:t>Jass JR</w:t>
      </w:r>
      <w:r w:rsidRPr="00B605E7">
        <w:rPr>
          <w:rFonts w:eastAsia="等线"/>
          <w:kern w:val="2"/>
          <w:lang w:val="en-US" w:eastAsia="zh-CN"/>
        </w:rPr>
        <w:t xml:space="preserve">, Love SB, Northover JM. A new prognostic classification of rectal cancer. </w:t>
      </w:r>
      <w:r w:rsidRPr="00B605E7">
        <w:rPr>
          <w:rFonts w:eastAsia="等线"/>
          <w:i/>
          <w:kern w:val="2"/>
          <w:lang w:val="en-US" w:eastAsia="zh-CN"/>
        </w:rPr>
        <w:t>Lancet</w:t>
      </w:r>
      <w:r w:rsidRPr="00B605E7">
        <w:rPr>
          <w:rFonts w:eastAsia="等线"/>
          <w:kern w:val="2"/>
          <w:lang w:val="en-US" w:eastAsia="zh-CN"/>
        </w:rPr>
        <w:t xml:space="preserve"> 1987; </w:t>
      </w:r>
      <w:r w:rsidRPr="00B605E7">
        <w:rPr>
          <w:rFonts w:eastAsia="等线"/>
          <w:b/>
          <w:kern w:val="2"/>
          <w:lang w:val="en-US" w:eastAsia="zh-CN"/>
        </w:rPr>
        <w:t>1</w:t>
      </w:r>
      <w:r w:rsidRPr="00B605E7">
        <w:rPr>
          <w:rFonts w:eastAsia="等线"/>
          <w:kern w:val="2"/>
          <w:lang w:val="en-US" w:eastAsia="zh-CN"/>
        </w:rPr>
        <w:t>: 1303-1306 [PMID: 2884421]</w:t>
      </w:r>
    </w:p>
    <w:p w14:paraId="23CB9D97"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44 </w:t>
      </w:r>
      <w:r w:rsidRPr="00B605E7">
        <w:rPr>
          <w:rFonts w:eastAsia="等线"/>
          <w:b/>
          <w:kern w:val="2"/>
          <w:lang w:val="en-US" w:eastAsia="zh-CN"/>
        </w:rPr>
        <w:t>Väyrynen JP</w:t>
      </w:r>
      <w:r w:rsidRPr="00B605E7">
        <w:rPr>
          <w:rFonts w:eastAsia="等线"/>
          <w:kern w:val="2"/>
          <w:lang w:val="en-US" w:eastAsia="zh-CN"/>
        </w:rPr>
        <w:t xml:space="preserve">, Sajanti SA, Klintrup K, Mäkelä J, Herzig KH, Karttunen TJ, Tuomisto A, Mäkinen MJ. Characteristics and significance of colorectal cancer associated lymphoid reaction. </w:t>
      </w:r>
      <w:r w:rsidRPr="00B605E7">
        <w:rPr>
          <w:rFonts w:eastAsia="等线"/>
          <w:i/>
          <w:kern w:val="2"/>
          <w:lang w:val="en-US" w:eastAsia="zh-CN"/>
        </w:rPr>
        <w:t>Int J Cancer</w:t>
      </w:r>
      <w:r w:rsidRPr="00B605E7">
        <w:rPr>
          <w:rFonts w:eastAsia="等线"/>
          <w:kern w:val="2"/>
          <w:lang w:val="en-US" w:eastAsia="zh-CN"/>
        </w:rPr>
        <w:t xml:space="preserve"> 2014; </w:t>
      </w:r>
      <w:r w:rsidRPr="00B605E7">
        <w:rPr>
          <w:rFonts w:eastAsia="等线"/>
          <w:b/>
          <w:kern w:val="2"/>
          <w:lang w:val="en-US" w:eastAsia="zh-CN"/>
        </w:rPr>
        <w:t>134</w:t>
      </w:r>
      <w:r w:rsidRPr="00B605E7">
        <w:rPr>
          <w:rFonts w:eastAsia="等线"/>
          <w:kern w:val="2"/>
          <w:lang w:val="en-US" w:eastAsia="zh-CN"/>
        </w:rPr>
        <w:t>: 2126-2135 [PMID: 24154855 DOI: 10.1002/ijc.28533]</w:t>
      </w:r>
    </w:p>
    <w:p w14:paraId="5569698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45 </w:t>
      </w:r>
      <w:r w:rsidRPr="00B605E7">
        <w:rPr>
          <w:rFonts w:eastAsia="等线"/>
          <w:b/>
          <w:kern w:val="2"/>
          <w:lang w:val="en-US" w:eastAsia="zh-CN"/>
        </w:rPr>
        <w:t>Ogino S</w:t>
      </w:r>
      <w:r w:rsidRPr="00B605E7">
        <w:rPr>
          <w:rFonts w:eastAsia="等线"/>
          <w:kern w:val="2"/>
          <w:lang w:val="en-US" w:eastAsia="zh-CN"/>
        </w:rPr>
        <w:t xml:space="preserve">, Nosho K, Irahara N, Meyerhardt JA, Baba Y, Shima K, Glickman JN, Ferrone CR, Mino-Kenudson M, Tanaka N, Dranoff G, Giovannucci EL, Fuchs CS. Lymphocytic reaction to colorectal cancer is associated with longer survival, independent of lymph node count, microsatellite instability, and CpG island methylator phenotype. </w:t>
      </w:r>
      <w:r w:rsidRPr="00B605E7">
        <w:rPr>
          <w:rFonts w:eastAsia="等线"/>
          <w:i/>
          <w:kern w:val="2"/>
          <w:lang w:val="en-US" w:eastAsia="zh-CN"/>
        </w:rPr>
        <w:t>Clin Cancer Res</w:t>
      </w:r>
      <w:r w:rsidRPr="00B605E7">
        <w:rPr>
          <w:rFonts w:eastAsia="等线"/>
          <w:kern w:val="2"/>
          <w:lang w:val="en-US" w:eastAsia="zh-CN"/>
        </w:rPr>
        <w:t xml:space="preserve"> 2009; </w:t>
      </w:r>
      <w:r w:rsidRPr="00B605E7">
        <w:rPr>
          <w:rFonts w:eastAsia="等线"/>
          <w:b/>
          <w:kern w:val="2"/>
          <w:lang w:val="en-US" w:eastAsia="zh-CN"/>
        </w:rPr>
        <w:t>15</w:t>
      </w:r>
      <w:r w:rsidRPr="00B605E7">
        <w:rPr>
          <w:rFonts w:eastAsia="等线"/>
          <w:kern w:val="2"/>
          <w:lang w:val="en-US" w:eastAsia="zh-CN"/>
        </w:rPr>
        <w:t>: 6412-6420 [PMID: 19825961 DOI: 10.1158/1078-0432.CCR-09-1438]</w:t>
      </w:r>
    </w:p>
    <w:p w14:paraId="4802E27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46 </w:t>
      </w:r>
      <w:r w:rsidRPr="00B605E7">
        <w:rPr>
          <w:rFonts w:eastAsia="等线"/>
          <w:b/>
          <w:kern w:val="2"/>
          <w:lang w:val="en-US" w:eastAsia="zh-CN"/>
        </w:rPr>
        <w:t>Väyrynen JP</w:t>
      </w:r>
      <w:r w:rsidRPr="00B605E7">
        <w:rPr>
          <w:rFonts w:eastAsia="等线"/>
          <w:kern w:val="2"/>
          <w:lang w:val="en-US" w:eastAsia="zh-CN"/>
        </w:rPr>
        <w:t xml:space="preserve">, Vornanen JO, Sajanti S, Böhm JP, Tuomisto A, Mäkinen MJ. An improved image analysis method for cell counting lends credibility to the prognostic significance of T cells in colorectal cancer. </w:t>
      </w:r>
      <w:r w:rsidRPr="00B605E7">
        <w:rPr>
          <w:rFonts w:eastAsia="等线"/>
          <w:i/>
          <w:kern w:val="2"/>
          <w:lang w:val="en-US" w:eastAsia="zh-CN"/>
        </w:rPr>
        <w:t>Virchows Arch</w:t>
      </w:r>
      <w:r w:rsidRPr="00B605E7">
        <w:rPr>
          <w:rFonts w:eastAsia="等线"/>
          <w:kern w:val="2"/>
          <w:lang w:val="en-US" w:eastAsia="zh-CN"/>
        </w:rPr>
        <w:t xml:space="preserve"> 2012; </w:t>
      </w:r>
      <w:r w:rsidRPr="00B605E7">
        <w:rPr>
          <w:rFonts w:eastAsia="等线"/>
          <w:b/>
          <w:kern w:val="2"/>
          <w:lang w:val="en-US" w:eastAsia="zh-CN"/>
        </w:rPr>
        <w:t>460</w:t>
      </w:r>
      <w:r w:rsidRPr="00B605E7">
        <w:rPr>
          <w:rFonts w:eastAsia="等线"/>
          <w:kern w:val="2"/>
          <w:lang w:val="en-US" w:eastAsia="zh-CN"/>
        </w:rPr>
        <w:t>: 455-465 [PMID: 22527018 DOI: 10.1007/s00428-012-1232-0]</w:t>
      </w:r>
    </w:p>
    <w:p w14:paraId="31B701C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47 </w:t>
      </w:r>
      <w:r w:rsidRPr="00B605E7">
        <w:rPr>
          <w:rFonts w:eastAsia="等线"/>
          <w:b/>
          <w:kern w:val="2"/>
          <w:lang w:val="en-US" w:eastAsia="zh-CN"/>
        </w:rPr>
        <w:t>Wirta EV</w:t>
      </w:r>
      <w:r w:rsidRPr="00B605E7">
        <w:rPr>
          <w:rFonts w:eastAsia="等线"/>
          <w:kern w:val="2"/>
          <w:lang w:val="en-US" w:eastAsia="zh-CN"/>
        </w:rPr>
        <w:t xml:space="preserve">, Seppälä T, Friman M, Väyrynen J, Ahtiainen M, Kautiainen H, Kuopio T, Kellokumpu I, Mecklin JP, Böhm J. Immunoscore in mismatch repair-proficient and -deficient colon cancer. </w:t>
      </w:r>
      <w:r w:rsidRPr="00B605E7">
        <w:rPr>
          <w:rFonts w:eastAsia="等线"/>
          <w:i/>
          <w:kern w:val="2"/>
          <w:lang w:val="en-US" w:eastAsia="zh-CN"/>
        </w:rPr>
        <w:t>J Pathol Clin Res</w:t>
      </w:r>
      <w:r w:rsidRPr="00B605E7">
        <w:rPr>
          <w:rFonts w:eastAsia="等线"/>
          <w:kern w:val="2"/>
          <w:lang w:val="en-US" w:eastAsia="zh-CN"/>
        </w:rPr>
        <w:t xml:space="preserve"> 2017; </w:t>
      </w:r>
      <w:r w:rsidRPr="00B605E7">
        <w:rPr>
          <w:rFonts w:eastAsia="等线"/>
          <w:b/>
          <w:kern w:val="2"/>
          <w:lang w:val="en-US" w:eastAsia="zh-CN"/>
        </w:rPr>
        <w:t>3</w:t>
      </w:r>
      <w:r w:rsidRPr="00B605E7">
        <w:rPr>
          <w:rFonts w:eastAsia="等线"/>
          <w:kern w:val="2"/>
          <w:lang w:val="en-US" w:eastAsia="zh-CN"/>
        </w:rPr>
        <w:t>: 203-213 [PMID: 28770104 DOI: 10.1002/cjp2.71]</w:t>
      </w:r>
    </w:p>
    <w:p w14:paraId="54CC874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48 </w:t>
      </w:r>
      <w:r w:rsidRPr="00B605E7">
        <w:rPr>
          <w:rFonts w:eastAsia="等线"/>
          <w:b/>
          <w:kern w:val="2"/>
          <w:lang w:val="en-US" w:eastAsia="zh-CN"/>
        </w:rPr>
        <w:t>Pagès F</w:t>
      </w:r>
      <w:r w:rsidRPr="00B605E7">
        <w:rPr>
          <w:rFonts w:eastAsia="等线"/>
          <w:kern w:val="2"/>
          <w:lang w:val="en-US" w:eastAsia="zh-CN"/>
        </w:rPr>
        <w:t xml:space="preserve">, Mlecnik B, Marliot F, Bindea G, Ou FS, Bifulco C, Lugli A, Zlobec I, Rau TT, Berger MD, Nagtegaal ID, Vink-Börger E, Hartmann A, Geppert C, Kolwelter J, Merkel S, </w:t>
      </w:r>
      <w:r w:rsidRPr="00B605E7">
        <w:rPr>
          <w:rFonts w:eastAsia="等线"/>
          <w:kern w:val="2"/>
          <w:lang w:val="en-US" w:eastAsia="zh-CN"/>
        </w:rPr>
        <w:lastRenderedPageBreak/>
        <w:t>Grützmann R, Van den Eynde M, Jouret-Mourin A, Kartheuser A, Léonard D, Remue C, Wang JY, Bavi P, Roehrl MHA, Ohashi PS, Nguyen LT, Han S, MacGregor HL, Hafezi-Bakhtiari S, Wouters BG, Masucci GV, Andersson EK, Zavadova E, Vocka M, Spacek J, Petruzelka L, Konopasek B, Dundr P, Skalova H, Nemejcova K, Botti G, Tatangelo F, Delrio P, Ciliberto G, Maio M, Laghi L, Grizzi F, Fredriksen T, Buttard B, Angelova M, Vasaturo A, Maby P, Church SE, Angell HK, Lafontaine L, Bruni D, El Sissy C, Haicheur N, Kirilovsky A, Berger A, Lagorce C, Meyers JP, Paustian C, Feng Z, Ballesteros-Merino C, Dijkstra J, van de Water C, van Lent-van Vliet S, Knijn N, Mu</w:t>
      </w:r>
      <w:r w:rsidRPr="00B605E7">
        <w:rPr>
          <w:rFonts w:ascii="Cambria" w:eastAsia="等线" w:hAnsi="Cambria" w:cs="Cambria"/>
          <w:kern w:val="2"/>
          <w:lang w:val="en-US" w:eastAsia="zh-CN"/>
        </w:rPr>
        <w:t>ș</w:t>
      </w:r>
      <w:r w:rsidRPr="00B605E7">
        <w:rPr>
          <w:rFonts w:eastAsia="等线"/>
          <w:kern w:val="2"/>
          <w:lang w:val="en-US" w:eastAsia="zh-CN"/>
        </w:rPr>
        <w:t>in</w:t>
      </w:r>
      <w:r w:rsidRPr="00B605E7">
        <w:rPr>
          <w:rFonts w:eastAsia="等线" w:cs="Book Antiqua"/>
          <w:kern w:val="2"/>
          <w:lang w:val="en-US" w:eastAsia="zh-CN"/>
        </w:rPr>
        <w:t>ă</w:t>
      </w:r>
      <w:r w:rsidRPr="00B605E7">
        <w:rPr>
          <w:rFonts w:eastAsia="等线"/>
          <w:kern w:val="2"/>
          <w:lang w:val="en-US" w:eastAsia="zh-CN"/>
        </w:rPr>
        <w:t xml:space="preserve"> AM, Scripcariu DV, Popivanova B, Xu M, Fujita T, Hazama S, Suzuki N, Nagano H, Okuno K, Torigoe T, Sato N, Furuhata T, Takemasa I, Itoh K, Patel PS, Vora HH, Shah B, Patel JB, Rajvik KN, Pandya SJ, Shukla SN, Wang Y, Zhang G, Kawakami Y, Marincola FM, Ascierto PA, Sargent DJ, Fox BA, Galon J. International validation of the consensus Immunoscore for the classification of colon cancer: a prognostic and accuracy study. </w:t>
      </w:r>
      <w:r w:rsidRPr="00B605E7">
        <w:rPr>
          <w:rFonts w:eastAsia="等线"/>
          <w:i/>
          <w:kern w:val="2"/>
          <w:lang w:val="en-US" w:eastAsia="zh-CN"/>
        </w:rPr>
        <w:t>Lancet</w:t>
      </w:r>
      <w:r w:rsidRPr="00B605E7">
        <w:rPr>
          <w:rFonts w:eastAsia="等线"/>
          <w:kern w:val="2"/>
          <w:lang w:val="en-US" w:eastAsia="zh-CN"/>
        </w:rPr>
        <w:t xml:space="preserve"> 2018; </w:t>
      </w:r>
      <w:r w:rsidRPr="00B605E7">
        <w:rPr>
          <w:rFonts w:eastAsia="等线"/>
          <w:b/>
          <w:kern w:val="2"/>
          <w:lang w:val="en-US" w:eastAsia="zh-CN"/>
        </w:rPr>
        <w:t>391</w:t>
      </w:r>
      <w:r w:rsidRPr="00B605E7">
        <w:rPr>
          <w:rFonts w:eastAsia="等线"/>
          <w:kern w:val="2"/>
          <w:lang w:val="en-US" w:eastAsia="zh-CN"/>
        </w:rPr>
        <w:t>: 2128-2139 [PMID: 29754777 DOI: 10.1016/S0140-6736(18)30789-X]</w:t>
      </w:r>
    </w:p>
    <w:p w14:paraId="456FD53D"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49 </w:t>
      </w:r>
      <w:r w:rsidRPr="00B605E7">
        <w:rPr>
          <w:rFonts w:eastAsia="等线"/>
          <w:b/>
          <w:kern w:val="2"/>
          <w:lang w:val="en-US" w:eastAsia="zh-CN"/>
        </w:rPr>
        <w:t>Pagès F</w:t>
      </w:r>
      <w:r w:rsidRPr="00B605E7">
        <w:rPr>
          <w:rFonts w:eastAsia="等线"/>
          <w:kern w:val="2"/>
          <w:lang w:val="en-US" w:eastAsia="zh-CN"/>
        </w:rPr>
        <w:t xml:space="preserve">, Berger A, Camus M, Sanchez-Cabo F, Costes A, Molidor R, Mlecnik B, Kirilovsky A, Nilsson M, Damotte D, Meatchi T, Bruneval P, Cugnenc PH, Trajanoski Z, Fridman WH, Galon J. Effector memory T cells, early metastasis, and survival in colorectal cancer. </w:t>
      </w:r>
      <w:r w:rsidRPr="00B605E7">
        <w:rPr>
          <w:rFonts w:eastAsia="等线"/>
          <w:i/>
          <w:kern w:val="2"/>
          <w:lang w:val="en-US" w:eastAsia="zh-CN"/>
        </w:rPr>
        <w:t>N Engl J Med</w:t>
      </w:r>
      <w:r w:rsidRPr="00B605E7">
        <w:rPr>
          <w:rFonts w:eastAsia="等线"/>
          <w:kern w:val="2"/>
          <w:lang w:val="en-US" w:eastAsia="zh-CN"/>
        </w:rPr>
        <w:t xml:space="preserve"> 2005; </w:t>
      </w:r>
      <w:r w:rsidRPr="00B605E7">
        <w:rPr>
          <w:rFonts w:eastAsia="等线"/>
          <w:b/>
          <w:kern w:val="2"/>
          <w:lang w:val="en-US" w:eastAsia="zh-CN"/>
        </w:rPr>
        <w:t>353</w:t>
      </w:r>
      <w:r w:rsidRPr="00B605E7">
        <w:rPr>
          <w:rFonts w:eastAsia="等线"/>
          <w:kern w:val="2"/>
          <w:lang w:val="en-US" w:eastAsia="zh-CN"/>
        </w:rPr>
        <w:t>: 2654-2666 [PMID: 16371631 DOI: 10.1056/NEJMoa051424]</w:t>
      </w:r>
    </w:p>
    <w:p w14:paraId="6E54627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50 </w:t>
      </w:r>
      <w:r w:rsidRPr="00B605E7">
        <w:rPr>
          <w:rFonts w:eastAsia="等线"/>
          <w:b/>
          <w:kern w:val="2"/>
          <w:lang w:val="en-US" w:eastAsia="zh-CN"/>
        </w:rPr>
        <w:t>Forssell J</w:t>
      </w:r>
      <w:r w:rsidRPr="00B605E7">
        <w:rPr>
          <w:rFonts w:eastAsia="等线"/>
          <w:kern w:val="2"/>
          <w:lang w:val="en-US" w:eastAsia="zh-CN"/>
        </w:rPr>
        <w:t xml:space="preserve">, Oberg A, Henriksson ML, Stenling R, Jung A, Palmqvist R. High macrophage infiltration along the tumor front correlates with improved survival in colon cancer. </w:t>
      </w:r>
      <w:r w:rsidRPr="00B605E7">
        <w:rPr>
          <w:rFonts w:eastAsia="等线"/>
          <w:i/>
          <w:kern w:val="2"/>
          <w:lang w:val="en-US" w:eastAsia="zh-CN"/>
        </w:rPr>
        <w:t>Clin Cancer Res</w:t>
      </w:r>
      <w:r w:rsidRPr="00B605E7">
        <w:rPr>
          <w:rFonts w:eastAsia="等线"/>
          <w:kern w:val="2"/>
          <w:lang w:val="en-US" w:eastAsia="zh-CN"/>
        </w:rPr>
        <w:t xml:space="preserve"> 2007; </w:t>
      </w:r>
      <w:r w:rsidRPr="00B605E7">
        <w:rPr>
          <w:rFonts w:eastAsia="等线"/>
          <w:b/>
          <w:kern w:val="2"/>
          <w:lang w:val="en-US" w:eastAsia="zh-CN"/>
        </w:rPr>
        <w:t>13</w:t>
      </w:r>
      <w:r w:rsidRPr="00B605E7">
        <w:rPr>
          <w:rFonts w:eastAsia="等线"/>
          <w:kern w:val="2"/>
          <w:lang w:val="en-US" w:eastAsia="zh-CN"/>
        </w:rPr>
        <w:t>: 1472-1479 [PMID: 17332291 DOI: 10.1158/1078-0432.CCR-06-2073]</w:t>
      </w:r>
    </w:p>
    <w:p w14:paraId="36518EB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51 </w:t>
      </w:r>
      <w:r w:rsidRPr="00B605E7">
        <w:rPr>
          <w:rFonts w:eastAsia="等线"/>
          <w:b/>
          <w:kern w:val="2"/>
          <w:lang w:val="en-US" w:eastAsia="zh-CN"/>
        </w:rPr>
        <w:t>Dunn GP</w:t>
      </w:r>
      <w:r w:rsidRPr="00B605E7">
        <w:rPr>
          <w:rFonts w:eastAsia="等线"/>
          <w:kern w:val="2"/>
          <w:lang w:val="en-US" w:eastAsia="zh-CN"/>
        </w:rPr>
        <w:t xml:space="preserve">, Old LJ, Schreiber RD. The three Es of cancer immunoediting. </w:t>
      </w:r>
      <w:r w:rsidRPr="00B605E7">
        <w:rPr>
          <w:rFonts w:eastAsia="等线"/>
          <w:i/>
          <w:kern w:val="2"/>
          <w:lang w:val="en-US" w:eastAsia="zh-CN"/>
        </w:rPr>
        <w:t>Annu Rev Immunol</w:t>
      </w:r>
      <w:r w:rsidRPr="00B605E7">
        <w:rPr>
          <w:rFonts w:eastAsia="等线"/>
          <w:kern w:val="2"/>
          <w:lang w:val="en-US" w:eastAsia="zh-CN"/>
        </w:rPr>
        <w:t xml:space="preserve"> 2004; </w:t>
      </w:r>
      <w:r w:rsidRPr="00B605E7">
        <w:rPr>
          <w:rFonts w:eastAsia="等线"/>
          <w:b/>
          <w:kern w:val="2"/>
          <w:lang w:val="en-US" w:eastAsia="zh-CN"/>
        </w:rPr>
        <w:t>22</w:t>
      </w:r>
      <w:r w:rsidRPr="00B605E7">
        <w:rPr>
          <w:rFonts w:eastAsia="等线"/>
          <w:kern w:val="2"/>
          <w:lang w:val="en-US" w:eastAsia="zh-CN"/>
        </w:rPr>
        <w:t>: 329-360 [PMID: 15032581 DOI: 10.1146/annurev.immunol.22.012703.104803]</w:t>
      </w:r>
    </w:p>
    <w:p w14:paraId="71DD2AD7"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52 </w:t>
      </w:r>
      <w:r w:rsidRPr="00B605E7">
        <w:rPr>
          <w:rFonts w:eastAsia="等线"/>
          <w:b/>
          <w:kern w:val="2"/>
          <w:lang w:val="en-US" w:eastAsia="zh-CN"/>
        </w:rPr>
        <w:t>Tosolini M</w:t>
      </w:r>
      <w:r w:rsidRPr="00B605E7">
        <w:rPr>
          <w:rFonts w:eastAsia="等线"/>
          <w:kern w:val="2"/>
          <w:lang w:val="en-US" w:eastAsia="zh-CN"/>
        </w:rPr>
        <w:t xml:space="preserve">, Kirilovsky A, Mlecnik B, Fredriksen T, Mauger S, Bindea G, Berger A, Bruneval P, Fridman WH, Pagès F, Galon J. Clinical impact of different classes of infiltrating T cytotoxic and helper cells (Th1, th2, treg, th17) in patients with colorectal cancer. </w:t>
      </w:r>
      <w:r w:rsidRPr="00B605E7">
        <w:rPr>
          <w:rFonts w:eastAsia="等线"/>
          <w:i/>
          <w:kern w:val="2"/>
          <w:lang w:val="en-US" w:eastAsia="zh-CN"/>
        </w:rPr>
        <w:t>Cancer Res</w:t>
      </w:r>
      <w:r w:rsidRPr="00B605E7">
        <w:rPr>
          <w:rFonts w:eastAsia="等线"/>
          <w:kern w:val="2"/>
          <w:lang w:val="en-US" w:eastAsia="zh-CN"/>
        </w:rPr>
        <w:t xml:space="preserve"> 2011; </w:t>
      </w:r>
      <w:r w:rsidRPr="00B605E7">
        <w:rPr>
          <w:rFonts w:eastAsia="等线"/>
          <w:b/>
          <w:kern w:val="2"/>
          <w:lang w:val="en-US" w:eastAsia="zh-CN"/>
        </w:rPr>
        <w:t>71</w:t>
      </w:r>
      <w:r w:rsidRPr="00B605E7">
        <w:rPr>
          <w:rFonts w:eastAsia="等线"/>
          <w:kern w:val="2"/>
          <w:lang w:val="en-US" w:eastAsia="zh-CN"/>
        </w:rPr>
        <w:t>: 1263-1271 [PMID: 21303976 DOI: 10.1158/0008-5472.CAN-10-2907]</w:t>
      </w:r>
    </w:p>
    <w:p w14:paraId="4CC17FED"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53 </w:t>
      </w:r>
      <w:r w:rsidRPr="00B605E7">
        <w:rPr>
          <w:rFonts w:eastAsia="等线"/>
          <w:b/>
          <w:kern w:val="2"/>
          <w:lang w:val="en-US" w:eastAsia="zh-CN"/>
        </w:rPr>
        <w:t>Turner N</w:t>
      </w:r>
      <w:r w:rsidRPr="00B605E7">
        <w:rPr>
          <w:rFonts w:eastAsia="等线"/>
          <w:kern w:val="2"/>
          <w:lang w:val="en-US" w:eastAsia="zh-CN"/>
        </w:rPr>
        <w:t xml:space="preserve">, Wong HL, Templeton A, Tripathy S, Whiti Rogers T, Croxford M, Jones I, Sinnathamby M, Desai J, Tie J, Bae S, Christie M, Gibbs P, Tran B. Analysis of local chronic inflammatory cell infiltrate combined with systemic inflammation improves </w:t>
      </w:r>
      <w:r w:rsidRPr="00B605E7">
        <w:rPr>
          <w:rFonts w:eastAsia="等线"/>
          <w:kern w:val="2"/>
          <w:lang w:val="en-US" w:eastAsia="zh-CN"/>
        </w:rPr>
        <w:lastRenderedPageBreak/>
        <w:t xml:space="preserve">prognostication in stage II colon cancer independent of standard clinicopathologic criteria. </w:t>
      </w:r>
      <w:r w:rsidRPr="00B605E7">
        <w:rPr>
          <w:rFonts w:eastAsia="等线"/>
          <w:i/>
          <w:kern w:val="2"/>
          <w:lang w:val="en-US" w:eastAsia="zh-CN"/>
        </w:rPr>
        <w:t>Int J Cancer</w:t>
      </w:r>
      <w:r w:rsidRPr="00B605E7">
        <w:rPr>
          <w:rFonts w:eastAsia="等线"/>
          <w:kern w:val="2"/>
          <w:lang w:val="en-US" w:eastAsia="zh-CN"/>
        </w:rPr>
        <w:t xml:space="preserve"> 2016; </w:t>
      </w:r>
      <w:r w:rsidRPr="00B605E7">
        <w:rPr>
          <w:rFonts w:eastAsia="等线"/>
          <w:b/>
          <w:kern w:val="2"/>
          <w:lang w:val="en-US" w:eastAsia="zh-CN"/>
        </w:rPr>
        <w:t>138</w:t>
      </w:r>
      <w:r w:rsidRPr="00B605E7">
        <w:rPr>
          <w:rFonts w:eastAsia="等线"/>
          <w:kern w:val="2"/>
          <w:lang w:val="en-US" w:eastAsia="zh-CN"/>
        </w:rPr>
        <w:t>: 671-678 [PMID: 26270488 DOI: 10.1002/ijc.29805]</w:t>
      </w:r>
    </w:p>
    <w:p w14:paraId="365590D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54 </w:t>
      </w:r>
      <w:r w:rsidRPr="00B605E7">
        <w:rPr>
          <w:rFonts w:eastAsia="等线"/>
          <w:b/>
          <w:kern w:val="2"/>
          <w:lang w:val="en-US" w:eastAsia="zh-CN"/>
        </w:rPr>
        <w:t>Murray PJ</w:t>
      </w:r>
      <w:r w:rsidRPr="00B605E7">
        <w:rPr>
          <w:rFonts w:eastAsia="等线"/>
          <w:kern w:val="2"/>
          <w:lang w:val="en-US" w:eastAsia="zh-CN"/>
        </w:rPr>
        <w:t xml:space="preserve">, Allen JE, Biswas SK, Fisher EA, Gilroy DW, Goerdt S, Gordon S, Hamilton JA, Ivashkiv LB, Lawrence T, Locati M, Mantovani A, Martinez FO, Mege JL, Mosser DM, Natoli G, Saeij JP, Schultze JL, Shirey KA, Sica A, Suttles J, Udalova I, van Ginderachter JA, Vogel SN, Wynn TA. Macrophage activation and polarization: nomenclature and experimental guidelines. </w:t>
      </w:r>
      <w:r w:rsidRPr="00B605E7">
        <w:rPr>
          <w:rFonts w:eastAsia="等线"/>
          <w:i/>
          <w:kern w:val="2"/>
          <w:lang w:val="en-US" w:eastAsia="zh-CN"/>
        </w:rPr>
        <w:t>Immunity</w:t>
      </w:r>
      <w:r w:rsidRPr="00B605E7">
        <w:rPr>
          <w:rFonts w:eastAsia="等线"/>
          <w:kern w:val="2"/>
          <w:lang w:val="en-US" w:eastAsia="zh-CN"/>
        </w:rPr>
        <w:t xml:space="preserve"> 2014; </w:t>
      </w:r>
      <w:r w:rsidRPr="00B605E7">
        <w:rPr>
          <w:rFonts w:eastAsia="等线"/>
          <w:b/>
          <w:kern w:val="2"/>
          <w:lang w:val="en-US" w:eastAsia="zh-CN"/>
        </w:rPr>
        <w:t>41</w:t>
      </w:r>
      <w:r w:rsidRPr="00B605E7">
        <w:rPr>
          <w:rFonts w:eastAsia="等线"/>
          <w:kern w:val="2"/>
          <w:lang w:val="en-US" w:eastAsia="zh-CN"/>
        </w:rPr>
        <w:t>: 14-20 [PMID: 25035950 DOI: 10.1016/j.immuni.2014.06.008]</w:t>
      </w:r>
    </w:p>
    <w:p w14:paraId="0BA1AD7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55 </w:t>
      </w:r>
      <w:r w:rsidRPr="00B605E7">
        <w:rPr>
          <w:rFonts w:eastAsia="等线"/>
          <w:b/>
          <w:kern w:val="2"/>
          <w:lang w:val="en-US" w:eastAsia="zh-CN"/>
        </w:rPr>
        <w:t>Zhu J</w:t>
      </w:r>
      <w:r w:rsidRPr="00B605E7">
        <w:rPr>
          <w:rFonts w:eastAsia="等线"/>
          <w:kern w:val="2"/>
          <w:lang w:val="en-US" w:eastAsia="zh-CN"/>
        </w:rPr>
        <w:t xml:space="preserve">, Paul WE. Heterogeneity and plasticity of T helper cells. </w:t>
      </w:r>
      <w:r w:rsidRPr="00B605E7">
        <w:rPr>
          <w:rFonts w:eastAsia="等线"/>
          <w:i/>
          <w:kern w:val="2"/>
          <w:lang w:val="en-US" w:eastAsia="zh-CN"/>
        </w:rPr>
        <w:t>Cell Res</w:t>
      </w:r>
      <w:r w:rsidRPr="00B605E7">
        <w:rPr>
          <w:rFonts w:eastAsia="等线"/>
          <w:kern w:val="2"/>
          <w:lang w:val="en-US" w:eastAsia="zh-CN"/>
        </w:rPr>
        <w:t xml:space="preserve"> 2010; </w:t>
      </w:r>
      <w:r w:rsidRPr="00B605E7">
        <w:rPr>
          <w:rFonts w:eastAsia="等线"/>
          <w:b/>
          <w:kern w:val="2"/>
          <w:lang w:val="en-US" w:eastAsia="zh-CN"/>
        </w:rPr>
        <w:t>20</w:t>
      </w:r>
      <w:r w:rsidRPr="00B605E7">
        <w:rPr>
          <w:rFonts w:eastAsia="等线"/>
          <w:kern w:val="2"/>
          <w:lang w:val="en-US" w:eastAsia="zh-CN"/>
        </w:rPr>
        <w:t>: 4-12 [PMID: 20010916 DOI: 10.1038/cr.2009.138]</w:t>
      </w:r>
    </w:p>
    <w:p w14:paraId="5487AA2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56 </w:t>
      </w:r>
      <w:r w:rsidRPr="00B605E7">
        <w:rPr>
          <w:rFonts w:eastAsia="等线"/>
          <w:b/>
          <w:kern w:val="2"/>
          <w:lang w:val="en-US" w:eastAsia="zh-CN"/>
        </w:rPr>
        <w:t>Lund FE</w:t>
      </w:r>
      <w:r w:rsidRPr="00B605E7">
        <w:rPr>
          <w:rFonts w:eastAsia="等线"/>
          <w:kern w:val="2"/>
          <w:lang w:val="en-US" w:eastAsia="zh-CN"/>
        </w:rPr>
        <w:t xml:space="preserve">. Cytokine-producing B lymphocytes-key regulators of immunity. </w:t>
      </w:r>
      <w:r w:rsidRPr="00B605E7">
        <w:rPr>
          <w:rFonts w:eastAsia="等线"/>
          <w:i/>
          <w:kern w:val="2"/>
          <w:lang w:val="en-US" w:eastAsia="zh-CN"/>
        </w:rPr>
        <w:t>Curr Opin Immunol</w:t>
      </w:r>
      <w:r w:rsidRPr="00B605E7">
        <w:rPr>
          <w:rFonts w:eastAsia="等线"/>
          <w:kern w:val="2"/>
          <w:lang w:val="en-US" w:eastAsia="zh-CN"/>
        </w:rPr>
        <w:t xml:space="preserve"> 2008; </w:t>
      </w:r>
      <w:r w:rsidRPr="00B605E7">
        <w:rPr>
          <w:rFonts w:eastAsia="等线"/>
          <w:b/>
          <w:kern w:val="2"/>
          <w:lang w:val="en-US" w:eastAsia="zh-CN"/>
        </w:rPr>
        <w:t>20</w:t>
      </w:r>
      <w:r w:rsidRPr="00B605E7">
        <w:rPr>
          <w:rFonts w:eastAsia="等线"/>
          <w:kern w:val="2"/>
          <w:lang w:val="en-US" w:eastAsia="zh-CN"/>
        </w:rPr>
        <w:t>: 332-338 [PMID: 18417336 DOI: 10.1016/j.coi.2008.03.003]</w:t>
      </w:r>
    </w:p>
    <w:p w14:paraId="7396AB4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57 </w:t>
      </w:r>
      <w:r w:rsidRPr="00B605E7">
        <w:rPr>
          <w:rFonts w:eastAsia="等线"/>
          <w:b/>
          <w:bCs/>
          <w:kern w:val="2"/>
          <w:lang w:val="en-US" w:eastAsia="zh-CN"/>
        </w:rPr>
        <w:t>Bird L</w:t>
      </w:r>
      <w:r w:rsidRPr="00B605E7">
        <w:rPr>
          <w:rFonts w:eastAsia="等线"/>
          <w:kern w:val="2"/>
          <w:lang w:val="en-US" w:eastAsia="zh-CN"/>
        </w:rPr>
        <w:t xml:space="preserve">. Tumour immunology: Neutrophil plasticity. </w:t>
      </w:r>
      <w:r w:rsidRPr="00B605E7">
        <w:rPr>
          <w:rFonts w:eastAsia="等线"/>
          <w:i/>
          <w:iCs/>
          <w:kern w:val="2"/>
          <w:lang w:val="en-US" w:eastAsia="zh-CN"/>
        </w:rPr>
        <w:t>Nat Rev Immunol</w:t>
      </w:r>
      <w:r w:rsidRPr="00B605E7">
        <w:rPr>
          <w:rFonts w:eastAsia="等线"/>
          <w:kern w:val="2"/>
          <w:lang w:val="en-US" w:eastAsia="zh-CN"/>
        </w:rPr>
        <w:t xml:space="preserve"> 2009; </w:t>
      </w:r>
      <w:r w:rsidRPr="00B605E7">
        <w:rPr>
          <w:rFonts w:eastAsia="等线"/>
          <w:b/>
          <w:bCs/>
          <w:kern w:val="2"/>
          <w:lang w:val="en-US" w:eastAsia="zh-CN"/>
        </w:rPr>
        <w:t>9</w:t>
      </w:r>
      <w:r w:rsidRPr="00B605E7">
        <w:rPr>
          <w:rFonts w:eastAsia="等线"/>
          <w:kern w:val="2"/>
          <w:lang w:val="en-US" w:eastAsia="zh-CN"/>
        </w:rPr>
        <w:t>: 672 [DOI: 10.1038/nri2649]</w:t>
      </w:r>
    </w:p>
    <w:p w14:paraId="76357CD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58 </w:t>
      </w:r>
      <w:r w:rsidRPr="00B605E7">
        <w:rPr>
          <w:rFonts w:eastAsia="等线"/>
          <w:b/>
          <w:kern w:val="2"/>
          <w:lang w:val="en-US" w:eastAsia="zh-CN"/>
        </w:rPr>
        <w:t>Tecchio C</w:t>
      </w:r>
      <w:r w:rsidRPr="00B605E7">
        <w:rPr>
          <w:rFonts w:eastAsia="等线"/>
          <w:kern w:val="2"/>
          <w:lang w:val="en-US" w:eastAsia="zh-CN"/>
        </w:rPr>
        <w:t xml:space="preserve">, Micheletti A, Cassatella MA. Neutrophil-derived cytokines: facts beyond expression. </w:t>
      </w:r>
      <w:r w:rsidRPr="00B605E7">
        <w:rPr>
          <w:rFonts w:eastAsia="等线"/>
          <w:i/>
          <w:kern w:val="2"/>
          <w:lang w:val="en-US" w:eastAsia="zh-CN"/>
        </w:rPr>
        <w:t>Front Immunol</w:t>
      </w:r>
      <w:r w:rsidRPr="00B605E7">
        <w:rPr>
          <w:rFonts w:eastAsia="等线"/>
          <w:kern w:val="2"/>
          <w:lang w:val="en-US" w:eastAsia="zh-CN"/>
        </w:rPr>
        <w:t xml:space="preserve"> 2014; </w:t>
      </w:r>
      <w:r w:rsidRPr="00B605E7">
        <w:rPr>
          <w:rFonts w:eastAsia="等线"/>
          <w:b/>
          <w:kern w:val="2"/>
          <w:lang w:val="en-US" w:eastAsia="zh-CN"/>
        </w:rPr>
        <w:t>5</w:t>
      </w:r>
      <w:r w:rsidRPr="00B605E7">
        <w:rPr>
          <w:rFonts w:eastAsia="等线"/>
          <w:kern w:val="2"/>
          <w:lang w:val="en-US" w:eastAsia="zh-CN"/>
        </w:rPr>
        <w:t>: 508 [PMID: 25374568 DOI: 10.3389/fimmu.2014.00508]</w:t>
      </w:r>
    </w:p>
    <w:p w14:paraId="7D03FB6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59 </w:t>
      </w:r>
      <w:r w:rsidRPr="00B605E7">
        <w:rPr>
          <w:rFonts w:eastAsia="等线"/>
          <w:b/>
          <w:kern w:val="2"/>
          <w:lang w:val="en-US" w:eastAsia="zh-CN"/>
        </w:rPr>
        <w:t>Fridlender ZG</w:t>
      </w:r>
      <w:r w:rsidRPr="00B605E7">
        <w:rPr>
          <w:rFonts w:eastAsia="等线"/>
          <w:kern w:val="2"/>
          <w:lang w:val="en-US" w:eastAsia="zh-CN"/>
        </w:rPr>
        <w:t xml:space="preserve">, Sun J, Kim S, Kapoor V, Cheng G, Ling L, Worthen GS, Albelda SM. Polarization of tumor-associated neutrophil phenotype by TGF-beta: "N1" versus "N2" TAN. </w:t>
      </w:r>
      <w:r w:rsidRPr="00B605E7">
        <w:rPr>
          <w:rFonts w:eastAsia="等线"/>
          <w:i/>
          <w:kern w:val="2"/>
          <w:lang w:val="en-US" w:eastAsia="zh-CN"/>
        </w:rPr>
        <w:t>Cancer Cell</w:t>
      </w:r>
      <w:r w:rsidRPr="00B605E7">
        <w:rPr>
          <w:rFonts w:eastAsia="等线"/>
          <w:kern w:val="2"/>
          <w:lang w:val="en-US" w:eastAsia="zh-CN"/>
        </w:rPr>
        <w:t xml:space="preserve"> 2009; </w:t>
      </w:r>
      <w:r w:rsidRPr="00B605E7">
        <w:rPr>
          <w:rFonts w:eastAsia="等线"/>
          <w:b/>
          <w:kern w:val="2"/>
          <w:lang w:val="en-US" w:eastAsia="zh-CN"/>
        </w:rPr>
        <w:t>16</w:t>
      </w:r>
      <w:r w:rsidRPr="00B605E7">
        <w:rPr>
          <w:rFonts w:eastAsia="等线"/>
          <w:kern w:val="2"/>
          <w:lang w:val="en-US" w:eastAsia="zh-CN"/>
        </w:rPr>
        <w:t>: 183-194 [PMID: 19732719 DOI: 10.1016/j.ccr.2009.06.017]</w:t>
      </w:r>
    </w:p>
    <w:p w14:paraId="1CD1A06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60 </w:t>
      </w:r>
      <w:r w:rsidRPr="00B605E7">
        <w:rPr>
          <w:rFonts w:eastAsia="等线"/>
          <w:b/>
          <w:kern w:val="2"/>
          <w:lang w:val="en-US" w:eastAsia="zh-CN"/>
        </w:rPr>
        <w:t>Eruslanov EB</w:t>
      </w:r>
      <w:r w:rsidRPr="00B605E7">
        <w:rPr>
          <w:rFonts w:eastAsia="等线"/>
          <w:kern w:val="2"/>
          <w:lang w:val="en-US" w:eastAsia="zh-CN"/>
        </w:rPr>
        <w:t xml:space="preserve">, Singhal S, Albelda SM. Mouse versus Human Neutrophils in Cancer: A Major Knowledge Gap. </w:t>
      </w:r>
      <w:r w:rsidRPr="00B605E7">
        <w:rPr>
          <w:rFonts w:eastAsia="等线"/>
          <w:i/>
          <w:kern w:val="2"/>
          <w:lang w:val="en-US" w:eastAsia="zh-CN"/>
        </w:rPr>
        <w:t>Trends Cancer</w:t>
      </w:r>
      <w:r w:rsidRPr="00B605E7">
        <w:rPr>
          <w:rFonts w:eastAsia="等线"/>
          <w:kern w:val="2"/>
          <w:lang w:val="en-US" w:eastAsia="zh-CN"/>
        </w:rPr>
        <w:t xml:space="preserve"> 2017; </w:t>
      </w:r>
      <w:r w:rsidRPr="00B605E7">
        <w:rPr>
          <w:rFonts w:eastAsia="等线"/>
          <w:b/>
          <w:kern w:val="2"/>
          <w:lang w:val="en-US" w:eastAsia="zh-CN"/>
        </w:rPr>
        <w:t>3</w:t>
      </w:r>
      <w:r w:rsidRPr="00B605E7">
        <w:rPr>
          <w:rFonts w:eastAsia="等线"/>
          <w:kern w:val="2"/>
          <w:lang w:val="en-US" w:eastAsia="zh-CN"/>
        </w:rPr>
        <w:t>: 149-160 [PMID: 28718445 DOI: 10.1016/j.trecan.2016.12.006]</w:t>
      </w:r>
    </w:p>
    <w:p w14:paraId="31024EA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61 </w:t>
      </w:r>
      <w:r w:rsidRPr="00B605E7">
        <w:rPr>
          <w:rFonts w:eastAsia="等线"/>
          <w:b/>
          <w:kern w:val="2"/>
          <w:lang w:val="en-US" w:eastAsia="zh-CN"/>
        </w:rPr>
        <w:t>Tommelein J</w:t>
      </w:r>
      <w:r w:rsidRPr="00B605E7">
        <w:rPr>
          <w:rFonts w:eastAsia="等线"/>
          <w:kern w:val="2"/>
          <w:lang w:val="en-US" w:eastAsia="zh-CN"/>
        </w:rPr>
        <w:t xml:space="preserve">, De Vlieghere E, Verset L, Melsens E, Leenders J, Descamps B, Debucquoy A, Vanhove C, Pauwels P, Gespach CP, Vral A, De Boeck A, Haustermans K, de Tullio P, Ceelen W, Demetter P, Boterberg T, Bracke M, De Wever O. Radiotherapy-Activated Cancer-Associated Fibroblasts Promote Tumor Progression through Paracrine IGF1R Activation. </w:t>
      </w:r>
      <w:r w:rsidRPr="00B605E7">
        <w:rPr>
          <w:rFonts w:eastAsia="等线"/>
          <w:i/>
          <w:kern w:val="2"/>
          <w:lang w:val="en-US" w:eastAsia="zh-CN"/>
        </w:rPr>
        <w:t>Cancer Res</w:t>
      </w:r>
      <w:r w:rsidRPr="00B605E7">
        <w:rPr>
          <w:rFonts w:eastAsia="等线"/>
          <w:kern w:val="2"/>
          <w:lang w:val="en-US" w:eastAsia="zh-CN"/>
        </w:rPr>
        <w:t xml:space="preserve"> 2018; </w:t>
      </w:r>
      <w:r w:rsidRPr="00B605E7">
        <w:rPr>
          <w:rFonts w:eastAsia="等线"/>
          <w:b/>
          <w:kern w:val="2"/>
          <w:lang w:val="en-US" w:eastAsia="zh-CN"/>
        </w:rPr>
        <w:t>78</w:t>
      </w:r>
      <w:r w:rsidRPr="00B605E7">
        <w:rPr>
          <w:rFonts w:eastAsia="等线"/>
          <w:kern w:val="2"/>
          <w:lang w:val="en-US" w:eastAsia="zh-CN"/>
        </w:rPr>
        <w:t>: 659-670 [PMID: 29217764 DOI: 10.1158/0008-5472.CAN-17-0524]</w:t>
      </w:r>
    </w:p>
    <w:p w14:paraId="408F4277"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62 </w:t>
      </w:r>
      <w:r w:rsidRPr="00B605E7">
        <w:rPr>
          <w:rFonts w:eastAsia="等线"/>
          <w:b/>
          <w:kern w:val="2"/>
          <w:lang w:val="en-US" w:eastAsia="zh-CN"/>
        </w:rPr>
        <w:t>Huynh PT</w:t>
      </w:r>
      <w:r w:rsidRPr="00B605E7">
        <w:rPr>
          <w:rFonts w:eastAsia="等线"/>
          <w:kern w:val="2"/>
          <w:lang w:val="en-US" w:eastAsia="zh-CN"/>
        </w:rPr>
        <w:t xml:space="preserve">, Beswick EJ, Coronado YA, Johnson P, O'Connell MR, Watts T, Singh P, Qiu S, Morris K, Powell DW, Pinchuk IV. CD90(+) stromal cells are the major source of IL-6, which supports cancer stem-like cells and inflammation in colorectal cancer. </w:t>
      </w:r>
      <w:r w:rsidRPr="00B605E7">
        <w:rPr>
          <w:rFonts w:eastAsia="等线"/>
          <w:i/>
          <w:kern w:val="2"/>
          <w:lang w:val="en-US" w:eastAsia="zh-CN"/>
        </w:rPr>
        <w:t>Int J Cancer</w:t>
      </w:r>
      <w:r w:rsidRPr="00B605E7">
        <w:rPr>
          <w:rFonts w:eastAsia="等线"/>
          <w:kern w:val="2"/>
          <w:lang w:val="en-US" w:eastAsia="zh-CN"/>
        </w:rPr>
        <w:t xml:space="preserve"> </w:t>
      </w:r>
      <w:r w:rsidRPr="00B605E7">
        <w:rPr>
          <w:rFonts w:eastAsia="等线"/>
          <w:kern w:val="2"/>
          <w:lang w:val="en-US" w:eastAsia="zh-CN"/>
        </w:rPr>
        <w:lastRenderedPageBreak/>
        <w:t xml:space="preserve">2016; </w:t>
      </w:r>
      <w:r w:rsidRPr="00B605E7">
        <w:rPr>
          <w:rFonts w:eastAsia="等线"/>
          <w:b/>
          <w:kern w:val="2"/>
          <w:lang w:val="en-US" w:eastAsia="zh-CN"/>
        </w:rPr>
        <w:t>138</w:t>
      </w:r>
      <w:r w:rsidRPr="00B605E7">
        <w:rPr>
          <w:rFonts w:eastAsia="等线"/>
          <w:kern w:val="2"/>
          <w:lang w:val="en-US" w:eastAsia="zh-CN"/>
        </w:rPr>
        <w:t>: 1971-1981 [PMID: 26595254 DOI: 10.1002/ijc.29939]</w:t>
      </w:r>
    </w:p>
    <w:p w14:paraId="52F5B01D"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63 </w:t>
      </w:r>
      <w:r w:rsidRPr="00B605E7">
        <w:rPr>
          <w:rFonts w:eastAsia="等线"/>
          <w:b/>
          <w:kern w:val="2"/>
          <w:lang w:val="en-US" w:eastAsia="zh-CN"/>
        </w:rPr>
        <w:t>De Boeck A</w:t>
      </w:r>
      <w:r w:rsidRPr="00B605E7">
        <w:rPr>
          <w:rFonts w:eastAsia="等线"/>
          <w:kern w:val="2"/>
          <w:lang w:val="en-US" w:eastAsia="zh-CN"/>
        </w:rPr>
        <w:t xml:space="preserve">, Hendrix A, Maynard D, Van Bockstal M, Daniëls A, Pauwels P, Gespach C, Bracke M, De Wever O. Differential secretome analysis of cancer-associated fibroblasts and bone marrow-derived precursors to identify microenvironmental regulators of colon cancer progression. </w:t>
      </w:r>
      <w:r w:rsidRPr="00B605E7">
        <w:rPr>
          <w:rFonts w:eastAsia="等线"/>
          <w:i/>
          <w:kern w:val="2"/>
          <w:lang w:val="en-US" w:eastAsia="zh-CN"/>
        </w:rPr>
        <w:t>Proteomics</w:t>
      </w:r>
      <w:r w:rsidRPr="00B605E7">
        <w:rPr>
          <w:rFonts w:eastAsia="等线"/>
          <w:kern w:val="2"/>
          <w:lang w:val="en-US" w:eastAsia="zh-CN"/>
        </w:rPr>
        <w:t xml:space="preserve"> 2013; </w:t>
      </w:r>
      <w:r w:rsidRPr="00B605E7">
        <w:rPr>
          <w:rFonts w:eastAsia="等线"/>
          <w:b/>
          <w:kern w:val="2"/>
          <w:lang w:val="en-US" w:eastAsia="zh-CN"/>
        </w:rPr>
        <w:t>13</w:t>
      </w:r>
      <w:r w:rsidRPr="00B605E7">
        <w:rPr>
          <w:rFonts w:eastAsia="等线"/>
          <w:kern w:val="2"/>
          <w:lang w:val="en-US" w:eastAsia="zh-CN"/>
        </w:rPr>
        <w:t>: 379-388 [PMID: 23175172 DOI: 10.1002/pmic.201200179]</w:t>
      </w:r>
    </w:p>
    <w:p w14:paraId="36721D0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64 </w:t>
      </w:r>
      <w:r w:rsidRPr="00B605E7">
        <w:rPr>
          <w:rFonts w:eastAsia="等线"/>
          <w:b/>
          <w:kern w:val="2"/>
          <w:lang w:val="en-US" w:eastAsia="zh-CN"/>
        </w:rPr>
        <w:t>Van Lint P</w:t>
      </w:r>
      <w:r w:rsidRPr="00B605E7">
        <w:rPr>
          <w:rFonts w:eastAsia="等线"/>
          <w:kern w:val="2"/>
          <w:lang w:val="en-US" w:eastAsia="zh-CN"/>
        </w:rPr>
        <w:t xml:space="preserve">, Libert C. Matrix metalloproteinase-8: cleavage can be decisive. </w:t>
      </w:r>
      <w:r w:rsidRPr="00B605E7">
        <w:rPr>
          <w:rFonts w:eastAsia="等线"/>
          <w:i/>
          <w:kern w:val="2"/>
          <w:lang w:val="en-US" w:eastAsia="zh-CN"/>
        </w:rPr>
        <w:t>Cytokine Growth Factor Rev</w:t>
      </w:r>
      <w:r w:rsidRPr="00B605E7">
        <w:rPr>
          <w:rFonts w:eastAsia="等线"/>
          <w:kern w:val="2"/>
          <w:lang w:val="en-US" w:eastAsia="zh-CN"/>
        </w:rPr>
        <w:t xml:space="preserve"> 2006; </w:t>
      </w:r>
      <w:r w:rsidRPr="00B605E7">
        <w:rPr>
          <w:rFonts w:eastAsia="等线"/>
          <w:b/>
          <w:kern w:val="2"/>
          <w:lang w:val="en-US" w:eastAsia="zh-CN"/>
        </w:rPr>
        <w:t>17</w:t>
      </w:r>
      <w:r w:rsidRPr="00B605E7">
        <w:rPr>
          <w:rFonts w:eastAsia="等线"/>
          <w:kern w:val="2"/>
          <w:lang w:val="en-US" w:eastAsia="zh-CN"/>
        </w:rPr>
        <w:t>: 217-223 [PMID: 16820317 DOI: 10.1016/j.cytogfr.2006.04.001]</w:t>
      </w:r>
    </w:p>
    <w:p w14:paraId="52D177B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65 </w:t>
      </w:r>
      <w:r w:rsidRPr="00B605E7">
        <w:rPr>
          <w:rFonts w:eastAsia="等线"/>
          <w:b/>
          <w:kern w:val="2"/>
          <w:lang w:val="en-US" w:eastAsia="zh-CN"/>
        </w:rPr>
        <w:t>Cathcart J</w:t>
      </w:r>
      <w:r w:rsidRPr="00B605E7">
        <w:rPr>
          <w:rFonts w:eastAsia="等线"/>
          <w:kern w:val="2"/>
          <w:lang w:val="en-US" w:eastAsia="zh-CN"/>
        </w:rPr>
        <w:t xml:space="preserve">, Pulkoski-Gross A, Cao J. Targeting Matrix Metalloproteinases in Cancer: Bringing New Life to Old Ideas. </w:t>
      </w:r>
      <w:r w:rsidRPr="00B605E7">
        <w:rPr>
          <w:rFonts w:eastAsia="等线"/>
          <w:i/>
          <w:kern w:val="2"/>
          <w:lang w:val="en-US" w:eastAsia="zh-CN"/>
        </w:rPr>
        <w:t>Genes Dis</w:t>
      </w:r>
      <w:r w:rsidRPr="00B605E7">
        <w:rPr>
          <w:rFonts w:eastAsia="等线"/>
          <w:kern w:val="2"/>
          <w:lang w:val="en-US" w:eastAsia="zh-CN"/>
        </w:rPr>
        <w:t xml:space="preserve"> 2015; </w:t>
      </w:r>
      <w:r w:rsidRPr="00B605E7">
        <w:rPr>
          <w:rFonts w:eastAsia="等线"/>
          <w:b/>
          <w:kern w:val="2"/>
          <w:lang w:val="en-US" w:eastAsia="zh-CN"/>
        </w:rPr>
        <w:t>2</w:t>
      </w:r>
      <w:r w:rsidRPr="00B605E7">
        <w:rPr>
          <w:rFonts w:eastAsia="等线"/>
          <w:kern w:val="2"/>
          <w:lang w:val="en-US" w:eastAsia="zh-CN"/>
        </w:rPr>
        <w:t>: 26-34 [PMID: 26097889 DOI: 10.1016/j.gendis.2014.12.002]</w:t>
      </w:r>
    </w:p>
    <w:p w14:paraId="48EB0C0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66 </w:t>
      </w:r>
      <w:r w:rsidRPr="00B605E7">
        <w:rPr>
          <w:rFonts w:eastAsia="等线"/>
          <w:b/>
          <w:kern w:val="2"/>
          <w:lang w:val="en-US" w:eastAsia="zh-CN"/>
        </w:rPr>
        <w:t>Tauriello DVF</w:t>
      </w:r>
      <w:r w:rsidRPr="00B605E7">
        <w:rPr>
          <w:rFonts w:eastAsia="等线"/>
          <w:kern w:val="2"/>
          <w:lang w:val="en-US" w:eastAsia="zh-CN"/>
        </w:rPr>
        <w:t xml:space="preserve">, Palomo-Ponce S, Stork D, Berenguer-Llergo A, Badia-Ramentol J, Iglesias M, Sevillano M, Ibiza S, Cañellas A, Hernando-Momblona X, Byrom D, Matarin JA, Calon A, Rivas EI, Nebreda AR, Riera A, Attolini CS, Batlle E. TGFβ drives immune evasion in genetically reconstituted colon cancer metastasis. </w:t>
      </w:r>
      <w:r w:rsidRPr="00B605E7">
        <w:rPr>
          <w:rFonts w:eastAsia="等线"/>
          <w:i/>
          <w:kern w:val="2"/>
          <w:lang w:val="en-US" w:eastAsia="zh-CN"/>
        </w:rPr>
        <w:t>Nature</w:t>
      </w:r>
      <w:r w:rsidRPr="00B605E7">
        <w:rPr>
          <w:rFonts w:eastAsia="等线"/>
          <w:kern w:val="2"/>
          <w:lang w:val="en-US" w:eastAsia="zh-CN"/>
        </w:rPr>
        <w:t xml:space="preserve"> 2018; </w:t>
      </w:r>
      <w:r w:rsidRPr="00B605E7">
        <w:rPr>
          <w:rFonts w:eastAsia="等线"/>
          <w:b/>
          <w:kern w:val="2"/>
          <w:lang w:val="en-US" w:eastAsia="zh-CN"/>
        </w:rPr>
        <w:t>554</w:t>
      </w:r>
      <w:r w:rsidRPr="00B605E7">
        <w:rPr>
          <w:rFonts w:eastAsia="等线"/>
          <w:kern w:val="2"/>
          <w:lang w:val="en-US" w:eastAsia="zh-CN"/>
        </w:rPr>
        <w:t>: 538-543 [PMID: 29443964 DOI: 10.1038/nature25492]</w:t>
      </w:r>
    </w:p>
    <w:p w14:paraId="7C38A91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67 </w:t>
      </w:r>
      <w:r w:rsidRPr="00B605E7">
        <w:rPr>
          <w:rFonts w:eastAsia="等线"/>
          <w:b/>
          <w:kern w:val="2"/>
          <w:lang w:val="en-US" w:eastAsia="zh-CN"/>
        </w:rPr>
        <w:t>Ros XR</w:t>
      </w:r>
      <w:r w:rsidRPr="00B605E7">
        <w:rPr>
          <w:rFonts w:eastAsia="等线"/>
          <w:kern w:val="2"/>
          <w:lang w:val="en-US" w:eastAsia="zh-CN"/>
        </w:rPr>
        <w:t xml:space="preserve">, Vermeulen L. Turning Cold Tumors Hot by Blocking TGF-β. </w:t>
      </w:r>
      <w:r w:rsidRPr="00B605E7">
        <w:rPr>
          <w:rFonts w:eastAsia="等线"/>
          <w:i/>
          <w:kern w:val="2"/>
          <w:lang w:val="en-US" w:eastAsia="zh-CN"/>
        </w:rPr>
        <w:t>Trends Cancer</w:t>
      </w:r>
      <w:r w:rsidRPr="00B605E7">
        <w:rPr>
          <w:rFonts w:eastAsia="等线"/>
          <w:kern w:val="2"/>
          <w:lang w:val="en-US" w:eastAsia="zh-CN"/>
        </w:rPr>
        <w:t xml:space="preserve"> 2018; </w:t>
      </w:r>
      <w:r w:rsidRPr="00B605E7">
        <w:rPr>
          <w:rFonts w:eastAsia="等线"/>
          <w:b/>
          <w:kern w:val="2"/>
          <w:lang w:val="en-US" w:eastAsia="zh-CN"/>
        </w:rPr>
        <w:t>4</w:t>
      </w:r>
      <w:r w:rsidRPr="00B605E7">
        <w:rPr>
          <w:rFonts w:eastAsia="等线"/>
          <w:kern w:val="2"/>
          <w:lang w:val="en-US" w:eastAsia="zh-CN"/>
        </w:rPr>
        <w:t>: 335-337 [PMID: 29709256 DOI: 10.1016/j.trecan.2018.03.005]</w:t>
      </w:r>
    </w:p>
    <w:p w14:paraId="24BB43E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68 </w:t>
      </w:r>
      <w:r w:rsidRPr="00B605E7">
        <w:rPr>
          <w:rFonts w:eastAsia="等线"/>
          <w:b/>
          <w:kern w:val="2"/>
          <w:lang w:val="en-US" w:eastAsia="zh-CN"/>
        </w:rPr>
        <w:t>Hawinkels LJ</w:t>
      </w:r>
      <w:r w:rsidRPr="00B605E7">
        <w:rPr>
          <w:rFonts w:eastAsia="等线"/>
          <w:kern w:val="2"/>
          <w:lang w:val="en-US" w:eastAsia="zh-CN"/>
        </w:rPr>
        <w:t xml:space="preserve">, Paauwe M, Verspaget HW, Wiercinska E, van der Zon JM, van der Ploeg K, Koelink PJ, Lindeman JH, Mesker W, ten Dijke P, Sier CF. Interaction with colon cancer cells hyperactivates TGF-β signaling in cancer-associated fibroblasts. </w:t>
      </w:r>
      <w:r w:rsidRPr="00B605E7">
        <w:rPr>
          <w:rFonts w:eastAsia="等线"/>
          <w:i/>
          <w:kern w:val="2"/>
          <w:lang w:val="en-US" w:eastAsia="zh-CN"/>
        </w:rPr>
        <w:t>Oncogene</w:t>
      </w:r>
      <w:r w:rsidRPr="00B605E7">
        <w:rPr>
          <w:rFonts w:eastAsia="等线"/>
          <w:kern w:val="2"/>
          <w:lang w:val="en-US" w:eastAsia="zh-CN"/>
        </w:rPr>
        <w:t xml:space="preserve"> 2014; </w:t>
      </w:r>
      <w:r w:rsidRPr="00B605E7">
        <w:rPr>
          <w:rFonts w:eastAsia="等线"/>
          <w:b/>
          <w:kern w:val="2"/>
          <w:lang w:val="en-US" w:eastAsia="zh-CN"/>
        </w:rPr>
        <w:t>33</w:t>
      </w:r>
      <w:r w:rsidRPr="00B605E7">
        <w:rPr>
          <w:rFonts w:eastAsia="等线"/>
          <w:kern w:val="2"/>
          <w:lang w:val="en-US" w:eastAsia="zh-CN"/>
        </w:rPr>
        <w:t>: 97-107 [PMID: 23208491 DOI: 10.1038/onc.2012.536]</w:t>
      </w:r>
    </w:p>
    <w:p w14:paraId="3F27B98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69 </w:t>
      </w:r>
      <w:r w:rsidRPr="00B605E7">
        <w:rPr>
          <w:rFonts w:eastAsia="等线"/>
          <w:b/>
          <w:kern w:val="2"/>
          <w:lang w:val="en-US" w:eastAsia="zh-CN"/>
        </w:rPr>
        <w:t>Richards CH</w:t>
      </w:r>
      <w:r w:rsidRPr="00B605E7">
        <w:rPr>
          <w:rFonts w:eastAsia="等线"/>
          <w:kern w:val="2"/>
          <w:lang w:val="en-US" w:eastAsia="zh-CN"/>
        </w:rPr>
        <w:t xml:space="preserve">, Roxburgh CS, Anderson JH, McKee RF, Foulis AK, Horgan PG, McMillan DC. Prognostic value of tumour necrosis and host inflammatory responses in colorectal cancer. </w:t>
      </w:r>
      <w:r w:rsidRPr="00B605E7">
        <w:rPr>
          <w:rFonts w:eastAsia="等线"/>
          <w:i/>
          <w:kern w:val="2"/>
          <w:lang w:val="en-US" w:eastAsia="zh-CN"/>
        </w:rPr>
        <w:t>Br J Surg</w:t>
      </w:r>
      <w:r w:rsidRPr="00B605E7">
        <w:rPr>
          <w:rFonts w:eastAsia="等线"/>
          <w:kern w:val="2"/>
          <w:lang w:val="en-US" w:eastAsia="zh-CN"/>
        </w:rPr>
        <w:t xml:space="preserve"> 2012; </w:t>
      </w:r>
      <w:r w:rsidRPr="00B605E7">
        <w:rPr>
          <w:rFonts w:eastAsia="等线"/>
          <w:b/>
          <w:kern w:val="2"/>
          <w:lang w:val="en-US" w:eastAsia="zh-CN"/>
        </w:rPr>
        <w:t>99</w:t>
      </w:r>
      <w:r w:rsidRPr="00B605E7">
        <w:rPr>
          <w:rFonts w:eastAsia="等线"/>
          <w:kern w:val="2"/>
          <w:lang w:val="en-US" w:eastAsia="zh-CN"/>
        </w:rPr>
        <w:t>: 287-294 [PMID: 22086662 DOI: 10.1002/bjs.7755]</w:t>
      </w:r>
    </w:p>
    <w:p w14:paraId="720518A7"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70 </w:t>
      </w:r>
      <w:r w:rsidRPr="00B605E7">
        <w:rPr>
          <w:rFonts w:eastAsia="等线"/>
          <w:b/>
          <w:kern w:val="2"/>
          <w:lang w:val="en-US" w:eastAsia="zh-CN"/>
        </w:rPr>
        <w:t>Väyrynen SA</w:t>
      </w:r>
      <w:r w:rsidRPr="00B605E7">
        <w:rPr>
          <w:rFonts w:eastAsia="等线"/>
          <w:kern w:val="2"/>
          <w:lang w:val="en-US" w:eastAsia="zh-CN"/>
        </w:rPr>
        <w:t xml:space="preserve">, Väyrynen JP, Klintrup K, Mäkelä J, Karttunen TJ, Tuomisto A, Mäkinen MJ. Clinical impact and network of determinants of tumour necrosis in colorectal cancer. </w:t>
      </w:r>
      <w:r w:rsidRPr="00B605E7">
        <w:rPr>
          <w:rFonts w:eastAsia="等线"/>
          <w:i/>
          <w:kern w:val="2"/>
          <w:lang w:val="en-US" w:eastAsia="zh-CN"/>
        </w:rPr>
        <w:t>Br J Cancer</w:t>
      </w:r>
      <w:r w:rsidRPr="00B605E7">
        <w:rPr>
          <w:rFonts w:eastAsia="等线"/>
          <w:kern w:val="2"/>
          <w:lang w:val="en-US" w:eastAsia="zh-CN"/>
        </w:rPr>
        <w:t xml:space="preserve"> 2016; </w:t>
      </w:r>
      <w:r w:rsidRPr="00B605E7">
        <w:rPr>
          <w:rFonts w:eastAsia="等线"/>
          <w:b/>
          <w:kern w:val="2"/>
          <w:lang w:val="en-US" w:eastAsia="zh-CN"/>
        </w:rPr>
        <w:t>114</w:t>
      </w:r>
      <w:r w:rsidRPr="00B605E7">
        <w:rPr>
          <w:rFonts w:eastAsia="等线"/>
          <w:kern w:val="2"/>
          <w:lang w:val="en-US" w:eastAsia="zh-CN"/>
        </w:rPr>
        <w:t>: 1334-1342 [PMID: 27195424 DOI: 10.1038/bjc.2016.128]</w:t>
      </w:r>
    </w:p>
    <w:p w14:paraId="488FA9B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71 </w:t>
      </w:r>
      <w:r w:rsidRPr="00B605E7">
        <w:rPr>
          <w:rFonts w:eastAsia="等线"/>
          <w:b/>
          <w:kern w:val="2"/>
          <w:lang w:val="en-US" w:eastAsia="zh-CN"/>
        </w:rPr>
        <w:t>Pollheimer MJ</w:t>
      </w:r>
      <w:r w:rsidRPr="00B605E7">
        <w:rPr>
          <w:rFonts w:eastAsia="等线"/>
          <w:kern w:val="2"/>
          <w:lang w:val="en-US" w:eastAsia="zh-CN"/>
        </w:rPr>
        <w:t xml:space="preserve">, Kornprat P, Lindtner RA, Harbaum L, Schlemmer A, Rehak P, Langner C. Tumor necrosis is a new promising prognostic factor in colorectal cancer. </w:t>
      </w:r>
      <w:r w:rsidRPr="00B605E7">
        <w:rPr>
          <w:rFonts w:eastAsia="等线"/>
          <w:i/>
          <w:kern w:val="2"/>
          <w:lang w:val="en-US" w:eastAsia="zh-CN"/>
        </w:rPr>
        <w:t>Hum Pathol</w:t>
      </w:r>
      <w:r w:rsidRPr="00B605E7">
        <w:rPr>
          <w:rFonts w:eastAsia="等线"/>
          <w:kern w:val="2"/>
          <w:lang w:val="en-US" w:eastAsia="zh-CN"/>
        </w:rPr>
        <w:t xml:space="preserve"> 2010; </w:t>
      </w:r>
      <w:r w:rsidRPr="00B605E7">
        <w:rPr>
          <w:rFonts w:eastAsia="等线"/>
          <w:b/>
          <w:kern w:val="2"/>
          <w:lang w:val="en-US" w:eastAsia="zh-CN"/>
        </w:rPr>
        <w:t>41</w:t>
      </w:r>
      <w:r w:rsidRPr="00B605E7">
        <w:rPr>
          <w:rFonts w:eastAsia="等线"/>
          <w:kern w:val="2"/>
          <w:lang w:val="en-US" w:eastAsia="zh-CN"/>
        </w:rPr>
        <w:t>: 1749-1757 [PMID: 20869096 DOI: 10.1016/j.humpath.2010.04.018]</w:t>
      </w:r>
    </w:p>
    <w:p w14:paraId="4A6FA73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72 </w:t>
      </w:r>
      <w:r w:rsidRPr="00B605E7">
        <w:rPr>
          <w:rFonts w:eastAsia="等线"/>
          <w:b/>
          <w:kern w:val="2"/>
          <w:lang w:val="en-US" w:eastAsia="zh-CN"/>
        </w:rPr>
        <w:t>Chen CJ</w:t>
      </w:r>
      <w:r w:rsidRPr="00B605E7">
        <w:rPr>
          <w:rFonts w:eastAsia="等线"/>
          <w:kern w:val="2"/>
          <w:lang w:val="en-US" w:eastAsia="zh-CN"/>
        </w:rPr>
        <w:t xml:space="preserve">, Kono H, Golenbock D, Reed G, Akira S, Rock KL. Identification of a key </w:t>
      </w:r>
      <w:r w:rsidRPr="00B605E7">
        <w:rPr>
          <w:rFonts w:eastAsia="等线"/>
          <w:kern w:val="2"/>
          <w:lang w:val="en-US" w:eastAsia="zh-CN"/>
        </w:rPr>
        <w:lastRenderedPageBreak/>
        <w:t xml:space="preserve">pathway required for the sterile inflammatory response triggered by dying cells. </w:t>
      </w:r>
      <w:r w:rsidRPr="00B605E7">
        <w:rPr>
          <w:rFonts w:eastAsia="等线"/>
          <w:i/>
          <w:kern w:val="2"/>
          <w:lang w:val="en-US" w:eastAsia="zh-CN"/>
        </w:rPr>
        <w:t>Nat Med</w:t>
      </w:r>
      <w:r w:rsidRPr="00B605E7">
        <w:rPr>
          <w:rFonts w:eastAsia="等线"/>
          <w:kern w:val="2"/>
          <w:lang w:val="en-US" w:eastAsia="zh-CN"/>
        </w:rPr>
        <w:t xml:space="preserve"> 2007; </w:t>
      </w:r>
      <w:r w:rsidRPr="00B605E7">
        <w:rPr>
          <w:rFonts w:eastAsia="等线"/>
          <w:b/>
          <w:kern w:val="2"/>
          <w:lang w:val="en-US" w:eastAsia="zh-CN"/>
        </w:rPr>
        <w:t>13</w:t>
      </w:r>
      <w:r w:rsidRPr="00B605E7">
        <w:rPr>
          <w:rFonts w:eastAsia="等线"/>
          <w:kern w:val="2"/>
          <w:lang w:val="en-US" w:eastAsia="zh-CN"/>
        </w:rPr>
        <w:t>: 851-856 [PMID: 17572686 DOI: 10.1038/nm1603]</w:t>
      </w:r>
    </w:p>
    <w:p w14:paraId="386F47A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73 </w:t>
      </w:r>
      <w:r w:rsidRPr="00B605E7">
        <w:rPr>
          <w:rFonts w:eastAsia="等线"/>
          <w:b/>
          <w:kern w:val="2"/>
          <w:lang w:val="en-US" w:eastAsia="zh-CN"/>
        </w:rPr>
        <w:t>Zhang Q</w:t>
      </w:r>
      <w:r w:rsidRPr="00B605E7">
        <w:rPr>
          <w:rFonts w:eastAsia="等线"/>
          <w:kern w:val="2"/>
          <w:lang w:val="en-US" w:eastAsia="zh-CN"/>
        </w:rPr>
        <w:t xml:space="preserve">, Raoof M, Chen Y, Sumi Y, Sursal T, Junger W, Brohi K, Itagaki K, Hauser CJ. Circulating mitochondrial DAMPs cause inflammatory responses to injury. </w:t>
      </w:r>
      <w:r w:rsidRPr="00B605E7">
        <w:rPr>
          <w:rFonts w:eastAsia="等线"/>
          <w:i/>
          <w:kern w:val="2"/>
          <w:lang w:val="en-US" w:eastAsia="zh-CN"/>
        </w:rPr>
        <w:t>Nature</w:t>
      </w:r>
      <w:r w:rsidRPr="00B605E7">
        <w:rPr>
          <w:rFonts w:eastAsia="等线"/>
          <w:kern w:val="2"/>
          <w:lang w:val="en-US" w:eastAsia="zh-CN"/>
        </w:rPr>
        <w:t xml:space="preserve"> 2010; </w:t>
      </w:r>
      <w:r w:rsidRPr="00B605E7">
        <w:rPr>
          <w:rFonts w:eastAsia="等线"/>
          <w:b/>
          <w:kern w:val="2"/>
          <w:lang w:val="en-US" w:eastAsia="zh-CN"/>
        </w:rPr>
        <w:t>464</w:t>
      </w:r>
      <w:r w:rsidRPr="00B605E7">
        <w:rPr>
          <w:rFonts w:eastAsia="等线"/>
          <w:kern w:val="2"/>
          <w:lang w:val="en-US" w:eastAsia="zh-CN"/>
        </w:rPr>
        <w:t>: 104-107 [PMID: 20203610 DOI: 10.1038/nature08780]</w:t>
      </w:r>
    </w:p>
    <w:p w14:paraId="201D3EA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74 </w:t>
      </w:r>
      <w:bookmarkStart w:id="155" w:name="_Hlk13334190"/>
      <w:r w:rsidRPr="00B605E7">
        <w:rPr>
          <w:rFonts w:eastAsia="等线"/>
          <w:b/>
          <w:kern w:val="2"/>
          <w:lang w:val="en-US" w:eastAsia="zh-CN"/>
        </w:rPr>
        <w:t>Väyrynen</w:t>
      </w:r>
      <w:bookmarkEnd w:id="155"/>
      <w:r w:rsidRPr="00B605E7">
        <w:rPr>
          <w:rFonts w:eastAsia="等线"/>
          <w:b/>
          <w:kern w:val="2"/>
          <w:lang w:val="en-US" w:eastAsia="zh-CN"/>
        </w:rPr>
        <w:t xml:space="preserve"> JP</w:t>
      </w:r>
      <w:r w:rsidRPr="00B605E7">
        <w:rPr>
          <w:rFonts w:eastAsia="等线"/>
          <w:kern w:val="2"/>
          <w:lang w:val="en-US" w:eastAsia="zh-CN"/>
        </w:rPr>
        <w:t xml:space="preserve">, Mutt SJ, Herzig KH, Väyrynen SA, Kantola T, Karhu T, Karttunen TJ, Klintrup K, Mäkelä J, Mäkinen MJ, Tuomisto A. Decreased preoperative serum 25-Hydroxyvitamin D levels in colorectal cancer are associated with systemic inflammation and serrated morphology. </w:t>
      </w:r>
      <w:r w:rsidRPr="00B605E7">
        <w:rPr>
          <w:rFonts w:eastAsia="等线"/>
          <w:i/>
          <w:kern w:val="2"/>
          <w:lang w:val="en-US" w:eastAsia="zh-CN"/>
        </w:rPr>
        <w:t>Sci Rep</w:t>
      </w:r>
      <w:r w:rsidRPr="00B605E7">
        <w:rPr>
          <w:rFonts w:eastAsia="等线"/>
          <w:kern w:val="2"/>
          <w:lang w:val="en-US" w:eastAsia="zh-CN"/>
        </w:rPr>
        <w:t xml:space="preserve"> 2016; </w:t>
      </w:r>
      <w:r w:rsidRPr="00B605E7">
        <w:rPr>
          <w:rFonts w:eastAsia="等线"/>
          <w:b/>
          <w:kern w:val="2"/>
          <w:lang w:val="en-US" w:eastAsia="zh-CN"/>
        </w:rPr>
        <w:t>6</w:t>
      </w:r>
      <w:r w:rsidRPr="00B605E7">
        <w:rPr>
          <w:rFonts w:eastAsia="等线"/>
          <w:kern w:val="2"/>
          <w:lang w:val="en-US" w:eastAsia="zh-CN"/>
        </w:rPr>
        <w:t>: 36519 [PMID: 27819306 DOI: 10.1038/srep36519]</w:t>
      </w:r>
    </w:p>
    <w:p w14:paraId="1CF9EDE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75 </w:t>
      </w:r>
      <w:r w:rsidRPr="00B605E7">
        <w:rPr>
          <w:rFonts w:eastAsia="等线"/>
          <w:b/>
          <w:kern w:val="2"/>
          <w:lang w:val="en-US" w:eastAsia="zh-CN"/>
        </w:rPr>
        <w:t>Guthrie GJ</w:t>
      </w:r>
      <w:r w:rsidRPr="00B605E7">
        <w:rPr>
          <w:rFonts w:eastAsia="等线"/>
          <w:kern w:val="2"/>
          <w:lang w:val="en-US" w:eastAsia="zh-CN"/>
        </w:rPr>
        <w:t xml:space="preserve">, Roxburgh CS, Richards CH, Horgan PG, McMillan DC. Circulating IL-6 concentrations link tumour necrosis and systemic and local inflammatory responses in patients undergoing resection for colorectal cancer. </w:t>
      </w:r>
      <w:r w:rsidRPr="00B605E7">
        <w:rPr>
          <w:rFonts w:eastAsia="等线"/>
          <w:i/>
          <w:kern w:val="2"/>
          <w:lang w:val="en-US" w:eastAsia="zh-CN"/>
        </w:rPr>
        <w:t>Br J Cancer</w:t>
      </w:r>
      <w:r w:rsidRPr="00B605E7">
        <w:rPr>
          <w:rFonts w:eastAsia="等线"/>
          <w:kern w:val="2"/>
          <w:lang w:val="en-US" w:eastAsia="zh-CN"/>
        </w:rPr>
        <w:t xml:space="preserve"> 2013; </w:t>
      </w:r>
      <w:r w:rsidRPr="00B605E7">
        <w:rPr>
          <w:rFonts w:eastAsia="等线"/>
          <w:b/>
          <w:kern w:val="2"/>
          <w:lang w:val="en-US" w:eastAsia="zh-CN"/>
        </w:rPr>
        <w:t>109</w:t>
      </w:r>
      <w:r w:rsidRPr="00B605E7">
        <w:rPr>
          <w:rFonts w:eastAsia="等线"/>
          <w:kern w:val="2"/>
          <w:lang w:val="en-US" w:eastAsia="zh-CN"/>
        </w:rPr>
        <w:t>: 131-137 [PMID: 23756867 DOI: 10.1038/bjc.2013.291]</w:t>
      </w:r>
    </w:p>
    <w:p w14:paraId="3B28913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76 </w:t>
      </w:r>
      <w:bookmarkStart w:id="156" w:name="_Hlk13333979"/>
      <w:r w:rsidRPr="00B605E7">
        <w:rPr>
          <w:rFonts w:eastAsia="等线"/>
          <w:b/>
          <w:kern w:val="2"/>
          <w:lang w:val="en-US" w:eastAsia="zh-CN"/>
        </w:rPr>
        <w:t>Bousquet</w:t>
      </w:r>
      <w:bookmarkEnd w:id="156"/>
      <w:r w:rsidRPr="00B605E7">
        <w:rPr>
          <w:rFonts w:eastAsia="等线"/>
          <w:b/>
          <w:kern w:val="2"/>
          <w:lang w:val="en-US" w:eastAsia="zh-CN"/>
        </w:rPr>
        <w:t xml:space="preserve"> PA</w:t>
      </w:r>
      <w:r w:rsidRPr="00B605E7">
        <w:rPr>
          <w:rFonts w:eastAsia="等线"/>
          <w:kern w:val="2"/>
          <w:lang w:val="en-US" w:eastAsia="zh-CN"/>
        </w:rPr>
        <w:t xml:space="preserve">, Meltzer S, Sønstevold L, Esbensen Y, Dueland S, Flatmark K, Sitter B, Bathen TF, Seierstad T, Redalen KR, Eide L, Ree AH. Markers of Mitochondrial Metabolism in Tumor Hypoxia, Systemic Inflammation, and Adverse Outcome of Rectal Cancer. </w:t>
      </w:r>
      <w:r w:rsidRPr="00B605E7">
        <w:rPr>
          <w:rFonts w:eastAsia="等线"/>
          <w:i/>
          <w:kern w:val="2"/>
          <w:lang w:val="en-US" w:eastAsia="zh-CN"/>
        </w:rPr>
        <w:t>Transl Oncol</w:t>
      </w:r>
      <w:r w:rsidRPr="00B605E7">
        <w:rPr>
          <w:rFonts w:eastAsia="等线"/>
          <w:kern w:val="2"/>
          <w:lang w:val="en-US" w:eastAsia="zh-CN"/>
        </w:rPr>
        <w:t xml:space="preserve"> 2019; </w:t>
      </w:r>
      <w:r w:rsidRPr="00B605E7">
        <w:rPr>
          <w:rFonts w:eastAsia="等线"/>
          <w:b/>
          <w:kern w:val="2"/>
          <w:lang w:val="en-US" w:eastAsia="zh-CN"/>
        </w:rPr>
        <w:t>12</w:t>
      </w:r>
      <w:r w:rsidRPr="00B605E7">
        <w:rPr>
          <w:rFonts w:eastAsia="等线"/>
          <w:kern w:val="2"/>
          <w:lang w:val="en-US" w:eastAsia="zh-CN"/>
        </w:rPr>
        <w:t>: 76-83 [PMID: 30273860 DOI: 10.1016/j.tranon.2018.09.010]</w:t>
      </w:r>
    </w:p>
    <w:p w14:paraId="1E57736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77 </w:t>
      </w:r>
      <w:r w:rsidRPr="00B605E7">
        <w:rPr>
          <w:rFonts w:eastAsia="等线"/>
          <w:b/>
          <w:kern w:val="2"/>
          <w:lang w:val="en-US" w:eastAsia="zh-CN"/>
        </w:rPr>
        <w:t>Peinado H</w:t>
      </w:r>
      <w:r w:rsidRPr="00B605E7">
        <w:rPr>
          <w:rFonts w:eastAsia="等线"/>
          <w:kern w:val="2"/>
          <w:lang w:val="en-US" w:eastAsia="zh-CN"/>
        </w:rPr>
        <w:t xml:space="preserve">, Zhang H, Matei IR, Costa-Silva B, Hoshino A, Rodrigues G, Psaila B, Kaplan RN, Bromberg JF, Kang Y, Bissell MJ, Cox TR, Giaccia AJ, Erler JT, Hiratsuka S, Ghajar CM, Lyden D. Pre-metastatic niches: organ-specific homes for metastases. </w:t>
      </w:r>
      <w:r w:rsidRPr="00B605E7">
        <w:rPr>
          <w:rFonts w:eastAsia="等线"/>
          <w:i/>
          <w:kern w:val="2"/>
          <w:lang w:val="en-US" w:eastAsia="zh-CN"/>
        </w:rPr>
        <w:t>Nat Rev Cancer</w:t>
      </w:r>
      <w:r w:rsidRPr="00B605E7">
        <w:rPr>
          <w:rFonts w:eastAsia="等线"/>
          <w:kern w:val="2"/>
          <w:lang w:val="en-US" w:eastAsia="zh-CN"/>
        </w:rPr>
        <w:t xml:space="preserve"> 2017; </w:t>
      </w:r>
      <w:r w:rsidRPr="00B605E7">
        <w:rPr>
          <w:rFonts w:eastAsia="等线"/>
          <w:b/>
          <w:kern w:val="2"/>
          <w:lang w:val="en-US" w:eastAsia="zh-CN"/>
        </w:rPr>
        <w:t>17</w:t>
      </w:r>
      <w:r w:rsidRPr="00B605E7">
        <w:rPr>
          <w:rFonts w:eastAsia="等线"/>
          <w:kern w:val="2"/>
          <w:lang w:val="en-US" w:eastAsia="zh-CN"/>
        </w:rPr>
        <w:t>: 302-317 [PMID: 28303905 DOI: 10.1038/nrc.2017.6]</w:t>
      </w:r>
    </w:p>
    <w:p w14:paraId="1BF1EA8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78 </w:t>
      </w:r>
      <w:r w:rsidRPr="00B605E7">
        <w:rPr>
          <w:rFonts w:eastAsia="等线"/>
          <w:b/>
          <w:kern w:val="2"/>
          <w:lang w:val="en-US" w:eastAsia="zh-CN"/>
        </w:rPr>
        <w:t>Trefts E</w:t>
      </w:r>
      <w:r w:rsidRPr="00B605E7">
        <w:rPr>
          <w:rFonts w:eastAsia="等线"/>
          <w:kern w:val="2"/>
          <w:lang w:val="en-US" w:eastAsia="zh-CN"/>
        </w:rPr>
        <w:t xml:space="preserve">, Gannon M, Wasserman DH. The liver. </w:t>
      </w:r>
      <w:r w:rsidRPr="00B605E7">
        <w:rPr>
          <w:rFonts w:eastAsia="等线"/>
          <w:i/>
          <w:kern w:val="2"/>
          <w:lang w:val="en-US" w:eastAsia="zh-CN"/>
        </w:rPr>
        <w:t>Curr Biol</w:t>
      </w:r>
      <w:r w:rsidRPr="00B605E7">
        <w:rPr>
          <w:rFonts w:eastAsia="等线"/>
          <w:kern w:val="2"/>
          <w:lang w:val="en-US" w:eastAsia="zh-CN"/>
        </w:rPr>
        <w:t xml:space="preserve"> 2017; </w:t>
      </w:r>
      <w:r w:rsidRPr="00B605E7">
        <w:rPr>
          <w:rFonts w:eastAsia="等线"/>
          <w:b/>
          <w:kern w:val="2"/>
          <w:lang w:val="en-US" w:eastAsia="zh-CN"/>
        </w:rPr>
        <w:t>27</w:t>
      </w:r>
      <w:r w:rsidRPr="00B605E7">
        <w:rPr>
          <w:rFonts w:eastAsia="等线"/>
          <w:kern w:val="2"/>
          <w:lang w:val="en-US" w:eastAsia="zh-CN"/>
        </w:rPr>
        <w:t>: R1147-R1151 [PMID: 29112863 DOI: 10.1016/j.cub.2017.09.019]</w:t>
      </w:r>
    </w:p>
    <w:p w14:paraId="2ABF809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79 </w:t>
      </w:r>
      <w:r w:rsidRPr="00B605E7">
        <w:rPr>
          <w:rFonts w:eastAsia="等线"/>
          <w:b/>
          <w:kern w:val="2"/>
          <w:lang w:val="en-US" w:eastAsia="zh-CN"/>
        </w:rPr>
        <w:t>Robinson MW</w:t>
      </w:r>
      <w:r w:rsidRPr="00B605E7">
        <w:rPr>
          <w:rFonts w:eastAsia="等线"/>
          <w:kern w:val="2"/>
          <w:lang w:val="en-US" w:eastAsia="zh-CN"/>
        </w:rPr>
        <w:t xml:space="preserve">, Harmon C, O'Farrelly C. Liver immunology and its role in inflammation and homeostasis. </w:t>
      </w:r>
      <w:r w:rsidRPr="00B605E7">
        <w:rPr>
          <w:rFonts w:eastAsia="等线"/>
          <w:i/>
          <w:kern w:val="2"/>
          <w:lang w:val="en-US" w:eastAsia="zh-CN"/>
        </w:rPr>
        <w:t>Cell Mol Immunol</w:t>
      </w:r>
      <w:r w:rsidRPr="00B605E7">
        <w:rPr>
          <w:rFonts w:eastAsia="等线"/>
          <w:kern w:val="2"/>
          <w:lang w:val="en-US" w:eastAsia="zh-CN"/>
        </w:rPr>
        <w:t xml:space="preserve"> 2016; </w:t>
      </w:r>
      <w:r w:rsidRPr="00B605E7">
        <w:rPr>
          <w:rFonts w:eastAsia="等线"/>
          <w:b/>
          <w:kern w:val="2"/>
          <w:lang w:val="en-US" w:eastAsia="zh-CN"/>
        </w:rPr>
        <w:t>13</w:t>
      </w:r>
      <w:r w:rsidRPr="00B605E7">
        <w:rPr>
          <w:rFonts w:eastAsia="等线"/>
          <w:kern w:val="2"/>
          <w:lang w:val="en-US" w:eastAsia="zh-CN"/>
        </w:rPr>
        <w:t>: 267-276 [PMID: 27063467 DOI: 10.1038/cmi.2016.3]</w:t>
      </w:r>
    </w:p>
    <w:p w14:paraId="0FB5974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80 </w:t>
      </w:r>
      <w:r w:rsidRPr="00B605E7">
        <w:rPr>
          <w:rFonts w:eastAsia="等线"/>
          <w:b/>
          <w:kern w:val="2"/>
          <w:lang w:val="en-US" w:eastAsia="zh-CN"/>
        </w:rPr>
        <w:t>Naugler WE</w:t>
      </w:r>
      <w:r w:rsidRPr="00B605E7">
        <w:rPr>
          <w:rFonts w:eastAsia="等线"/>
          <w:kern w:val="2"/>
          <w:lang w:val="en-US" w:eastAsia="zh-CN"/>
        </w:rPr>
        <w:t xml:space="preserve">, Karin M. The wolf in sheep's clothing: the role of interleukin-6 in immunity, inflammation and cancer. </w:t>
      </w:r>
      <w:r w:rsidRPr="00B605E7">
        <w:rPr>
          <w:rFonts w:eastAsia="等线"/>
          <w:i/>
          <w:kern w:val="2"/>
          <w:lang w:val="en-US" w:eastAsia="zh-CN"/>
        </w:rPr>
        <w:t>Trends Mol Med</w:t>
      </w:r>
      <w:r w:rsidRPr="00B605E7">
        <w:rPr>
          <w:rFonts w:eastAsia="等线"/>
          <w:kern w:val="2"/>
          <w:lang w:val="en-US" w:eastAsia="zh-CN"/>
        </w:rPr>
        <w:t xml:space="preserve"> 2008; </w:t>
      </w:r>
      <w:r w:rsidRPr="00B605E7">
        <w:rPr>
          <w:rFonts w:eastAsia="等线"/>
          <w:b/>
          <w:kern w:val="2"/>
          <w:lang w:val="en-US" w:eastAsia="zh-CN"/>
        </w:rPr>
        <w:t>14</w:t>
      </w:r>
      <w:r w:rsidRPr="00B605E7">
        <w:rPr>
          <w:rFonts w:eastAsia="等线"/>
          <w:kern w:val="2"/>
          <w:lang w:val="en-US" w:eastAsia="zh-CN"/>
        </w:rPr>
        <w:t>: 109-119 [PMID: 18261959 DOI: 10.1016/j.molmed.2007.12.007]</w:t>
      </w:r>
    </w:p>
    <w:p w14:paraId="447A020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81 </w:t>
      </w:r>
      <w:r w:rsidRPr="00B605E7">
        <w:rPr>
          <w:rFonts w:eastAsia="等线"/>
          <w:b/>
          <w:kern w:val="2"/>
          <w:lang w:val="en-US" w:eastAsia="zh-CN"/>
        </w:rPr>
        <w:t>Flint TR</w:t>
      </w:r>
      <w:r w:rsidRPr="00B605E7">
        <w:rPr>
          <w:rFonts w:eastAsia="等线"/>
          <w:kern w:val="2"/>
          <w:lang w:val="en-US" w:eastAsia="zh-CN"/>
        </w:rPr>
        <w:t xml:space="preserve">, Janowitz T, Connell CM, Roberts EW, Denton AE, Coll AP, Jodrell DI, Fearon DT. Tumor-Induced IL-6 Reprograms Host Metabolism to Suppress Anti-tumor Immunity. </w:t>
      </w:r>
      <w:r w:rsidRPr="00B605E7">
        <w:rPr>
          <w:rFonts w:eastAsia="等线"/>
          <w:i/>
          <w:kern w:val="2"/>
          <w:lang w:val="en-US" w:eastAsia="zh-CN"/>
        </w:rPr>
        <w:lastRenderedPageBreak/>
        <w:t>Cell Metab</w:t>
      </w:r>
      <w:r w:rsidRPr="00B605E7">
        <w:rPr>
          <w:rFonts w:eastAsia="等线"/>
          <w:kern w:val="2"/>
          <w:lang w:val="en-US" w:eastAsia="zh-CN"/>
        </w:rPr>
        <w:t xml:space="preserve"> 2016; </w:t>
      </w:r>
      <w:r w:rsidRPr="00B605E7">
        <w:rPr>
          <w:rFonts w:eastAsia="等线"/>
          <w:b/>
          <w:kern w:val="2"/>
          <w:lang w:val="en-US" w:eastAsia="zh-CN"/>
        </w:rPr>
        <w:t>24</w:t>
      </w:r>
      <w:r w:rsidRPr="00B605E7">
        <w:rPr>
          <w:rFonts w:eastAsia="等线"/>
          <w:kern w:val="2"/>
          <w:lang w:val="en-US" w:eastAsia="zh-CN"/>
        </w:rPr>
        <w:t>: 672-684 [PMID: 27829137 DOI: 10.1016/j.cmet.2016.10.010]</w:t>
      </w:r>
    </w:p>
    <w:p w14:paraId="17AD4C1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82 </w:t>
      </w:r>
      <w:r w:rsidRPr="00B605E7">
        <w:rPr>
          <w:rFonts w:eastAsia="等线"/>
          <w:b/>
          <w:kern w:val="2"/>
          <w:lang w:val="en-US" w:eastAsia="zh-CN"/>
        </w:rPr>
        <w:t>Orkin SH</w:t>
      </w:r>
      <w:r w:rsidRPr="00B605E7">
        <w:rPr>
          <w:rFonts w:eastAsia="等线"/>
          <w:kern w:val="2"/>
          <w:lang w:val="en-US" w:eastAsia="zh-CN"/>
        </w:rPr>
        <w:t xml:space="preserve">, Zon LI. Hematopoiesis: an evolving paradigm for stem cell biology. </w:t>
      </w:r>
      <w:r w:rsidRPr="00B605E7">
        <w:rPr>
          <w:rFonts w:eastAsia="等线"/>
          <w:i/>
          <w:kern w:val="2"/>
          <w:lang w:val="en-US" w:eastAsia="zh-CN"/>
        </w:rPr>
        <w:t>Cell</w:t>
      </w:r>
      <w:r w:rsidRPr="00B605E7">
        <w:rPr>
          <w:rFonts w:eastAsia="等线"/>
          <w:kern w:val="2"/>
          <w:lang w:val="en-US" w:eastAsia="zh-CN"/>
        </w:rPr>
        <w:t xml:space="preserve"> 2008; </w:t>
      </w:r>
      <w:r w:rsidRPr="00B605E7">
        <w:rPr>
          <w:rFonts w:eastAsia="等线"/>
          <w:b/>
          <w:kern w:val="2"/>
          <w:lang w:val="en-US" w:eastAsia="zh-CN"/>
        </w:rPr>
        <w:t>132</w:t>
      </w:r>
      <w:r w:rsidRPr="00B605E7">
        <w:rPr>
          <w:rFonts w:eastAsia="等线"/>
          <w:kern w:val="2"/>
          <w:lang w:val="en-US" w:eastAsia="zh-CN"/>
        </w:rPr>
        <w:t>: 631-644 [PMID: 18295580 DOI: 10.1016/j.cell.2008.01.025]</w:t>
      </w:r>
    </w:p>
    <w:p w14:paraId="6E4DF8D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83 </w:t>
      </w:r>
      <w:r w:rsidRPr="00B605E7">
        <w:rPr>
          <w:rFonts w:eastAsia="等线"/>
          <w:b/>
          <w:kern w:val="2"/>
          <w:lang w:val="en-US" w:eastAsia="zh-CN"/>
        </w:rPr>
        <w:t>Mirantes C</w:t>
      </w:r>
      <w:r w:rsidRPr="00B605E7">
        <w:rPr>
          <w:rFonts w:eastAsia="等线"/>
          <w:kern w:val="2"/>
          <w:lang w:val="en-US" w:eastAsia="zh-CN"/>
        </w:rPr>
        <w:t xml:space="preserve">, Passegué E, Pietras EM. Pro-inflammatory cytokines: emerging players regulating HSC function in normal and diseased hematopoiesis. </w:t>
      </w:r>
      <w:r w:rsidRPr="00B605E7">
        <w:rPr>
          <w:rFonts w:eastAsia="等线"/>
          <w:i/>
          <w:kern w:val="2"/>
          <w:lang w:val="en-US" w:eastAsia="zh-CN"/>
        </w:rPr>
        <w:t>Exp Cell Res</w:t>
      </w:r>
      <w:r w:rsidRPr="00B605E7">
        <w:rPr>
          <w:rFonts w:eastAsia="等线"/>
          <w:kern w:val="2"/>
          <w:lang w:val="en-US" w:eastAsia="zh-CN"/>
        </w:rPr>
        <w:t xml:space="preserve"> 2014; </w:t>
      </w:r>
      <w:r w:rsidRPr="00B605E7">
        <w:rPr>
          <w:rFonts w:eastAsia="等线"/>
          <w:b/>
          <w:kern w:val="2"/>
          <w:lang w:val="en-US" w:eastAsia="zh-CN"/>
        </w:rPr>
        <w:t>329</w:t>
      </w:r>
      <w:r w:rsidRPr="00B605E7">
        <w:rPr>
          <w:rFonts w:eastAsia="等线"/>
          <w:kern w:val="2"/>
          <w:lang w:val="en-US" w:eastAsia="zh-CN"/>
        </w:rPr>
        <w:t>: 248-254 [PMID: 25149680 DOI: 10.1016/j.yexcr.2014.08.017]</w:t>
      </w:r>
    </w:p>
    <w:p w14:paraId="4050E13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84 </w:t>
      </w:r>
      <w:r w:rsidRPr="00B605E7">
        <w:rPr>
          <w:rFonts w:eastAsia="等线"/>
          <w:b/>
          <w:kern w:val="2"/>
          <w:lang w:val="en-US" w:eastAsia="zh-CN"/>
        </w:rPr>
        <w:t>Wu WC</w:t>
      </w:r>
      <w:r w:rsidRPr="00B605E7">
        <w:rPr>
          <w:rFonts w:eastAsia="等线"/>
          <w:kern w:val="2"/>
          <w:lang w:val="en-US" w:eastAsia="zh-CN"/>
        </w:rPr>
        <w:t xml:space="preserve">, Sun HW, Chen HT, Liang J, Yu XJ, Wu C, Wang Z, Zheng L. Circulating hematopoietic stem and progenitor cells are myeloid-biased in cancer patients. </w:t>
      </w:r>
      <w:r w:rsidRPr="00B605E7">
        <w:rPr>
          <w:rFonts w:eastAsia="等线"/>
          <w:i/>
          <w:kern w:val="2"/>
          <w:lang w:val="en-US" w:eastAsia="zh-CN"/>
        </w:rPr>
        <w:t>Proc Natl Acad Sci U S A</w:t>
      </w:r>
      <w:r w:rsidRPr="00B605E7">
        <w:rPr>
          <w:rFonts w:eastAsia="等线"/>
          <w:kern w:val="2"/>
          <w:lang w:val="en-US" w:eastAsia="zh-CN"/>
        </w:rPr>
        <w:t xml:space="preserve"> 2014; </w:t>
      </w:r>
      <w:r w:rsidRPr="00B605E7">
        <w:rPr>
          <w:rFonts w:eastAsia="等线"/>
          <w:b/>
          <w:kern w:val="2"/>
          <w:lang w:val="en-US" w:eastAsia="zh-CN"/>
        </w:rPr>
        <w:t>111</w:t>
      </w:r>
      <w:r w:rsidRPr="00B605E7">
        <w:rPr>
          <w:rFonts w:eastAsia="等线"/>
          <w:kern w:val="2"/>
          <w:lang w:val="en-US" w:eastAsia="zh-CN"/>
        </w:rPr>
        <w:t>: 4221-4226 [PMID: 24591638 DOI: 10.1073/pnas.1320753111]</w:t>
      </w:r>
    </w:p>
    <w:p w14:paraId="79DCFE5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85 </w:t>
      </w:r>
      <w:r w:rsidRPr="00B605E7">
        <w:rPr>
          <w:rFonts w:eastAsia="等线"/>
          <w:b/>
          <w:kern w:val="2"/>
          <w:lang w:val="en-US" w:eastAsia="zh-CN"/>
        </w:rPr>
        <w:t>Stojkovic Lalosevic M</w:t>
      </w:r>
      <w:r w:rsidRPr="00B605E7">
        <w:rPr>
          <w:rFonts w:eastAsia="等线"/>
          <w:kern w:val="2"/>
          <w:lang w:val="en-US" w:eastAsia="zh-CN"/>
        </w:rPr>
        <w:t xml:space="preserve">, Pavlovic Markovic A, Stankovic S, Stojkovic M, Dimitrijevic I, Radoman Vujacic I, Lalic D, Milovanovic T, Dumic I, Krivokapic Z. Combined Diagnostic Efficacy of Neutrophil-to-Lymphocyte Ratio (NLR), Platelet-to-Lymphocyte Ratio (PLR), and Mean Platelet Volume (MPV) as Biomarkers of Systemic Inflammation in the Diagnosis of Colorectal Cancer. </w:t>
      </w:r>
      <w:r w:rsidRPr="00B605E7">
        <w:rPr>
          <w:rFonts w:eastAsia="等线"/>
          <w:i/>
          <w:kern w:val="2"/>
          <w:lang w:val="en-US" w:eastAsia="zh-CN"/>
        </w:rPr>
        <w:t>Dis Markers</w:t>
      </w:r>
      <w:r w:rsidRPr="00B605E7">
        <w:rPr>
          <w:rFonts w:eastAsia="等线"/>
          <w:kern w:val="2"/>
          <w:lang w:val="en-US" w:eastAsia="zh-CN"/>
        </w:rPr>
        <w:t xml:space="preserve"> 2019; </w:t>
      </w:r>
      <w:r w:rsidRPr="00B605E7">
        <w:rPr>
          <w:rFonts w:eastAsia="等线"/>
          <w:b/>
          <w:kern w:val="2"/>
          <w:lang w:val="en-US" w:eastAsia="zh-CN"/>
        </w:rPr>
        <w:t>2019</w:t>
      </w:r>
      <w:r w:rsidRPr="00B605E7">
        <w:rPr>
          <w:rFonts w:eastAsia="等线"/>
          <w:kern w:val="2"/>
          <w:lang w:val="en-US" w:eastAsia="zh-CN"/>
        </w:rPr>
        <w:t>: 6036979 [PMID: 30800188 DOI: 10.1155/2019/6036979]</w:t>
      </w:r>
    </w:p>
    <w:p w14:paraId="2E15C65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86 </w:t>
      </w:r>
      <w:r w:rsidRPr="00B605E7">
        <w:rPr>
          <w:rFonts w:eastAsia="等线"/>
          <w:b/>
          <w:kern w:val="2"/>
          <w:lang w:val="en-US" w:eastAsia="zh-CN"/>
        </w:rPr>
        <w:t>Marigo I</w:t>
      </w:r>
      <w:r w:rsidRPr="00B605E7">
        <w:rPr>
          <w:rFonts w:eastAsia="等线"/>
          <w:kern w:val="2"/>
          <w:lang w:val="en-US" w:eastAsia="zh-CN"/>
        </w:rPr>
        <w:t xml:space="preserve">, Dolcetti L, Serafini P, Zanovello P, Bronte V. Tumor-induced tolerance and immune suppression by myeloid derived suppressor cells. </w:t>
      </w:r>
      <w:r w:rsidRPr="00B605E7">
        <w:rPr>
          <w:rFonts w:eastAsia="等线"/>
          <w:i/>
          <w:kern w:val="2"/>
          <w:lang w:val="en-US" w:eastAsia="zh-CN"/>
        </w:rPr>
        <w:t>Immunol Rev</w:t>
      </w:r>
      <w:r w:rsidRPr="00B605E7">
        <w:rPr>
          <w:rFonts w:eastAsia="等线"/>
          <w:kern w:val="2"/>
          <w:lang w:val="en-US" w:eastAsia="zh-CN"/>
        </w:rPr>
        <w:t xml:space="preserve"> 2008; </w:t>
      </w:r>
      <w:r w:rsidRPr="00B605E7">
        <w:rPr>
          <w:rFonts w:eastAsia="等线"/>
          <w:b/>
          <w:kern w:val="2"/>
          <w:lang w:val="en-US" w:eastAsia="zh-CN"/>
        </w:rPr>
        <w:t>222</w:t>
      </w:r>
      <w:r w:rsidRPr="00B605E7">
        <w:rPr>
          <w:rFonts w:eastAsia="等线"/>
          <w:kern w:val="2"/>
          <w:lang w:val="en-US" w:eastAsia="zh-CN"/>
        </w:rPr>
        <w:t>: 162-179 [PMID: 18364001 DOI: 10.1111/j.1600-065X.2008.00602.x]</w:t>
      </w:r>
    </w:p>
    <w:p w14:paraId="1465D73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87 </w:t>
      </w:r>
      <w:r w:rsidRPr="00B605E7">
        <w:rPr>
          <w:rFonts w:eastAsia="等线"/>
          <w:b/>
          <w:kern w:val="2"/>
          <w:lang w:val="en-US" w:eastAsia="zh-CN"/>
        </w:rPr>
        <w:t>Bronte V</w:t>
      </w:r>
      <w:r w:rsidRPr="00B605E7">
        <w:rPr>
          <w:rFonts w:eastAsia="等线"/>
          <w:kern w:val="2"/>
          <w:lang w:val="en-US" w:eastAsia="zh-CN"/>
        </w:rPr>
        <w:t xml:space="preserve">, Brandau S, Chen SH, Colombo MP, Frey AB, Greten TF, Mandruzzato S, Murray PJ, Ochoa A, Ostrand-Rosenberg S, Rodriguez PC, Sica A, Umansky V, Vonderheide RH, Gabrilovich DI. Recommendations for myeloid-derived suppressor cell nomenclature and characterization standards. </w:t>
      </w:r>
      <w:r w:rsidRPr="00B605E7">
        <w:rPr>
          <w:rFonts w:eastAsia="等线"/>
          <w:i/>
          <w:kern w:val="2"/>
          <w:lang w:val="en-US" w:eastAsia="zh-CN"/>
        </w:rPr>
        <w:t>Nat Commun</w:t>
      </w:r>
      <w:r w:rsidRPr="00B605E7">
        <w:rPr>
          <w:rFonts w:eastAsia="等线"/>
          <w:kern w:val="2"/>
          <w:lang w:val="en-US" w:eastAsia="zh-CN"/>
        </w:rPr>
        <w:t xml:space="preserve"> 2016; </w:t>
      </w:r>
      <w:r w:rsidRPr="00B605E7">
        <w:rPr>
          <w:rFonts w:eastAsia="等线"/>
          <w:b/>
          <w:kern w:val="2"/>
          <w:lang w:val="en-US" w:eastAsia="zh-CN"/>
        </w:rPr>
        <w:t>7</w:t>
      </w:r>
      <w:r w:rsidRPr="00B605E7">
        <w:rPr>
          <w:rFonts w:eastAsia="等线"/>
          <w:kern w:val="2"/>
          <w:lang w:val="en-US" w:eastAsia="zh-CN"/>
        </w:rPr>
        <w:t>: 12150 [PMID: 27381735 DOI: 10.1038/ncomms12150]</w:t>
      </w:r>
    </w:p>
    <w:p w14:paraId="21FD040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88 </w:t>
      </w:r>
      <w:r w:rsidRPr="00B605E7">
        <w:rPr>
          <w:rFonts w:eastAsia="等线"/>
          <w:b/>
          <w:kern w:val="2"/>
          <w:lang w:val="en-US" w:eastAsia="zh-CN"/>
        </w:rPr>
        <w:t>Ostrand-Rosenberg S</w:t>
      </w:r>
      <w:r w:rsidRPr="00B605E7">
        <w:rPr>
          <w:rFonts w:eastAsia="等线"/>
          <w:kern w:val="2"/>
          <w:lang w:val="en-US" w:eastAsia="zh-CN"/>
        </w:rPr>
        <w:t xml:space="preserve">, Sinha P, Chornoguz O, Ecker C. Regulating the suppressors: apoptosis and inflammation govern the survival of tumor-induced myeloid-derived suppressor cells (MDSC). </w:t>
      </w:r>
      <w:r w:rsidRPr="00B605E7">
        <w:rPr>
          <w:rFonts w:eastAsia="等线"/>
          <w:i/>
          <w:kern w:val="2"/>
          <w:lang w:val="en-US" w:eastAsia="zh-CN"/>
        </w:rPr>
        <w:t>Cancer Immunol Immunother</w:t>
      </w:r>
      <w:r w:rsidRPr="00B605E7">
        <w:rPr>
          <w:rFonts w:eastAsia="等线"/>
          <w:kern w:val="2"/>
          <w:lang w:val="en-US" w:eastAsia="zh-CN"/>
        </w:rPr>
        <w:t xml:space="preserve"> 2012; </w:t>
      </w:r>
      <w:r w:rsidRPr="00B605E7">
        <w:rPr>
          <w:rFonts w:eastAsia="等线"/>
          <w:b/>
          <w:kern w:val="2"/>
          <w:lang w:val="en-US" w:eastAsia="zh-CN"/>
        </w:rPr>
        <w:t>61</w:t>
      </w:r>
      <w:r w:rsidRPr="00B605E7">
        <w:rPr>
          <w:rFonts w:eastAsia="等线"/>
          <w:kern w:val="2"/>
          <w:lang w:val="en-US" w:eastAsia="zh-CN"/>
        </w:rPr>
        <w:t>: 1319-1325 [PMID: 22546994 DOI: 10.1007/s00262-012-1269-6]</w:t>
      </w:r>
    </w:p>
    <w:p w14:paraId="02909E9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89 </w:t>
      </w:r>
      <w:r w:rsidRPr="00B605E7">
        <w:rPr>
          <w:rFonts w:eastAsia="等线"/>
          <w:b/>
          <w:kern w:val="2"/>
          <w:lang w:val="en-US" w:eastAsia="zh-CN"/>
        </w:rPr>
        <w:t>OuYang LY</w:t>
      </w:r>
      <w:r w:rsidRPr="00B605E7">
        <w:rPr>
          <w:rFonts w:eastAsia="等线"/>
          <w:kern w:val="2"/>
          <w:lang w:val="en-US" w:eastAsia="zh-CN"/>
        </w:rPr>
        <w:t xml:space="preserve">, Wu XJ, Ye SB, Zhang RX, Li ZL, Liao W, Pan ZZ, Zheng LM, Zhang XS, Wang Z, Li Q, Ma G, Li J. Tumor-induced myeloid-derived suppressor cells promote tumor progression through oxidative metabolism in human colorectal cancer. </w:t>
      </w:r>
      <w:r w:rsidRPr="00B605E7">
        <w:rPr>
          <w:rFonts w:eastAsia="等线"/>
          <w:i/>
          <w:kern w:val="2"/>
          <w:lang w:val="en-US" w:eastAsia="zh-CN"/>
        </w:rPr>
        <w:t>J Transl Med</w:t>
      </w:r>
      <w:r w:rsidRPr="00B605E7">
        <w:rPr>
          <w:rFonts w:eastAsia="等线"/>
          <w:kern w:val="2"/>
          <w:lang w:val="en-US" w:eastAsia="zh-CN"/>
        </w:rPr>
        <w:t xml:space="preserve"> 2015; </w:t>
      </w:r>
      <w:r w:rsidRPr="00B605E7">
        <w:rPr>
          <w:rFonts w:eastAsia="等线"/>
          <w:b/>
          <w:kern w:val="2"/>
          <w:lang w:val="en-US" w:eastAsia="zh-CN"/>
        </w:rPr>
        <w:t>13</w:t>
      </w:r>
      <w:r w:rsidRPr="00B605E7">
        <w:rPr>
          <w:rFonts w:eastAsia="等线"/>
          <w:kern w:val="2"/>
          <w:lang w:val="en-US" w:eastAsia="zh-CN"/>
        </w:rPr>
        <w:t>: 47 [PMID: 25638150 DOI: 10.1186/s12967-015-0410-7]</w:t>
      </w:r>
    </w:p>
    <w:p w14:paraId="011FFD97"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lastRenderedPageBreak/>
        <w:t xml:space="preserve">90 </w:t>
      </w:r>
      <w:r w:rsidRPr="00B605E7">
        <w:rPr>
          <w:rFonts w:eastAsia="等线"/>
          <w:b/>
          <w:kern w:val="2"/>
          <w:lang w:val="en-US" w:eastAsia="zh-CN"/>
        </w:rPr>
        <w:t>Elliott LA</w:t>
      </w:r>
      <w:r w:rsidRPr="00B605E7">
        <w:rPr>
          <w:rFonts w:eastAsia="等线"/>
          <w:kern w:val="2"/>
          <w:lang w:val="en-US" w:eastAsia="zh-CN"/>
        </w:rPr>
        <w:t xml:space="preserve">, Doherty GA, Sheahan K, Ryan EJ. Human Tumor-Infiltrating Myeloid Cells: Phenotypic and Functional Diversity. </w:t>
      </w:r>
      <w:r w:rsidRPr="00B605E7">
        <w:rPr>
          <w:rFonts w:eastAsia="等线"/>
          <w:i/>
          <w:kern w:val="2"/>
          <w:lang w:val="en-US" w:eastAsia="zh-CN"/>
        </w:rPr>
        <w:t>Front Immunol</w:t>
      </w:r>
      <w:r w:rsidRPr="00B605E7">
        <w:rPr>
          <w:rFonts w:eastAsia="等线"/>
          <w:kern w:val="2"/>
          <w:lang w:val="en-US" w:eastAsia="zh-CN"/>
        </w:rPr>
        <w:t xml:space="preserve"> 2017; </w:t>
      </w:r>
      <w:r w:rsidRPr="00B605E7">
        <w:rPr>
          <w:rFonts w:eastAsia="等线"/>
          <w:b/>
          <w:kern w:val="2"/>
          <w:lang w:val="en-US" w:eastAsia="zh-CN"/>
        </w:rPr>
        <w:t>8</w:t>
      </w:r>
      <w:r w:rsidRPr="00B605E7">
        <w:rPr>
          <w:rFonts w:eastAsia="等线"/>
          <w:kern w:val="2"/>
          <w:lang w:val="en-US" w:eastAsia="zh-CN"/>
        </w:rPr>
        <w:t>: 86 [PMID: 28220123 DOI: 10.3389/fimmu.2017.00086]</w:t>
      </w:r>
    </w:p>
    <w:p w14:paraId="4350465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91 </w:t>
      </w:r>
      <w:r w:rsidRPr="00B605E7">
        <w:rPr>
          <w:rFonts w:eastAsia="等线"/>
          <w:b/>
          <w:kern w:val="2"/>
          <w:lang w:val="en-US" w:eastAsia="zh-CN"/>
        </w:rPr>
        <w:t>De Veirman K</w:t>
      </w:r>
      <w:r w:rsidRPr="00B605E7">
        <w:rPr>
          <w:rFonts w:eastAsia="等线"/>
          <w:kern w:val="2"/>
          <w:lang w:val="en-US" w:eastAsia="zh-CN"/>
        </w:rPr>
        <w:t xml:space="preserve">, Van Valckenborgh E, Lahmar Q, Geeraerts X, De Bruyne E, Menu E, Van Riet I, Vanderkerken K, Van Ginderachter JA. Myeloid-derived suppressor cells as therapeutic target in hematological malignancies. </w:t>
      </w:r>
      <w:r w:rsidRPr="00B605E7">
        <w:rPr>
          <w:rFonts w:eastAsia="等线"/>
          <w:i/>
          <w:kern w:val="2"/>
          <w:lang w:val="en-US" w:eastAsia="zh-CN"/>
        </w:rPr>
        <w:t>Front Oncol</w:t>
      </w:r>
      <w:r w:rsidRPr="00B605E7">
        <w:rPr>
          <w:rFonts w:eastAsia="等线"/>
          <w:kern w:val="2"/>
          <w:lang w:val="en-US" w:eastAsia="zh-CN"/>
        </w:rPr>
        <w:t xml:space="preserve"> 2014; </w:t>
      </w:r>
      <w:r w:rsidRPr="00B605E7">
        <w:rPr>
          <w:rFonts w:eastAsia="等线"/>
          <w:b/>
          <w:kern w:val="2"/>
          <w:lang w:val="en-US" w:eastAsia="zh-CN"/>
        </w:rPr>
        <w:t>4</w:t>
      </w:r>
      <w:r w:rsidRPr="00B605E7">
        <w:rPr>
          <w:rFonts w:eastAsia="等线"/>
          <w:kern w:val="2"/>
          <w:lang w:val="en-US" w:eastAsia="zh-CN"/>
        </w:rPr>
        <w:t>: 349 [PMID: 25538893 DOI: 10.3389/fonc.2014.00349]</w:t>
      </w:r>
    </w:p>
    <w:p w14:paraId="79A6BF07"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92 </w:t>
      </w:r>
      <w:r w:rsidRPr="00B605E7">
        <w:rPr>
          <w:rFonts w:eastAsia="等线"/>
          <w:b/>
          <w:kern w:val="2"/>
          <w:lang w:val="en-US" w:eastAsia="zh-CN"/>
        </w:rPr>
        <w:t>Munder M</w:t>
      </w:r>
      <w:r w:rsidRPr="00B605E7">
        <w:rPr>
          <w:rFonts w:eastAsia="等线"/>
          <w:kern w:val="2"/>
          <w:lang w:val="en-US" w:eastAsia="zh-CN"/>
        </w:rPr>
        <w:t xml:space="preserve">. Arginase: an emerging key player in the mammalian immune system. </w:t>
      </w:r>
      <w:r w:rsidRPr="00B605E7">
        <w:rPr>
          <w:rFonts w:eastAsia="等线"/>
          <w:i/>
          <w:kern w:val="2"/>
          <w:lang w:val="en-US" w:eastAsia="zh-CN"/>
        </w:rPr>
        <w:t>Br J Pharmacol</w:t>
      </w:r>
      <w:r w:rsidRPr="00B605E7">
        <w:rPr>
          <w:rFonts w:eastAsia="等线"/>
          <w:kern w:val="2"/>
          <w:lang w:val="en-US" w:eastAsia="zh-CN"/>
        </w:rPr>
        <w:t xml:space="preserve"> 2009; </w:t>
      </w:r>
      <w:r w:rsidRPr="00B605E7">
        <w:rPr>
          <w:rFonts w:eastAsia="等线"/>
          <w:b/>
          <w:kern w:val="2"/>
          <w:lang w:val="en-US" w:eastAsia="zh-CN"/>
        </w:rPr>
        <w:t>158</w:t>
      </w:r>
      <w:r w:rsidRPr="00B605E7">
        <w:rPr>
          <w:rFonts w:eastAsia="等线"/>
          <w:kern w:val="2"/>
          <w:lang w:val="en-US" w:eastAsia="zh-CN"/>
        </w:rPr>
        <w:t>: 638-651 [PMID: 19764983 DOI: 10.1111/j.1476-5381.2009.00291.x]</w:t>
      </w:r>
    </w:p>
    <w:p w14:paraId="0CFB575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93 </w:t>
      </w:r>
      <w:r w:rsidRPr="00B605E7">
        <w:rPr>
          <w:rFonts w:eastAsia="等线"/>
          <w:b/>
          <w:kern w:val="2"/>
          <w:lang w:val="en-US" w:eastAsia="zh-CN"/>
        </w:rPr>
        <w:t>Labadie BW</w:t>
      </w:r>
      <w:r w:rsidRPr="00B605E7">
        <w:rPr>
          <w:rFonts w:eastAsia="等线"/>
          <w:kern w:val="2"/>
          <w:lang w:val="en-US" w:eastAsia="zh-CN"/>
        </w:rPr>
        <w:t xml:space="preserve">, Bao R, Luke JJ. Reimagining IDO Pathway Inhibition in Cancer Immunotherapy via Downstream Focus on the Tryptophan-Kynurenine-Aryl Hydrocarbon Axis. </w:t>
      </w:r>
      <w:r w:rsidRPr="00B605E7">
        <w:rPr>
          <w:rFonts w:eastAsia="等线"/>
          <w:i/>
          <w:kern w:val="2"/>
          <w:lang w:val="en-US" w:eastAsia="zh-CN"/>
        </w:rPr>
        <w:t>Clin Cancer Res</w:t>
      </w:r>
      <w:r w:rsidRPr="00B605E7">
        <w:rPr>
          <w:rFonts w:eastAsia="等线"/>
          <w:kern w:val="2"/>
          <w:lang w:val="en-US" w:eastAsia="zh-CN"/>
        </w:rPr>
        <w:t xml:space="preserve"> 2019; </w:t>
      </w:r>
      <w:r w:rsidRPr="00B605E7">
        <w:rPr>
          <w:rFonts w:eastAsia="等线"/>
          <w:b/>
          <w:kern w:val="2"/>
          <w:lang w:val="en-US" w:eastAsia="zh-CN"/>
        </w:rPr>
        <w:t>25</w:t>
      </w:r>
      <w:r w:rsidRPr="00B605E7">
        <w:rPr>
          <w:rFonts w:eastAsia="等线"/>
          <w:kern w:val="2"/>
          <w:lang w:val="en-US" w:eastAsia="zh-CN"/>
        </w:rPr>
        <w:t>: 1462-1471 [PMID: 30377198 DOI: 10.1158/1078-0432.ccr-18-2882]</w:t>
      </w:r>
    </w:p>
    <w:p w14:paraId="2151AE4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94 </w:t>
      </w:r>
      <w:r w:rsidRPr="00B605E7">
        <w:rPr>
          <w:rFonts w:eastAsia="等线"/>
          <w:b/>
          <w:kern w:val="2"/>
          <w:lang w:val="en-US" w:eastAsia="zh-CN"/>
        </w:rPr>
        <w:t>Väyrynen JP</w:t>
      </w:r>
      <w:r w:rsidRPr="00B605E7">
        <w:rPr>
          <w:rFonts w:eastAsia="等线"/>
          <w:kern w:val="2"/>
          <w:lang w:val="en-US" w:eastAsia="zh-CN"/>
        </w:rPr>
        <w:t xml:space="preserve">, Tuomisto A, Mäkinen MJ. Regulatory mechanisms of T cell activation-From basic research discoveries to a new principle of cancer therapy and the Nobel Prize. </w:t>
      </w:r>
      <w:r w:rsidRPr="00B605E7">
        <w:rPr>
          <w:rFonts w:eastAsia="等线"/>
          <w:i/>
          <w:kern w:val="2"/>
          <w:lang w:val="en-US" w:eastAsia="zh-CN"/>
        </w:rPr>
        <w:t>Acta Physiol (Oxf)</w:t>
      </w:r>
      <w:r w:rsidRPr="00B605E7">
        <w:rPr>
          <w:rFonts w:eastAsia="等线"/>
          <w:kern w:val="2"/>
          <w:lang w:val="en-US" w:eastAsia="zh-CN"/>
        </w:rPr>
        <w:t xml:space="preserve"> 2019; </w:t>
      </w:r>
      <w:r w:rsidRPr="00B605E7">
        <w:rPr>
          <w:rFonts w:eastAsia="等线"/>
          <w:b/>
          <w:kern w:val="2"/>
          <w:lang w:val="en-US" w:eastAsia="zh-CN"/>
        </w:rPr>
        <w:t>225</w:t>
      </w:r>
      <w:r w:rsidRPr="00B605E7">
        <w:rPr>
          <w:rFonts w:eastAsia="等线"/>
          <w:kern w:val="2"/>
          <w:lang w:val="en-US" w:eastAsia="zh-CN"/>
        </w:rPr>
        <w:t>: e13224 [PMID: 30471201 DOI: 10.1111/apha.13224]</w:t>
      </w:r>
    </w:p>
    <w:p w14:paraId="5598545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95 </w:t>
      </w:r>
      <w:r w:rsidRPr="00B605E7">
        <w:rPr>
          <w:rFonts w:eastAsia="等线"/>
          <w:b/>
          <w:kern w:val="2"/>
          <w:lang w:val="en-US" w:eastAsia="zh-CN"/>
        </w:rPr>
        <w:t>Ballbach M</w:t>
      </w:r>
      <w:r w:rsidRPr="00B605E7">
        <w:rPr>
          <w:rFonts w:eastAsia="等线"/>
          <w:kern w:val="2"/>
          <w:lang w:val="en-US" w:eastAsia="zh-CN"/>
        </w:rPr>
        <w:t xml:space="preserve">, Dannert A, Singh A, Siegmund DM, Handgretinger R, Piali L, Rieber N, Hartl D. Expression of checkpoint molecules on myeloid-derived suppressor cells. </w:t>
      </w:r>
      <w:r w:rsidRPr="00B605E7">
        <w:rPr>
          <w:rFonts w:eastAsia="等线"/>
          <w:i/>
          <w:kern w:val="2"/>
          <w:lang w:val="en-US" w:eastAsia="zh-CN"/>
        </w:rPr>
        <w:t>Immunol Lett</w:t>
      </w:r>
      <w:r w:rsidRPr="00B605E7">
        <w:rPr>
          <w:rFonts w:eastAsia="等线"/>
          <w:kern w:val="2"/>
          <w:lang w:val="en-US" w:eastAsia="zh-CN"/>
        </w:rPr>
        <w:t xml:space="preserve"> 2017; </w:t>
      </w:r>
      <w:r w:rsidRPr="00B605E7">
        <w:rPr>
          <w:rFonts w:eastAsia="等线"/>
          <w:b/>
          <w:kern w:val="2"/>
          <w:lang w:val="en-US" w:eastAsia="zh-CN"/>
        </w:rPr>
        <w:t>192</w:t>
      </w:r>
      <w:r w:rsidRPr="00B605E7">
        <w:rPr>
          <w:rFonts w:eastAsia="等线"/>
          <w:kern w:val="2"/>
          <w:lang w:val="en-US" w:eastAsia="zh-CN"/>
        </w:rPr>
        <w:t>: 1-6 [PMID: 28987474 DOI: 10.1016/j.imlet.2017.10.001]</w:t>
      </w:r>
    </w:p>
    <w:p w14:paraId="4FE8EA1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96 </w:t>
      </w:r>
      <w:r w:rsidRPr="00B605E7">
        <w:rPr>
          <w:rFonts w:eastAsia="等线"/>
          <w:b/>
          <w:kern w:val="2"/>
          <w:lang w:val="en-US" w:eastAsia="zh-CN"/>
        </w:rPr>
        <w:t>Freeman GJ</w:t>
      </w:r>
      <w:r w:rsidRPr="00B605E7">
        <w:rPr>
          <w:rFonts w:eastAsia="等线"/>
          <w:kern w:val="2"/>
          <w:lang w:val="en-US" w:eastAsia="zh-CN"/>
        </w:rPr>
        <w:t xml:space="preserve">, Long AJ, Iwai Y, Bourque K, Chernova T, Nishimura H, Fitz LJ, Malenkovich N, Okazaki T, Byrne MC, Horton HF, Fouser L, Carter L, Ling V, Bowman MR, Carreno BM, Collins M, Wood CR, Honjo T. Engagement of the PD-1 immunoinhibitory receptor by a novel B7 family member leads to negative regulation of lymphocyte activation. </w:t>
      </w:r>
      <w:r w:rsidRPr="00B605E7">
        <w:rPr>
          <w:rFonts w:eastAsia="等线"/>
          <w:i/>
          <w:kern w:val="2"/>
          <w:lang w:val="en-US" w:eastAsia="zh-CN"/>
        </w:rPr>
        <w:t>J Exp Med</w:t>
      </w:r>
      <w:r w:rsidRPr="00B605E7">
        <w:rPr>
          <w:rFonts w:eastAsia="等线"/>
          <w:kern w:val="2"/>
          <w:lang w:val="en-US" w:eastAsia="zh-CN"/>
        </w:rPr>
        <w:t xml:space="preserve"> 2000; </w:t>
      </w:r>
      <w:r w:rsidRPr="00B605E7">
        <w:rPr>
          <w:rFonts w:eastAsia="等线"/>
          <w:b/>
          <w:kern w:val="2"/>
          <w:lang w:val="en-US" w:eastAsia="zh-CN"/>
        </w:rPr>
        <w:t>192</w:t>
      </w:r>
      <w:r w:rsidRPr="00B605E7">
        <w:rPr>
          <w:rFonts w:eastAsia="等线"/>
          <w:kern w:val="2"/>
          <w:lang w:val="en-US" w:eastAsia="zh-CN"/>
        </w:rPr>
        <w:t>: 1027-1034 [PMID: 11015443 DOI: 10.1084/jem.192.7.1027]</w:t>
      </w:r>
    </w:p>
    <w:p w14:paraId="356A708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97 </w:t>
      </w:r>
      <w:r w:rsidRPr="00B605E7">
        <w:rPr>
          <w:rFonts w:eastAsia="等线"/>
          <w:b/>
          <w:kern w:val="2"/>
          <w:lang w:val="en-US" w:eastAsia="zh-CN"/>
        </w:rPr>
        <w:t>McSorley ST</w:t>
      </w:r>
      <w:r w:rsidRPr="00B605E7">
        <w:rPr>
          <w:rFonts w:eastAsia="等线"/>
          <w:kern w:val="2"/>
          <w:lang w:val="en-US" w:eastAsia="zh-CN"/>
        </w:rPr>
        <w:t xml:space="preserve">, Johnstone M, Steele CW, Roxburgh CSD, Horgan PG, McMillan DC, Mansouri D. Normocytic anaemia is associated with systemic inflammation and poorer survival in patients with colorectal cancer treated with curative intent. </w:t>
      </w:r>
      <w:r w:rsidRPr="00B605E7">
        <w:rPr>
          <w:rFonts w:eastAsia="等线"/>
          <w:i/>
          <w:kern w:val="2"/>
          <w:lang w:val="en-US" w:eastAsia="zh-CN"/>
        </w:rPr>
        <w:t>Int J Colorectal Dis</w:t>
      </w:r>
      <w:r w:rsidRPr="00B605E7">
        <w:rPr>
          <w:rFonts w:eastAsia="等线"/>
          <w:kern w:val="2"/>
          <w:lang w:val="en-US" w:eastAsia="zh-CN"/>
        </w:rPr>
        <w:t xml:space="preserve"> 2019; </w:t>
      </w:r>
      <w:r w:rsidRPr="00B605E7">
        <w:rPr>
          <w:rFonts w:eastAsia="等线"/>
          <w:b/>
          <w:kern w:val="2"/>
          <w:lang w:val="en-US" w:eastAsia="zh-CN"/>
        </w:rPr>
        <w:t>34</w:t>
      </w:r>
      <w:r w:rsidRPr="00B605E7">
        <w:rPr>
          <w:rFonts w:eastAsia="等线"/>
          <w:kern w:val="2"/>
          <w:lang w:val="en-US" w:eastAsia="zh-CN"/>
        </w:rPr>
        <w:t>: 401-408 [PMID: 30515556 DOI: 10.1007/s00384-018-3211-7]</w:t>
      </w:r>
    </w:p>
    <w:p w14:paraId="4F6C50B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98 </w:t>
      </w:r>
      <w:r w:rsidRPr="00B605E7">
        <w:rPr>
          <w:rFonts w:eastAsia="等线"/>
          <w:b/>
          <w:kern w:val="2"/>
          <w:lang w:val="en-US" w:eastAsia="zh-CN"/>
        </w:rPr>
        <w:t>Väyrynen JP</w:t>
      </w:r>
      <w:r w:rsidRPr="00B605E7">
        <w:rPr>
          <w:rFonts w:eastAsia="等线"/>
          <w:kern w:val="2"/>
          <w:lang w:val="en-US" w:eastAsia="zh-CN"/>
        </w:rPr>
        <w:t xml:space="preserve">, Tuomisto A, Väyrynen SA, Klintrup K, Karhu T, Mäkelä J, Herzig KH, Karttunen TJ, Mäkinen MJ. Preoperative anemia in colorectal cancer: relationships with tumor characteristics, systemic inflammation, and survival. </w:t>
      </w:r>
      <w:r w:rsidRPr="00B605E7">
        <w:rPr>
          <w:rFonts w:eastAsia="等线"/>
          <w:i/>
          <w:kern w:val="2"/>
          <w:lang w:val="en-US" w:eastAsia="zh-CN"/>
        </w:rPr>
        <w:t>Sci Rep</w:t>
      </w:r>
      <w:r w:rsidRPr="00B605E7">
        <w:rPr>
          <w:rFonts w:eastAsia="等线"/>
          <w:kern w:val="2"/>
          <w:lang w:val="en-US" w:eastAsia="zh-CN"/>
        </w:rPr>
        <w:t xml:space="preserve"> 2018; </w:t>
      </w:r>
      <w:r w:rsidRPr="00B605E7">
        <w:rPr>
          <w:rFonts w:eastAsia="等线"/>
          <w:b/>
          <w:kern w:val="2"/>
          <w:lang w:val="en-US" w:eastAsia="zh-CN"/>
        </w:rPr>
        <w:t>8</w:t>
      </w:r>
      <w:r w:rsidRPr="00B605E7">
        <w:rPr>
          <w:rFonts w:eastAsia="等线"/>
          <w:kern w:val="2"/>
          <w:lang w:val="en-US" w:eastAsia="zh-CN"/>
        </w:rPr>
        <w:t xml:space="preserve">: 1126 [PMID: </w:t>
      </w:r>
      <w:r w:rsidRPr="00B605E7">
        <w:rPr>
          <w:rFonts w:eastAsia="等线"/>
          <w:kern w:val="2"/>
          <w:lang w:val="en-US" w:eastAsia="zh-CN"/>
        </w:rPr>
        <w:lastRenderedPageBreak/>
        <w:t>29348549 DOI: 10.1038/s41598-018-19572-y]</w:t>
      </w:r>
    </w:p>
    <w:p w14:paraId="0960B27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99 </w:t>
      </w:r>
      <w:r w:rsidRPr="00B605E7">
        <w:rPr>
          <w:rFonts w:eastAsia="等线"/>
          <w:b/>
          <w:kern w:val="2"/>
          <w:lang w:val="en-US" w:eastAsia="zh-CN"/>
        </w:rPr>
        <w:t>McSorley ST</w:t>
      </w:r>
      <w:r w:rsidRPr="00B605E7">
        <w:rPr>
          <w:rFonts w:eastAsia="等线"/>
          <w:kern w:val="2"/>
          <w:lang w:val="en-US" w:eastAsia="zh-CN"/>
        </w:rPr>
        <w:t xml:space="preserve">, Tham A, Steele CW, Dolan RD, Roxburgh CS, Horgan PG, McMillan DC. Quantitative data on red cell measures of iron status and their relation to the magnitude of the systemic inflammatory response and survival in patients with colorectal cancer. </w:t>
      </w:r>
      <w:r w:rsidRPr="00B605E7">
        <w:rPr>
          <w:rFonts w:eastAsia="等线"/>
          <w:i/>
          <w:kern w:val="2"/>
          <w:lang w:val="en-US" w:eastAsia="zh-CN"/>
        </w:rPr>
        <w:t>Eur J Surg Oncol</w:t>
      </w:r>
      <w:r w:rsidRPr="00B605E7">
        <w:rPr>
          <w:rFonts w:eastAsia="等线"/>
          <w:kern w:val="2"/>
          <w:lang w:val="en-US" w:eastAsia="zh-CN"/>
        </w:rPr>
        <w:t xml:space="preserve"> 2019; </w:t>
      </w:r>
      <w:r w:rsidRPr="00B605E7">
        <w:rPr>
          <w:rFonts w:eastAsia="等线"/>
          <w:b/>
          <w:kern w:val="2"/>
          <w:lang w:val="en-US" w:eastAsia="zh-CN"/>
        </w:rPr>
        <w:t>45</w:t>
      </w:r>
      <w:r w:rsidRPr="00B605E7">
        <w:rPr>
          <w:rFonts w:eastAsia="等线"/>
          <w:kern w:val="2"/>
          <w:lang w:val="en-US" w:eastAsia="zh-CN"/>
        </w:rPr>
        <w:t>: 1205-1211 [PMID: 30850153 DOI: 10.1016/j.ejso.2019.02.027]</w:t>
      </w:r>
    </w:p>
    <w:p w14:paraId="5DAAD44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100 </w:t>
      </w:r>
      <w:r w:rsidRPr="00B605E7">
        <w:rPr>
          <w:rFonts w:eastAsia="等线"/>
          <w:b/>
          <w:kern w:val="2"/>
          <w:lang w:val="en-US" w:eastAsia="zh-CN"/>
        </w:rPr>
        <w:t>Zorzi M</w:t>
      </w:r>
      <w:r w:rsidRPr="00B605E7">
        <w:rPr>
          <w:rFonts w:eastAsia="等线"/>
          <w:kern w:val="2"/>
          <w:lang w:val="en-US" w:eastAsia="zh-CN"/>
        </w:rPr>
        <w:t xml:space="preserve">, Fedato C, Grazzini G, Stocco FC, Banovich F, Bortoli A, Cazzola L, Montaguti A, Moretto T, Zappa M, Vettorazzi M. High sensitivity of five colorectal screening programmes with faecal immunochemical test in the Veneto Region, Italy. </w:t>
      </w:r>
      <w:r w:rsidRPr="00B605E7">
        <w:rPr>
          <w:rFonts w:eastAsia="等线"/>
          <w:i/>
          <w:kern w:val="2"/>
          <w:lang w:val="en-US" w:eastAsia="zh-CN"/>
        </w:rPr>
        <w:t>Gut</w:t>
      </w:r>
      <w:r w:rsidRPr="00B605E7">
        <w:rPr>
          <w:rFonts w:eastAsia="等线"/>
          <w:kern w:val="2"/>
          <w:lang w:val="en-US" w:eastAsia="zh-CN"/>
        </w:rPr>
        <w:t xml:space="preserve"> 2011; </w:t>
      </w:r>
      <w:r w:rsidRPr="00B605E7">
        <w:rPr>
          <w:rFonts w:eastAsia="等线"/>
          <w:b/>
          <w:kern w:val="2"/>
          <w:lang w:val="en-US" w:eastAsia="zh-CN"/>
        </w:rPr>
        <w:t>60</w:t>
      </w:r>
      <w:r w:rsidRPr="00B605E7">
        <w:rPr>
          <w:rFonts w:eastAsia="等线"/>
          <w:kern w:val="2"/>
          <w:lang w:val="en-US" w:eastAsia="zh-CN"/>
        </w:rPr>
        <w:t>: 944-949 [PMID: 21193461 DOI: 10.1136/gut.2010.223982]</w:t>
      </w:r>
    </w:p>
    <w:p w14:paraId="7D9F3E5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101 </w:t>
      </w:r>
      <w:r w:rsidRPr="00B605E7">
        <w:rPr>
          <w:rFonts w:eastAsia="等线"/>
          <w:b/>
          <w:kern w:val="2"/>
          <w:lang w:val="en-US" w:eastAsia="zh-CN"/>
        </w:rPr>
        <w:t>Roy CN</w:t>
      </w:r>
      <w:r w:rsidRPr="00B605E7">
        <w:rPr>
          <w:rFonts w:eastAsia="等线"/>
          <w:kern w:val="2"/>
          <w:lang w:val="en-US" w:eastAsia="zh-CN"/>
        </w:rPr>
        <w:t xml:space="preserve">, Andrews NC. Anemia of inflammation: the hepcidin link. </w:t>
      </w:r>
      <w:r w:rsidRPr="00B605E7">
        <w:rPr>
          <w:rFonts w:eastAsia="等线"/>
          <w:i/>
          <w:kern w:val="2"/>
          <w:lang w:val="en-US" w:eastAsia="zh-CN"/>
        </w:rPr>
        <w:t>Curr Opin Hematol</w:t>
      </w:r>
      <w:r w:rsidRPr="00B605E7">
        <w:rPr>
          <w:rFonts w:eastAsia="等线"/>
          <w:kern w:val="2"/>
          <w:lang w:val="en-US" w:eastAsia="zh-CN"/>
        </w:rPr>
        <w:t xml:space="preserve"> 2005; </w:t>
      </w:r>
      <w:r w:rsidRPr="00B605E7">
        <w:rPr>
          <w:rFonts w:eastAsia="等线"/>
          <w:b/>
          <w:kern w:val="2"/>
          <w:lang w:val="en-US" w:eastAsia="zh-CN"/>
        </w:rPr>
        <w:t>12</w:t>
      </w:r>
      <w:r w:rsidRPr="00B605E7">
        <w:rPr>
          <w:rFonts w:eastAsia="等线"/>
          <w:kern w:val="2"/>
          <w:lang w:val="en-US" w:eastAsia="zh-CN"/>
        </w:rPr>
        <w:t>: 107-111 [PMID: 15725899]</w:t>
      </w:r>
    </w:p>
    <w:p w14:paraId="6128CFC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102 </w:t>
      </w:r>
      <w:r w:rsidRPr="00B605E7">
        <w:rPr>
          <w:rFonts w:eastAsia="等线"/>
          <w:b/>
          <w:kern w:val="2"/>
          <w:lang w:val="en-US" w:eastAsia="zh-CN"/>
        </w:rPr>
        <w:t>Weiss G</w:t>
      </w:r>
      <w:r w:rsidRPr="00B605E7">
        <w:rPr>
          <w:rFonts w:eastAsia="等线"/>
          <w:kern w:val="2"/>
          <w:lang w:val="en-US" w:eastAsia="zh-CN"/>
        </w:rPr>
        <w:t xml:space="preserve">, Ganz T, Goodnough LT. Anemia of inflammation. </w:t>
      </w:r>
      <w:r w:rsidRPr="00B605E7">
        <w:rPr>
          <w:rFonts w:eastAsia="等线"/>
          <w:i/>
          <w:kern w:val="2"/>
          <w:lang w:val="en-US" w:eastAsia="zh-CN"/>
        </w:rPr>
        <w:t>Blood</w:t>
      </w:r>
      <w:r w:rsidRPr="00B605E7">
        <w:rPr>
          <w:rFonts w:eastAsia="等线"/>
          <w:kern w:val="2"/>
          <w:lang w:val="en-US" w:eastAsia="zh-CN"/>
        </w:rPr>
        <w:t xml:space="preserve"> 2019; </w:t>
      </w:r>
      <w:r w:rsidRPr="00B605E7">
        <w:rPr>
          <w:rFonts w:eastAsia="等线"/>
          <w:b/>
          <w:kern w:val="2"/>
          <w:lang w:val="en-US" w:eastAsia="zh-CN"/>
        </w:rPr>
        <w:t>133</w:t>
      </w:r>
      <w:r w:rsidRPr="00B605E7">
        <w:rPr>
          <w:rFonts w:eastAsia="等线"/>
          <w:kern w:val="2"/>
          <w:lang w:val="en-US" w:eastAsia="zh-CN"/>
        </w:rPr>
        <w:t>: 40-50 [PMID: 30401705 DOI: 10.1182/blood-2018-06-856500]</w:t>
      </w:r>
    </w:p>
    <w:p w14:paraId="75B6E1B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103 </w:t>
      </w:r>
      <w:r w:rsidRPr="00B605E7">
        <w:rPr>
          <w:rFonts w:eastAsia="等线"/>
          <w:b/>
          <w:kern w:val="2"/>
          <w:lang w:val="en-US" w:eastAsia="zh-CN"/>
        </w:rPr>
        <w:t>Weiss G</w:t>
      </w:r>
      <w:r w:rsidRPr="00B605E7">
        <w:rPr>
          <w:rFonts w:eastAsia="等线"/>
          <w:kern w:val="2"/>
          <w:lang w:val="en-US" w:eastAsia="zh-CN"/>
        </w:rPr>
        <w:t xml:space="preserve">, Goodnough LT. Anemia of chronic disease. </w:t>
      </w:r>
      <w:r w:rsidRPr="00B605E7">
        <w:rPr>
          <w:rFonts w:eastAsia="等线"/>
          <w:i/>
          <w:kern w:val="2"/>
          <w:lang w:val="en-US" w:eastAsia="zh-CN"/>
        </w:rPr>
        <w:t>N Engl J Med</w:t>
      </w:r>
      <w:r w:rsidRPr="00B605E7">
        <w:rPr>
          <w:rFonts w:eastAsia="等线"/>
          <w:kern w:val="2"/>
          <w:lang w:val="en-US" w:eastAsia="zh-CN"/>
        </w:rPr>
        <w:t xml:space="preserve"> 2005; </w:t>
      </w:r>
      <w:r w:rsidRPr="00B605E7">
        <w:rPr>
          <w:rFonts w:eastAsia="等线"/>
          <w:b/>
          <w:kern w:val="2"/>
          <w:lang w:val="en-US" w:eastAsia="zh-CN"/>
        </w:rPr>
        <w:t>352</w:t>
      </w:r>
      <w:r w:rsidRPr="00B605E7">
        <w:rPr>
          <w:rFonts w:eastAsia="等线"/>
          <w:kern w:val="2"/>
          <w:lang w:val="en-US" w:eastAsia="zh-CN"/>
        </w:rPr>
        <w:t>: 1011-1023 [PMID: 15758012 DOI: 10.1056/NEJMra041809]</w:t>
      </w:r>
    </w:p>
    <w:p w14:paraId="03FE626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104 </w:t>
      </w:r>
      <w:r w:rsidRPr="00B605E7">
        <w:rPr>
          <w:rFonts w:eastAsia="等线"/>
          <w:b/>
          <w:kern w:val="2"/>
          <w:lang w:val="en-US" w:eastAsia="zh-CN"/>
        </w:rPr>
        <w:t>Spivak JL</w:t>
      </w:r>
      <w:r w:rsidRPr="00B605E7">
        <w:rPr>
          <w:rFonts w:eastAsia="等线"/>
          <w:kern w:val="2"/>
          <w:lang w:val="en-US" w:eastAsia="zh-CN"/>
        </w:rPr>
        <w:t xml:space="preserve">. The anaemia of cancer: death by a thousand cuts. </w:t>
      </w:r>
      <w:r w:rsidRPr="00B605E7">
        <w:rPr>
          <w:rFonts w:eastAsia="等线"/>
          <w:i/>
          <w:kern w:val="2"/>
          <w:lang w:val="en-US" w:eastAsia="zh-CN"/>
        </w:rPr>
        <w:t>Nat Rev Cancer</w:t>
      </w:r>
      <w:r w:rsidRPr="00B605E7">
        <w:rPr>
          <w:rFonts w:eastAsia="等线"/>
          <w:kern w:val="2"/>
          <w:lang w:val="en-US" w:eastAsia="zh-CN"/>
        </w:rPr>
        <w:t xml:space="preserve"> 2005; </w:t>
      </w:r>
      <w:r w:rsidRPr="00B605E7">
        <w:rPr>
          <w:rFonts w:eastAsia="等线"/>
          <w:b/>
          <w:kern w:val="2"/>
          <w:lang w:val="en-US" w:eastAsia="zh-CN"/>
        </w:rPr>
        <w:t>5</w:t>
      </w:r>
      <w:r w:rsidRPr="00B605E7">
        <w:rPr>
          <w:rFonts w:eastAsia="等线"/>
          <w:kern w:val="2"/>
          <w:lang w:val="en-US" w:eastAsia="zh-CN"/>
        </w:rPr>
        <w:t>: 543-555 [PMID: 15965494 DOI: 10.1038/nrc1648]</w:t>
      </w:r>
    </w:p>
    <w:p w14:paraId="5111EE5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105 </w:t>
      </w:r>
      <w:r w:rsidRPr="00B605E7">
        <w:rPr>
          <w:rFonts w:eastAsia="等线"/>
          <w:b/>
          <w:kern w:val="2"/>
          <w:lang w:val="en-US" w:eastAsia="zh-CN"/>
        </w:rPr>
        <w:t>Siques P</w:t>
      </w:r>
      <w:r w:rsidRPr="00B605E7">
        <w:rPr>
          <w:rFonts w:eastAsia="等线"/>
          <w:kern w:val="2"/>
          <w:lang w:val="en-US" w:eastAsia="zh-CN"/>
        </w:rPr>
        <w:t xml:space="preserve">, Brito J, Naveas N, Pulido R, De la Cruz JJ, Mamani M, León-Velarde F. Plasma and liver lipid profiles in rats exposed to chronic hypobaric hypoxia: changes in metabolic pathways. </w:t>
      </w:r>
      <w:r w:rsidRPr="00B605E7">
        <w:rPr>
          <w:rFonts w:eastAsia="等线"/>
          <w:i/>
          <w:kern w:val="2"/>
          <w:lang w:val="en-US" w:eastAsia="zh-CN"/>
        </w:rPr>
        <w:t>High Alt Med Biol</w:t>
      </w:r>
      <w:r w:rsidRPr="00B605E7">
        <w:rPr>
          <w:rFonts w:eastAsia="等线"/>
          <w:kern w:val="2"/>
          <w:lang w:val="en-US" w:eastAsia="zh-CN"/>
        </w:rPr>
        <w:t xml:space="preserve"> 2014; </w:t>
      </w:r>
      <w:r w:rsidRPr="00B605E7">
        <w:rPr>
          <w:rFonts w:eastAsia="等线"/>
          <w:b/>
          <w:kern w:val="2"/>
          <w:lang w:val="en-US" w:eastAsia="zh-CN"/>
        </w:rPr>
        <w:t>15</w:t>
      </w:r>
      <w:r w:rsidRPr="00B605E7">
        <w:rPr>
          <w:rFonts w:eastAsia="等线"/>
          <w:kern w:val="2"/>
          <w:lang w:val="en-US" w:eastAsia="zh-CN"/>
        </w:rPr>
        <w:t>: 388-395 [PMID: 25185022 DOI: 10.1089/ham.2013.1134]</w:t>
      </w:r>
    </w:p>
    <w:p w14:paraId="37F1998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106 </w:t>
      </w:r>
      <w:r w:rsidRPr="00B605E7">
        <w:rPr>
          <w:rFonts w:eastAsia="等线"/>
          <w:b/>
          <w:kern w:val="2"/>
          <w:lang w:val="en-US" w:eastAsia="zh-CN"/>
        </w:rPr>
        <w:t>Joosse SA</w:t>
      </w:r>
      <w:r w:rsidRPr="00B605E7">
        <w:rPr>
          <w:rFonts w:eastAsia="等线"/>
          <w:kern w:val="2"/>
          <w:lang w:val="en-US" w:eastAsia="zh-CN"/>
        </w:rPr>
        <w:t xml:space="preserve">, Pantel K. Tumor-Educated Platelets as Liquid Biopsy in Cancer Patients. </w:t>
      </w:r>
      <w:r w:rsidRPr="00B605E7">
        <w:rPr>
          <w:rFonts w:eastAsia="等线"/>
          <w:i/>
          <w:kern w:val="2"/>
          <w:lang w:val="en-US" w:eastAsia="zh-CN"/>
        </w:rPr>
        <w:t>Cancer Cell</w:t>
      </w:r>
      <w:r w:rsidRPr="00B605E7">
        <w:rPr>
          <w:rFonts w:eastAsia="等线"/>
          <w:kern w:val="2"/>
          <w:lang w:val="en-US" w:eastAsia="zh-CN"/>
        </w:rPr>
        <w:t xml:space="preserve"> 2015; </w:t>
      </w:r>
      <w:r w:rsidRPr="00B605E7">
        <w:rPr>
          <w:rFonts w:eastAsia="等线"/>
          <w:b/>
          <w:kern w:val="2"/>
          <w:lang w:val="en-US" w:eastAsia="zh-CN"/>
        </w:rPr>
        <w:t>28</w:t>
      </w:r>
      <w:r w:rsidRPr="00B605E7">
        <w:rPr>
          <w:rFonts w:eastAsia="等线"/>
          <w:kern w:val="2"/>
          <w:lang w:val="en-US" w:eastAsia="zh-CN"/>
        </w:rPr>
        <w:t>: 552-554 [PMID: 26555171 DOI: 10.1016/j.ccell.2015.10.007]</w:t>
      </w:r>
    </w:p>
    <w:p w14:paraId="4A9AED8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107 </w:t>
      </w:r>
      <w:r w:rsidRPr="00B605E7">
        <w:rPr>
          <w:rFonts w:eastAsia="等线"/>
          <w:b/>
          <w:kern w:val="2"/>
          <w:lang w:val="en-US" w:eastAsia="zh-CN"/>
        </w:rPr>
        <w:t>Bailey SE</w:t>
      </w:r>
      <w:r w:rsidRPr="00B605E7">
        <w:rPr>
          <w:rFonts w:eastAsia="等线"/>
          <w:kern w:val="2"/>
          <w:lang w:val="en-US" w:eastAsia="zh-CN"/>
        </w:rPr>
        <w:t xml:space="preserve">, Ukoumunne OC, Shephard EA, Hamilton W. Clinical relevance of thrombocytosis in primary care: a prospective cohort study of cancer incidence using English electronic medical records and cancer registry data. </w:t>
      </w:r>
      <w:r w:rsidRPr="00B605E7">
        <w:rPr>
          <w:rFonts w:eastAsia="等线"/>
          <w:i/>
          <w:kern w:val="2"/>
          <w:lang w:val="en-US" w:eastAsia="zh-CN"/>
        </w:rPr>
        <w:t>Br J Gen Pract</w:t>
      </w:r>
      <w:r w:rsidRPr="00B605E7">
        <w:rPr>
          <w:rFonts w:eastAsia="等线"/>
          <w:kern w:val="2"/>
          <w:lang w:val="en-US" w:eastAsia="zh-CN"/>
        </w:rPr>
        <w:t xml:space="preserve"> 2017; </w:t>
      </w:r>
      <w:r w:rsidRPr="00B605E7">
        <w:rPr>
          <w:rFonts w:eastAsia="等线"/>
          <w:b/>
          <w:kern w:val="2"/>
          <w:lang w:val="en-US" w:eastAsia="zh-CN"/>
        </w:rPr>
        <w:t>67</w:t>
      </w:r>
      <w:r w:rsidRPr="00B605E7">
        <w:rPr>
          <w:rFonts w:eastAsia="等线"/>
          <w:kern w:val="2"/>
          <w:lang w:val="en-US" w:eastAsia="zh-CN"/>
        </w:rPr>
        <w:t>: e405-e413 [PMID: 28533199 DOI: 10.3399/bjgp17X691109]</w:t>
      </w:r>
    </w:p>
    <w:p w14:paraId="349699E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108 </w:t>
      </w:r>
      <w:r w:rsidRPr="00B605E7">
        <w:rPr>
          <w:rFonts w:eastAsia="等线"/>
          <w:b/>
          <w:kern w:val="2"/>
          <w:lang w:val="en-US" w:eastAsia="zh-CN"/>
        </w:rPr>
        <w:t>Plantureux L</w:t>
      </w:r>
      <w:r w:rsidRPr="00B605E7">
        <w:rPr>
          <w:rFonts w:eastAsia="等线"/>
          <w:kern w:val="2"/>
          <w:lang w:val="en-US" w:eastAsia="zh-CN"/>
        </w:rPr>
        <w:t xml:space="preserve">, Mège D, Crescence L, Dignat-George F, Dubois C, Panicot-Dubois L. Impacts of Cancer on Platelet Production, Activation and Education and Mechanisms of Cancer-Associated Thrombosis. </w:t>
      </w:r>
      <w:r w:rsidRPr="00B605E7">
        <w:rPr>
          <w:rFonts w:eastAsia="等线"/>
          <w:i/>
          <w:kern w:val="2"/>
          <w:lang w:val="en-US" w:eastAsia="zh-CN"/>
        </w:rPr>
        <w:t>Cancers (Basel)</w:t>
      </w:r>
      <w:r w:rsidRPr="00B605E7">
        <w:rPr>
          <w:rFonts w:eastAsia="等线"/>
          <w:kern w:val="2"/>
          <w:lang w:val="en-US" w:eastAsia="zh-CN"/>
        </w:rPr>
        <w:t xml:space="preserve"> 2018; </w:t>
      </w:r>
      <w:r w:rsidRPr="00B605E7">
        <w:rPr>
          <w:rFonts w:eastAsia="等线"/>
          <w:b/>
          <w:kern w:val="2"/>
          <w:lang w:val="en-US" w:eastAsia="zh-CN"/>
        </w:rPr>
        <w:t>10</w:t>
      </w:r>
      <w:r w:rsidRPr="00B605E7">
        <w:rPr>
          <w:rFonts w:eastAsia="等线"/>
          <w:kern w:val="2"/>
          <w:lang w:val="en-US" w:eastAsia="zh-CN"/>
        </w:rPr>
        <w:t>:  [PMID: 30441823 DOI: 10.3390/cancers10110441]</w:t>
      </w:r>
    </w:p>
    <w:p w14:paraId="109AE83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109 </w:t>
      </w:r>
      <w:r w:rsidRPr="00B605E7">
        <w:rPr>
          <w:rFonts w:eastAsia="等线"/>
          <w:b/>
          <w:kern w:val="2"/>
          <w:lang w:val="en-US" w:eastAsia="zh-CN"/>
        </w:rPr>
        <w:t>Schafer AI</w:t>
      </w:r>
      <w:r w:rsidRPr="00B605E7">
        <w:rPr>
          <w:rFonts w:eastAsia="等线"/>
          <w:kern w:val="2"/>
          <w:lang w:val="en-US" w:eastAsia="zh-CN"/>
        </w:rPr>
        <w:t xml:space="preserve">. Thrombocytosis. </w:t>
      </w:r>
      <w:r w:rsidRPr="00B605E7">
        <w:rPr>
          <w:rFonts w:eastAsia="等线"/>
          <w:i/>
          <w:kern w:val="2"/>
          <w:lang w:val="en-US" w:eastAsia="zh-CN"/>
        </w:rPr>
        <w:t>N Engl J Med</w:t>
      </w:r>
      <w:r w:rsidRPr="00B605E7">
        <w:rPr>
          <w:rFonts w:eastAsia="等线"/>
          <w:kern w:val="2"/>
          <w:lang w:val="en-US" w:eastAsia="zh-CN"/>
        </w:rPr>
        <w:t xml:space="preserve"> 2004; </w:t>
      </w:r>
      <w:r w:rsidRPr="00B605E7">
        <w:rPr>
          <w:rFonts w:eastAsia="等线"/>
          <w:b/>
          <w:kern w:val="2"/>
          <w:lang w:val="en-US" w:eastAsia="zh-CN"/>
        </w:rPr>
        <w:t>350</w:t>
      </w:r>
      <w:r w:rsidRPr="00B605E7">
        <w:rPr>
          <w:rFonts w:eastAsia="等线"/>
          <w:kern w:val="2"/>
          <w:lang w:val="en-US" w:eastAsia="zh-CN"/>
        </w:rPr>
        <w:t xml:space="preserve">: 1211-1219 [PMID: 15028825 DOI: </w:t>
      </w:r>
      <w:r w:rsidRPr="00B605E7">
        <w:rPr>
          <w:rFonts w:eastAsia="等线"/>
          <w:kern w:val="2"/>
          <w:lang w:val="en-US" w:eastAsia="zh-CN"/>
        </w:rPr>
        <w:lastRenderedPageBreak/>
        <w:t>10.1056/NEJMra035363]</w:t>
      </w:r>
    </w:p>
    <w:p w14:paraId="21CA7F4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110 </w:t>
      </w:r>
      <w:r w:rsidRPr="00B605E7">
        <w:rPr>
          <w:rFonts w:eastAsia="等线"/>
          <w:b/>
          <w:kern w:val="2"/>
          <w:lang w:val="en-US" w:eastAsia="zh-CN"/>
        </w:rPr>
        <w:t>Blair P</w:t>
      </w:r>
      <w:r w:rsidRPr="00B605E7">
        <w:rPr>
          <w:rFonts w:eastAsia="等线"/>
          <w:kern w:val="2"/>
          <w:lang w:val="en-US" w:eastAsia="zh-CN"/>
        </w:rPr>
        <w:t xml:space="preserve">, Flaumenhaft R. Platelet alpha-granules: basic biology and clinical correlates. </w:t>
      </w:r>
      <w:r w:rsidRPr="00B605E7">
        <w:rPr>
          <w:rFonts w:eastAsia="等线"/>
          <w:i/>
          <w:kern w:val="2"/>
          <w:lang w:val="en-US" w:eastAsia="zh-CN"/>
        </w:rPr>
        <w:t>Blood Rev</w:t>
      </w:r>
      <w:r w:rsidRPr="00B605E7">
        <w:rPr>
          <w:rFonts w:eastAsia="等线"/>
          <w:kern w:val="2"/>
          <w:lang w:val="en-US" w:eastAsia="zh-CN"/>
        </w:rPr>
        <w:t xml:space="preserve"> 2009; </w:t>
      </w:r>
      <w:r w:rsidRPr="00B605E7">
        <w:rPr>
          <w:rFonts w:eastAsia="等线"/>
          <w:b/>
          <w:kern w:val="2"/>
          <w:lang w:val="en-US" w:eastAsia="zh-CN"/>
        </w:rPr>
        <w:t>23</w:t>
      </w:r>
      <w:r w:rsidRPr="00B605E7">
        <w:rPr>
          <w:rFonts w:eastAsia="等线"/>
          <w:kern w:val="2"/>
          <w:lang w:val="en-US" w:eastAsia="zh-CN"/>
        </w:rPr>
        <w:t>: 177-189 [PMID: 19450911 DOI: 10.1016/j.blre.2009.04.001]</w:t>
      </w:r>
    </w:p>
    <w:p w14:paraId="7080F08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111 </w:t>
      </w:r>
      <w:r w:rsidRPr="00B605E7">
        <w:rPr>
          <w:rFonts w:eastAsia="等线"/>
          <w:b/>
          <w:kern w:val="2"/>
          <w:lang w:val="en-US" w:eastAsia="zh-CN"/>
        </w:rPr>
        <w:t>Whiteheart SW</w:t>
      </w:r>
      <w:r w:rsidRPr="00B605E7">
        <w:rPr>
          <w:rFonts w:eastAsia="等线"/>
          <w:kern w:val="2"/>
          <w:lang w:val="en-US" w:eastAsia="zh-CN"/>
        </w:rPr>
        <w:t xml:space="preserve">. Platelet granules: surprise packages. </w:t>
      </w:r>
      <w:r w:rsidRPr="00B605E7">
        <w:rPr>
          <w:rFonts w:eastAsia="等线"/>
          <w:i/>
          <w:kern w:val="2"/>
          <w:lang w:val="en-US" w:eastAsia="zh-CN"/>
        </w:rPr>
        <w:t>Blood</w:t>
      </w:r>
      <w:r w:rsidRPr="00B605E7">
        <w:rPr>
          <w:rFonts w:eastAsia="等线"/>
          <w:kern w:val="2"/>
          <w:lang w:val="en-US" w:eastAsia="zh-CN"/>
        </w:rPr>
        <w:t xml:space="preserve"> 2011; </w:t>
      </w:r>
      <w:r w:rsidRPr="00B605E7">
        <w:rPr>
          <w:rFonts w:eastAsia="等线"/>
          <w:b/>
          <w:kern w:val="2"/>
          <w:lang w:val="en-US" w:eastAsia="zh-CN"/>
        </w:rPr>
        <w:t>118</w:t>
      </w:r>
      <w:r w:rsidRPr="00B605E7">
        <w:rPr>
          <w:rFonts w:eastAsia="等线"/>
          <w:kern w:val="2"/>
          <w:lang w:val="en-US" w:eastAsia="zh-CN"/>
        </w:rPr>
        <w:t>: 1190-1191 [PMID: 21816838 DOI: 10.1182/blood-2011-06-359836]</w:t>
      </w:r>
    </w:p>
    <w:p w14:paraId="1D99287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112 </w:t>
      </w:r>
      <w:r w:rsidRPr="00B605E7">
        <w:rPr>
          <w:rFonts w:eastAsia="等线"/>
          <w:b/>
          <w:kern w:val="2"/>
          <w:lang w:val="en-US" w:eastAsia="zh-CN"/>
        </w:rPr>
        <w:t>Rowley JW</w:t>
      </w:r>
      <w:r w:rsidRPr="00B605E7">
        <w:rPr>
          <w:rFonts w:eastAsia="等线"/>
          <w:kern w:val="2"/>
          <w:lang w:val="en-US" w:eastAsia="zh-CN"/>
        </w:rPr>
        <w:t xml:space="preserve">, Schwertz H, Weyrich AS. Platelet mRNA:  the meaning behind the message. </w:t>
      </w:r>
      <w:r w:rsidRPr="00B605E7">
        <w:rPr>
          <w:rFonts w:eastAsia="等线"/>
          <w:i/>
          <w:kern w:val="2"/>
          <w:lang w:val="en-US" w:eastAsia="zh-CN"/>
        </w:rPr>
        <w:t>Curr Opin Hematol</w:t>
      </w:r>
      <w:r w:rsidRPr="00B605E7">
        <w:rPr>
          <w:rFonts w:eastAsia="等线"/>
          <w:kern w:val="2"/>
          <w:lang w:val="en-US" w:eastAsia="zh-CN"/>
        </w:rPr>
        <w:t xml:space="preserve"> 2012; </w:t>
      </w:r>
      <w:r w:rsidRPr="00B605E7">
        <w:rPr>
          <w:rFonts w:eastAsia="等线"/>
          <w:b/>
          <w:kern w:val="2"/>
          <w:lang w:val="en-US" w:eastAsia="zh-CN"/>
        </w:rPr>
        <w:t>19</w:t>
      </w:r>
      <w:r w:rsidRPr="00B605E7">
        <w:rPr>
          <w:rFonts w:eastAsia="等线"/>
          <w:kern w:val="2"/>
          <w:lang w:val="en-US" w:eastAsia="zh-CN"/>
        </w:rPr>
        <w:t>: 385-391 [PMID: 22814651 DOI: 10.1097/MOH.0b013e328357010e]</w:t>
      </w:r>
    </w:p>
    <w:p w14:paraId="17B13B0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113 </w:t>
      </w:r>
      <w:r w:rsidRPr="00B605E7">
        <w:rPr>
          <w:rFonts w:eastAsia="等线"/>
          <w:b/>
          <w:kern w:val="2"/>
          <w:lang w:val="en-US" w:eastAsia="zh-CN"/>
        </w:rPr>
        <w:t>Best MG</w:t>
      </w:r>
      <w:r w:rsidRPr="00B605E7">
        <w:rPr>
          <w:rFonts w:eastAsia="等线"/>
          <w:kern w:val="2"/>
          <w:lang w:val="en-US" w:eastAsia="zh-CN"/>
        </w:rPr>
        <w:t xml:space="preserve">, Sol N, Kooi I, Tannous J, Westerman BA, Rustenburg F, Schellen P, Verschueren H, Post E, Koster J, Ylstra B, Ameziane N, Dorsman J, Smit EF, Verheul HM, Noske DP, Reijneveld JC, Nilsson RJA, Tannous BA, Wesseling P, Wurdinger T. RNA-Seq of Tumor-Educated Platelets Enables Blood-Based Pan-Cancer, Multiclass, and Molecular Pathway Cancer Diagnostics. </w:t>
      </w:r>
      <w:r w:rsidRPr="00B605E7">
        <w:rPr>
          <w:rFonts w:eastAsia="等线"/>
          <w:i/>
          <w:kern w:val="2"/>
          <w:lang w:val="en-US" w:eastAsia="zh-CN"/>
        </w:rPr>
        <w:t>Cancer Cell</w:t>
      </w:r>
      <w:r w:rsidRPr="00B605E7">
        <w:rPr>
          <w:rFonts w:eastAsia="等线"/>
          <w:kern w:val="2"/>
          <w:lang w:val="en-US" w:eastAsia="zh-CN"/>
        </w:rPr>
        <w:t xml:space="preserve"> 2015; </w:t>
      </w:r>
      <w:r w:rsidRPr="00B605E7">
        <w:rPr>
          <w:rFonts w:eastAsia="等线"/>
          <w:b/>
          <w:kern w:val="2"/>
          <w:lang w:val="en-US" w:eastAsia="zh-CN"/>
        </w:rPr>
        <w:t>28</w:t>
      </w:r>
      <w:r w:rsidRPr="00B605E7">
        <w:rPr>
          <w:rFonts w:eastAsia="等线"/>
          <w:kern w:val="2"/>
          <w:lang w:val="en-US" w:eastAsia="zh-CN"/>
        </w:rPr>
        <w:t>: 666-676 [PMID: 26525104 DOI: 10.1016/j.ccell.2015.09.018]</w:t>
      </w:r>
    </w:p>
    <w:p w14:paraId="0531B24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114 </w:t>
      </w:r>
      <w:r w:rsidRPr="00B605E7">
        <w:rPr>
          <w:rFonts w:eastAsia="等线"/>
          <w:b/>
          <w:kern w:val="2"/>
          <w:lang w:val="en-US" w:eastAsia="zh-CN"/>
        </w:rPr>
        <w:t>Hugen N</w:t>
      </w:r>
      <w:r w:rsidRPr="00B605E7">
        <w:rPr>
          <w:rFonts w:eastAsia="等线"/>
          <w:kern w:val="2"/>
          <w:lang w:val="en-US" w:eastAsia="zh-CN"/>
        </w:rPr>
        <w:t xml:space="preserve">, Nagtegaal ID. Distinct metastatic patterns in colorectal cancer patients based on primary tumour location. </w:t>
      </w:r>
      <w:r w:rsidRPr="00B605E7">
        <w:rPr>
          <w:rFonts w:eastAsia="等线"/>
          <w:i/>
          <w:kern w:val="2"/>
          <w:lang w:val="en-US" w:eastAsia="zh-CN"/>
        </w:rPr>
        <w:t>Eur J Cancer</w:t>
      </w:r>
      <w:r w:rsidRPr="00B605E7">
        <w:rPr>
          <w:rFonts w:eastAsia="等线"/>
          <w:kern w:val="2"/>
          <w:lang w:val="en-US" w:eastAsia="zh-CN"/>
        </w:rPr>
        <w:t xml:space="preserve"> 2017; </w:t>
      </w:r>
      <w:r w:rsidRPr="00B605E7">
        <w:rPr>
          <w:rFonts w:eastAsia="等线"/>
          <w:b/>
          <w:kern w:val="2"/>
          <w:lang w:val="en-US" w:eastAsia="zh-CN"/>
        </w:rPr>
        <w:t>75</w:t>
      </w:r>
      <w:r w:rsidRPr="00B605E7">
        <w:rPr>
          <w:rFonts w:eastAsia="等线"/>
          <w:kern w:val="2"/>
          <w:lang w:val="en-US" w:eastAsia="zh-CN"/>
        </w:rPr>
        <w:t>: 3-4 [PMID: 28214423 DOI: 10.1016/j.ejca.2017.01.003]</w:t>
      </w:r>
    </w:p>
    <w:p w14:paraId="5E909BD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115 </w:t>
      </w:r>
      <w:r w:rsidRPr="00B605E7">
        <w:rPr>
          <w:rFonts w:eastAsia="等线"/>
          <w:b/>
          <w:kern w:val="2"/>
          <w:lang w:val="en-US" w:eastAsia="zh-CN"/>
        </w:rPr>
        <w:t>Kaplan RN</w:t>
      </w:r>
      <w:r w:rsidRPr="00B605E7">
        <w:rPr>
          <w:rFonts w:eastAsia="等线"/>
          <w:kern w:val="2"/>
          <w:lang w:val="en-US" w:eastAsia="zh-CN"/>
        </w:rPr>
        <w:t xml:space="preserve">, Riba RD, Zacharoulis S, Bramley AH, Vincent L, Costa C, MacDonald DD, Jin DK, Shido K, Kerns SA, Zhu Z, Hicklin D, Wu Y, Port JL, Altorki N, Port ER, Ruggero D, Shmelkov SV, Jensen KK, Rafii S, Lyden D. VEGFR1-positive haematopoietic bone marrow progenitors initiate the pre-metastatic niche. </w:t>
      </w:r>
      <w:r w:rsidRPr="00B605E7">
        <w:rPr>
          <w:rFonts w:eastAsia="等线"/>
          <w:i/>
          <w:kern w:val="2"/>
          <w:lang w:val="en-US" w:eastAsia="zh-CN"/>
        </w:rPr>
        <w:t>Nature</w:t>
      </w:r>
      <w:r w:rsidRPr="00B605E7">
        <w:rPr>
          <w:rFonts w:eastAsia="等线"/>
          <w:kern w:val="2"/>
          <w:lang w:val="en-US" w:eastAsia="zh-CN"/>
        </w:rPr>
        <w:t xml:space="preserve"> 2005; </w:t>
      </w:r>
      <w:r w:rsidRPr="00B605E7">
        <w:rPr>
          <w:rFonts w:eastAsia="等线"/>
          <w:b/>
          <w:kern w:val="2"/>
          <w:lang w:val="en-US" w:eastAsia="zh-CN"/>
        </w:rPr>
        <w:t>438</w:t>
      </w:r>
      <w:r w:rsidRPr="00B605E7">
        <w:rPr>
          <w:rFonts w:eastAsia="等线"/>
          <w:kern w:val="2"/>
          <w:lang w:val="en-US" w:eastAsia="zh-CN"/>
        </w:rPr>
        <w:t>: 820-827 [PMID: 16341007 DOI: 10.1038/nature04186]</w:t>
      </w:r>
    </w:p>
    <w:p w14:paraId="6CB674D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116 </w:t>
      </w:r>
      <w:r w:rsidRPr="00B605E7">
        <w:rPr>
          <w:rFonts w:eastAsia="等线"/>
          <w:b/>
          <w:kern w:val="2"/>
          <w:lang w:val="en-US" w:eastAsia="zh-CN"/>
        </w:rPr>
        <w:t>Liu Y</w:t>
      </w:r>
      <w:r w:rsidRPr="00B605E7">
        <w:rPr>
          <w:rFonts w:eastAsia="等线"/>
          <w:kern w:val="2"/>
          <w:lang w:val="en-US" w:eastAsia="zh-CN"/>
        </w:rPr>
        <w:t xml:space="preserve">, Cao X. Characteristics and Significance of the Pre-metastatic Niche. </w:t>
      </w:r>
      <w:r w:rsidRPr="00B605E7">
        <w:rPr>
          <w:rFonts w:eastAsia="等线"/>
          <w:i/>
          <w:kern w:val="2"/>
          <w:lang w:val="en-US" w:eastAsia="zh-CN"/>
        </w:rPr>
        <w:t>Cancer Cell</w:t>
      </w:r>
      <w:r w:rsidRPr="00B605E7">
        <w:rPr>
          <w:rFonts w:eastAsia="等线"/>
          <w:kern w:val="2"/>
          <w:lang w:val="en-US" w:eastAsia="zh-CN"/>
        </w:rPr>
        <w:t xml:space="preserve"> 2016; </w:t>
      </w:r>
      <w:r w:rsidRPr="00B605E7">
        <w:rPr>
          <w:rFonts w:eastAsia="等线"/>
          <w:b/>
          <w:kern w:val="2"/>
          <w:lang w:val="en-US" w:eastAsia="zh-CN"/>
        </w:rPr>
        <w:t>30</w:t>
      </w:r>
      <w:r w:rsidRPr="00B605E7">
        <w:rPr>
          <w:rFonts w:eastAsia="等线"/>
          <w:kern w:val="2"/>
          <w:lang w:val="en-US" w:eastAsia="zh-CN"/>
        </w:rPr>
        <w:t>: 668-681 [PMID: 27846389 DOI: 10.1016/j.ccell.2016.09.011]</w:t>
      </w:r>
    </w:p>
    <w:p w14:paraId="2EAD6D1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117 </w:t>
      </w:r>
      <w:r w:rsidRPr="00B605E7">
        <w:rPr>
          <w:rFonts w:eastAsia="等线"/>
          <w:b/>
          <w:kern w:val="2"/>
          <w:lang w:val="en-US" w:eastAsia="zh-CN"/>
        </w:rPr>
        <w:t>Seubert B</w:t>
      </w:r>
      <w:r w:rsidRPr="00B605E7">
        <w:rPr>
          <w:rFonts w:eastAsia="等线"/>
          <w:kern w:val="2"/>
          <w:lang w:val="en-US" w:eastAsia="zh-CN"/>
        </w:rPr>
        <w:t xml:space="preserve">, Grünwald B, Kobuch J, Cui H, Schelter F, Schaten S, Siveke JT, Lim NH, Nagase H, Simonavicius N, Heikenwalder M, Reinheckel T, Sleeman JP, Janssen KP, Knolle PA, Krüger A. Tissue inhibitor of metalloproteinases (TIMP)-1 creates a premetastatic niche in the liver through SDF-1/CXCR4-dependent neutrophil recruitment in mice. </w:t>
      </w:r>
      <w:r w:rsidRPr="00B605E7">
        <w:rPr>
          <w:rFonts w:eastAsia="等线"/>
          <w:i/>
          <w:kern w:val="2"/>
          <w:lang w:val="en-US" w:eastAsia="zh-CN"/>
        </w:rPr>
        <w:t>Hepatology</w:t>
      </w:r>
      <w:r w:rsidRPr="00B605E7">
        <w:rPr>
          <w:rFonts w:eastAsia="等线"/>
          <w:kern w:val="2"/>
          <w:lang w:val="en-US" w:eastAsia="zh-CN"/>
        </w:rPr>
        <w:t xml:space="preserve"> 2015; </w:t>
      </w:r>
      <w:r w:rsidRPr="00B605E7">
        <w:rPr>
          <w:rFonts w:eastAsia="等线"/>
          <w:b/>
          <w:kern w:val="2"/>
          <w:lang w:val="en-US" w:eastAsia="zh-CN"/>
        </w:rPr>
        <w:t>61</w:t>
      </w:r>
      <w:r w:rsidRPr="00B605E7">
        <w:rPr>
          <w:rFonts w:eastAsia="等线"/>
          <w:kern w:val="2"/>
          <w:lang w:val="en-US" w:eastAsia="zh-CN"/>
        </w:rPr>
        <w:t>: 238-248 [PMID: 25131778 DOI: 10.1002/hep.27378]</w:t>
      </w:r>
    </w:p>
    <w:p w14:paraId="4E3EF77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118 </w:t>
      </w:r>
      <w:r w:rsidRPr="00B605E7">
        <w:rPr>
          <w:rFonts w:eastAsia="等线"/>
          <w:b/>
          <w:kern w:val="2"/>
          <w:lang w:val="en-US" w:eastAsia="zh-CN"/>
        </w:rPr>
        <w:t>Shao Y</w:t>
      </w:r>
      <w:r w:rsidRPr="00B605E7">
        <w:rPr>
          <w:rFonts w:eastAsia="等线"/>
          <w:kern w:val="2"/>
          <w:lang w:val="en-US" w:eastAsia="zh-CN"/>
        </w:rPr>
        <w:t xml:space="preserve">, Chen T, Zheng X, Yang S, Xu K, Chen X, Xu F, Wang L, Shen Y, Wang T, Zhang M, Hu W, Ye C, Yu X, Shao J, Zheng S. Colorectal cancer-derived small extracellular vesicles establish an inflammatory premetastatic niche in liver metastasis. </w:t>
      </w:r>
      <w:r w:rsidRPr="00B605E7">
        <w:rPr>
          <w:rFonts w:eastAsia="等线"/>
          <w:i/>
          <w:kern w:val="2"/>
          <w:lang w:val="en-US" w:eastAsia="zh-CN"/>
        </w:rPr>
        <w:t>Carcinogenesis</w:t>
      </w:r>
      <w:r w:rsidRPr="00B605E7">
        <w:rPr>
          <w:rFonts w:eastAsia="等线"/>
          <w:kern w:val="2"/>
          <w:lang w:val="en-US" w:eastAsia="zh-CN"/>
        </w:rPr>
        <w:t xml:space="preserve"> 2018; </w:t>
      </w:r>
      <w:r w:rsidRPr="00B605E7">
        <w:rPr>
          <w:rFonts w:eastAsia="等线"/>
          <w:b/>
          <w:kern w:val="2"/>
          <w:lang w:val="en-US" w:eastAsia="zh-CN"/>
        </w:rPr>
        <w:t>39</w:t>
      </w:r>
      <w:r w:rsidRPr="00B605E7">
        <w:rPr>
          <w:rFonts w:eastAsia="等线"/>
          <w:kern w:val="2"/>
          <w:lang w:val="en-US" w:eastAsia="zh-CN"/>
        </w:rPr>
        <w:t xml:space="preserve">: </w:t>
      </w:r>
      <w:r w:rsidRPr="00B605E7">
        <w:rPr>
          <w:rFonts w:eastAsia="等线"/>
          <w:kern w:val="2"/>
          <w:lang w:val="en-US" w:eastAsia="zh-CN"/>
        </w:rPr>
        <w:lastRenderedPageBreak/>
        <w:t>1368-1379 [PMID: 30184100 DOI: 10.1093/carcin/bgy115]</w:t>
      </w:r>
    </w:p>
    <w:p w14:paraId="60A8E147"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119 </w:t>
      </w:r>
      <w:r w:rsidRPr="00B605E7">
        <w:rPr>
          <w:rFonts w:eastAsia="等线"/>
          <w:b/>
          <w:kern w:val="2"/>
          <w:lang w:val="en-US" w:eastAsia="zh-CN"/>
        </w:rPr>
        <w:t>Lee JW</w:t>
      </w:r>
      <w:r w:rsidRPr="00B605E7">
        <w:rPr>
          <w:rFonts w:eastAsia="等线"/>
          <w:kern w:val="2"/>
          <w:lang w:val="en-US" w:eastAsia="zh-CN"/>
        </w:rPr>
        <w:t xml:space="preserve">, Stone ML, Porrett PM, Thomas SK, Komar CA, Li JH, Delman D, Graham K, Gladney WL, Hua X, Black TA, Chien AL, Majmundar KS, Thompson JC, Yee SS, O'Hara MH, Aggarwal C, Xin D, Shaked A, Gao M, Liu D, Borad MJ, Ramanathan RK, Carpenter EL, Ji A, de Beer MC, de Beer FC, Webb NR, Beatty GL. Hepatocytes direct the formation of a pro-metastatic niche in the liver. </w:t>
      </w:r>
      <w:r w:rsidRPr="00B605E7">
        <w:rPr>
          <w:rFonts w:eastAsia="等线"/>
          <w:i/>
          <w:kern w:val="2"/>
          <w:lang w:val="en-US" w:eastAsia="zh-CN"/>
        </w:rPr>
        <w:t>Nature</w:t>
      </w:r>
      <w:r w:rsidRPr="00B605E7">
        <w:rPr>
          <w:rFonts w:eastAsia="等线"/>
          <w:kern w:val="2"/>
          <w:lang w:val="en-US" w:eastAsia="zh-CN"/>
        </w:rPr>
        <w:t xml:space="preserve"> 2019; </w:t>
      </w:r>
      <w:r w:rsidRPr="00B605E7">
        <w:rPr>
          <w:rFonts w:eastAsia="等线"/>
          <w:b/>
          <w:kern w:val="2"/>
          <w:lang w:val="en-US" w:eastAsia="zh-CN"/>
        </w:rPr>
        <w:t>567</w:t>
      </w:r>
      <w:r w:rsidRPr="00B605E7">
        <w:rPr>
          <w:rFonts w:eastAsia="等线"/>
          <w:kern w:val="2"/>
          <w:lang w:val="en-US" w:eastAsia="zh-CN"/>
        </w:rPr>
        <w:t>: 249-252 [PMID: 30842658 DOI: 10.1038/s41586-019-1004-y]</w:t>
      </w:r>
    </w:p>
    <w:p w14:paraId="49D7587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120 </w:t>
      </w:r>
      <w:r w:rsidRPr="00B605E7">
        <w:rPr>
          <w:rFonts w:eastAsia="等线"/>
          <w:b/>
          <w:kern w:val="2"/>
          <w:lang w:val="en-US" w:eastAsia="zh-CN"/>
        </w:rPr>
        <w:t>Tilg H</w:t>
      </w:r>
      <w:r w:rsidRPr="00B605E7">
        <w:rPr>
          <w:rFonts w:eastAsia="等线"/>
          <w:kern w:val="2"/>
          <w:lang w:val="en-US" w:eastAsia="zh-CN"/>
        </w:rPr>
        <w:t xml:space="preserve">, Adolph TE, Gerner RR, Moschen AR. The Intestinal Microbiota in Colorectal Cancer. </w:t>
      </w:r>
      <w:r w:rsidRPr="00B605E7">
        <w:rPr>
          <w:rFonts w:eastAsia="等线"/>
          <w:i/>
          <w:kern w:val="2"/>
          <w:lang w:val="en-US" w:eastAsia="zh-CN"/>
        </w:rPr>
        <w:t>Cancer Cell</w:t>
      </w:r>
      <w:r w:rsidRPr="00B605E7">
        <w:rPr>
          <w:rFonts w:eastAsia="等线"/>
          <w:kern w:val="2"/>
          <w:lang w:val="en-US" w:eastAsia="zh-CN"/>
        </w:rPr>
        <w:t xml:space="preserve"> 2018; </w:t>
      </w:r>
      <w:r w:rsidRPr="00B605E7">
        <w:rPr>
          <w:rFonts w:eastAsia="等线"/>
          <w:b/>
          <w:kern w:val="2"/>
          <w:lang w:val="en-US" w:eastAsia="zh-CN"/>
        </w:rPr>
        <w:t>33</w:t>
      </w:r>
      <w:r w:rsidRPr="00B605E7">
        <w:rPr>
          <w:rFonts w:eastAsia="等线"/>
          <w:kern w:val="2"/>
          <w:lang w:val="en-US" w:eastAsia="zh-CN"/>
        </w:rPr>
        <w:t>: 954-964 [PMID: 29657127 DOI: 10.1016/j.ccell.2018.03.004]</w:t>
      </w:r>
    </w:p>
    <w:p w14:paraId="6569370D"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121 </w:t>
      </w:r>
      <w:r w:rsidRPr="00B605E7">
        <w:rPr>
          <w:rFonts w:eastAsia="等线"/>
          <w:b/>
          <w:kern w:val="2"/>
          <w:lang w:val="en-US" w:eastAsia="zh-CN"/>
        </w:rPr>
        <w:t>Bindels LB</w:t>
      </w:r>
      <w:r w:rsidRPr="00B605E7">
        <w:rPr>
          <w:rFonts w:eastAsia="等线"/>
          <w:kern w:val="2"/>
          <w:lang w:val="en-US" w:eastAsia="zh-CN"/>
        </w:rPr>
        <w:t xml:space="preserve">, Neyrinck AM, Loumaye A, Catry E, Walgrave H, Cherbuy C, Leclercq S, Van Hul M, Plovier H, Pachikian B, Bermúdez-Humarán LG, Langella P, Cani PD, Thissen JP, Delzenne NM. Increased gut permeability in cancer cachexia: mechanisms and clinical relevance. </w:t>
      </w:r>
      <w:r w:rsidRPr="00B605E7">
        <w:rPr>
          <w:rFonts w:eastAsia="等线"/>
          <w:i/>
          <w:kern w:val="2"/>
          <w:lang w:val="en-US" w:eastAsia="zh-CN"/>
        </w:rPr>
        <w:t>Oncotarget</w:t>
      </w:r>
      <w:r w:rsidRPr="00B605E7">
        <w:rPr>
          <w:rFonts w:eastAsia="等线"/>
          <w:kern w:val="2"/>
          <w:lang w:val="en-US" w:eastAsia="zh-CN"/>
        </w:rPr>
        <w:t xml:space="preserve"> 2018; </w:t>
      </w:r>
      <w:r w:rsidRPr="00B605E7">
        <w:rPr>
          <w:rFonts w:eastAsia="等线"/>
          <w:b/>
          <w:kern w:val="2"/>
          <w:lang w:val="en-US" w:eastAsia="zh-CN"/>
        </w:rPr>
        <w:t>9</w:t>
      </w:r>
      <w:r w:rsidRPr="00B605E7">
        <w:rPr>
          <w:rFonts w:eastAsia="等线"/>
          <w:kern w:val="2"/>
          <w:lang w:val="en-US" w:eastAsia="zh-CN"/>
        </w:rPr>
        <w:t>: 18224-18238 [PMID: 29719601 DOI: 10.18632/oncotarget.24804]</w:t>
      </w:r>
    </w:p>
    <w:p w14:paraId="1071D08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122 </w:t>
      </w:r>
      <w:r w:rsidRPr="00B605E7">
        <w:rPr>
          <w:rFonts w:eastAsia="等线"/>
          <w:b/>
          <w:kern w:val="2"/>
          <w:lang w:val="en-US" w:eastAsia="zh-CN"/>
        </w:rPr>
        <w:t>Routy B</w:t>
      </w:r>
      <w:r w:rsidRPr="00B605E7">
        <w:rPr>
          <w:rFonts w:eastAsia="等线"/>
          <w:kern w:val="2"/>
          <w:lang w:val="en-US" w:eastAsia="zh-CN"/>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efficacy of PD-1-based immunotherapy against epithelial tumors. </w:t>
      </w:r>
      <w:r w:rsidRPr="00B605E7">
        <w:rPr>
          <w:rFonts w:eastAsia="等线"/>
          <w:i/>
          <w:kern w:val="2"/>
          <w:lang w:val="en-US" w:eastAsia="zh-CN"/>
        </w:rPr>
        <w:t>Science</w:t>
      </w:r>
      <w:r w:rsidRPr="00B605E7">
        <w:rPr>
          <w:rFonts w:eastAsia="等线"/>
          <w:kern w:val="2"/>
          <w:lang w:val="en-US" w:eastAsia="zh-CN"/>
        </w:rPr>
        <w:t xml:space="preserve"> 2018; </w:t>
      </w:r>
      <w:r w:rsidRPr="00B605E7">
        <w:rPr>
          <w:rFonts w:eastAsia="等线"/>
          <w:b/>
          <w:kern w:val="2"/>
          <w:lang w:val="en-US" w:eastAsia="zh-CN"/>
        </w:rPr>
        <w:t>359</w:t>
      </w:r>
      <w:r w:rsidRPr="00B605E7">
        <w:rPr>
          <w:rFonts w:eastAsia="等线"/>
          <w:kern w:val="2"/>
          <w:lang w:val="en-US" w:eastAsia="zh-CN"/>
        </w:rPr>
        <w:t>: 91-97 [PMID: 29097494 DOI: 10.1126/science.aan3706]</w:t>
      </w:r>
    </w:p>
    <w:p w14:paraId="795AA17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123 </w:t>
      </w:r>
      <w:r w:rsidRPr="00B605E7">
        <w:rPr>
          <w:rFonts w:eastAsia="等线"/>
          <w:b/>
          <w:kern w:val="2"/>
          <w:lang w:val="en-US" w:eastAsia="zh-CN"/>
        </w:rPr>
        <w:t>Vétizou M</w:t>
      </w:r>
      <w:r w:rsidRPr="00B605E7">
        <w:rPr>
          <w:rFonts w:eastAsia="等线"/>
          <w:kern w:val="2"/>
          <w:lang w:val="en-US" w:eastAsia="zh-CN"/>
        </w:rPr>
        <w:t xml:space="preserve">, Pitt JM, Daillère R, Lepage P, Waldschmitt N, Flament C, Rusakiewicz S, Routy B, Roberti MP, Duong CP, Poirier-Colame V, Roux A, Becharef S, Formenti S, Golden E, Cording S, Eberl G, Schlitzer A, Ginhoux F, Mani S, Yamazaki T, Jacquelot N, Enot DP, Bérard M, Nigou J, Opolon P, Eggermont A, Woerther PL, Chachaty E, Chaput N, Robert C, Mateus C, Kroemer G, Raoult D, Boneca IG, Carbonnel F, Chamaillard M, Zitvogel L. Anticancer immunotherapy by CTLA-4 blockade relies on the gut microbiota. </w:t>
      </w:r>
      <w:r w:rsidRPr="00B605E7">
        <w:rPr>
          <w:rFonts w:eastAsia="等线"/>
          <w:i/>
          <w:kern w:val="2"/>
          <w:lang w:val="en-US" w:eastAsia="zh-CN"/>
        </w:rPr>
        <w:t>Science</w:t>
      </w:r>
      <w:r w:rsidRPr="00B605E7">
        <w:rPr>
          <w:rFonts w:eastAsia="等线"/>
          <w:kern w:val="2"/>
          <w:lang w:val="en-US" w:eastAsia="zh-CN"/>
        </w:rPr>
        <w:t xml:space="preserve"> 2015; </w:t>
      </w:r>
      <w:r w:rsidRPr="00B605E7">
        <w:rPr>
          <w:rFonts w:eastAsia="等线"/>
          <w:b/>
          <w:kern w:val="2"/>
          <w:lang w:val="en-US" w:eastAsia="zh-CN"/>
        </w:rPr>
        <w:t>350</w:t>
      </w:r>
      <w:r w:rsidRPr="00B605E7">
        <w:rPr>
          <w:rFonts w:eastAsia="等线"/>
          <w:kern w:val="2"/>
          <w:lang w:val="en-US" w:eastAsia="zh-CN"/>
        </w:rPr>
        <w:t>: 1079-1084 [PMID: 26541610 DOI: 10.1126/science.aad1329]</w:t>
      </w:r>
    </w:p>
    <w:p w14:paraId="24F12FD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124 </w:t>
      </w:r>
      <w:r w:rsidRPr="00B605E7">
        <w:rPr>
          <w:rFonts w:eastAsia="等线"/>
          <w:b/>
          <w:kern w:val="2"/>
          <w:lang w:val="en-US" w:eastAsia="zh-CN"/>
        </w:rPr>
        <w:t>Invernizzi P</w:t>
      </w:r>
      <w:r w:rsidRPr="00B605E7">
        <w:rPr>
          <w:rFonts w:eastAsia="等线"/>
          <w:kern w:val="2"/>
          <w:lang w:val="en-US" w:eastAsia="zh-CN"/>
        </w:rPr>
        <w:t xml:space="preserve">. Liver auto-immunology: the paradox of autoimmunity in a tolerogenic organ. </w:t>
      </w:r>
      <w:r w:rsidRPr="00B605E7">
        <w:rPr>
          <w:rFonts w:eastAsia="等线"/>
          <w:i/>
          <w:kern w:val="2"/>
          <w:lang w:val="en-US" w:eastAsia="zh-CN"/>
        </w:rPr>
        <w:t>J Autoimmun</w:t>
      </w:r>
      <w:r w:rsidRPr="00B605E7">
        <w:rPr>
          <w:rFonts w:eastAsia="等线"/>
          <w:kern w:val="2"/>
          <w:lang w:val="en-US" w:eastAsia="zh-CN"/>
        </w:rPr>
        <w:t xml:space="preserve"> 2013; </w:t>
      </w:r>
      <w:r w:rsidRPr="00B605E7">
        <w:rPr>
          <w:rFonts w:eastAsia="等线"/>
          <w:b/>
          <w:kern w:val="2"/>
          <w:lang w:val="en-US" w:eastAsia="zh-CN"/>
        </w:rPr>
        <w:t>46</w:t>
      </w:r>
      <w:r w:rsidRPr="00B605E7">
        <w:rPr>
          <w:rFonts w:eastAsia="等线"/>
          <w:kern w:val="2"/>
          <w:lang w:val="en-US" w:eastAsia="zh-CN"/>
        </w:rPr>
        <w:t>: 1-6 [PMID: 24012346 DOI: 10.1016/j.jaut.2013.08.006]</w:t>
      </w:r>
    </w:p>
    <w:p w14:paraId="53C439D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lastRenderedPageBreak/>
        <w:t xml:space="preserve">125 </w:t>
      </w:r>
      <w:r w:rsidRPr="00B605E7">
        <w:rPr>
          <w:rFonts w:eastAsia="等线"/>
          <w:b/>
          <w:kern w:val="2"/>
          <w:lang w:val="en-US" w:eastAsia="zh-CN"/>
        </w:rPr>
        <w:t>Puppa MJ</w:t>
      </w:r>
      <w:r w:rsidRPr="00B605E7">
        <w:rPr>
          <w:rFonts w:eastAsia="等线"/>
          <w:kern w:val="2"/>
          <w:lang w:val="en-US" w:eastAsia="zh-CN"/>
        </w:rPr>
        <w:t xml:space="preserve">, White JP, Sato S, Cairns M, Baynes JW, Carson JA. Gut barrier dysfunction in the Apc(Min/+) mouse model of colon cancer cachexia. </w:t>
      </w:r>
      <w:r w:rsidRPr="00B605E7">
        <w:rPr>
          <w:rFonts w:eastAsia="等线"/>
          <w:i/>
          <w:kern w:val="2"/>
          <w:lang w:val="en-US" w:eastAsia="zh-CN"/>
        </w:rPr>
        <w:t>Biochim Biophys Acta</w:t>
      </w:r>
      <w:r w:rsidRPr="00B605E7">
        <w:rPr>
          <w:rFonts w:eastAsia="等线"/>
          <w:kern w:val="2"/>
          <w:lang w:val="en-US" w:eastAsia="zh-CN"/>
        </w:rPr>
        <w:t xml:space="preserve"> 2011; </w:t>
      </w:r>
      <w:r w:rsidRPr="00B605E7">
        <w:rPr>
          <w:rFonts w:eastAsia="等线"/>
          <w:b/>
          <w:kern w:val="2"/>
          <w:lang w:val="en-US" w:eastAsia="zh-CN"/>
        </w:rPr>
        <w:t>1812</w:t>
      </w:r>
      <w:r w:rsidRPr="00B605E7">
        <w:rPr>
          <w:rFonts w:eastAsia="等线"/>
          <w:kern w:val="2"/>
          <w:lang w:val="en-US" w:eastAsia="zh-CN"/>
        </w:rPr>
        <w:t>: 1601-1606 [PMID: 21914473 DOI: 10.1016/j.bbadis.2011.08.010]</w:t>
      </w:r>
    </w:p>
    <w:p w14:paraId="29EAFF6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126 </w:t>
      </w:r>
      <w:r w:rsidRPr="00B605E7">
        <w:rPr>
          <w:rFonts w:eastAsia="等线"/>
          <w:b/>
          <w:kern w:val="2"/>
          <w:lang w:val="en-US" w:eastAsia="zh-CN"/>
        </w:rPr>
        <w:t>Soler AP</w:t>
      </w:r>
      <w:r w:rsidRPr="00B605E7">
        <w:rPr>
          <w:rFonts w:eastAsia="等线"/>
          <w:kern w:val="2"/>
          <w:lang w:val="en-US" w:eastAsia="zh-CN"/>
        </w:rPr>
        <w:t xml:space="preserve">, Miller RD, Laughlin KV, Carp NZ, Klurfeld DM, Mullin JM. Increased tight junctional permeability is associated with the development of colon cancer. </w:t>
      </w:r>
      <w:r w:rsidRPr="00B605E7">
        <w:rPr>
          <w:rFonts w:eastAsia="等线"/>
          <w:i/>
          <w:kern w:val="2"/>
          <w:lang w:val="en-US" w:eastAsia="zh-CN"/>
        </w:rPr>
        <w:t>Carcinogenesis</w:t>
      </w:r>
      <w:r w:rsidRPr="00B605E7">
        <w:rPr>
          <w:rFonts w:eastAsia="等线"/>
          <w:kern w:val="2"/>
          <w:lang w:val="en-US" w:eastAsia="zh-CN"/>
        </w:rPr>
        <w:t xml:space="preserve"> 1999; </w:t>
      </w:r>
      <w:r w:rsidRPr="00B605E7">
        <w:rPr>
          <w:rFonts w:eastAsia="等线"/>
          <w:b/>
          <w:kern w:val="2"/>
          <w:lang w:val="en-US" w:eastAsia="zh-CN"/>
        </w:rPr>
        <w:t>20</w:t>
      </w:r>
      <w:r w:rsidRPr="00B605E7">
        <w:rPr>
          <w:rFonts w:eastAsia="等线"/>
          <w:kern w:val="2"/>
          <w:lang w:val="en-US" w:eastAsia="zh-CN"/>
        </w:rPr>
        <w:t>: 1425-1431 [PMID: 10426787 DOI: 10.1093/carcin/20.8.1425]</w:t>
      </w:r>
    </w:p>
    <w:p w14:paraId="37553BF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127 </w:t>
      </w:r>
      <w:r w:rsidRPr="00B605E7">
        <w:rPr>
          <w:rFonts w:eastAsia="等线"/>
          <w:b/>
          <w:kern w:val="2"/>
          <w:lang w:val="en-US" w:eastAsia="zh-CN"/>
        </w:rPr>
        <w:t>Bekusova VV</w:t>
      </w:r>
      <w:r w:rsidRPr="00B605E7">
        <w:rPr>
          <w:rFonts w:eastAsia="等线"/>
          <w:kern w:val="2"/>
          <w:lang w:val="en-US" w:eastAsia="zh-CN"/>
        </w:rPr>
        <w:t xml:space="preserve">, Falchuk EL, Okorokova LS, Kruglova NM, Nozdrachev AD, Markov AG. Increased paracellular permeability of tumor-adjacent areas in 1,2-dimethylhydrazine-induced colon carcinogenesis in rats. </w:t>
      </w:r>
      <w:r w:rsidRPr="00B605E7">
        <w:rPr>
          <w:rFonts w:eastAsia="等线"/>
          <w:i/>
          <w:kern w:val="2"/>
          <w:lang w:val="en-US" w:eastAsia="zh-CN"/>
        </w:rPr>
        <w:t>Cancer Biol Med</w:t>
      </w:r>
      <w:r w:rsidRPr="00B605E7">
        <w:rPr>
          <w:rFonts w:eastAsia="等线"/>
          <w:kern w:val="2"/>
          <w:lang w:val="en-US" w:eastAsia="zh-CN"/>
        </w:rPr>
        <w:t xml:space="preserve"> 2018; </w:t>
      </w:r>
      <w:r w:rsidRPr="00B605E7">
        <w:rPr>
          <w:rFonts w:eastAsia="等线"/>
          <w:b/>
          <w:kern w:val="2"/>
          <w:lang w:val="en-US" w:eastAsia="zh-CN"/>
        </w:rPr>
        <w:t>15</w:t>
      </w:r>
      <w:r w:rsidRPr="00B605E7">
        <w:rPr>
          <w:rFonts w:eastAsia="等线"/>
          <w:kern w:val="2"/>
          <w:lang w:val="en-US" w:eastAsia="zh-CN"/>
        </w:rPr>
        <w:t>: 251-259 [PMID: 30197792 DOI: 10.20892/j.issn.2095-3941.2018.0016]</w:t>
      </w:r>
    </w:p>
    <w:p w14:paraId="5BEAE80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128 </w:t>
      </w:r>
      <w:r w:rsidRPr="00B605E7">
        <w:rPr>
          <w:rFonts w:eastAsia="等线"/>
          <w:b/>
          <w:kern w:val="2"/>
          <w:lang w:val="en-US" w:eastAsia="zh-CN"/>
        </w:rPr>
        <w:t>Arpaia N</w:t>
      </w:r>
      <w:r w:rsidRPr="00B605E7">
        <w:rPr>
          <w:rFonts w:eastAsia="等线"/>
          <w:kern w:val="2"/>
          <w:lang w:val="en-US" w:eastAsia="zh-CN"/>
        </w:rPr>
        <w:t xml:space="preserve">, Campbell C, Fan X, Dikiy S, van der Veeken J, deRoos P, Liu H, Cross JR, Pfeffer K, Coffer PJ, Rudensky AY. Metabolites produced by commensal bacteria promote peripheral regulatory T-cell generation. </w:t>
      </w:r>
      <w:r w:rsidRPr="00B605E7">
        <w:rPr>
          <w:rFonts w:eastAsia="等线"/>
          <w:i/>
          <w:kern w:val="2"/>
          <w:lang w:val="en-US" w:eastAsia="zh-CN"/>
        </w:rPr>
        <w:t>Nature</w:t>
      </w:r>
      <w:r w:rsidRPr="00B605E7">
        <w:rPr>
          <w:rFonts w:eastAsia="等线"/>
          <w:kern w:val="2"/>
          <w:lang w:val="en-US" w:eastAsia="zh-CN"/>
        </w:rPr>
        <w:t xml:space="preserve"> 2013; </w:t>
      </w:r>
      <w:r w:rsidRPr="00B605E7">
        <w:rPr>
          <w:rFonts w:eastAsia="等线"/>
          <w:b/>
          <w:kern w:val="2"/>
          <w:lang w:val="en-US" w:eastAsia="zh-CN"/>
        </w:rPr>
        <w:t>504</w:t>
      </w:r>
      <w:r w:rsidRPr="00B605E7">
        <w:rPr>
          <w:rFonts w:eastAsia="等线"/>
          <w:kern w:val="2"/>
          <w:lang w:val="en-US" w:eastAsia="zh-CN"/>
        </w:rPr>
        <w:t>: 451-455 [PMID: 24226773 DOI: 10.1038/nature12726]</w:t>
      </w:r>
    </w:p>
    <w:p w14:paraId="5DD4E25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129 </w:t>
      </w:r>
      <w:r w:rsidRPr="00B605E7">
        <w:rPr>
          <w:rFonts w:eastAsia="等线"/>
          <w:b/>
          <w:kern w:val="2"/>
          <w:lang w:val="en-US" w:eastAsia="zh-CN"/>
        </w:rPr>
        <w:t>Fearon K</w:t>
      </w:r>
      <w:r w:rsidRPr="00B605E7">
        <w:rPr>
          <w:rFonts w:eastAsia="等线"/>
          <w:kern w:val="2"/>
          <w:lang w:val="en-US" w:eastAsia="zh-CN"/>
        </w:rPr>
        <w:t xml:space="preserve">, Strasser F, Anker SD, Bosaeus I, Bruera E, Fainsinger RL, Jatoi A, Loprinzi C, MacDonald N, Mantovani G, Davis M, Muscaritoli M, Ottery F, Radbruch L, Ravasco P, Walsh D, Wilcock A, Kaasa S, Baracos VE. Definition and classification of cancer cachexia: an international consensus. </w:t>
      </w:r>
      <w:r w:rsidRPr="00B605E7">
        <w:rPr>
          <w:rFonts w:eastAsia="等线"/>
          <w:i/>
          <w:kern w:val="2"/>
          <w:lang w:val="en-US" w:eastAsia="zh-CN"/>
        </w:rPr>
        <w:t>Lancet Oncol</w:t>
      </w:r>
      <w:r w:rsidRPr="00B605E7">
        <w:rPr>
          <w:rFonts w:eastAsia="等线"/>
          <w:kern w:val="2"/>
          <w:lang w:val="en-US" w:eastAsia="zh-CN"/>
        </w:rPr>
        <w:t xml:space="preserve"> 2011; </w:t>
      </w:r>
      <w:r w:rsidRPr="00B605E7">
        <w:rPr>
          <w:rFonts w:eastAsia="等线"/>
          <w:b/>
          <w:kern w:val="2"/>
          <w:lang w:val="en-US" w:eastAsia="zh-CN"/>
        </w:rPr>
        <w:t>12</w:t>
      </w:r>
      <w:r w:rsidRPr="00B605E7">
        <w:rPr>
          <w:rFonts w:eastAsia="等线"/>
          <w:kern w:val="2"/>
          <w:lang w:val="en-US" w:eastAsia="zh-CN"/>
        </w:rPr>
        <w:t>: 489-495 [PMID: 21296615 DOI: 10.1016/S1470-2045(10)70218-7]</w:t>
      </w:r>
    </w:p>
    <w:p w14:paraId="4AFCC0A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130 </w:t>
      </w:r>
      <w:r w:rsidRPr="00B605E7">
        <w:rPr>
          <w:rFonts w:eastAsia="等线"/>
          <w:b/>
          <w:kern w:val="2"/>
          <w:lang w:val="en-US" w:eastAsia="zh-CN"/>
        </w:rPr>
        <w:t>Richards CH</w:t>
      </w:r>
      <w:r w:rsidRPr="00B605E7">
        <w:rPr>
          <w:rFonts w:eastAsia="等线"/>
          <w:kern w:val="2"/>
          <w:lang w:val="en-US" w:eastAsia="zh-CN"/>
        </w:rPr>
        <w:t xml:space="preserve">, Roxburgh CS, MacMillan MT, Isswiasi S, Robertson EG, Guthrie GK, Horgan PG, McMillan DC. The relationships between body composition and the systemic inflammatory response in patients with primary operable colorectal cancer. </w:t>
      </w:r>
      <w:r w:rsidRPr="00B605E7">
        <w:rPr>
          <w:rFonts w:eastAsia="等线"/>
          <w:i/>
          <w:kern w:val="2"/>
          <w:lang w:val="en-US" w:eastAsia="zh-CN"/>
        </w:rPr>
        <w:t>PLoS One</w:t>
      </w:r>
      <w:r w:rsidRPr="00B605E7">
        <w:rPr>
          <w:rFonts w:eastAsia="等线"/>
          <w:kern w:val="2"/>
          <w:lang w:val="en-US" w:eastAsia="zh-CN"/>
        </w:rPr>
        <w:t xml:space="preserve"> 2012; </w:t>
      </w:r>
      <w:r w:rsidRPr="00B605E7">
        <w:rPr>
          <w:rFonts w:eastAsia="等线"/>
          <w:b/>
          <w:kern w:val="2"/>
          <w:lang w:val="en-US" w:eastAsia="zh-CN"/>
        </w:rPr>
        <w:t>7</w:t>
      </w:r>
      <w:r w:rsidRPr="00B605E7">
        <w:rPr>
          <w:rFonts w:eastAsia="等线"/>
          <w:kern w:val="2"/>
          <w:lang w:val="en-US" w:eastAsia="zh-CN"/>
        </w:rPr>
        <w:t>: e41883 [PMID: 22870258 DOI: 10.1371/journal.pone.0041883]</w:t>
      </w:r>
    </w:p>
    <w:p w14:paraId="5D76DF3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131 </w:t>
      </w:r>
      <w:r w:rsidRPr="00B605E7">
        <w:rPr>
          <w:rFonts w:eastAsia="等线"/>
          <w:b/>
          <w:kern w:val="2"/>
          <w:lang w:val="en-US" w:eastAsia="zh-CN"/>
        </w:rPr>
        <w:t>Feliciano EMC</w:t>
      </w:r>
      <w:r w:rsidRPr="00B605E7">
        <w:rPr>
          <w:rFonts w:eastAsia="等线"/>
          <w:kern w:val="2"/>
          <w:lang w:val="en-US" w:eastAsia="zh-CN"/>
        </w:rPr>
        <w:t xml:space="preserve">, Kroenke CH, Meyerhardt JA, Prado CM, Bradshaw PT, Kwan ML, Xiao J, Alexeeff S, Corley D, Weltzien E, Castillo AL, Caan BJ. Association of Systemic Inflammation and Sarcopenia With Survival in Nonmetastatic Colorectal Cancer: Results From the C SCANS Study. </w:t>
      </w:r>
      <w:r w:rsidRPr="00B605E7">
        <w:rPr>
          <w:rFonts w:eastAsia="等线"/>
          <w:i/>
          <w:kern w:val="2"/>
          <w:lang w:val="en-US" w:eastAsia="zh-CN"/>
        </w:rPr>
        <w:t>JAMA Oncol</w:t>
      </w:r>
      <w:r w:rsidRPr="00B605E7">
        <w:rPr>
          <w:rFonts w:eastAsia="等线"/>
          <w:kern w:val="2"/>
          <w:lang w:val="en-US" w:eastAsia="zh-CN"/>
        </w:rPr>
        <w:t xml:space="preserve"> 2017; </w:t>
      </w:r>
      <w:r w:rsidRPr="00B605E7">
        <w:rPr>
          <w:rFonts w:eastAsia="等线"/>
          <w:b/>
          <w:kern w:val="2"/>
          <w:lang w:val="en-US" w:eastAsia="zh-CN"/>
        </w:rPr>
        <w:t>3</w:t>
      </w:r>
      <w:r w:rsidRPr="00B605E7">
        <w:rPr>
          <w:rFonts w:eastAsia="等线"/>
          <w:kern w:val="2"/>
          <w:lang w:val="en-US" w:eastAsia="zh-CN"/>
        </w:rPr>
        <w:t>: e172319 [PMID: 28796857 DOI: 10.1001/jamaoncol.2017.2319]</w:t>
      </w:r>
    </w:p>
    <w:p w14:paraId="345D3A8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132 </w:t>
      </w:r>
      <w:r w:rsidRPr="00B605E7">
        <w:rPr>
          <w:rFonts w:eastAsia="等线"/>
          <w:b/>
          <w:kern w:val="2"/>
          <w:lang w:val="en-US" w:eastAsia="zh-CN"/>
        </w:rPr>
        <w:t>Su LK</w:t>
      </w:r>
      <w:r w:rsidRPr="00B605E7">
        <w:rPr>
          <w:rFonts w:eastAsia="等线"/>
          <w:kern w:val="2"/>
          <w:lang w:val="en-US" w:eastAsia="zh-CN"/>
        </w:rPr>
        <w:t xml:space="preserve">, Kinzler KW, Vogelstein B, Preisinger AC, Moser AR, Luongo C, Gould KA, Dove WF. Multiple intestinal neoplasia caused by a mutation in the murine homolog of the APC gene. </w:t>
      </w:r>
      <w:r w:rsidRPr="00B605E7">
        <w:rPr>
          <w:rFonts w:eastAsia="等线"/>
          <w:i/>
          <w:kern w:val="2"/>
          <w:lang w:val="en-US" w:eastAsia="zh-CN"/>
        </w:rPr>
        <w:t>Science</w:t>
      </w:r>
      <w:r w:rsidRPr="00B605E7">
        <w:rPr>
          <w:rFonts w:eastAsia="等线"/>
          <w:kern w:val="2"/>
          <w:lang w:val="en-US" w:eastAsia="zh-CN"/>
        </w:rPr>
        <w:t xml:space="preserve"> 1992; </w:t>
      </w:r>
      <w:r w:rsidRPr="00B605E7">
        <w:rPr>
          <w:rFonts w:eastAsia="等线"/>
          <w:b/>
          <w:kern w:val="2"/>
          <w:lang w:val="en-US" w:eastAsia="zh-CN"/>
        </w:rPr>
        <w:t>256</w:t>
      </w:r>
      <w:r w:rsidRPr="00B605E7">
        <w:rPr>
          <w:rFonts w:eastAsia="等线"/>
          <w:kern w:val="2"/>
          <w:lang w:val="en-US" w:eastAsia="zh-CN"/>
        </w:rPr>
        <w:t>: 668-670 [PMID: 1350108]</w:t>
      </w:r>
    </w:p>
    <w:p w14:paraId="779C5F0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lastRenderedPageBreak/>
        <w:t xml:space="preserve">133 </w:t>
      </w:r>
      <w:r w:rsidRPr="00B605E7">
        <w:rPr>
          <w:rFonts w:eastAsia="等线"/>
          <w:b/>
          <w:kern w:val="2"/>
          <w:lang w:val="en-US" w:eastAsia="zh-CN"/>
        </w:rPr>
        <w:t>Baltgalvis KA</w:t>
      </w:r>
      <w:r w:rsidRPr="00B605E7">
        <w:rPr>
          <w:rFonts w:eastAsia="等线"/>
          <w:kern w:val="2"/>
          <w:lang w:val="en-US" w:eastAsia="zh-CN"/>
        </w:rPr>
        <w:t xml:space="preserve">, Berger FG, Pena MM, Davis JM, Muga SJ, Carson JA. Interleukin-6 and cachexia in ApcMin/+ mice. </w:t>
      </w:r>
      <w:r w:rsidRPr="00B605E7">
        <w:rPr>
          <w:rFonts w:eastAsia="等线"/>
          <w:i/>
          <w:kern w:val="2"/>
          <w:lang w:val="en-US" w:eastAsia="zh-CN"/>
        </w:rPr>
        <w:t>Am J Physiol Regul Integr Comp Physiol</w:t>
      </w:r>
      <w:r w:rsidRPr="00B605E7">
        <w:rPr>
          <w:rFonts w:eastAsia="等线"/>
          <w:kern w:val="2"/>
          <w:lang w:val="en-US" w:eastAsia="zh-CN"/>
        </w:rPr>
        <w:t xml:space="preserve"> 2008; </w:t>
      </w:r>
      <w:r w:rsidRPr="00B605E7">
        <w:rPr>
          <w:rFonts w:eastAsia="等线"/>
          <w:b/>
          <w:kern w:val="2"/>
          <w:lang w:val="en-US" w:eastAsia="zh-CN"/>
        </w:rPr>
        <w:t>294</w:t>
      </w:r>
      <w:r w:rsidRPr="00B605E7">
        <w:rPr>
          <w:rFonts w:eastAsia="等线"/>
          <w:kern w:val="2"/>
          <w:lang w:val="en-US" w:eastAsia="zh-CN"/>
        </w:rPr>
        <w:t>: R393-R401 [PMID: 18056981 DOI: 10.1152/ajpregu.00716.2007]</w:t>
      </w:r>
    </w:p>
    <w:p w14:paraId="44F6A30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134 </w:t>
      </w:r>
      <w:r w:rsidRPr="00B605E7">
        <w:rPr>
          <w:rFonts w:eastAsia="等线"/>
          <w:b/>
          <w:kern w:val="2"/>
          <w:lang w:val="en-US" w:eastAsia="zh-CN"/>
        </w:rPr>
        <w:t>Vary TC</w:t>
      </w:r>
      <w:r w:rsidRPr="00B605E7">
        <w:rPr>
          <w:rFonts w:eastAsia="等线"/>
          <w:kern w:val="2"/>
          <w:lang w:val="en-US" w:eastAsia="zh-CN"/>
        </w:rPr>
        <w:t xml:space="preserve">, Kimball SR. Sepsis-induced changes in protein synthesis: differential effects on fast- and slow-twitch muscles. </w:t>
      </w:r>
      <w:r w:rsidRPr="00B605E7">
        <w:rPr>
          <w:rFonts w:eastAsia="等线"/>
          <w:i/>
          <w:kern w:val="2"/>
          <w:lang w:val="en-US" w:eastAsia="zh-CN"/>
        </w:rPr>
        <w:t>Am J Physiol</w:t>
      </w:r>
      <w:r w:rsidRPr="00B605E7">
        <w:rPr>
          <w:rFonts w:eastAsia="等线"/>
          <w:kern w:val="2"/>
          <w:lang w:val="en-US" w:eastAsia="zh-CN"/>
        </w:rPr>
        <w:t xml:space="preserve"> 1992; </w:t>
      </w:r>
      <w:r w:rsidRPr="00B605E7">
        <w:rPr>
          <w:rFonts w:eastAsia="等线"/>
          <w:b/>
          <w:kern w:val="2"/>
          <w:lang w:val="en-US" w:eastAsia="zh-CN"/>
        </w:rPr>
        <w:t>262</w:t>
      </w:r>
      <w:r w:rsidRPr="00B605E7">
        <w:rPr>
          <w:rFonts w:eastAsia="等线"/>
          <w:kern w:val="2"/>
          <w:lang w:val="en-US" w:eastAsia="zh-CN"/>
        </w:rPr>
        <w:t>: C1513-C1519 [PMID: 1377447 DOI: 10.1152/ajpcell.1992.262.6.C1513]</w:t>
      </w:r>
    </w:p>
    <w:p w14:paraId="44D822D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135 </w:t>
      </w:r>
      <w:r w:rsidRPr="00B605E7">
        <w:rPr>
          <w:rFonts w:eastAsia="等线"/>
          <w:b/>
          <w:kern w:val="2"/>
          <w:lang w:val="en-US" w:eastAsia="zh-CN"/>
        </w:rPr>
        <w:t>Rauw WM</w:t>
      </w:r>
      <w:r w:rsidRPr="00B605E7">
        <w:rPr>
          <w:rFonts w:eastAsia="等线"/>
          <w:kern w:val="2"/>
          <w:lang w:val="en-US" w:eastAsia="zh-CN"/>
        </w:rPr>
        <w:t xml:space="preserve">. Immune response from a resource allocation perspective. </w:t>
      </w:r>
      <w:r w:rsidRPr="00B605E7">
        <w:rPr>
          <w:rFonts w:eastAsia="等线"/>
          <w:i/>
          <w:kern w:val="2"/>
          <w:lang w:val="en-US" w:eastAsia="zh-CN"/>
        </w:rPr>
        <w:t>Front Genet</w:t>
      </w:r>
      <w:r w:rsidRPr="00B605E7">
        <w:rPr>
          <w:rFonts w:eastAsia="等线"/>
          <w:kern w:val="2"/>
          <w:lang w:val="en-US" w:eastAsia="zh-CN"/>
        </w:rPr>
        <w:t xml:space="preserve"> 2012; </w:t>
      </w:r>
      <w:r w:rsidRPr="00B605E7">
        <w:rPr>
          <w:rFonts w:eastAsia="等线"/>
          <w:b/>
          <w:kern w:val="2"/>
          <w:lang w:val="en-US" w:eastAsia="zh-CN"/>
        </w:rPr>
        <w:t>3</w:t>
      </w:r>
      <w:r w:rsidRPr="00B605E7">
        <w:rPr>
          <w:rFonts w:eastAsia="等线"/>
          <w:kern w:val="2"/>
          <w:lang w:val="en-US" w:eastAsia="zh-CN"/>
        </w:rPr>
        <w:t>: 267 [PMID: 23413205 DOI: 10.3389/fgene.2012.00267]</w:t>
      </w:r>
    </w:p>
    <w:p w14:paraId="32BCBAB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136 </w:t>
      </w:r>
      <w:r w:rsidRPr="00B605E7">
        <w:rPr>
          <w:rFonts w:eastAsia="等线"/>
          <w:b/>
          <w:kern w:val="2"/>
          <w:lang w:val="en-US" w:eastAsia="zh-CN"/>
        </w:rPr>
        <w:t>Demas GE</w:t>
      </w:r>
      <w:r w:rsidRPr="00B605E7">
        <w:rPr>
          <w:rFonts w:eastAsia="等线"/>
          <w:kern w:val="2"/>
          <w:lang w:val="en-US" w:eastAsia="zh-CN"/>
        </w:rPr>
        <w:t xml:space="preserve">, Chefer V, Talan MI, Nelson RJ. Metabolic costs of mounting an antigen-stimulated immune response in adult and aged C57BL/6J mice. </w:t>
      </w:r>
      <w:r w:rsidRPr="00B605E7">
        <w:rPr>
          <w:rFonts w:eastAsia="等线"/>
          <w:i/>
          <w:kern w:val="2"/>
          <w:lang w:val="en-US" w:eastAsia="zh-CN"/>
        </w:rPr>
        <w:t>Am J Physiol</w:t>
      </w:r>
      <w:r w:rsidRPr="00B605E7">
        <w:rPr>
          <w:rFonts w:eastAsia="等线"/>
          <w:kern w:val="2"/>
          <w:lang w:val="en-US" w:eastAsia="zh-CN"/>
        </w:rPr>
        <w:t xml:space="preserve"> 1997; </w:t>
      </w:r>
      <w:r w:rsidRPr="00B605E7">
        <w:rPr>
          <w:rFonts w:eastAsia="等线"/>
          <w:b/>
          <w:kern w:val="2"/>
          <w:lang w:val="en-US" w:eastAsia="zh-CN"/>
        </w:rPr>
        <w:t>273</w:t>
      </w:r>
      <w:r w:rsidRPr="00B605E7">
        <w:rPr>
          <w:rFonts w:eastAsia="等线"/>
          <w:kern w:val="2"/>
          <w:lang w:val="en-US" w:eastAsia="zh-CN"/>
        </w:rPr>
        <w:t>: R1631-R1637 [PMID: 9374803 DOI: 10.1152/ajpregu.1997.273.5.R1631]</w:t>
      </w:r>
    </w:p>
    <w:p w14:paraId="0D54C67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137 </w:t>
      </w:r>
      <w:r w:rsidRPr="00B605E7">
        <w:rPr>
          <w:rFonts w:eastAsia="等线"/>
          <w:b/>
          <w:kern w:val="2"/>
          <w:lang w:val="en-US" w:eastAsia="zh-CN"/>
        </w:rPr>
        <w:t>Sirniö P</w:t>
      </w:r>
      <w:r w:rsidRPr="00B605E7">
        <w:rPr>
          <w:rFonts w:eastAsia="等线"/>
          <w:kern w:val="2"/>
          <w:lang w:val="en-US" w:eastAsia="zh-CN"/>
        </w:rPr>
        <w:t xml:space="preserve">, Väyrynen JP, Klintrup K, Mäkelä J, Karhu T, Herzig KH, Minkkinen I, Mäkinen MJ, Karttunen TJ, Tuomisto A. Alterations in serum amino-acid profile in the progression of colorectal cancer: associations with systemic inflammation, tumour stage and patient survival. </w:t>
      </w:r>
      <w:r w:rsidRPr="00B605E7">
        <w:rPr>
          <w:rFonts w:eastAsia="等线"/>
          <w:i/>
          <w:kern w:val="2"/>
          <w:lang w:val="en-US" w:eastAsia="zh-CN"/>
        </w:rPr>
        <w:t>Br J Cancer</w:t>
      </w:r>
      <w:r w:rsidRPr="00B605E7">
        <w:rPr>
          <w:rFonts w:eastAsia="等线"/>
          <w:kern w:val="2"/>
          <w:lang w:val="en-US" w:eastAsia="zh-CN"/>
        </w:rPr>
        <w:t xml:space="preserve"> 2019; </w:t>
      </w:r>
      <w:r w:rsidRPr="00B605E7">
        <w:rPr>
          <w:rFonts w:eastAsia="等线"/>
          <w:b/>
          <w:kern w:val="2"/>
          <w:lang w:val="en-US" w:eastAsia="zh-CN"/>
        </w:rPr>
        <w:t>120</w:t>
      </w:r>
      <w:r w:rsidRPr="00B605E7">
        <w:rPr>
          <w:rFonts w:eastAsia="等线"/>
          <w:kern w:val="2"/>
          <w:lang w:val="en-US" w:eastAsia="zh-CN"/>
        </w:rPr>
        <w:t>: 238-246 [PMID: 30563990 DOI: 10.1038/s41416-018-0357-6]</w:t>
      </w:r>
    </w:p>
    <w:p w14:paraId="084DB87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138 </w:t>
      </w:r>
      <w:r w:rsidRPr="00B605E7">
        <w:rPr>
          <w:rFonts w:eastAsia="等线"/>
          <w:b/>
          <w:kern w:val="2"/>
          <w:lang w:val="en-US" w:eastAsia="zh-CN"/>
        </w:rPr>
        <w:t>Hensley CT</w:t>
      </w:r>
      <w:r w:rsidRPr="00B605E7">
        <w:rPr>
          <w:rFonts w:eastAsia="等线"/>
          <w:kern w:val="2"/>
          <w:lang w:val="en-US" w:eastAsia="zh-CN"/>
        </w:rPr>
        <w:t xml:space="preserve">, Wasti AT, DeBerardinis RJ. Glutamine and cancer: cell biology, physiology, and clinical opportunities. </w:t>
      </w:r>
      <w:r w:rsidRPr="00B605E7">
        <w:rPr>
          <w:rFonts w:eastAsia="等线"/>
          <w:i/>
          <w:kern w:val="2"/>
          <w:lang w:val="en-US" w:eastAsia="zh-CN"/>
        </w:rPr>
        <w:t>J Clin Invest</w:t>
      </w:r>
      <w:r w:rsidRPr="00B605E7">
        <w:rPr>
          <w:rFonts w:eastAsia="等线"/>
          <w:kern w:val="2"/>
          <w:lang w:val="en-US" w:eastAsia="zh-CN"/>
        </w:rPr>
        <w:t xml:space="preserve"> 2013; </w:t>
      </w:r>
      <w:r w:rsidRPr="00B605E7">
        <w:rPr>
          <w:rFonts w:eastAsia="等线"/>
          <w:b/>
          <w:kern w:val="2"/>
          <w:lang w:val="en-US" w:eastAsia="zh-CN"/>
        </w:rPr>
        <w:t>123</w:t>
      </w:r>
      <w:r w:rsidRPr="00B605E7">
        <w:rPr>
          <w:rFonts w:eastAsia="等线"/>
          <w:kern w:val="2"/>
          <w:lang w:val="en-US" w:eastAsia="zh-CN"/>
        </w:rPr>
        <w:t>: 3678-3684 [PMID: 23999442 DOI: 10.1172/JCI69600]</w:t>
      </w:r>
    </w:p>
    <w:p w14:paraId="28AA77C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139 </w:t>
      </w:r>
      <w:r w:rsidRPr="00B605E7">
        <w:rPr>
          <w:rFonts w:eastAsia="等线"/>
          <w:b/>
          <w:kern w:val="2"/>
          <w:lang w:val="en-US" w:eastAsia="zh-CN"/>
        </w:rPr>
        <w:t>Yuneva MO</w:t>
      </w:r>
      <w:r w:rsidRPr="00B605E7">
        <w:rPr>
          <w:rFonts w:eastAsia="等线"/>
          <w:kern w:val="2"/>
          <w:lang w:val="en-US" w:eastAsia="zh-CN"/>
        </w:rPr>
        <w:t xml:space="preserve">, Fan TW, Allen TD, Higashi RM, Ferraris DV, Tsukamoto T, Matés JM, Alonso FJ, Wang C, Seo Y, Chen X, Bishop JM. The metabolic profile of tumors depends on both the responsible genetic lesion and tissue type. </w:t>
      </w:r>
      <w:r w:rsidRPr="00B605E7">
        <w:rPr>
          <w:rFonts w:eastAsia="等线"/>
          <w:i/>
          <w:kern w:val="2"/>
          <w:lang w:val="en-US" w:eastAsia="zh-CN"/>
        </w:rPr>
        <w:t>Cell Metab</w:t>
      </w:r>
      <w:r w:rsidRPr="00B605E7">
        <w:rPr>
          <w:rFonts w:eastAsia="等线"/>
          <w:kern w:val="2"/>
          <w:lang w:val="en-US" w:eastAsia="zh-CN"/>
        </w:rPr>
        <w:t xml:space="preserve"> 2012; </w:t>
      </w:r>
      <w:r w:rsidRPr="00B605E7">
        <w:rPr>
          <w:rFonts w:eastAsia="等线"/>
          <w:b/>
          <w:kern w:val="2"/>
          <w:lang w:val="en-US" w:eastAsia="zh-CN"/>
        </w:rPr>
        <w:t>15</w:t>
      </w:r>
      <w:r w:rsidRPr="00B605E7">
        <w:rPr>
          <w:rFonts w:eastAsia="等线"/>
          <w:kern w:val="2"/>
          <w:lang w:val="en-US" w:eastAsia="zh-CN"/>
        </w:rPr>
        <w:t>: 157-170 [PMID: 22326218 DOI: 10.1016/j.cmet.2011.12.015]</w:t>
      </w:r>
    </w:p>
    <w:p w14:paraId="2EC2299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140 </w:t>
      </w:r>
      <w:r w:rsidRPr="00B605E7">
        <w:rPr>
          <w:rFonts w:eastAsia="等线"/>
          <w:b/>
          <w:kern w:val="2"/>
          <w:lang w:val="en-US" w:eastAsia="zh-CN"/>
        </w:rPr>
        <w:t>Kao CC</w:t>
      </w:r>
      <w:r w:rsidRPr="00B605E7">
        <w:rPr>
          <w:rFonts w:eastAsia="等线"/>
          <w:kern w:val="2"/>
          <w:lang w:val="en-US" w:eastAsia="zh-CN"/>
        </w:rPr>
        <w:t xml:space="preserve">, Bandi V, Guntupalli KK, Wu M, Castillo L, Jahoor F. Arginine, citrulline and nitric oxide metabolism in sepsis. </w:t>
      </w:r>
      <w:r w:rsidRPr="00B605E7">
        <w:rPr>
          <w:rFonts w:eastAsia="等线"/>
          <w:i/>
          <w:kern w:val="2"/>
          <w:lang w:val="en-US" w:eastAsia="zh-CN"/>
        </w:rPr>
        <w:t>Clin Sci (Lond)</w:t>
      </w:r>
      <w:r w:rsidRPr="00B605E7">
        <w:rPr>
          <w:rFonts w:eastAsia="等线"/>
          <w:kern w:val="2"/>
          <w:lang w:val="en-US" w:eastAsia="zh-CN"/>
        </w:rPr>
        <w:t xml:space="preserve"> 2009; </w:t>
      </w:r>
      <w:r w:rsidRPr="00B605E7">
        <w:rPr>
          <w:rFonts w:eastAsia="等线"/>
          <w:b/>
          <w:kern w:val="2"/>
          <w:lang w:val="en-US" w:eastAsia="zh-CN"/>
        </w:rPr>
        <w:t>117</w:t>
      </w:r>
      <w:r w:rsidRPr="00B605E7">
        <w:rPr>
          <w:rFonts w:eastAsia="等线"/>
          <w:kern w:val="2"/>
          <w:lang w:val="en-US" w:eastAsia="zh-CN"/>
        </w:rPr>
        <w:t>: 23-30 [PMID: 19105791 DOI: 10.1042/CS20080444]</w:t>
      </w:r>
    </w:p>
    <w:p w14:paraId="69C2824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141 </w:t>
      </w:r>
      <w:r w:rsidRPr="00B605E7">
        <w:rPr>
          <w:rFonts w:eastAsia="等线"/>
          <w:b/>
          <w:kern w:val="2"/>
          <w:lang w:val="en-US" w:eastAsia="zh-CN"/>
        </w:rPr>
        <w:t>Kao C</w:t>
      </w:r>
      <w:r w:rsidRPr="00B605E7">
        <w:rPr>
          <w:rFonts w:eastAsia="等线"/>
          <w:kern w:val="2"/>
          <w:lang w:val="en-US" w:eastAsia="zh-CN"/>
        </w:rPr>
        <w:t xml:space="preserve">, Hsu J, Bandi V, Jahoor F. Alterations in glutamine metabolism and its conversion to citrulline in sepsis. </w:t>
      </w:r>
      <w:r w:rsidRPr="00B605E7">
        <w:rPr>
          <w:rFonts w:eastAsia="等线"/>
          <w:i/>
          <w:kern w:val="2"/>
          <w:lang w:val="en-US" w:eastAsia="zh-CN"/>
        </w:rPr>
        <w:t>Am J Physiol Endocrinol Metab</w:t>
      </w:r>
      <w:r w:rsidRPr="00B605E7">
        <w:rPr>
          <w:rFonts w:eastAsia="等线"/>
          <w:kern w:val="2"/>
          <w:lang w:val="en-US" w:eastAsia="zh-CN"/>
        </w:rPr>
        <w:t xml:space="preserve"> 2013; </w:t>
      </w:r>
      <w:r w:rsidRPr="00B605E7">
        <w:rPr>
          <w:rFonts w:eastAsia="等线"/>
          <w:b/>
          <w:kern w:val="2"/>
          <w:lang w:val="en-US" w:eastAsia="zh-CN"/>
        </w:rPr>
        <w:t>304</w:t>
      </w:r>
      <w:r w:rsidRPr="00B605E7">
        <w:rPr>
          <w:rFonts w:eastAsia="等线"/>
          <w:kern w:val="2"/>
          <w:lang w:val="en-US" w:eastAsia="zh-CN"/>
        </w:rPr>
        <w:t>: E1359-E1364 [PMID: 23612995 DOI: 10.1152/ajpendo.00628.2012]</w:t>
      </w:r>
    </w:p>
    <w:p w14:paraId="660E059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142 </w:t>
      </w:r>
      <w:r w:rsidRPr="00B605E7">
        <w:rPr>
          <w:rFonts w:eastAsia="等线"/>
          <w:b/>
          <w:kern w:val="2"/>
          <w:lang w:val="en-US" w:eastAsia="zh-CN"/>
        </w:rPr>
        <w:t>Chen MK</w:t>
      </w:r>
      <w:r w:rsidRPr="00B605E7">
        <w:rPr>
          <w:rFonts w:eastAsia="等线"/>
          <w:kern w:val="2"/>
          <w:lang w:val="en-US" w:eastAsia="zh-CN"/>
        </w:rPr>
        <w:t xml:space="preserve">, Espat NJ, Bland KI, Copeland EM 3rd, Souba WW. Influence of progressive tumor growth on glutamine metabolism in skeletal muscle and kidney. </w:t>
      </w:r>
      <w:r w:rsidRPr="00B605E7">
        <w:rPr>
          <w:rFonts w:eastAsia="等线"/>
          <w:i/>
          <w:kern w:val="2"/>
          <w:lang w:val="en-US" w:eastAsia="zh-CN"/>
        </w:rPr>
        <w:t>Ann Surg</w:t>
      </w:r>
      <w:r w:rsidRPr="00B605E7">
        <w:rPr>
          <w:rFonts w:eastAsia="等线"/>
          <w:kern w:val="2"/>
          <w:lang w:val="en-US" w:eastAsia="zh-CN"/>
        </w:rPr>
        <w:t xml:space="preserve"> 1993; </w:t>
      </w:r>
      <w:r w:rsidRPr="00B605E7">
        <w:rPr>
          <w:rFonts w:eastAsia="等线"/>
          <w:b/>
          <w:kern w:val="2"/>
          <w:lang w:val="en-US" w:eastAsia="zh-CN"/>
        </w:rPr>
        <w:t>217</w:t>
      </w:r>
      <w:r w:rsidRPr="00B605E7">
        <w:rPr>
          <w:rFonts w:eastAsia="等线"/>
          <w:kern w:val="2"/>
          <w:lang w:val="en-US" w:eastAsia="zh-CN"/>
        </w:rPr>
        <w:t>: 655-66; discussion 666-7 [PMID: 8099476 DOI: 10.1097/00000658-199306000-00007]</w:t>
      </w:r>
    </w:p>
    <w:p w14:paraId="42F9331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lastRenderedPageBreak/>
        <w:t xml:space="preserve">143 </w:t>
      </w:r>
      <w:r w:rsidRPr="00B605E7">
        <w:rPr>
          <w:rFonts w:eastAsia="等线"/>
          <w:b/>
          <w:kern w:val="2"/>
          <w:lang w:val="en-US" w:eastAsia="zh-CN"/>
        </w:rPr>
        <w:t>Schmoll HJ</w:t>
      </w:r>
      <w:r w:rsidRPr="00B605E7">
        <w:rPr>
          <w:rFonts w:eastAsia="等线"/>
          <w:kern w:val="2"/>
          <w:lang w:val="en-US" w:eastAsia="zh-CN"/>
        </w:rPr>
        <w:t xml:space="preserve">, Van Cutsem E, Stein A, Valentini V, Glimelius B, Haustermans K, Nordlinger B, van de Velde CJ, Balmana J, Regula J, Nagtegaal ID, Beets-Tan RG, Arnold D, Ciardiello F, Hoff P, Kerr D, Köhne CH, Labianca R, Price T, Scheithauer W, Sobrero A, Tabernero J, Aderka D, Barroso S, Bodoky G, Douillard JY, El Ghazaly H, Gallardo J, Garin A, Glynne-Jones R, Jordan K, Meshcheryakov A, Papamichail D, Pfeiffer P, Souglakos I, Turhal S, Cervantes A. ESMO Consensus Guidelines for management of patients with colon and rectal cancer. a personalized approach to clinical decision making. </w:t>
      </w:r>
      <w:r w:rsidRPr="00B605E7">
        <w:rPr>
          <w:rFonts w:eastAsia="等线"/>
          <w:i/>
          <w:kern w:val="2"/>
          <w:lang w:val="en-US" w:eastAsia="zh-CN"/>
        </w:rPr>
        <w:t>Ann Oncol</w:t>
      </w:r>
      <w:r w:rsidRPr="00B605E7">
        <w:rPr>
          <w:rFonts w:eastAsia="等线"/>
          <w:kern w:val="2"/>
          <w:lang w:val="en-US" w:eastAsia="zh-CN"/>
        </w:rPr>
        <w:t xml:space="preserve"> 2012; </w:t>
      </w:r>
      <w:r w:rsidRPr="00B605E7">
        <w:rPr>
          <w:rFonts w:eastAsia="等线"/>
          <w:b/>
          <w:kern w:val="2"/>
          <w:lang w:val="en-US" w:eastAsia="zh-CN"/>
        </w:rPr>
        <w:t>23</w:t>
      </w:r>
      <w:r w:rsidRPr="00B605E7">
        <w:rPr>
          <w:rFonts w:eastAsia="等线"/>
          <w:kern w:val="2"/>
          <w:lang w:val="en-US" w:eastAsia="zh-CN"/>
        </w:rPr>
        <w:t>: 2479-2516 [PMID: 23012255 DOI: 10.1093/annonc/mds236]</w:t>
      </w:r>
    </w:p>
    <w:p w14:paraId="6D2AE7C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144 </w:t>
      </w:r>
      <w:r w:rsidRPr="00B605E7">
        <w:rPr>
          <w:rFonts w:eastAsia="等线"/>
          <w:b/>
          <w:kern w:val="2"/>
          <w:lang w:val="en-US" w:eastAsia="zh-CN"/>
        </w:rPr>
        <w:t>Glynne-Jones R</w:t>
      </w:r>
      <w:r w:rsidRPr="00B605E7">
        <w:rPr>
          <w:rFonts w:eastAsia="等线"/>
          <w:kern w:val="2"/>
          <w:lang w:val="en-US" w:eastAsia="zh-CN"/>
        </w:rPr>
        <w:t xml:space="preserve">, Wyrwicz L, Tiret E, Brown G, Rödel C, Cervantes A, Arnold D; ESMO Guidelines Committee. Rectal cancer: ESMO Clinical Practice Guidelines for diagnosis, treatment and follow-up. </w:t>
      </w:r>
      <w:r w:rsidRPr="00B605E7">
        <w:rPr>
          <w:rFonts w:eastAsia="等线"/>
          <w:i/>
          <w:kern w:val="2"/>
          <w:lang w:val="en-US" w:eastAsia="zh-CN"/>
        </w:rPr>
        <w:t>Ann Oncol</w:t>
      </w:r>
      <w:r w:rsidRPr="00B605E7">
        <w:rPr>
          <w:rFonts w:eastAsia="等线"/>
          <w:kern w:val="2"/>
          <w:lang w:val="en-US" w:eastAsia="zh-CN"/>
        </w:rPr>
        <w:t xml:space="preserve"> 2017; </w:t>
      </w:r>
      <w:r w:rsidRPr="00B605E7">
        <w:rPr>
          <w:rFonts w:eastAsia="等线"/>
          <w:b/>
          <w:kern w:val="2"/>
          <w:lang w:val="en-US" w:eastAsia="zh-CN"/>
        </w:rPr>
        <w:t>28</w:t>
      </w:r>
      <w:r w:rsidRPr="00B605E7">
        <w:rPr>
          <w:rFonts w:eastAsia="等线"/>
          <w:kern w:val="2"/>
          <w:lang w:val="en-US" w:eastAsia="zh-CN"/>
        </w:rPr>
        <w:t>: iv22-iv40 [PMID: 28881920 DOI: 10.1093/annonc/mdx224]</w:t>
      </w:r>
    </w:p>
    <w:p w14:paraId="2209B97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145 </w:t>
      </w:r>
      <w:r w:rsidRPr="00B605E7">
        <w:rPr>
          <w:rFonts w:eastAsia="等线"/>
          <w:b/>
          <w:kern w:val="2"/>
          <w:lang w:val="en-US" w:eastAsia="zh-CN"/>
        </w:rPr>
        <w:t>Ogino S</w:t>
      </w:r>
      <w:r w:rsidRPr="00B605E7">
        <w:rPr>
          <w:rFonts w:eastAsia="等线"/>
          <w:kern w:val="2"/>
          <w:lang w:val="en-US" w:eastAsia="zh-CN"/>
        </w:rPr>
        <w:t xml:space="preserve">, Fuchs CS, Giovannucci E. How many molecular subtypes? Implications of the unique tumor principle in personalized medicine. </w:t>
      </w:r>
      <w:r w:rsidRPr="00B605E7">
        <w:rPr>
          <w:rFonts w:eastAsia="等线"/>
          <w:i/>
          <w:kern w:val="2"/>
          <w:lang w:val="en-US" w:eastAsia="zh-CN"/>
        </w:rPr>
        <w:t>Expert Rev Mol Diagn</w:t>
      </w:r>
      <w:r w:rsidRPr="00B605E7">
        <w:rPr>
          <w:rFonts w:eastAsia="等线"/>
          <w:kern w:val="2"/>
          <w:lang w:val="en-US" w:eastAsia="zh-CN"/>
        </w:rPr>
        <w:t xml:space="preserve"> 2012; </w:t>
      </w:r>
      <w:r w:rsidRPr="00B605E7">
        <w:rPr>
          <w:rFonts w:eastAsia="等线"/>
          <w:b/>
          <w:kern w:val="2"/>
          <w:lang w:val="en-US" w:eastAsia="zh-CN"/>
        </w:rPr>
        <w:t>12</w:t>
      </w:r>
      <w:r w:rsidRPr="00B605E7">
        <w:rPr>
          <w:rFonts w:eastAsia="等线"/>
          <w:kern w:val="2"/>
          <w:lang w:val="en-US" w:eastAsia="zh-CN"/>
        </w:rPr>
        <w:t>: 621-628 [PMID: 22845482 DOI: 10.1586/erm.12.46]</w:t>
      </w:r>
    </w:p>
    <w:p w14:paraId="6A1E03A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146 </w:t>
      </w:r>
      <w:r w:rsidRPr="00B605E7">
        <w:rPr>
          <w:rFonts w:eastAsia="等线"/>
          <w:b/>
          <w:kern w:val="2"/>
          <w:lang w:val="en-US" w:eastAsia="zh-CN"/>
        </w:rPr>
        <w:t>Van Cutsem E</w:t>
      </w:r>
      <w:r w:rsidRPr="00B605E7">
        <w:rPr>
          <w:rFonts w:eastAsia="等线"/>
          <w:kern w:val="2"/>
          <w:lang w:val="en-US" w:eastAsia="zh-CN"/>
        </w:rPr>
        <w:t xml:space="preserve">, Cervantes A, Adam R, Sobrero A, Van Krieken JH, Aderka D, Aranda Aguilar E, Bardelli A, Benson A, Bodoky G, Ciardiello F, D'Hoore A, Diaz-Rubio E, Douillard JY, Ducreux M, Falcone A, Grothey A, Gruenberger T, Haustermans K, Heinemann V, Hoff P, Köhne CH, Labianca R, Laurent-Puig P, Ma B, Maughan T, Muro K, Normanno N, Österlund P, Oyen WJ, Papamichael D, Pentheroudakis G, Pfeiffer P, Price TJ, Punt C, Ricke J, Roth A, Salazar R, Scheithauer W, Schmoll HJ, Tabernero J, Taïeb J, Tejpar S, Wasan H, Yoshino T, Zaanan A, Arnold D. ESMO consensus guidelines for the management of patients with metastatic colorectal cancer. </w:t>
      </w:r>
      <w:r w:rsidRPr="00B605E7">
        <w:rPr>
          <w:rFonts w:eastAsia="等线"/>
          <w:i/>
          <w:kern w:val="2"/>
          <w:lang w:val="en-US" w:eastAsia="zh-CN"/>
        </w:rPr>
        <w:t>Ann Oncol</w:t>
      </w:r>
      <w:r w:rsidRPr="00B605E7">
        <w:rPr>
          <w:rFonts w:eastAsia="等线"/>
          <w:kern w:val="2"/>
          <w:lang w:val="en-US" w:eastAsia="zh-CN"/>
        </w:rPr>
        <w:t xml:space="preserve"> 2016; </w:t>
      </w:r>
      <w:r w:rsidRPr="00B605E7">
        <w:rPr>
          <w:rFonts w:eastAsia="等线"/>
          <w:b/>
          <w:kern w:val="2"/>
          <w:lang w:val="en-US" w:eastAsia="zh-CN"/>
        </w:rPr>
        <w:t>27</w:t>
      </w:r>
      <w:r w:rsidRPr="00B605E7">
        <w:rPr>
          <w:rFonts w:eastAsia="等线"/>
          <w:kern w:val="2"/>
          <w:lang w:val="en-US" w:eastAsia="zh-CN"/>
        </w:rPr>
        <w:t>: 1386-1422 [PMID: 27380959 DOI: 10.1093/annonc/mdw235]</w:t>
      </w:r>
    </w:p>
    <w:p w14:paraId="1C7EA7D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147 </w:t>
      </w:r>
      <w:r w:rsidRPr="00B605E7">
        <w:rPr>
          <w:rFonts w:eastAsia="等线"/>
          <w:b/>
          <w:kern w:val="2"/>
          <w:lang w:val="en-US" w:eastAsia="zh-CN"/>
        </w:rPr>
        <w:t>Ogino S</w:t>
      </w:r>
      <w:r w:rsidRPr="00B605E7">
        <w:rPr>
          <w:rFonts w:eastAsia="等线"/>
          <w:kern w:val="2"/>
          <w:lang w:val="en-US" w:eastAsia="zh-CN"/>
        </w:rPr>
        <w:t xml:space="preserve">, Nowak JA, Hamada T, Phipps AI, Peters U, Milner DA Jr, Giovannucci EL, Nishihara R, Giannakis M, Garrett WS, Song M. Integrative analysis of exogenous, endogenous, tumour and immune factors for precision medicine. </w:t>
      </w:r>
      <w:r w:rsidRPr="00B605E7">
        <w:rPr>
          <w:rFonts w:eastAsia="等线"/>
          <w:i/>
          <w:kern w:val="2"/>
          <w:lang w:val="en-US" w:eastAsia="zh-CN"/>
        </w:rPr>
        <w:t>Gut</w:t>
      </w:r>
      <w:r w:rsidRPr="00B605E7">
        <w:rPr>
          <w:rFonts w:eastAsia="等线"/>
          <w:kern w:val="2"/>
          <w:lang w:val="en-US" w:eastAsia="zh-CN"/>
        </w:rPr>
        <w:t xml:space="preserve"> 2018; </w:t>
      </w:r>
      <w:r w:rsidRPr="00B605E7">
        <w:rPr>
          <w:rFonts w:eastAsia="等线"/>
          <w:b/>
          <w:kern w:val="2"/>
          <w:lang w:val="en-US" w:eastAsia="zh-CN"/>
        </w:rPr>
        <w:t>67</w:t>
      </w:r>
      <w:r w:rsidRPr="00B605E7">
        <w:rPr>
          <w:rFonts w:eastAsia="等线"/>
          <w:kern w:val="2"/>
          <w:lang w:val="en-US" w:eastAsia="zh-CN"/>
        </w:rPr>
        <w:t>: 1168-1180 [PMID: 29437869 DOI: 10.1136/gutjnl-2017-315537]</w:t>
      </w:r>
    </w:p>
    <w:p w14:paraId="41FA715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148 </w:t>
      </w:r>
      <w:r w:rsidRPr="00B605E7">
        <w:rPr>
          <w:rFonts w:eastAsia="等线"/>
          <w:b/>
          <w:kern w:val="2"/>
          <w:lang w:val="en-US" w:eastAsia="zh-CN"/>
        </w:rPr>
        <w:t>Li H</w:t>
      </w:r>
      <w:r w:rsidRPr="00B605E7">
        <w:rPr>
          <w:rFonts w:eastAsia="等线"/>
          <w:kern w:val="2"/>
          <w:lang w:val="en-US" w:eastAsia="zh-CN"/>
        </w:rPr>
        <w:t xml:space="preserve">, Zhao Y, Zheng F. Prognostic significance of elevated preoperative neutrophil-to-lymphocyte ratio for patients with colorectal cancer undergoing curative surgery: A meta-analysis. </w:t>
      </w:r>
      <w:r w:rsidRPr="00B605E7">
        <w:rPr>
          <w:rFonts w:eastAsia="等线"/>
          <w:i/>
          <w:kern w:val="2"/>
          <w:lang w:val="en-US" w:eastAsia="zh-CN"/>
        </w:rPr>
        <w:t>Medicine (Baltimore)</w:t>
      </w:r>
      <w:r w:rsidRPr="00B605E7">
        <w:rPr>
          <w:rFonts w:eastAsia="等线"/>
          <w:kern w:val="2"/>
          <w:lang w:val="en-US" w:eastAsia="zh-CN"/>
        </w:rPr>
        <w:t xml:space="preserve"> 2019; </w:t>
      </w:r>
      <w:r w:rsidRPr="00B605E7">
        <w:rPr>
          <w:rFonts w:eastAsia="等线"/>
          <w:b/>
          <w:kern w:val="2"/>
          <w:lang w:val="en-US" w:eastAsia="zh-CN"/>
        </w:rPr>
        <w:t>98</w:t>
      </w:r>
      <w:r w:rsidRPr="00B605E7">
        <w:rPr>
          <w:rFonts w:eastAsia="等线"/>
          <w:kern w:val="2"/>
          <w:lang w:val="en-US" w:eastAsia="zh-CN"/>
        </w:rPr>
        <w:t xml:space="preserve">: e14126 [PMID: 30653142 DOI: </w:t>
      </w:r>
      <w:r w:rsidRPr="00B605E7">
        <w:rPr>
          <w:rFonts w:eastAsia="等线"/>
          <w:kern w:val="2"/>
          <w:lang w:val="en-US" w:eastAsia="zh-CN"/>
        </w:rPr>
        <w:lastRenderedPageBreak/>
        <w:t>10.1097/MD.0000000000014126]</w:t>
      </w:r>
    </w:p>
    <w:p w14:paraId="3FDC2A2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149 </w:t>
      </w:r>
      <w:r w:rsidRPr="00B605E7">
        <w:rPr>
          <w:rFonts w:eastAsia="等线"/>
          <w:b/>
          <w:kern w:val="2"/>
          <w:lang w:val="en-US" w:eastAsia="zh-CN"/>
        </w:rPr>
        <w:t>Tan D</w:t>
      </w:r>
      <w:r w:rsidRPr="00B605E7">
        <w:rPr>
          <w:rFonts w:eastAsia="等线"/>
          <w:kern w:val="2"/>
          <w:lang w:val="en-US" w:eastAsia="zh-CN"/>
        </w:rPr>
        <w:t xml:space="preserve">, Fu Y, Tong W, Li F. Prognostic significance of lymphocyte to monocyte ratio in colorectal cancer: A meta-analysis. </w:t>
      </w:r>
      <w:r w:rsidRPr="00B605E7">
        <w:rPr>
          <w:rFonts w:eastAsia="等线"/>
          <w:i/>
          <w:kern w:val="2"/>
          <w:lang w:val="en-US" w:eastAsia="zh-CN"/>
        </w:rPr>
        <w:t>Int J Surg</w:t>
      </w:r>
      <w:r w:rsidRPr="00B605E7">
        <w:rPr>
          <w:rFonts w:eastAsia="等线"/>
          <w:kern w:val="2"/>
          <w:lang w:val="en-US" w:eastAsia="zh-CN"/>
        </w:rPr>
        <w:t xml:space="preserve"> 2018; </w:t>
      </w:r>
      <w:r w:rsidRPr="00B605E7">
        <w:rPr>
          <w:rFonts w:eastAsia="等线"/>
          <w:b/>
          <w:kern w:val="2"/>
          <w:lang w:val="en-US" w:eastAsia="zh-CN"/>
        </w:rPr>
        <w:t>55</w:t>
      </w:r>
      <w:r w:rsidRPr="00B605E7">
        <w:rPr>
          <w:rFonts w:eastAsia="等线"/>
          <w:kern w:val="2"/>
          <w:lang w:val="en-US" w:eastAsia="zh-CN"/>
        </w:rPr>
        <w:t>: 128-138 [PMID: 29807167 DOI: 10.1016/j.ijsu.2018.05.030]</w:t>
      </w:r>
    </w:p>
    <w:p w14:paraId="7C4A999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150 </w:t>
      </w:r>
      <w:r w:rsidRPr="00B605E7">
        <w:rPr>
          <w:rFonts w:eastAsia="等线"/>
          <w:b/>
          <w:kern w:val="2"/>
          <w:lang w:val="en-US" w:eastAsia="zh-CN"/>
        </w:rPr>
        <w:t>Wilson MJ</w:t>
      </w:r>
      <w:r w:rsidRPr="00B605E7">
        <w:rPr>
          <w:rFonts w:eastAsia="等线"/>
          <w:kern w:val="2"/>
          <w:lang w:val="en-US" w:eastAsia="zh-CN"/>
        </w:rPr>
        <w:t xml:space="preserve">, van Haaren M, Harlaar JJ, Park HC, Bonjer HJ, Jeekel J, Zwaginga JJ, Schipperus M. Long-term prognostic value of preoperative anemia in patients with colorectal cancer: A systematic review and meta-analysis. </w:t>
      </w:r>
      <w:r w:rsidRPr="00B605E7">
        <w:rPr>
          <w:rFonts w:eastAsia="等线"/>
          <w:i/>
          <w:kern w:val="2"/>
          <w:lang w:val="en-US" w:eastAsia="zh-CN"/>
        </w:rPr>
        <w:t>Surg Oncol</w:t>
      </w:r>
      <w:r w:rsidRPr="00B605E7">
        <w:rPr>
          <w:rFonts w:eastAsia="等线"/>
          <w:kern w:val="2"/>
          <w:lang w:val="en-US" w:eastAsia="zh-CN"/>
        </w:rPr>
        <w:t xml:space="preserve"> 2017; </w:t>
      </w:r>
      <w:r w:rsidRPr="00B605E7">
        <w:rPr>
          <w:rFonts w:eastAsia="等线"/>
          <w:b/>
          <w:kern w:val="2"/>
          <w:lang w:val="en-US" w:eastAsia="zh-CN"/>
        </w:rPr>
        <w:t>26</w:t>
      </w:r>
      <w:r w:rsidRPr="00B605E7">
        <w:rPr>
          <w:rFonts w:eastAsia="等线"/>
          <w:kern w:val="2"/>
          <w:lang w:val="en-US" w:eastAsia="zh-CN"/>
        </w:rPr>
        <w:t>: 96-104 [PMID: 28317592 DOI: 10.1016/j.suronc.2017.01.005]</w:t>
      </w:r>
    </w:p>
    <w:p w14:paraId="54F3649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151 </w:t>
      </w:r>
      <w:r w:rsidRPr="00B605E7">
        <w:rPr>
          <w:rFonts w:eastAsia="等线"/>
          <w:b/>
          <w:kern w:val="2"/>
          <w:lang w:val="en-US" w:eastAsia="zh-CN"/>
        </w:rPr>
        <w:t>Gu D</w:t>
      </w:r>
      <w:r w:rsidRPr="00B605E7">
        <w:rPr>
          <w:rFonts w:eastAsia="等线"/>
          <w:kern w:val="2"/>
          <w:lang w:val="en-US" w:eastAsia="zh-CN"/>
        </w:rPr>
        <w:t xml:space="preserve">, Szallasi A. Thrombocytosis Portends Adverse Prognosis in Colorectal Cancer: A Meta-Analysis of 5,619 Patients in 16 Individual Studies. </w:t>
      </w:r>
      <w:r w:rsidRPr="00B605E7">
        <w:rPr>
          <w:rFonts w:eastAsia="等线"/>
          <w:i/>
          <w:kern w:val="2"/>
          <w:lang w:val="en-US" w:eastAsia="zh-CN"/>
        </w:rPr>
        <w:t>Anticancer Res</w:t>
      </w:r>
      <w:r w:rsidRPr="00B605E7">
        <w:rPr>
          <w:rFonts w:eastAsia="等线"/>
          <w:kern w:val="2"/>
          <w:lang w:val="en-US" w:eastAsia="zh-CN"/>
        </w:rPr>
        <w:t xml:space="preserve"> 2017; </w:t>
      </w:r>
      <w:r w:rsidRPr="00B605E7">
        <w:rPr>
          <w:rFonts w:eastAsia="等线"/>
          <w:b/>
          <w:kern w:val="2"/>
          <w:lang w:val="en-US" w:eastAsia="zh-CN"/>
        </w:rPr>
        <w:t>37</w:t>
      </w:r>
      <w:r w:rsidRPr="00B605E7">
        <w:rPr>
          <w:rFonts w:eastAsia="等线"/>
          <w:kern w:val="2"/>
          <w:lang w:val="en-US" w:eastAsia="zh-CN"/>
        </w:rPr>
        <w:t>: 4717-4726 [PMID: 28870890 DOI: 10.21873/anticanres.11878]</w:t>
      </w:r>
    </w:p>
    <w:p w14:paraId="1866BED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152 </w:t>
      </w:r>
      <w:r w:rsidRPr="00B605E7">
        <w:rPr>
          <w:rFonts w:eastAsia="等线"/>
          <w:b/>
          <w:kern w:val="2"/>
          <w:lang w:val="en-US" w:eastAsia="zh-CN"/>
        </w:rPr>
        <w:t>Rao XD</w:t>
      </w:r>
      <w:r w:rsidRPr="00B605E7">
        <w:rPr>
          <w:rFonts w:eastAsia="等线"/>
          <w:kern w:val="2"/>
          <w:lang w:val="en-US" w:eastAsia="zh-CN"/>
        </w:rPr>
        <w:t xml:space="preserve">, Zhang H, Xu ZS, Cheng H, Shen W, Wang XP. Poor prognostic role of the pretreatment platelet counts in colorectal cancer: A meta-analysis. </w:t>
      </w:r>
      <w:r w:rsidRPr="00B605E7">
        <w:rPr>
          <w:rFonts w:eastAsia="等线"/>
          <w:i/>
          <w:kern w:val="2"/>
          <w:lang w:val="en-US" w:eastAsia="zh-CN"/>
        </w:rPr>
        <w:t>Medicine (Baltimore)</w:t>
      </w:r>
      <w:r w:rsidRPr="00B605E7">
        <w:rPr>
          <w:rFonts w:eastAsia="等线"/>
          <w:kern w:val="2"/>
          <w:lang w:val="en-US" w:eastAsia="zh-CN"/>
        </w:rPr>
        <w:t xml:space="preserve"> 2018; </w:t>
      </w:r>
      <w:r w:rsidRPr="00B605E7">
        <w:rPr>
          <w:rFonts w:eastAsia="等线"/>
          <w:b/>
          <w:kern w:val="2"/>
          <w:lang w:val="en-US" w:eastAsia="zh-CN"/>
        </w:rPr>
        <w:t>97</w:t>
      </w:r>
      <w:r w:rsidRPr="00B605E7">
        <w:rPr>
          <w:rFonts w:eastAsia="等线"/>
          <w:kern w:val="2"/>
          <w:lang w:val="en-US" w:eastAsia="zh-CN"/>
        </w:rPr>
        <w:t>: e10831 [PMID: 29879017 DOI: 10.1097/MD.0000000000010831]</w:t>
      </w:r>
    </w:p>
    <w:p w14:paraId="38B2EFC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153 </w:t>
      </w:r>
      <w:r w:rsidRPr="00B605E7">
        <w:rPr>
          <w:rFonts w:eastAsia="等线"/>
          <w:b/>
          <w:kern w:val="2"/>
          <w:lang w:val="en-US" w:eastAsia="zh-CN"/>
        </w:rPr>
        <w:t>Tan D</w:t>
      </w:r>
      <w:r w:rsidRPr="00B605E7">
        <w:rPr>
          <w:rFonts w:eastAsia="等线"/>
          <w:kern w:val="2"/>
          <w:lang w:val="en-US" w:eastAsia="zh-CN"/>
        </w:rPr>
        <w:t xml:space="preserve">, Fu Y, Su Q, Wang H. Prognostic role of platelet-lymphocyte ratio in colorectal cancer: A systematic review and meta-analysis. </w:t>
      </w:r>
      <w:r w:rsidRPr="00B605E7">
        <w:rPr>
          <w:rFonts w:eastAsia="等线"/>
          <w:i/>
          <w:kern w:val="2"/>
          <w:lang w:val="en-US" w:eastAsia="zh-CN"/>
        </w:rPr>
        <w:t>Medicine (Baltimore)</w:t>
      </w:r>
      <w:r w:rsidRPr="00B605E7">
        <w:rPr>
          <w:rFonts w:eastAsia="等线"/>
          <w:kern w:val="2"/>
          <w:lang w:val="en-US" w:eastAsia="zh-CN"/>
        </w:rPr>
        <w:t xml:space="preserve"> 2016; </w:t>
      </w:r>
      <w:r w:rsidRPr="00B605E7">
        <w:rPr>
          <w:rFonts w:eastAsia="等线"/>
          <w:b/>
          <w:kern w:val="2"/>
          <w:lang w:val="en-US" w:eastAsia="zh-CN"/>
        </w:rPr>
        <w:t>95</w:t>
      </w:r>
      <w:r w:rsidRPr="00B605E7">
        <w:rPr>
          <w:rFonts w:eastAsia="等线"/>
          <w:kern w:val="2"/>
          <w:lang w:val="en-US" w:eastAsia="zh-CN"/>
        </w:rPr>
        <w:t>: e3837 [PMID: 27310960 DOI: 10.1097/MD.0000000000003837]</w:t>
      </w:r>
    </w:p>
    <w:p w14:paraId="43A48FD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154 </w:t>
      </w:r>
      <w:r w:rsidRPr="00B605E7">
        <w:rPr>
          <w:rFonts w:eastAsia="等线"/>
          <w:b/>
          <w:kern w:val="2"/>
          <w:lang w:val="en-US" w:eastAsia="zh-CN"/>
        </w:rPr>
        <w:t>Gunawardene A</w:t>
      </w:r>
      <w:r w:rsidRPr="00B605E7">
        <w:rPr>
          <w:rFonts w:eastAsia="等线"/>
          <w:kern w:val="2"/>
          <w:lang w:val="en-US" w:eastAsia="zh-CN"/>
        </w:rPr>
        <w:t xml:space="preserve">, Dennett E, Larsen P. Prognostic value of multiple cytokine analysis in colorectal cancer: a systematic review. </w:t>
      </w:r>
      <w:r w:rsidRPr="00B605E7">
        <w:rPr>
          <w:rFonts w:eastAsia="等线"/>
          <w:i/>
          <w:kern w:val="2"/>
          <w:lang w:val="en-US" w:eastAsia="zh-CN"/>
        </w:rPr>
        <w:t>J Gastrointest Oncol</w:t>
      </w:r>
      <w:r w:rsidRPr="00B605E7">
        <w:rPr>
          <w:rFonts w:eastAsia="等线"/>
          <w:kern w:val="2"/>
          <w:lang w:val="en-US" w:eastAsia="zh-CN"/>
        </w:rPr>
        <w:t xml:space="preserve"> 2019; </w:t>
      </w:r>
      <w:r w:rsidRPr="00B605E7">
        <w:rPr>
          <w:rFonts w:eastAsia="等线"/>
          <w:b/>
          <w:kern w:val="2"/>
          <w:lang w:val="en-US" w:eastAsia="zh-CN"/>
        </w:rPr>
        <w:t>10</w:t>
      </w:r>
      <w:r w:rsidRPr="00B605E7">
        <w:rPr>
          <w:rFonts w:eastAsia="等线"/>
          <w:kern w:val="2"/>
          <w:lang w:val="en-US" w:eastAsia="zh-CN"/>
        </w:rPr>
        <w:t>: 134-143 [PMID: 30788169 DOI: 10.21037/jgo.2018.07.11]</w:t>
      </w:r>
    </w:p>
    <w:p w14:paraId="1B2DEA18"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155 </w:t>
      </w:r>
      <w:r w:rsidRPr="00B605E7">
        <w:rPr>
          <w:rFonts w:eastAsia="等线"/>
          <w:b/>
          <w:kern w:val="2"/>
          <w:lang w:val="en-US" w:eastAsia="zh-CN"/>
        </w:rPr>
        <w:t>Murray PJ</w:t>
      </w:r>
      <w:r w:rsidRPr="00B605E7">
        <w:rPr>
          <w:rFonts w:eastAsia="等线"/>
          <w:kern w:val="2"/>
          <w:lang w:val="en-US" w:eastAsia="zh-CN"/>
        </w:rPr>
        <w:t xml:space="preserve">. Macrophage Polarization. </w:t>
      </w:r>
      <w:r w:rsidRPr="00B605E7">
        <w:rPr>
          <w:rFonts w:eastAsia="等线"/>
          <w:i/>
          <w:kern w:val="2"/>
          <w:lang w:val="en-US" w:eastAsia="zh-CN"/>
        </w:rPr>
        <w:t>Annu Rev Physiol</w:t>
      </w:r>
      <w:r w:rsidRPr="00B605E7">
        <w:rPr>
          <w:rFonts w:eastAsia="等线"/>
          <w:kern w:val="2"/>
          <w:lang w:val="en-US" w:eastAsia="zh-CN"/>
        </w:rPr>
        <w:t xml:space="preserve"> 2017; </w:t>
      </w:r>
      <w:r w:rsidRPr="00B605E7">
        <w:rPr>
          <w:rFonts w:eastAsia="等线"/>
          <w:b/>
          <w:kern w:val="2"/>
          <w:lang w:val="en-US" w:eastAsia="zh-CN"/>
        </w:rPr>
        <w:t>79</w:t>
      </w:r>
      <w:r w:rsidRPr="00B605E7">
        <w:rPr>
          <w:rFonts w:eastAsia="等线"/>
          <w:kern w:val="2"/>
          <w:lang w:val="en-US" w:eastAsia="zh-CN"/>
        </w:rPr>
        <w:t>: 541-566 [PMID: 27813830 DOI: 10.1146/annurev-physiol-022516-034339]</w:t>
      </w:r>
    </w:p>
    <w:p w14:paraId="4B7A51C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156 </w:t>
      </w:r>
      <w:r w:rsidRPr="00B605E7">
        <w:rPr>
          <w:rFonts w:eastAsia="等线"/>
          <w:b/>
          <w:kern w:val="2"/>
          <w:lang w:val="en-US" w:eastAsia="zh-CN"/>
        </w:rPr>
        <w:t>Dang VD</w:t>
      </w:r>
      <w:r w:rsidRPr="00B605E7">
        <w:rPr>
          <w:rFonts w:eastAsia="等线"/>
          <w:kern w:val="2"/>
          <w:lang w:val="en-US" w:eastAsia="zh-CN"/>
        </w:rPr>
        <w:t xml:space="preserve">, Hilgenberg E, Ries S, Shen P, Fillatreau S. From the regulatory functions of B cells to the identification of cytokine-producing plasma cell subsets. </w:t>
      </w:r>
      <w:r w:rsidRPr="00B605E7">
        <w:rPr>
          <w:rFonts w:eastAsia="等线"/>
          <w:i/>
          <w:kern w:val="2"/>
          <w:lang w:val="en-US" w:eastAsia="zh-CN"/>
        </w:rPr>
        <w:t>Curr Opin Immunol</w:t>
      </w:r>
      <w:r w:rsidRPr="00B605E7">
        <w:rPr>
          <w:rFonts w:eastAsia="等线"/>
          <w:kern w:val="2"/>
          <w:lang w:val="en-US" w:eastAsia="zh-CN"/>
        </w:rPr>
        <w:t xml:space="preserve"> 2014; </w:t>
      </w:r>
      <w:r w:rsidRPr="00B605E7">
        <w:rPr>
          <w:rFonts w:eastAsia="等线"/>
          <w:b/>
          <w:kern w:val="2"/>
          <w:lang w:val="en-US" w:eastAsia="zh-CN"/>
        </w:rPr>
        <w:t>28</w:t>
      </w:r>
      <w:r w:rsidRPr="00B605E7">
        <w:rPr>
          <w:rFonts w:eastAsia="等线"/>
          <w:kern w:val="2"/>
          <w:lang w:val="en-US" w:eastAsia="zh-CN"/>
        </w:rPr>
        <w:t>: 77-83 [PMID: 24637161 DOI: 10.1016/j.coi.2014.02.009]</w:t>
      </w:r>
    </w:p>
    <w:p w14:paraId="2EA09FA1"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157 </w:t>
      </w:r>
      <w:r w:rsidRPr="00B605E7">
        <w:rPr>
          <w:rFonts w:eastAsia="等线"/>
          <w:b/>
          <w:kern w:val="2"/>
          <w:lang w:val="en-US" w:eastAsia="zh-CN"/>
        </w:rPr>
        <w:t>Gunter MJ</w:t>
      </w:r>
      <w:r w:rsidRPr="00B605E7">
        <w:rPr>
          <w:rFonts w:eastAsia="等线"/>
          <w:kern w:val="2"/>
          <w:lang w:val="en-US" w:eastAsia="zh-CN"/>
        </w:rPr>
        <w:t xml:space="preserve">, Stolzenberg-Solomon R, Cross AJ, Leitzmann MF, Weinstein S, Wood RJ, Virtamo J, Taylor PR, Albanes D, Sinha R. A prospective study of serum C-reactive protein and colorectal cancer risk in men. </w:t>
      </w:r>
      <w:r w:rsidRPr="00B605E7">
        <w:rPr>
          <w:rFonts w:eastAsia="等线"/>
          <w:i/>
          <w:kern w:val="2"/>
          <w:lang w:val="en-US" w:eastAsia="zh-CN"/>
        </w:rPr>
        <w:t>Cancer Res</w:t>
      </w:r>
      <w:r w:rsidRPr="00B605E7">
        <w:rPr>
          <w:rFonts w:eastAsia="等线"/>
          <w:kern w:val="2"/>
          <w:lang w:val="en-US" w:eastAsia="zh-CN"/>
        </w:rPr>
        <w:t xml:space="preserve"> 2006; </w:t>
      </w:r>
      <w:r w:rsidRPr="00B605E7">
        <w:rPr>
          <w:rFonts w:eastAsia="等线"/>
          <w:b/>
          <w:kern w:val="2"/>
          <w:lang w:val="en-US" w:eastAsia="zh-CN"/>
        </w:rPr>
        <w:t>66</w:t>
      </w:r>
      <w:r w:rsidRPr="00B605E7">
        <w:rPr>
          <w:rFonts w:eastAsia="等线"/>
          <w:kern w:val="2"/>
          <w:lang w:val="en-US" w:eastAsia="zh-CN"/>
        </w:rPr>
        <w:t>: 2483-2487 [PMID: 16489056 DOI: 10.1158/0008-5472.CAN-05-3631]</w:t>
      </w:r>
    </w:p>
    <w:p w14:paraId="6318B6E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158 </w:t>
      </w:r>
      <w:r w:rsidRPr="00B605E7">
        <w:rPr>
          <w:rFonts w:eastAsia="等线"/>
          <w:b/>
          <w:kern w:val="2"/>
          <w:lang w:val="en-US" w:eastAsia="zh-CN"/>
        </w:rPr>
        <w:t>Sun L</w:t>
      </w:r>
      <w:r w:rsidRPr="00B605E7">
        <w:rPr>
          <w:rFonts w:eastAsia="等线"/>
          <w:kern w:val="2"/>
          <w:lang w:val="en-US" w:eastAsia="zh-CN"/>
        </w:rPr>
        <w:t xml:space="preserve">, Hu S, Yu L, Guo C, Sun L, Yang Z, Qi J, Ran Y. Serum haptoglobin as a novel molecular biomarker predicting colorectal cancer hepatic metastasis. </w:t>
      </w:r>
      <w:r w:rsidRPr="00B605E7">
        <w:rPr>
          <w:rFonts w:eastAsia="等线"/>
          <w:i/>
          <w:kern w:val="2"/>
          <w:lang w:val="en-US" w:eastAsia="zh-CN"/>
        </w:rPr>
        <w:t>Int J Cancer</w:t>
      </w:r>
      <w:r w:rsidRPr="00B605E7">
        <w:rPr>
          <w:rFonts w:eastAsia="等线"/>
          <w:kern w:val="2"/>
          <w:lang w:val="en-US" w:eastAsia="zh-CN"/>
        </w:rPr>
        <w:t xml:space="preserve"> 2016; </w:t>
      </w:r>
      <w:r w:rsidRPr="00B605E7">
        <w:rPr>
          <w:rFonts w:eastAsia="等线"/>
          <w:b/>
          <w:kern w:val="2"/>
          <w:lang w:val="en-US" w:eastAsia="zh-CN"/>
        </w:rPr>
        <w:t>138</w:t>
      </w:r>
      <w:r w:rsidRPr="00B605E7">
        <w:rPr>
          <w:rFonts w:eastAsia="等线"/>
          <w:kern w:val="2"/>
          <w:lang w:val="en-US" w:eastAsia="zh-CN"/>
        </w:rPr>
        <w:t xml:space="preserve">: </w:t>
      </w:r>
      <w:r w:rsidRPr="00B605E7">
        <w:rPr>
          <w:rFonts w:eastAsia="等线"/>
          <w:kern w:val="2"/>
          <w:lang w:val="en-US" w:eastAsia="zh-CN"/>
        </w:rPr>
        <w:lastRenderedPageBreak/>
        <w:t>2724-2731 [PMID: 26756179 DOI: 10.1002/ijc.29993]</w:t>
      </w:r>
    </w:p>
    <w:p w14:paraId="462CDC4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159 </w:t>
      </w:r>
      <w:r w:rsidRPr="00B605E7">
        <w:rPr>
          <w:rFonts w:eastAsia="等线"/>
          <w:b/>
          <w:kern w:val="2"/>
          <w:lang w:val="en-US" w:eastAsia="zh-CN"/>
        </w:rPr>
        <w:t>Feng Z</w:t>
      </w:r>
      <w:r w:rsidRPr="00B605E7">
        <w:rPr>
          <w:rFonts w:eastAsia="等线"/>
          <w:kern w:val="2"/>
          <w:lang w:val="en-US" w:eastAsia="zh-CN"/>
        </w:rPr>
        <w:t xml:space="preserve">, Chen JW, Feng JH, Shen F, Cai WS, Cao J, Xu B. The association between serum ferritin with colorectal cancer. </w:t>
      </w:r>
      <w:r w:rsidRPr="00B605E7">
        <w:rPr>
          <w:rFonts w:eastAsia="等线"/>
          <w:i/>
          <w:kern w:val="2"/>
          <w:lang w:val="en-US" w:eastAsia="zh-CN"/>
        </w:rPr>
        <w:t>Int J Clin Exp Med</w:t>
      </w:r>
      <w:r w:rsidRPr="00B605E7">
        <w:rPr>
          <w:rFonts w:eastAsia="等线"/>
          <w:kern w:val="2"/>
          <w:lang w:val="en-US" w:eastAsia="zh-CN"/>
        </w:rPr>
        <w:t xml:space="preserve"> 2015; </w:t>
      </w:r>
      <w:r w:rsidRPr="00B605E7">
        <w:rPr>
          <w:rFonts w:eastAsia="等线"/>
          <w:b/>
          <w:kern w:val="2"/>
          <w:lang w:val="en-US" w:eastAsia="zh-CN"/>
        </w:rPr>
        <w:t>8</w:t>
      </w:r>
      <w:r w:rsidRPr="00B605E7">
        <w:rPr>
          <w:rFonts w:eastAsia="等线"/>
          <w:kern w:val="2"/>
          <w:lang w:val="en-US" w:eastAsia="zh-CN"/>
        </w:rPr>
        <w:t>: 22293-22299 [PMID: 26885206]</w:t>
      </w:r>
    </w:p>
    <w:p w14:paraId="420CA53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160 </w:t>
      </w:r>
      <w:r w:rsidRPr="00B605E7">
        <w:rPr>
          <w:rFonts w:eastAsia="等线"/>
          <w:b/>
          <w:kern w:val="2"/>
          <w:lang w:val="en-US" w:eastAsia="zh-CN"/>
        </w:rPr>
        <w:t>Yan G</w:t>
      </w:r>
      <w:r w:rsidRPr="00B605E7">
        <w:rPr>
          <w:rFonts w:eastAsia="等线"/>
          <w:kern w:val="2"/>
          <w:lang w:val="en-US" w:eastAsia="zh-CN"/>
        </w:rPr>
        <w:t xml:space="preserve">, Liu T, Yin L, Kang Z, Wang L. Levels of peripheral Th17 cells and serum Th17-related cytokines in patients with colorectal cancer: a meta-analysis. </w:t>
      </w:r>
      <w:r w:rsidRPr="00B605E7">
        <w:rPr>
          <w:rFonts w:eastAsia="等线"/>
          <w:i/>
          <w:kern w:val="2"/>
          <w:lang w:val="en-US" w:eastAsia="zh-CN"/>
        </w:rPr>
        <w:t>Cell Mol Biol (Noisy-le-grand)</w:t>
      </w:r>
      <w:r w:rsidRPr="00B605E7">
        <w:rPr>
          <w:rFonts w:eastAsia="等线"/>
          <w:kern w:val="2"/>
          <w:lang w:val="en-US" w:eastAsia="zh-CN"/>
        </w:rPr>
        <w:t xml:space="preserve"> 2018; </w:t>
      </w:r>
      <w:r w:rsidRPr="00B605E7">
        <w:rPr>
          <w:rFonts w:eastAsia="等线"/>
          <w:b/>
          <w:kern w:val="2"/>
          <w:lang w:val="en-US" w:eastAsia="zh-CN"/>
        </w:rPr>
        <w:t>64</w:t>
      </w:r>
      <w:r w:rsidRPr="00B605E7">
        <w:rPr>
          <w:rFonts w:eastAsia="等线"/>
          <w:kern w:val="2"/>
          <w:lang w:val="en-US" w:eastAsia="zh-CN"/>
        </w:rPr>
        <w:t>: 94-102 [PMID: 29808807]</w:t>
      </w:r>
    </w:p>
    <w:p w14:paraId="7A2B9CCD"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161 </w:t>
      </w:r>
      <w:r w:rsidRPr="00B605E7">
        <w:rPr>
          <w:rFonts w:eastAsia="等线"/>
          <w:b/>
          <w:kern w:val="2"/>
          <w:lang w:val="en-US" w:eastAsia="zh-CN"/>
        </w:rPr>
        <w:t>Kawamura M</w:t>
      </w:r>
      <w:r w:rsidRPr="00B605E7">
        <w:rPr>
          <w:rFonts w:eastAsia="等线"/>
          <w:kern w:val="2"/>
          <w:lang w:val="en-US" w:eastAsia="zh-CN"/>
        </w:rPr>
        <w:t xml:space="preserve">, Toiyama Y, Tanaka K, Saigusa S, Okugawa Y, Hiro J, Uchida K, Mohri Y, Inoue Y, Kusunoki M. CXCL5, a promoter of cell proliferation, migration and invasion, is a novel serum prognostic marker in patients with colorectal cancer. </w:t>
      </w:r>
      <w:r w:rsidRPr="00B605E7">
        <w:rPr>
          <w:rFonts w:eastAsia="等线"/>
          <w:i/>
          <w:kern w:val="2"/>
          <w:lang w:val="en-US" w:eastAsia="zh-CN"/>
        </w:rPr>
        <w:t>Eur J Cancer</w:t>
      </w:r>
      <w:r w:rsidRPr="00B605E7">
        <w:rPr>
          <w:rFonts w:eastAsia="等线"/>
          <w:kern w:val="2"/>
          <w:lang w:val="en-US" w:eastAsia="zh-CN"/>
        </w:rPr>
        <w:t xml:space="preserve"> 2012; </w:t>
      </w:r>
      <w:r w:rsidRPr="00B605E7">
        <w:rPr>
          <w:rFonts w:eastAsia="等线"/>
          <w:b/>
          <w:kern w:val="2"/>
          <w:lang w:val="en-US" w:eastAsia="zh-CN"/>
        </w:rPr>
        <w:t>48</w:t>
      </w:r>
      <w:r w:rsidRPr="00B605E7">
        <w:rPr>
          <w:rFonts w:eastAsia="等线"/>
          <w:kern w:val="2"/>
          <w:lang w:val="en-US" w:eastAsia="zh-CN"/>
        </w:rPr>
        <w:t>: 2244-2251 [PMID: 22197219 DOI: 10.1016/j.ejca.2011.11.032]</w:t>
      </w:r>
    </w:p>
    <w:p w14:paraId="762B528A" w14:textId="74A553FE"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162 </w:t>
      </w:r>
      <w:r w:rsidRPr="00B605E7">
        <w:rPr>
          <w:rFonts w:eastAsia="等线"/>
          <w:b/>
          <w:kern w:val="2"/>
          <w:lang w:val="en-US" w:eastAsia="zh-CN"/>
        </w:rPr>
        <w:t>Toiyama Y</w:t>
      </w:r>
      <w:r w:rsidRPr="00B605E7">
        <w:rPr>
          <w:rFonts w:eastAsia="等线"/>
          <w:kern w:val="2"/>
          <w:lang w:val="en-US" w:eastAsia="zh-CN"/>
        </w:rPr>
        <w:t>, Fujikawa H, Kawamura M, Matsushita K, Saigusa S, Tanaka K, Inoue Y, Uchida K, Mohri Y, Kusunoki M. Evaluation of CXCL10 as a novel serum marker for predicting liver metastasis</w:t>
      </w:r>
      <w:r w:rsidR="00F62387">
        <w:rPr>
          <w:rFonts w:eastAsia="等线"/>
          <w:kern w:val="2"/>
          <w:lang w:val="en-US" w:eastAsia="zh-CN"/>
        </w:rPr>
        <w:t xml:space="preserve"> </w:t>
      </w:r>
      <w:r w:rsidRPr="00B605E7">
        <w:rPr>
          <w:rFonts w:eastAsia="等线"/>
          <w:kern w:val="2"/>
          <w:lang w:val="en-US" w:eastAsia="zh-CN"/>
        </w:rPr>
        <w:t xml:space="preserve">and prognosis in colorectal cancer. </w:t>
      </w:r>
      <w:r w:rsidRPr="00B605E7">
        <w:rPr>
          <w:rFonts w:eastAsia="等线"/>
          <w:i/>
          <w:kern w:val="2"/>
          <w:lang w:val="en-US" w:eastAsia="zh-CN"/>
        </w:rPr>
        <w:t>Int J Oncol</w:t>
      </w:r>
      <w:r w:rsidRPr="00B605E7">
        <w:rPr>
          <w:rFonts w:eastAsia="等线"/>
          <w:kern w:val="2"/>
          <w:lang w:val="en-US" w:eastAsia="zh-CN"/>
        </w:rPr>
        <w:t xml:space="preserve"> 2012; </w:t>
      </w:r>
      <w:r w:rsidRPr="00B605E7">
        <w:rPr>
          <w:rFonts w:eastAsia="等线"/>
          <w:b/>
          <w:kern w:val="2"/>
          <w:lang w:val="en-US" w:eastAsia="zh-CN"/>
        </w:rPr>
        <w:t>40</w:t>
      </w:r>
      <w:r w:rsidRPr="00B605E7">
        <w:rPr>
          <w:rFonts w:eastAsia="等线"/>
          <w:kern w:val="2"/>
          <w:lang w:val="en-US" w:eastAsia="zh-CN"/>
        </w:rPr>
        <w:t>: 560-566 [PMID: 22038159 DOI: 10.3892/ijo.2011.1247]</w:t>
      </w:r>
    </w:p>
    <w:p w14:paraId="770A71E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163 </w:t>
      </w:r>
      <w:r w:rsidRPr="00B605E7">
        <w:rPr>
          <w:rFonts w:eastAsia="等线"/>
          <w:b/>
          <w:kern w:val="2"/>
          <w:lang w:val="en-US" w:eastAsia="zh-CN"/>
        </w:rPr>
        <w:t>Matsushita K</w:t>
      </w:r>
      <w:r w:rsidRPr="00B605E7">
        <w:rPr>
          <w:rFonts w:eastAsia="等线"/>
          <w:kern w:val="2"/>
          <w:lang w:val="en-US" w:eastAsia="zh-CN"/>
        </w:rPr>
        <w:t xml:space="preserve">, Toiyama Y, Tanaka K, Saigusa S, Hiro J, Uchida K, Inoue Y, Kusunoki M. Soluble CXCL16 in preoperative serum is a novel prognostic marker and predicts recurrence of liver metastases in colorectal cancer patients. </w:t>
      </w:r>
      <w:r w:rsidRPr="00B605E7">
        <w:rPr>
          <w:rFonts w:eastAsia="等线"/>
          <w:i/>
          <w:kern w:val="2"/>
          <w:lang w:val="en-US" w:eastAsia="zh-CN"/>
        </w:rPr>
        <w:t>Ann Surg Oncol</w:t>
      </w:r>
      <w:r w:rsidRPr="00B605E7">
        <w:rPr>
          <w:rFonts w:eastAsia="等线"/>
          <w:kern w:val="2"/>
          <w:lang w:val="en-US" w:eastAsia="zh-CN"/>
        </w:rPr>
        <w:t xml:space="preserve"> 2012; </w:t>
      </w:r>
      <w:r w:rsidRPr="00B605E7">
        <w:rPr>
          <w:rFonts w:eastAsia="等线"/>
          <w:b/>
          <w:kern w:val="2"/>
          <w:lang w:val="en-US" w:eastAsia="zh-CN"/>
        </w:rPr>
        <w:t>19 Suppl 3</w:t>
      </w:r>
      <w:r w:rsidRPr="00B605E7">
        <w:rPr>
          <w:rFonts w:eastAsia="等线"/>
          <w:kern w:val="2"/>
          <w:lang w:val="en-US" w:eastAsia="zh-CN"/>
        </w:rPr>
        <w:t>: S518-S527 [PMID: 21845497 DOI: 10.1245/s10434-011-1993-8]</w:t>
      </w:r>
    </w:p>
    <w:p w14:paraId="66C0181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164 </w:t>
      </w:r>
      <w:r w:rsidRPr="00B605E7">
        <w:rPr>
          <w:rFonts w:eastAsia="等线"/>
          <w:b/>
          <w:kern w:val="2"/>
          <w:lang w:val="en-US" w:eastAsia="zh-CN"/>
        </w:rPr>
        <w:t>Werner S</w:t>
      </w:r>
      <w:r w:rsidRPr="00B605E7">
        <w:rPr>
          <w:rFonts w:eastAsia="等线"/>
          <w:kern w:val="2"/>
          <w:lang w:val="en-US" w:eastAsia="zh-CN"/>
        </w:rPr>
        <w:t xml:space="preserve">, Krause F, Rolny V, Strobl M, Morgenstern D, Datz C, Chen H, Brenner H. Evaluation of a 5-Marker Blood Test for Colorectal Cancer Early Detection in a Colorectal Cancer Screening Setting. </w:t>
      </w:r>
      <w:r w:rsidRPr="00B605E7">
        <w:rPr>
          <w:rFonts w:eastAsia="等线"/>
          <w:i/>
          <w:kern w:val="2"/>
          <w:lang w:val="en-US" w:eastAsia="zh-CN"/>
        </w:rPr>
        <w:t>Clin Cancer Res</w:t>
      </w:r>
      <w:r w:rsidRPr="00B605E7">
        <w:rPr>
          <w:rFonts w:eastAsia="等线"/>
          <w:kern w:val="2"/>
          <w:lang w:val="en-US" w:eastAsia="zh-CN"/>
        </w:rPr>
        <w:t xml:space="preserve"> 2016; </w:t>
      </w:r>
      <w:r w:rsidRPr="00B605E7">
        <w:rPr>
          <w:rFonts w:eastAsia="等线"/>
          <w:b/>
          <w:kern w:val="2"/>
          <w:lang w:val="en-US" w:eastAsia="zh-CN"/>
        </w:rPr>
        <w:t>22</w:t>
      </w:r>
      <w:r w:rsidRPr="00B605E7">
        <w:rPr>
          <w:rFonts w:eastAsia="等线"/>
          <w:kern w:val="2"/>
          <w:lang w:val="en-US" w:eastAsia="zh-CN"/>
        </w:rPr>
        <w:t>: 1725-1733 [PMID: 26561557 DOI: 10.1158/1078-0432.CCR-15-1268]</w:t>
      </w:r>
    </w:p>
    <w:p w14:paraId="7269D3B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165 </w:t>
      </w:r>
      <w:r w:rsidRPr="00B605E7">
        <w:rPr>
          <w:rFonts w:eastAsia="等线"/>
          <w:b/>
          <w:kern w:val="2"/>
          <w:lang w:val="en-US" w:eastAsia="zh-CN"/>
        </w:rPr>
        <w:t>Väyrynen JP</w:t>
      </w:r>
      <w:r w:rsidRPr="00B605E7">
        <w:rPr>
          <w:rFonts w:eastAsia="等线"/>
          <w:kern w:val="2"/>
          <w:lang w:val="en-US" w:eastAsia="zh-CN"/>
        </w:rPr>
        <w:t xml:space="preserve">, Vornanen J, Tervahartiala T, Sorsa T, Bloigu R, Salo T, Tuomisto A, Mäkinen MJ. Serum MMP-8 levels increase in colorectal cancer and correlate with disease course and inflammatory properties of primary tumors. </w:t>
      </w:r>
      <w:r w:rsidRPr="00B605E7">
        <w:rPr>
          <w:rFonts w:eastAsia="等线"/>
          <w:i/>
          <w:kern w:val="2"/>
          <w:lang w:val="en-US" w:eastAsia="zh-CN"/>
        </w:rPr>
        <w:t>Int J Cancer</w:t>
      </w:r>
      <w:r w:rsidRPr="00B605E7">
        <w:rPr>
          <w:rFonts w:eastAsia="等线"/>
          <w:kern w:val="2"/>
          <w:lang w:val="en-US" w:eastAsia="zh-CN"/>
        </w:rPr>
        <w:t xml:space="preserve"> 2012; </w:t>
      </w:r>
      <w:r w:rsidRPr="00B605E7">
        <w:rPr>
          <w:rFonts w:eastAsia="等线"/>
          <w:b/>
          <w:kern w:val="2"/>
          <w:lang w:val="en-US" w:eastAsia="zh-CN"/>
        </w:rPr>
        <w:t>131</w:t>
      </w:r>
      <w:r w:rsidRPr="00B605E7">
        <w:rPr>
          <w:rFonts w:eastAsia="等线"/>
          <w:kern w:val="2"/>
          <w:lang w:val="en-US" w:eastAsia="zh-CN"/>
        </w:rPr>
        <w:t>: E463-E474 [PMID: 21918979 DOI: 10.1002/ijc.26435]</w:t>
      </w:r>
    </w:p>
    <w:p w14:paraId="60ED1D9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166 </w:t>
      </w:r>
      <w:r w:rsidRPr="00B605E7">
        <w:rPr>
          <w:rFonts w:eastAsia="等线"/>
          <w:b/>
          <w:kern w:val="2"/>
          <w:lang w:val="en-US" w:eastAsia="zh-CN"/>
        </w:rPr>
        <w:t>Wilson S</w:t>
      </w:r>
      <w:r w:rsidRPr="00B605E7">
        <w:rPr>
          <w:rFonts w:eastAsia="等线"/>
          <w:kern w:val="2"/>
          <w:lang w:val="en-US" w:eastAsia="zh-CN"/>
        </w:rPr>
        <w:t xml:space="preserve">, Damery S, Stocken DD, Dowswell G, Holder R, Ward ST, Redman V, Wakelam MJ, James J, Hobbs FD, Ismail T. Serum matrix metalloproteinase 9 and colorectal neoplasia: a community-based evaluation of a potential diagnostic test. </w:t>
      </w:r>
      <w:r w:rsidRPr="00B605E7">
        <w:rPr>
          <w:rFonts w:eastAsia="等线"/>
          <w:i/>
          <w:kern w:val="2"/>
          <w:lang w:val="en-US" w:eastAsia="zh-CN"/>
        </w:rPr>
        <w:t>Br J Cancer</w:t>
      </w:r>
      <w:r w:rsidRPr="00B605E7">
        <w:rPr>
          <w:rFonts w:eastAsia="等线"/>
          <w:kern w:val="2"/>
          <w:lang w:val="en-US" w:eastAsia="zh-CN"/>
        </w:rPr>
        <w:t xml:space="preserve"> 2012; </w:t>
      </w:r>
      <w:r w:rsidRPr="00B605E7">
        <w:rPr>
          <w:rFonts w:eastAsia="等线"/>
          <w:b/>
          <w:kern w:val="2"/>
          <w:lang w:val="en-US" w:eastAsia="zh-CN"/>
        </w:rPr>
        <w:t>106</w:t>
      </w:r>
      <w:r w:rsidRPr="00B605E7">
        <w:rPr>
          <w:rFonts w:eastAsia="等线"/>
          <w:kern w:val="2"/>
          <w:lang w:val="en-US" w:eastAsia="zh-CN"/>
        </w:rPr>
        <w:t>: 1431-1438 [PMID: 22433968 DOI: 10.1038/bjc.2012.93]</w:t>
      </w:r>
    </w:p>
    <w:p w14:paraId="0395874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167 </w:t>
      </w:r>
      <w:r w:rsidRPr="00B605E7">
        <w:rPr>
          <w:rFonts w:eastAsia="等线"/>
          <w:b/>
          <w:kern w:val="2"/>
          <w:lang w:val="en-US" w:eastAsia="zh-CN"/>
        </w:rPr>
        <w:t>Meng C</w:t>
      </w:r>
      <w:r w:rsidRPr="00B605E7">
        <w:rPr>
          <w:rFonts w:eastAsia="等线"/>
          <w:kern w:val="2"/>
          <w:lang w:val="en-US" w:eastAsia="zh-CN"/>
        </w:rPr>
        <w:t xml:space="preserve">, Yin X, Liu J, Tang K, Tang H, Liao J. TIMP-1 is a novel serum biomarker for </w:t>
      </w:r>
      <w:r w:rsidRPr="00B605E7">
        <w:rPr>
          <w:rFonts w:eastAsia="等线"/>
          <w:kern w:val="2"/>
          <w:lang w:val="en-US" w:eastAsia="zh-CN"/>
        </w:rPr>
        <w:lastRenderedPageBreak/>
        <w:t xml:space="preserve">the diagnosis of colorectal cancer: A meta-analysis. </w:t>
      </w:r>
      <w:r w:rsidRPr="00B605E7">
        <w:rPr>
          <w:rFonts w:eastAsia="等线"/>
          <w:i/>
          <w:kern w:val="2"/>
          <w:lang w:val="en-US" w:eastAsia="zh-CN"/>
        </w:rPr>
        <w:t>PLoS One</w:t>
      </w:r>
      <w:r w:rsidRPr="00B605E7">
        <w:rPr>
          <w:rFonts w:eastAsia="等线"/>
          <w:kern w:val="2"/>
          <w:lang w:val="en-US" w:eastAsia="zh-CN"/>
        </w:rPr>
        <w:t xml:space="preserve"> 2018; </w:t>
      </w:r>
      <w:r w:rsidRPr="00B605E7">
        <w:rPr>
          <w:rFonts w:eastAsia="等线"/>
          <w:b/>
          <w:kern w:val="2"/>
          <w:lang w:val="en-US" w:eastAsia="zh-CN"/>
        </w:rPr>
        <w:t>13</w:t>
      </w:r>
      <w:r w:rsidRPr="00B605E7">
        <w:rPr>
          <w:rFonts w:eastAsia="等线"/>
          <w:kern w:val="2"/>
          <w:lang w:val="en-US" w:eastAsia="zh-CN"/>
        </w:rPr>
        <w:t>: e0207039 [PMID: 30458003 DOI: 10.1371/journal.pone.0207039]</w:t>
      </w:r>
    </w:p>
    <w:p w14:paraId="1A73323E"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168 </w:t>
      </w:r>
      <w:r w:rsidRPr="00B605E7">
        <w:rPr>
          <w:rFonts w:eastAsia="等线"/>
          <w:b/>
          <w:kern w:val="2"/>
          <w:lang w:val="en-US" w:eastAsia="zh-CN"/>
        </w:rPr>
        <w:t>Toiyama Y</w:t>
      </w:r>
      <w:r w:rsidRPr="00B605E7">
        <w:rPr>
          <w:rFonts w:eastAsia="等线"/>
          <w:kern w:val="2"/>
          <w:lang w:val="en-US" w:eastAsia="zh-CN"/>
        </w:rPr>
        <w:t xml:space="preserve">, Tanaka K, Kitajima T, Shimura T, Kawamura M, Kawamoto A, Okugawa Y, Saigusa S, Hiro J, Inoue Y, Mohri Y, Goel A, Kusunoki M. Elevated serum angiopoietin-like protein 2 correlates with the metastatic properties of colorectal cancer: a serum biomarker for early diagnosis and recurrence. </w:t>
      </w:r>
      <w:r w:rsidRPr="00B605E7">
        <w:rPr>
          <w:rFonts w:eastAsia="等线"/>
          <w:i/>
          <w:kern w:val="2"/>
          <w:lang w:val="en-US" w:eastAsia="zh-CN"/>
        </w:rPr>
        <w:t>Clin Cancer Res</w:t>
      </w:r>
      <w:r w:rsidRPr="00B605E7">
        <w:rPr>
          <w:rFonts w:eastAsia="等线"/>
          <w:kern w:val="2"/>
          <w:lang w:val="en-US" w:eastAsia="zh-CN"/>
        </w:rPr>
        <w:t xml:space="preserve"> 2014; </w:t>
      </w:r>
      <w:r w:rsidRPr="00B605E7">
        <w:rPr>
          <w:rFonts w:eastAsia="等线"/>
          <w:b/>
          <w:kern w:val="2"/>
          <w:lang w:val="en-US" w:eastAsia="zh-CN"/>
        </w:rPr>
        <w:t>20</w:t>
      </w:r>
      <w:r w:rsidRPr="00B605E7">
        <w:rPr>
          <w:rFonts w:eastAsia="等线"/>
          <w:kern w:val="2"/>
          <w:lang w:val="en-US" w:eastAsia="zh-CN"/>
        </w:rPr>
        <w:t>: 6175-6186 [PMID: 25294915 DOI: 10.1158/1078-0432.CCR-14-0007]</w:t>
      </w:r>
    </w:p>
    <w:p w14:paraId="505B35A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169 </w:t>
      </w:r>
      <w:r w:rsidRPr="00B605E7">
        <w:rPr>
          <w:rFonts w:eastAsia="等线"/>
          <w:b/>
          <w:kern w:val="2"/>
          <w:lang w:val="en-US" w:eastAsia="zh-CN"/>
        </w:rPr>
        <w:t>Jiang H</w:t>
      </w:r>
      <w:r w:rsidRPr="00B605E7">
        <w:rPr>
          <w:rFonts w:eastAsia="等线"/>
          <w:kern w:val="2"/>
          <w:lang w:val="en-US" w:eastAsia="zh-CN"/>
        </w:rPr>
        <w:t xml:space="preserve">, Fu XG, Chen YT. Serum level of endothelial cell-specific molecule-1 and prognosis of colorectal cancer. </w:t>
      </w:r>
      <w:r w:rsidRPr="00B605E7">
        <w:rPr>
          <w:rFonts w:eastAsia="等线"/>
          <w:i/>
          <w:kern w:val="2"/>
          <w:lang w:val="en-US" w:eastAsia="zh-CN"/>
        </w:rPr>
        <w:t>Genet Mol Res</w:t>
      </w:r>
      <w:r w:rsidRPr="00B605E7">
        <w:rPr>
          <w:rFonts w:eastAsia="等线"/>
          <w:kern w:val="2"/>
          <w:lang w:val="en-US" w:eastAsia="zh-CN"/>
        </w:rPr>
        <w:t xml:space="preserve"> 2015; </w:t>
      </w:r>
      <w:r w:rsidRPr="00B605E7">
        <w:rPr>
          <w:rFonts w:eastAsia="等线"/>
          <w:b/>
          <w:kern w:val="2"/>
          <w:lang w:val="en-US" w:eastAsia="zh-CN"/>
        </w:rPr>
        <w:t>14</w:t>
      </w:r>
      <w:r w:rsidRPr="00B605E7">
        <w:rPr>
          <w:rFonts w:eastAsia="等线"/>
          <w:kern w:val="2"/>
          <w:lang w:val="en-US" w:eastAsia="zh-CN"/>
        </w:rPr>
        <w:t>: 5519-5526 [PMID: 26125749 DOI: 10.4238/2015.May.25.3]</w:t>
      </w:r>
    </w:p>
    <w:p w14:paraId="5625822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170 </w:t>
      </w:r>
      <w:r w:rsidRPr="00B605E7">
        <w:rPr>
          <w:rFonts w:eastAsia="等线"/>
          <w:b/>
          <w:kern w:val="2"/>
          <w:lang w:val="en-US" w:eastAsia="zh-CN"/>
        </w:rPr>
        <w:t>Wang TB</w:t>
      </w:r>
      <w:r w:rsidRPr="00B605E7">
        <w:rPr>
          <w:rFonts w:eastAsia="等线"/>
          <w:kern w:val="2"/>
          <w:lang w:val="en-US" w:eastAsia="zh-CN"/>
        </w:rPr>
        <w:t xml:space="preserve">, Chen ZG, Wei XQ, Wei B, Dong WG. Serum vascular endothelial growth factor-C and lymphoangiogenesis are associated with the lymph node metastasis and prognosis of patients with colorectal cancer. </w:t>
      </w:r>
      <w:r w:rsidRPr="00B605E7">
        <w:rPr>
          <w:rFonts w:eastAsia="等线"/>
          <w:i/>
          <w:kern w:val="2"/>
          <w:lang w:val="en-US" w:eastAsia="zh-CN"/>
        </w:rPr>
        <w:t>ANZ J Surg</w:t>
      </w:r>
      <w:r w:rsidRPr="00B605E7">
        <w:rPr>
          <w:rFonts w:eastAsia="等线"/>
          <w:kern w:val="2"/>
          <w:lang w:val="en-US" w:eastAsia="zh-CN"/>
        </w:rPr>
        <w:t xml:space="preserve"> 2011; </w:t>
      </w:r>
      <w:r w:rsidRPr="00B605E7">
        <w:rPr>
          <w:rFonts w:eastAsia="等线"/>
          <w:b/>
          <w:kern w:val="2"/>
          <w:lang w:val="en-US" w:eastAsia="zh-CN"/>
        </w:rPr>
        <w:t>81</w:t>
      </w:r>
      <w:r w:rsidRPr="00B605E7">
        <w:rPr>
          <w:rFonts w:eastAsia="等线"/>
          <w:kern w:val="2"/>
          <w:lang w:val="en-US" w:eastAsia="zh-CN"/>
        </w:rPr>
        <w:t>: 694-699 [PMID: 22295309]</w:t>
      </w:r>
    </w:p>
    <w:p w14:paraId="77FE3CF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171 </w:t>
      </w:r>
      <w:r w:rsidRPr="00B605E7">
        <w:rPr>
          <w:rFonts w:eastAsia="等线"/>
          <w:b/>
          <w:kern w:val="2"/>
          <w:lang w:val="en-US" w:eastAsia="zh-CN"/>
        </w:rPr>
        <w:t>Ferroni P</w:t>
      </w:r>
      <w:r w:rsidRPr="00B605E7">
        <w:rPr>
          <w:rFonts w:eastAsia="等线"/>
          <w:kern w:val="2"/>
          <w:lang w:val="en-US" w:eastAsia="zh-CN"/>
        </w:rPr>
        <w:t xml:space="preserve">, Formica V, Della-Morte D, Lucchetti J, Spila A, D'Alessandro R, Riondino S, Guadagni F, Roselli M. Prognostic value of glycated hemoglobin in colorectal cancer. </w:t>
      </w:r>
      <w:r w:rsidRPr="00B605E7">
        <w:rPr>
          <w:rFonts w:eastAsia="等线"/>
          <w:i/>
          <w:kern w:val="2"/>
          <w:lang w:val="en-US" w:eastAsia="zh-CN"/>
        </w:rPr>
        <w:t>World J Gastroenterol</w:t>
      </w:r>
      <w:r w:rsidRPr="00B605E7">
        <w:rPr>
          <w:rFonts w:eastAsia="等线"/>
          <w:kern w:val="2"/>
          <w:lang w:val="en-US" w:eastAsia="zh-CN"/>
        </w:rPr>
        <w:t xml:space="preserve"> 2016; </w:t>
      </w:r>
      <w:r w:rsidRPr="00B605E7">
        <w:rPr>
          <w:rFonts w:eastAsia="等线"/>
          <w:b/>
          <w:kern w:val="2"/>
          <w:lang w:val="en-US" w:eastAsia="zh-CN"/>
        </w:rPr>
        <w:t>22</w:t>
      </w:r>
      <w:r w:rsidRPr="00B605E7">
        <w:rPr>
          <w:rFonts w:eastAsia="等线"/>
          <w:kern w:val="2"/>
          <w:lang w:val="en-US" w:eastAsia="zh-CN"/>
        </w:rPr>
        <w:t>: 9984-9993 [PMID: 28018105 DOI: 10.3748/wjg.v22.i45.9984]</w:t>
      </w:r>
    </w:p>
    <w:p w14:paraId="6F76088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172 </w:t>
      </w:r>
      <w:r w:rsidRPr="00B605E7">
        <w:rPr>
          <w:rFonts w:eastAsia="等线"/>
          <w:b/>
          <w:kern w:val="2"/>
          <w:lang w:val="en-US" w:eastAsia="zh-CN"/>
        </w:rPr>
        <w:t>Willumsen N</w:t>
      </w:r>
      <w:r w:rsidRPr="00B605E7">
        <w:rPr>
          <w:rFonts w:eastAsia="等线"/>
          <w:kern w:val="2"/>
          <w:lang w:val="en-US" w:eastAsia="zh-CN"/>
        </w:rPr>
        <w:t xml:space="preserve">, Jorgensen LN, Karsdal MA. Vastatin (the NC1 domain of human type VIII collagen a1 chain) is linked to stromal reactivity and elevated in serum from patients with colorectal cancer. </w:t>
      </w:r>
      <w:r w:rsidRPr="00B605E7">
        <w:rPr>
          <w:rFonts w:eastAsia="等线"/>
          <w:i/>
          <w:kern w:val="2"/>
          <w:lang w:val="en-US" w:eastAsia="zh-CN"/>
        </w:rPr>
        <w:t>Cancer Biol Ther</w:t>
      </w:r>
      <w:r w:rsidRPr="00B605E7">
        <w:rPr>
          <w:rFonts w:eastAsia="等线"/>
          <w:kern w:val="2"/>
          <w:lang w:val="en-US" w:eastAsia="zh-CN"/>
        </w:rPr>
        <w:t xml:space="preserve"> 2019; </w:t>
      </w:r>
      <w:r w:rsidRPr="00B605E7">
        <w:rPr>
          <w:rFonts w:eastAsia="等线"/>
          <w:b/>
          <w:kern w:val="2"/>
          <w:lang w:val="en-US" w:eastAsia="zh-CN"/>
        </w:rPr>
        <w:t>20</w:t>
      </w:r>
      <w:r w:rsidRPr="00B605E7">
        <w:rPr>
          <w:rFonts w:eastAsia="等线"/>
          <w:kern w:val="2"/>
          <w:lang w:val="en-US" w:eastAsia="zh-CN"/>
        </w:rPr>
        <w:t>: 692-699 [PMID: 30626261 DOI: 10.1080/15384047.2018.1550571]</w:t>
      </w:r>
    </w:p>
    <w:p w14:paraId="1E31140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173 </w:t>
      </w:r>
      <w:r w:rsidRPr="00B605E7">
        <w:rPr>
          <w:rFonts w:eastAsia="等线"/>
          <w:b/>
          <w:kern w:val="2"/>
          <w:lang w:val="en-US" w:eastAsia="zh-CN"/>
        </w:rPr>
        <w:t>Kantola T</w:t>
      </w:r>
      <w:r w:rsidRPr="00B605E7">
        <w:rPr>
          <w:rFonts w:eastAsia="等线"/>
          <w:kern w:val="2"/>
          <w:lang w:val="en-US" w:eastAsia="zh-CN"/>
        </w:rPr>
        <w:t xml:space="preserve">, Väyrynen JP, Klintrup K, Mäkelä J, Karppinen SM, Pihlajaniemi T, Autio-Harmainen H, Karttunen TJ, Mäkinen MJ, Tuomisto A. Serum endostatin levels are elevated in colorectal cancer and correlate with invasion and systemic inflammatory markers. </w:t>
      </w:r>
      <w:r w:rsidRPr="00B605E7">
        <w:rPr>
          <w:rFonts w:eastAsia="等线"/>
          <w:i/>
          <w:kern w:val="2"/>
          <w:lang w:val="en-US" w:eastAsia="zh-CN"/>
        </w:rPr>
        <w:t>Br J Cancer</w:t>
      </w:r>
      <w:r w:rsidRPr="00B605E7">
        <w:rPr>
          <w:rFonts w:eastAsia="等线"/>
          <w:kern w:val="2"/>
          <w:lang w:val="en-US" w:eastAsia="zh-CN"/>
        </w:rPr>
        <w:t xml:space="preserve"> 2014; </w:t>
      </w:r>
      <w:r w:rsidRPr="00B605E7">
        <w:rPr>
          <w:rFonts w:eastAsia="等线"/>
          <w:b/>
          <w:kern w:val="2"/>
          <w:lang w:val="en-US" w:eastAsia="zh-CN"/>
        </w:rPr>
        <w:t>111</w:t>
      </w:r>
      <w:r w:rsidRPr="00B605E7">
        <w:rPr>
          <w:rFonts w:eastAsia="等线"/>
          <w:kern w:val="2"/>
          <w:lang w:val="en-US" w:eastAsia="zh-CN"/>
        </w:rPr>
        <w:t>: 1605-1613 [PMID: 25137019 DOI: 10.1038/bjc.2014.456]</w:t>
      </w:r>
    </w:p>
    <w:p w14:paraId="5BD94DCB"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174 </w:t>
      </w:r>
      <w:r w:rsidRPr="00B605E7">
        <w:rPr>
          <w:rFonts w:eastAsia="等线"/>
          <w:b/>
          <w:kern w:val="2"/>
          <w:lang w:val="en-US" w:eastAsia="zh-CN"/>
        </w:rPr>
        <w:t>Ben QW</w:t>
      </w:r>
      <w:r w:rsidRPr="00B605E7">
        <w:rPr>
          <w:rFonts w:eastAsia="等线"/>
          <w:kern w:val="2"/>
          <w:lang w:val="en-US" w:eastAsia="zh-CN"/>
        </w:rPr>
        <w:t xml:space="preserve">, Zhao Z, Ge SF, Zhou J, Yuan F, Yuan YZ. Circulating levels of periostin may help identify patients with more aggressive colorectal cancer. </w:t>
      </w:r>
      <w:r w:rsidRPr="00B605E7">
        <w:rPr>
          <w:rFonts w:eastAsia="等线"/>
          <w:i/>
          <w:kern w:val="2"/>
          <w:lang w:val="en-US" w:eastAsia="zh-CN"/>
        </w:rPr>
        <w:t>Int J Oncol</w:t>
      </w:r>
      <w:r w:rsidRPr="00B605E7">
        <w:rPr>
          <w:rFonts w:eastAsia="等线"/>
          <w:kern w:val="2"/>
          <w:lang w:val="en-US" w:eastAsia="zh-CN"/>
        </w:rPr>
        <w:t xml:space="preserve"> 2009; </w:t>
      </w:r>
      <w:r w:rsidRPr="00B605E7">
        <w:rPr>
          <w:rFonts w:eastAsia="等线"/>
          <w:b/>
          <w:kern w:val="2"/>
          <w:lang w:val="en-US" w:eastAsia="zh-CN"/>
        </w:rPr>
        <w:t>34</w:t>
      </w:r>
      <w:r w:rsidRPr="00B605E7">
        <w:rPr>
          <w:rFonts w:eastAsia="等线"/>
          <w:kern w:val="2"/>
          <w:lang w:val="en-US" w:eastAsia="zh-CN"/>
        </w:rPr>
        <w:t>: 821-828 [PMID: 19212687]</w:t>
      </w:r>
    </w:p>
    <w:p w14:paraId="3A8A400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175 </w:t>
      </w:r>
      <w:r w:rsidRPr="00B605E7">
        <w:rPr>
          <w:rFonts w:eastAsia="等线"/>
          <w:b/>
          <w:kern w:val="2"/>
          <w:lang w:val="en-US" w:eastAsia="zh-CN"/>
        </w:rPr>
        <w:t>Toiyama Y</w:t>
      </w:r>
      <w:r w:rsidRPr="00B605E7">
        <w:rPr>
          <w:rFonts w:eastAsia="等线"/>
          <w:kern w:val="2"/>
          <w:lang w:val="en-US" w:eastAsia="zh-CN"/>
        </w:rPr>
        <w:t xml:space="preserve">, Miki C, Inoue Y, Kawamoto A, Kusunoki M. Circulating form of human vascular adhesion protein-1 (VAP-1): decreased serum levels in progression of colorectal cancer and predictive marker of lymphatic and hepatic metastasis. </w:t>
      </w:r>
      <w:r w:rsidRPr="00B605E7">
        <w:rPr>
          <w:rFonts w:eastAsia="等线"/>
          <w:i/>
          <w:kern w:val="2"/>
          <w:lang w:val="en-US" w:eastAsia="zh-CN"/>
        </w:rPr>
        <w:t>J Surg Oncol</w:t>
      </w:r>
      <w:r w:rsidRPr="00B605E7">
        <w:rPr>
          <w:rFonts w:eastAsia="等线"/>
          <w:kern w:val="2"/>
          <w:lang w:val="en-US" w:eastAsia="zh-CN"/>
        </w:rPr>
        <w:t xml:space="preserve"> 2009; </w:t>
      </w:r>
      <w:r w:rsidRPr="00B605E7">
        <w:rPr>
          <w:rFonts w:eastAsia="等线"/>
          <w:b/>
          <w:kern w:val="2"/>
          <w:lang w:val="en-US" w:eastAsia="zh-CN"/>
        </w:rPr>
        <w:t>99</w:t>
      </w:r>
      <w:r w:rsidRPr="00B605E7">
        <w:rPr>
          <w:rFonts w:eastAsia="等线"/>
          <w:kern w:val="2"/>
          <w:lang w:val="en-US" w:eastAsia="zh-CN"/>
        </w:rPr>
        <w:t>: 368-372 [PMID: 19204971 DOI: 10.1002/jso.21246]</w:t>
      </w:r>
    </w:p>
    <w:p w14:paraId="64C66FB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lastRenderedPageBreak/>
        <w:t xml:space="preserve">176 </w:t>
      </w:r>
      <w:r w:rsidRPr="00B605E7">
        <w:rPr>
          <w:rFonts w:eastAsia="等线"/>
          <w:b/>
          <w:kern w:val="2"/>
          <w:lang w:val="en-US" w:eastAsia="zh-CN"/>
        </w:rPr>
        <w:t>Miao X</w:t>
      </w:r>
      <w:r w:rsidRPr="00B605E7">
        <w:rPr>
          <w:rFonts w:eastAsia="等线"/>
          <w:kern w:val="2"/>
          <w:lang w:val="en-US" w:eastAsia="zh-CN"/>
        </w:rPr>
        <w:t xml:space="preserve">, Zhang Y, Sun J, Cui S, Meng Q, Zhu K, Hu X, Wang T. Elevated serum DAND5 is associated with metastasis and predicts poor prognosis in colorectal cancer. </w:t>
      </w:r>
      <w:r w:rsidRPr="00B605E7">
        <w:rPr>
          <w:rFonts w:eastAsia="等线"/>
          <w:i/>
          <w:kern w:val="2"/>
          <w:lang w:val="en-US" w:eastAsia="zh-CN"/>
        </w:rPr>
        <w:t>United European Gastroenterol J</w:t>
      </w:r>
      <w:r w:rsidRPr="00B605E7">
        <w:rPr>
          <w:rFonts w:eastAsia="等线"/>
          <w:kern w:val="2"/>
          <w:lang w:val="en-US" w:eastAsia="zh-CN"/>
        </w:rPr>
        <w:t xml:space="preserve"> 2017; </w:t>
      </w:r>
      <w:r w:rsidRPr="00B605E7">
        <w:rPr>
          <w:rFonts w:eastAsia="等线"/>
          <w:b/>
          <w:kern w:val="2"/>
          <w:lang w:val="en-US" w:eastAsia="zh-CN"/>
        </w:rPr>
        <w:t>5</w:t>
      </w:r>
      <w:r w:rsidRPr="00B605E7">
        <w:rPr>
          <w:rFonts w:eastAsia="等线"/>
          <w:kern w:val="2"/>
          <w:lang w:val="en-US" w:eastAsia="zh-CN"/>
        </w:rPr>
        <w:t>: 725-734 [PMID: 28815037 DOI: 10.1177/2050640616674838]</w:t>
      </w:r>
    </w:p>
    <w:p w14:paraId="2BB84A9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177 </w:t>
      </w:r>
      <w:r w:rsidRPr="00B605E7">
        <w:rPr>
          <w:rFonts w:eastAsia="等线"/>
          <w:b/>
          <w:kern w:val="2"/>
          <w:lang w:val="en-US" w:eastAsia="zh-CN"/>
        </w:rPr>
        <w:t>Kumor A</w:t>
      </w:r>
      <w:r w:rsidRPr="00B605E7">
        <w:rPr>
          <w:rFonts w:eastAsia="等线"/>
          <w:kern w:val="2"/>
          <w:lang w:val="en-US" w:eastAsia="zh-CN"/>
        </w:rPr>
        <w:t xml:space="preserve">, Daniel P, Pietruczuk M, Małecka-Panas E. Serum leptin, adiponectin, and resistin concentration in colorectal adenoma and carcinoma (CC) patients. </w:t>
      </w:r>
      <w:r w:rsidRPr="00B605E7">
        <w:rPr>
          <w:rFonts w:eastAsia="等线"/>
          <w:i/>
          <w:kern w:val="2"/>
          <w:lang w:val="en-US" w:eastAsia="zh-CN"/>
        </w:rPr>
        <w:t>Int J Colorectal Dis</w:t>
      </w:r>
      <w:r w:rsidRPr="00B605E7">
        <w:rPr>
          <w:rFonts w:eastAsia="等线"/>
          <w:kern w:val="2"/>
          <w:lang w:val="en-US" w:eastAsia="zh-CN"/>
        </w:rPr>
        <w:t xml:space="preserve"> 2009; </w:t>
      </w:r>
      <w:r w:rsidRPr="00B605E7">
        <w:rPr>
          <w:rFonts w:eastAsia="等线"/>
          <w:b/>
          <w:kern w:val="2"/>
          <w:lang w:val="en-US" w:eastAsia="zh-CN"/>
        </w:rPr>
        <w:t>24</w:t>
      </w:r>
      <w:r w:rsidRPr="00B605E7">
        <w:rPr>
          <w:rFonts w:eastAsia="等线"/>
          <w:kern w:val="2"/>
          <w:lang w:val="en-US" w:eastAsia="zh-CN"/>
        </w:rPr>
        <w:t>: 275-281 [PMID: 18979105 DOI: 10.1007/s00384-008-0605-y]</w:t>
      </w:r>
    </w:p>
    <w:p w14:paraId="5811986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178 </w:t>
      </w:r>
      <w:r w:rsidRPr="00B605E7">
        <w:rPr>
          <w:rFonts w:eastAsia="等线"/>
          <w:b/>
          <w:kern w:val="2"/>
          <w:lang w:val="en-US" w:eastAsia="zh-CN"/>
        </w:rPr>
        <w:t>Zeng J</w:t>
      </w:r>
      <w:r w:rsidRPr="00B605E7">
        <w:rPr>
          <w:rFonts w:eastAsia="等线"/>
          <w:kern w:val="2"/>
          <w:lang w:val="en-US" w:eastAsia="zh-CN"/>
        </w:rPr>
        <w:t xml:space="preserve">, Tang ZH, Liu S, Guo SS. Clinicopathological significance of overexpression of interleukin-6 in colorectal cancer. </w:t>
      </w:r>
      <w:r w:rsidRPr="00B605E7">
        <w:rPr>
          <w:rFonts w:eastAsia="等线"/>
          <w:i/>
          <w:kern w:val="2"/>
          <w:lang w:val="en-US" w:eastAsia="zh-CN"/>
        </w:rPr>
        <w:t>World J Gastroenterol</w:t>
      </w:r>
      <w:r w:rsidRPr="00B605E7">
        <w:rPr>
          <w:rFonts w:eastAsia="等线"/>
          <w:kern w:val="2"/>
          <w:lang w:val="en-US" w:eastAsia="zh-CN"/>
        </w:rPr>
        <w:t xml:space="preserve"> 2017; </w:t>
      </w:r>
      <w:r w:rsidRPr="00B605E7">
        <w:rPr>
          <w:rFonts w:eastAsia="等线"/>
          <w:b/>
          <w:kern w:val="2"/>
          <w:lang w:val="en-US" w:eastAsia="zh-CN"/>
        </w:rPr>
        <w:t>23</w:t>
      </w:r>
      <w:r w:rsidRPr="00B605E7">
        <w:rPr>
          <w:rFonts w:eastAsia="等线"/>
          <w:kern w:val="2"/>
          <w:lang w:val="en-US" w:eastAsia="zh-CN"/>
        </w:rPr>
        <w:t>: 1780-1786 [PMID: 28348483 DOI: 10.3748/wjg.v23.i10.1780]</w:t>
      </w:r>
    </w:p>
    <w:p w14:paraId="360FBD2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179 </w:t>
      </w:r>
      <w:r w:rsidRPr="00B605E7">
        <w:rPr>
          <w:rFonts w:eastAsia="等线"/>
          <w:b/>
          <w:kern w:val="2"/>
          <w:lang w:val="en-US" w:eastAsia="zh-CN"/>
        </w:rPr>
        <w:t>Nebiker CA</w:t>
      </w:r>
      <w:r w:rsidRPr="00B605E7">
        <w:rPr>
          <w:rFonts w:eastAsia="等线"/>
          <w:kern w:val="2"/>
          <w:lang w:val="en-US" w:eastAsia="zh-CN"/>
        </w:rPr>
        <w:t xml:space="preserve">, Han J, Eppenberger-Castori S, Iezzi G, Hirt C, Amicarella F, Cremonesi E, Huber X, Padovan E, Angrisani B, Droeser RA, Rosso R, Bolli M, Oertli D, von Holzen U, Adamina M, Muraro MG, Mengus C, Zajac P, Sconocchia G, Zuber M, Tornillo L, Terracciano L, Spagnoli GC. GM-CSF Production by Tumor Cells Is Associated with Improved Survival in Colorectal Cancer. </w:t>
      </w:r>
      <w:r w:rsidRPr="00B605E7">
        <w:rPr>
          <w:rFonts w:eastAsia="等线"/>
          <w:i/>
          <w:kern w:val="2"/>
          <w:lang w:val="en-US" w:eastAsia="zh-CN"/>
        </w:rPr>
        <w:t>Clin Cancer Res</w:t>
      </w:r>
      <w:r w:rsidRPr="00B605E7">
        <w:rPr>
          <w:rFonts w:eastAsia="等线"/>
          <w:kern w:val="2"/>
          <w:lang w:val="en-US" w:eastAsia="zh-CN"/>
        </w:rPr>
        <w:t xml:space="preserve"> 2014; </w:t>
      </w:r>
      <w:r w:rsidRPr="00B605E7">
        <w:rPr>
          <w:rFonts w:eastAsia="等线"/>
          <w:b/>
          <w:kern w:val="2"/>
          <w:lang w:val="en-US" w:eastAsia="zh-CN"/>
        </w:rPr>
        <w:t>20</w:t>
      </w:r>
      <w:r w:rsidRPr="00B605E7">
        <w:rPr>
          <w:rFonts w:eastAsia="等线"/>
          <w:kern w:val="2"/>
          <w:lang w:val="en-US" w:eastAsia="zh-CN"/>
        </w:rPr>
        <w:t>: 3094-3106 [PMID: 24737547 DOI: 10.1158/1078-0432.CCR-13-2774]</w:t>
      </w:r>
    </w:p>
    <w:p w14:paraId="14D9051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180 </w:t>
      </w:r>
      <w:r w:rsidRPr="00B605E7">
        <w:rPr>
          <w:rFonts w:eastAsia="等线"/>
          <w:b/>
          <w:kern w:val="2"/>
          <w:lang w:val="en-US" w:eastAsia="zh-CN"/>
        </w:rPr>
        <w:t>Hu H</w:t>
      </w:r>
      <w:r w:rsidRPr="00B605E7">
        <w:rPr>
          <w:rFonts w:eastAsia="等线"/>
          <w:kern w:val="2"/>
          <w:lang w:val="en-US" w:eastAsia="zh-CN"/>
        </w:rPr>
        <w:t xml:space="preserve">, Sun L, Guo C, Liu Q, Zhou Z, Peng L, Pan J, Yu L, Lou J, Yang Z, Zhao P, Ran Y. Tumor cell-microenvironment interaction models coupled with clinical validation reveal CCL2 and SNCG as two predictors of colorectal cancer hepatic metastasis. </w:t>
      </w:r>
      <w:r w:rsidRPr="00B605E7">
        <w:rPr>
          <w:rFonts w:eastAsia="等线"/>
          <w:i/>
          <w:kern w:val="2"/>
          <w:lang w:val="en-US" w:eastAsia="zh-CN"/>
        </w:rPr>
        <w:t>Clin Cancer Res</w:t>
      </w:r>
      <w:r w:rsidRPr="00B605E7">
        <w:rPr>
          <w:rFonts w:eastAsia="等线"/>
          <w:kern w:val="2"/>
          <w:lang w:val="en-US" w:eastAsia="zh-CN"/>
        </w:rPr>
        <w:t xml:space="preserve"> 2009; </w:t>
      </w:r>
      <w:r w:rsidRPr="00B605E7">
        <w:rPr>
          <w:rFonts w:eastAsia="等线"/>
          <w:b/>
          <w:kern w:val="2"/>
          <w:lang w:val="en-US" w:eastAsia="zh-CN"/>
        </w:rPr>
        <w:t>15</w:t>
      </w:r>
      <w:r w:rsidRPr="00B605E7">
        <w:rPr>
          <w:rFonts w:eastAsia="等线"/>
          <w:kern w:val="2"/>
          <w:lang w:val="en-US" w:eastAsia="zh-CN"/>
        </w:rPr>
        <w:t>: 5485-5493 [PMID: 19706805 DOI: 10.1158/1078-0432.CCR-08-2491]</w:t>
      </w:r>
    </w:p>
    <w:p w14:paraId="64A547D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181 </w:t>
      </w:r>
      <w:r w:rsidRPr="00B605E7">
        <w:rPr>
          <w:rFonts w:eastAsia="等线"/>
          <w:b/>
          <w:kern w:val="2"/>
          <w:lang w:val="en-US" w:eastAsia="zh-CN"/>
        </w:rPr>
        <w:t>Oladipo O</w:t>
      </w:r>
      <w:r w:rsidRPr="00B605E7">
        <w:rPr>
          <w:rFonts w:eastAsia="等线"/>
          <w:kern w:val="2"/>
          <w:lang w:val="en-US" w:eastAsia="zh-CN"/>
        </w:rPr>
        <w:t xml:space="preserve">, Conlon S, O'Grady A, Purcell C, Wilson C, Maxwell PJ, Johnston PG, Stevenson M, Kay EW, Wilson RH, Waugh DJ. The expression and prognostic impact of CXC-chemokines in stage II and III colorectal cancer epithelial and stromal tissue. </w:t>
      </w:r>
      <w:r w:rsidRPr="00B605E7">
        <w:rPr>
          <w:rFonts w:eastAsia="等线"/>
          <w:i/>
          <w:kern w:val="2"/>
          <w:lang w:val="en-US" w:eastAsia="zh-CN"/>
        </w:rPr>
        <w:t>Br J Cancer</w:t>
      </w:r>
      <w:r w:rsidRPr="00B605E7">
        <w:rPr>
          <w:rFonts w:eastAsia="等线"/>
          <w:kern w:val="2"/>
          <w:lang w:val="en-US" w:eastAsia="zh-CN"/>
        </w:rPr>
        <w:t xml:space="preserve"> 2011; </w:t>
      </w:r>
      <w:r w:rsidRPr="00B605E7">
        <w:rPr>
          <w:rFonts w:eastAsia="等线"/>
          <w:b/>
          <w:kern w:val="2"/>
          <w:lang w:val="en-US" w:eastAsia="zh-CN"/>
        </w:rPr>
        <w:t>104</w:t>
      </w:r>
      <w:r w:rsidRPr="00B605E7">
        <w:rPr>
          <w:rFonts w:eastAsia="等线"/>
          <w:kern w:val="2"/>
          <w:lang w:val="en-US" w:eastAsia="zh-CN"/>
        </w:rPr>
        <w:t>: 480-487 [PMID: 21285972 DOI: 10.1038/sj.bjc.6606055]</w:t>
      </w:r>
    </w:p>
    <w:p w14:paraId="33C16F40"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182 </w:t>
      </w:r>
      <w:r w:rsidRPr="00B605E7">
        <w:rPr>
          <w:rFonts w:eastAsia="等线"/>
          <w:b/>
          <w:kern w:val="2"/>
          <w:lang w:val="en-US" w:eastAsia="zh-CN"/>
        </w:rPr>
        <w:t>Jiang Z</w:t>
      </w:r>
      <w:r w:rsidRPr="00B605E7">
        <w:rPr>
          <w:rFonts w:eastAsia="等线"/>
          <w:kern w:val="2"/>
          <w:lang w:val="en-US" w:eastAsia="zh-CN"/>
        </w:rPr>
        <w:t xml:space="preserve">, Xu Y, Cai S. CXCL10 expression and prognostic significance in stage II and III colorectal cancer. </w:t>
      </w:r>
      <w:r w:rsidRPr="00B605E7">
        <w:rPr>
          <w:rFonts w:eastAsia="等线"/>
          <w:i/>
          <w:kern w:val="2"/>
          <w:lang w:val="en-US" w:eastAsia="zh-CN"/>
        </w:rPr>
        <w:t>Mol Biol Rep</w:t>
      </w:r>
      <w:r w:rsidRPr="00B605E7">
        <w:rPr>
          <w:rFonts w:eastAsia="等线"/>
          <w:kern w:val="2"/>
          <w:lang w:val="en-US" w:eastAsia="zh-CN"/>
        </w:rPr>
        <w:t xml:space="preserve"> 2010; </w:t>
      </w:r>
      <w:r w:rsidRPr="00B605E7">
        <w:rPr>
          <w:rFonts w:eastAsia="等线"/>
          <w:b/>
          <w:kern w:val="2"/>
          <w:lang w:val="en-US" w:eastAsia="zh-CN"/>
        </w:rPr>
        <w:t>37</w:t>
      </w:r>
      <w:r w:rsidRPr="00B605E7">
        <w:rPr>
          <w:rFonts w:eastAsia="等线"/>
          <w:kern w:val="2"/>
          <w:lang w:val="en-US" w:eastAsia="zh-CN"/>
        </w:rPr>
        <w:t>: 3029-3036 [PMID: 19821051 DOI: 10.1007/s11033-009-9873-z]</w:t>
      </w:r>
    </w:p>
    <w:p w14:paraId="1ED5BEEC"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183 </w:t>
      </w:r>
      <w:r w:rsidRPr="00B605E7">
        <w:rPr>
          <w:rFonts w:eastAsia="等线"/>
          <w:b/>
          <w:kern w:val="2"/>
          <w:lang w:val="en-US" w:eastAsia="zh-CN"/>
        </w:rPr>
        <w:t>Akishima-Fukasawa Y</w:t>
      </w:r>
      <w:r w:rsidRPr="00B605E7">
        <w:rPr>
          <w:rFonts w:eastAsia="等线"/>
          <w:kern w:val="2"/>
          <w:lang w:val="en-US" w:eastAsia="zh-CN"/>
        </w:rPr>
        <w:t xml:space="preserve">, Nakanishi Y, Ino Y, Moriya Y, Kanai Y, Hirohashi S. Prognostic significance of CXCL12 expression in patients with colorectal carcinoma. </w:t>
      </w:r>
      <w:r w:rsidRPr="00B605E7">
        <w:rPr>
          <w:rFonts w:eastAsia="等线"/>
          <w:i/>
          <w:kern w:val="2"/>
          <w:lang w:val="en-US" w:eastAsia="zh-CN"/>
        </w:rPr>
        <w:t>Am J Clin Pathol</w:t>
      </w:r>
      <w:r w:rsidRPr="00B605E7">
        <w:rPr>
          <w:rFonts w:eastAsia="等线"/>
          <w:kern w:val="2"/>
          <w:lang w:val="en-US" w:eastAsia="zh-CN"/>
        </w:rPr>
        <w:t xml:space="preserve"> 2009; </w:t>
      </w:r>
      <w:r w:rsidRPr="00B605E7">
        <w:rPr>
          <w:rFonts w:eastAsia="等线"/>
          <w:b/>
          <w:kern w:val="2"/>
          <w:lang w:val="en-US" w:eastAsia="zh-CN"/>
        </w:rPr>
        <w:t>132</w:t>
      </w:r>
      <w:r w:rsidRPr="00B605E7">
        <w:rPr>
          <w:rFonts w:eastAsia="等线"/>
          <w:kern w:val="2"/>
          <w:lang w:val="en-US" w:eastAsia="zh-CN"/>
        </w:rPr>
        <w:t>: 202-10; quiz 307 [PMID: 19605814 DOI: 10.1309/AJCPK35VZJEWCUTL]</w:t>
      </w:r>
    </w:p>
    <w:p w14:paraId="090A20F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184 </w:t>
      </w:r>
      <w:r w:rsidRPr="00B605E7">
        <w:rPr>
          <w:rFonts w:eastAsia="等线"/>
          <w:b/>
          <w:kern w:val="2"/>
          <w:lang w:val="en-US" w:eastAsia="zh-CN"/>
        </w:rPr>
        <w:t>Tuomisto A</w:t>
      </w:r>
      <w:r w:rsidRPr="00B605E7">
        <w:rPr>
          <w:rFonts w:eastAsia="等线"/>
          <w:kern w:val="2"/>
          <w:lang w:val="en-US" w:eastAsia="zh-CN"/>
        </w:rPr>
        <w:t xml:space="preserve">, García-Solano J, Sirniö P, Väyrynen J, Pérez-Guillermo M, Mäkinen MJ, Conesa-Zamora P. HIF-1α expression and high microvessel density are characteristic </w:t>
      </w:r>
      <w:r w:rsidRPr="00B605E7">
        <w:rPr>
          <w:rFonts w:eastAsia="等线"/>
          <w:kern w:val="2"/>
          <w:lang w:val="en-US" w:eastAsia="zh-CN"/>
        </w:rPr>
        <w:lastRenderedPageBreak/>
        <w:t xml:space="preserve">features in serrated colorectal cancer. </w:t>
      </w:r>
      <w:r w:rsidRPr="00B605E7">
        <w:rPr>
          <w:rFonts w:eastAsia="等线"/>
          <w:i/>
          <w:kern w:val="2"/>
          <w:lang w:val="en-US" w:eastAsia="zh-CN"/>
        </w:rPr>
        <w:t>Virchows Arch</w:t>
      </w:r>
      <w:r w:rsidRPr="00B605E7">
        <w:rPr>
          <w:rFonts w:eastAsia="等线"/>
          <w:kern w:val="2"/>
          <w:lang w:val="en-US" w:eastAsia="zh-CN"/>
        </w:rPr>
        <w:t xml:space="preserve"> 2016; </w:t>
      </w:r>
      <w:r w:rsidRPr="00B605E7">
        <w:rPr>
          <w:rFonts w:eastAsia="等线"/>
          <w:b/>
          <w:kern w:val="2"/>
          <w:lang w:val="en-US" w:eastAsia="zh-CN"/>
        </w:rPr>
        <w:t>469</w:t>
      </w:r>
      <w:r w:rsidRPr="00B605E7">
        <w:rPr>
          <w:rFonts w:eastAsia="等线"/>
          <w:kern w:val="2"/>
          <w:lang w:val="en-US" w:eastAsia="zh-CN"/>
        </w:rPr>
        <w:t>: 395-404 [PMID: 27421843 DOI: 10.1007/s00428-016-1988-8]</w:t>
      </w:r>
    </w:p>
    <w:p w14:paraId="649EF37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185 </w:t>
      </w:r>
      <w:r w:rsidRPr="00B605E7">
        <w:rPr>
          <w:rFonts w:eastAsia="等线"/>
          <w:b/>
          <w:kern w:val="2"/>
          <w:lang w:val="en-US" w:eastAsia="zh-CN"/>
        </w:rPr>
        <w:t>Davoine F</w:t>
      </w:r>
      <w:r w:rsidRPr="00B605E7">
        <w:rPr>
          <w:rFonts w:eastAsia="等线"/>
          <w:kern w:val="2"/>
          <w:lang w:val="en-US" w:eastAsia="zh-CN"/>
        </w:rPr>
        <w:t xml:space="preserve">, Lacy P. Eosinophil cytokines, chemokines, and growth factors: emerging roles in immunity. </w:t>
      </w:r>
      <w:r w:rsidRPr="00B605E7">
        <w:rPr>
          <w:rFonts w:eastAsia="等线"/>
          <w:i/>
          <w:kern w:val="2"/>
          <w:lang w:val="en-US" w:eastAsia="zh-CN"/>
        </w:rPr>
        <w:t>Front Immunol</w:t>
      </w:r>
      <w:r w:rsidRPr="00B605E7">
        <w:rPr>
          <w:rFonts w:eastAsia="等线"/>
          <w:kern w:val="2"/>
          <w:lang w:val="en-US" w:eastAsia="zh-CN"/>
        </w:rPr>
        <w:t xml:space="preserve"> 2014; </w:t>
      </w:r>
      <w:r w:rsidRPr="00B605E7">
        <w:rPr>
          <w:rFonts w:eastAsia="等线"/>
          <w:b/>
          <w:kern w:val="2"/>
          <w:lang w:val="en-US" w:eastAsia="zh-CN"/>
        </w:rPr>
        <w:t>5</w:t>
      </w:r>
      <w:r w:rsidRPr="00B605E7">
        <w:rPr>
          <w:rFonts w:eastAsia="等线"/>
          <w:kern w:val="2"/>
          <w:lang w:val="en-US" w:eastAsia="zh-CN"/>
        </w:rPr>
        <w:t>: 570 [PMID: 25426119 DOI: 10.3389/fimmu.2014.00570]</w:t>
      </w:r>
    </w:p>
    <w:p w14:paraId="40EF6A0F"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186 </w:t>
      </w:r>
      <w:r w:rsidRPr="00B605E7">
        <w:rPr>
          <w:rFonts w:eastAsia="等线"/>
          <w:b/>
          <w:kern w:val="2"/>
          <w:lang w:val="en-US" w:eastAsia="zh-CN"/>
        </w:rPr>
        <w:t>Amin K</w:t>
      </w:r>
      <w:r w:rsidRPr="00B605E7">
        <w:rPr>
          <w:rFonts w:eastAsia="等线"/>
          <w:kern w:val="2"/>
          <w:lang w:val="en-US" w:eastAsia="zh-CN"/>
        </w:rPr>
        <w:t xml:space="preserve">. The role of mast cells in allergic inflammation. </w:t>
      </w:r>
      <w:r w:rsidRPr="00B605E7">
        <w:rPr>
          <w:rFonts w:eastAsia="等线"/>
          <w:i/>
          <w:kern w:val="2"/>
          <w:lang w:val="en-US" w:eastAsia="zh-CN"/>
        </w:rPr>
        <w:t>Respir Med</w:t>
      </w:r>
      <w:r w:rsidRPr="00B605E7">
        <w:rPr>
          <w:rFonts w:eastAsia="等线"/>
          <w:kern w:val="2"/>
          <w:lang w:val="en-US" w:eastAsia="zh-CN"/>
        </w:rPr>
        <w:t xml:space="preserve"> 2012; </w:t>
      </w:r>
      <w:r w:rsidRPr="00B605E7">
        <w:rPr>
          <w:rFonts w:eastAsia="等线"/>
          <w:b/>
          <w:kern w:val="2"/>
          <w:lang w:val="en-US" w:eastAsia="zh-CN"/>
        </w:rPr>
        <w:t>106</w:t>
      </w:r>
      <w:r w:rsidRPr="00B605E7">
        <w:rPr>
          <w:rFonts w:eastAsia="等线"/>
          <w:kern w:val="2"/>
          <w:lang w:val="en-US" w:eastAsia="zh-CN"/>
        </w:rPr>
        <w:t>: 9-14 [PMID: 22112783 DOI: 10.1016/j.rmed.2011.09.007]</w:t>
      </w:r>
    </w:p>
    <w:p w14:paraId="3BC49A04"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187 </w:t>
      </w:r>
      <w:r w:rsidRPr="00B605E7">
        <w:rPr>
          <w:rFonts w:eastAsia="等线"/>
          <w:b/>
          <w:kern w:val="2"/>
          <w:lang w:val="en-US" w:eastAsia="zh-CN"/>
        </w:rPr>
        <w:t>Zhang R</w:t>
      </w:r>
      <w:r w:rsidRPr="00B605E7">
        <w:rPr>
          <w:rFonts w:eastAsia="等线"/>
          <w:kern w:val="2"/>
          <w:lang w:val="en-US" w:eastAsia="zh-CN"/>
        </w:rPr>
        <w:t xml:space="preserve">, Qi F, Zhao F, Li G, Shao S, Zhang X, Yuan L, Feng Y. Cancer-associated fibroblasts enhance tumor-associated macrophages enrichment and suppress NK cells function in colorectal cancer. </w:t>
      </w:r>
      <w:r w:rsidRPr="00B605E7">
        <w:rPr>
          <w:rFonts w:eastAsia="等线"/>
          <w:i/>
          <w:kern w:val="2"/>
          <w:lang w:val="en-US" w:eastAsia="zh-CN"/>
        </w:rPr>
        <w:t>Cell Death Dis</w:t>
      </w:r>
      <w:r w:rsidRPr="00B605E7">
        <w:rPr>
          <w:rFonts w:eastAsia="等线"/>
          <w:kern w:val="2"/>
          <w:lang w:val="en-US" w:eastAsia="zh-CN"/>
        </w:rPr>
        <w:t xml:space="preserve"> 2019; </w:t>
      </w:r>
      <w:r w:rsidRPr="00B605E7">
        <w:rPr>
          <w:rFonts w:eastAsia="等线"/>
          <w:b/>
          <w:kern w:val="2"/>
          <w:lang w:val="en-US" w:eastAsia="zh-CN"/>
        </w:rPr>
        <w:t>10</w:t>
      </w:r>
      <w:r w:rsidRPr="00B605E7">
        <w:rPr>
          <w:rFonts w:eastAsia="等线"/>
          <w:kern w:val="2"/>
          <w:lang w:val="en-US" w:eastAsia="zh-CN"/>
        </w:rPr>
        <w:t>: 273 [PMID: 30894509 DOI: 10.1038/s41419-019-1435-2]</w:t>
      </w:r>
    </w:p>
    <w:p w14:paraId="005559C2"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188 </w:t>
      </w:r>
      <w:r w:rsidRPr="00B605E7">
        <w:rPr>
          <w:rFonts w:eastAsia="等线"/>
          <w:b/>
          <w:kern w:val="2"/>
          <w:lang w:val="en-US" w:eastAsia="zh-CN"/>
        </w:rPr>
        <w:t>Calon A</w:t>
      </w:r>
      <w:r w:rsidRPr="00B605E7">
        <w:rPr>
          <w:rFonts w:eastAsia="等线"/>
          <w:kern w:val="2"/>
          <w:lang w:val="en-US" w:eastAsia="zh-CN"/>
        </w:rPr>
        <w:t xml:space="preserve">, Espinet E, Palomo-Ponce S, Tauriello DV, Iglesias M, Céspedes MV, Sevillano M, Nadal C, Jung P, Zhang XH, Byrom D, Riera A, Rossell D, Mangues R, Massagué J, Sancho E, Batlle E. Dependency of colorectal cancer on a TGF-β-driven program in stromal cells for metastasis initiation. </w:t>
      </w:r>
      <w:r w:rsidRPr="00B605E7">
        <w:rPr>
          <w:rFonts w:eastAsia="等线"/>
          <w:i/>
          <w:kern w:val="2"/>
          <w:lang w:val="en-US" w:eastAsia="zh-CN"/>
        </w:rPr>
        <w:t>Cancer Cell</w:t>
      </w:r>
      <w:r w:rsidRPr="00B605E7">
        <w:rPr>
          <w:rFonts w:eastAsia="等线"/>
          <w:kern w:val="2"/>
          <w:lang w:val="en-US" w:eastAsia="zh-CN"/>
        </w:rPr>
        <w:t xml:space="preserve"> 2012; </w:t>
      </w:r>
      <w:r w:rsidRPr="00B605E7">
        <w:rPr>
          <w:rFonts w:eastAsia="等线"/>
          <w:b/>
          <w:kern w:val="2"/>
          <w:lang w:val="en-US" w:eastAsia="zh-CN"/>
        </w:rPr>
        <w:t>22</w:t>
      </w:r>
      <w:r w:rsidRPr="00B605E7">
        <w:rPr>
          <w:rFonts w:eastAsia="等线"/>
          <w:kern w:val="2"/>
          <w:lang w:val="en-US" w:eastAsia="zh-CN"/>
        </w:rPr>
        <w:t>: 571-584 [PMID: 23153532 DOI: 10.1016/j.ccr.2012.08.013]</w:t>
      </w:r>
    </w:p>
    <w:p w14:paraId="656113D5"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189 </w:t>
      </w:r>
      <w:r w:rsidRPr="00B605E7">
        <w:rPr>
          <w:rFonts w:eastAsia="等线"/>
          <w:b/>
          <w:kern w:val="2"/>
          <w:lang w:val="en-US" w:eastAsia="zh-CN"/>
        </w:rPr>
        <w:t>Li Z</w:t>
      </w:r>
      <w:r w:rsidRPr="00B605E7">
        <w:rPr>
          <w:rFonts w:eastAsia="等线"/>
          <w:kern w:val="2"/>
          <w:lang w:val="en-US" w:eastAsia="zh-CN"/>
        </w:rPr>
        <w:t xml:space="preserve">, Zhou J, Zhang J, Li S, Wang H, Du J. Cancer-associated fibroblasts promote PD-L1 expression in mice cancer cells via secreting CXCL5. </w:t>
      </w:r>
      <w:r w:rsidRPr="00B605E7">
        <w:rPr>
          <w:rFonts w:eastAsia="等线"/>
          <w:i/>
          <w:kern w:val="2"/>
          <w:lang w:val="en-US" w:eastAsia="zh-CN"/>
        </w:rPr>
        <w:t>Int J Cancer</w:t>
      </w:r>
      <w:r w:rsidRPr="00B605E7">
        <w:rPr>
          <w:rFonts w:eastAsia="等线"/>
          <w:kern w:val="2"/>
          <w:lang w:val="en-US" w:eastAsia="zh-CN"/>
        </w:rPr>
        <w:t xml:space="preserve"> 2019 [PMID: 30873585 DOI: 10.1002/ijc.32278]</w:t>
      </w:r>
    </w:p>
    <w:p w14:paraId="5842C099"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190 </w:t>
      </w:r>
      <w:r w:rsidRPr="00B605E7">
        <w:rPr>
          <w:rFonts w:eastAsia="等线"/>
          <w:b/>
          <w:kern w:val="2"/>
          <w:lang w:val="en-US" w:eastAsia="zh-CN"/>
        </w:rPr>
        <w:t>Joo YE</w:t>
      </w:r>
      <w:r w:rsidRPr="00B605E7">
        <w:rPr>
          <w:rFonts w:eastAsia="等线"/>
          <w:kern w:val="2"/>
          <w:lang w:val="en-US" w:eastAsia="zh-CN"/>
        </w:rPr>
        <w:t xml:space="preserve">, Seo KS, Kim J, Kim HS, Rew JS, Park CS, Kim SJ. Role of tissue inhibitors of metalloproteinases (TIMPs) in colorectal carcinoma. </w:t>
      </w:r>
      <w:r w:rsidRPr="00B605E7">
        <w:rPr>
          <w:rFonts w:eastAsia="等线"/>
          <w:i/>
          <w:kern w:val="2"/>
          <w:lang w:val="en-US" w:eastAsia="zh-CN"/>
        </w:rPr>
        <w:t>J Korean Med Sci</w:t>
      </w:r>
      <w:r w:rsidRPr="00B605E7">
        <w:rPr>
          <w:rFonts w:eastAsia="等线"/>
          <w:kern w:val="2"/>
          <w:lang w:val="en-US" w:eastAsia="zh-CN"/>
        </w:rPr>
        <w:t xml:space="preserve"> 1999; </w:t>
      </w:r>
      <w:r w:rsidRPr="00B605E7">
        <w:rPr>
          <w:rFonts w:eastAsia="等线"/>
          <w:b/>
          <w:kern w:val="2"/>
          <w:lang w:val="en-US" w:eastAsia="zh-CN"/>
        </w:rPr>
        <w:t>14</w:t>
      </w:r>
      <w:r w:rsidRPr="00B605E7">
        <w:rPr>
          <w:rFonts w:eastAsia="等线"/>
          <w:kern w:val="2"/>
          <w:lang w:val="en-US" w:eastAsia="zh-CN"/>
        </w:rPr>
        <w:t>: 417-423 [PMID: 10485622 DOI: 10.3346/jkms.1999.14.4.417]</w:t>
      </w:r>
    </w:p>
    <w:p w14:paraId="13E39D3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191 </w:t>
      </w:r>
      <w:r w:rsidRPr="00B605E7">
        <w:rPr>
          <w:rFonts w:eastAsia="等线"/>
          <w:b/>
          <w:kern w:val="2"/>
          <w:lang w:val="en-US" w:eastAsia="zh-CN"/>
        </w:rPr>
        <w:t>Woo HD</w:t>
      </w:r>
      <w:r w:rsidRPr="00B605E7">
        <w:rPr>
          <w:rFonts w:eastAsia="等线"/>
          <w:kern w:val="2"/>
          <w:lang w:val="en-US" w:eastAsia="zh-CN"/>
        </w:rPr>
        <w:t xml:space="preserve">, Kim K, Kim J. Association between preoperative C-reactive protein level and colorectal cancer survival: a meta-analysis. </w:t>
      </w:r>
      <w:r w:rsidRPr="00B605E7">
        <w:rPr>
          <w:rFonts w:eastAsia="等线"/>
          <w:i/>
          <w:kern w:val="2"/>
          <w:lang w:val="en-US" w:eastAsia="zh-CN"/>
        </w:rPr>
        <w:t>Cancer Causes Control</w:t>
      </w:r>
      <w:r w:rsidRPr="00B605E7">
        <w:rPr>
          <w:rFonts w:eastAsia="等线"/>
          <w:kern w:val="2"/>
          <w:lang w:val="en-US" w:eastAsia="zh-CN"/>
        </w:rPr>
        <w:t xml:space="preserve"> 2015; </w:t>
      </w:r>
      <w:r w:rsidRPr="00B605E7">
        <w:rPr>
          <w:rFonts w:eastAsia="等线"/>
          <w:b/>
          <w:kern w:val="2"/>
          <w:lang w:val="en-US" w:eastAsia="zh-CN"/>
        </w:rPr>
        <w:t>26</w:t>
      </w:r>
      <w:r w:rsidRPr="00B605E7">
        <w:rPr>
          <w:rFonts w:eastAsia="等线"/>
          <w:kern w:val="2"/>
          <w:lang w:val="en-US" w:eastAsia="zh-CN"/>
        </w:rPr>
        <w:t>: 1661-1670 [PMID: 26376895 DOI: 10.1007/s10552-015-0663-8]</w:t>
      </w:r>
    </w:p>
    <w:p w14:paraId="1E13864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192 </w:t>
      </w:r>
      <w:r w:rsidRPr="00B605E7">
        <w:rPr>
          <w:rFonts w:eastAsia="等线"/>
          <w:b/>
          <w:kern w:val="2"/>
          <w:lang w:val="en-US" w:eastAsia="zh-CN"/>
        </w:rPr>
        <w:t>Gupta D</w:t>
      </w:r>
      <w:r w:rsidRPr="00B605E7">
        <w:rPr>
          <w:rFonts w:eastAsia="等线"/>
          <w:kern w:val="2"/>
          <w:lang w:val="en-US" w:eastAsia="zh-CN"/>
        </w:rPr>
        <w:t xml:space="preserve">, Lis CG. Pretreatment serum albumin as a predictor of cancer survival: a systematic review of the epidemiological literature. </w:t>
      </w:r>
      <w:r w:rsidRPr="00B605E7">
        <w:rPr>
          <w:rFonts w:eastAsia="等线"/>
          <w:i/>
          <w:kern w:val="2"/>
          <w:lang w:val="en-US" w:eastAsia="zh-CN"/>
        </w:rPr>
        <w:t>Nutr J</w:t>
      </w:r>
      <w:r w:rsidRPr="00B605E7">
        <w:rPr>
          <w:rFonts w:eastAsia="等线"/>
          <w:kern w:val="2"/>
          <w:lang w:val="en-US" w:eastAsia="zh-CN"/>
        </w:rPr>
        <w:t xml:space="preserve"> 2010; </w:t>
      </w:r>
      <w:r w:rsidRPr="00B605E7">
        <w:rPr>
          <w:rFonts w:eastAsia="等线"/>
          <w:b/>
          <w:kern w:val="2"/>
          <w:lang w:val="en-US" w:eastAsia="zh-CN"/>
        </w:rPr>
        <w:t>9</w:t>
      </w:r>
      <w:r w:rsidRPr="00B605E7">
        <w:rPr>
          <w:rFonts w:eastAsia="等线"/>
          <w:kern w:val="2"/>
          <w:lang w:val="en-US" w:eastAsia="zh-CN"/>
        </w:rPr>
        <w:t>: 69 [PMID: 21176210 DOI: 10.1186/1475-2891-9-69]</w:t>
      </w:r>
    </w:p>
    <w:p w14:paraId="6E12FADA"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193 </w:t>
      </w:r>
      <w:r w:rsidRPr="00B605E7">
        <w:rPr>
          <w:rFonts w:eastAsia="等线"/>
          <w:b/>
          <w:kern w:val="2"/>
          <w:lang w:val="en-US" w:eastAsia="zh-CN"/>
        </w:rPr>
        <w:t>Ghuman S</w:t>
      </w:r>
      <w:r w:rsidRPr="00B605E7">
        <w:rPr>
          <w:rFonts w:eastAsia="等线"/>
          <w:kern w:val="2"/>
          <w:lang w:val="en-US" w:eastAsia="zh-CN"/>
        </w:rPr>
        <w:t xml:space="preserve">, Van Hemelrijck M, Garmo H, Holmberg L, Malmström H, Lambe M, Hammar N, Walldius G, Jungner I, Wulaningsih W. Serum inflammatory markers and colorectal cancer risk and survival. </w:t>
      </w:r>
      <w:r w:rsidRPr="00B605E7">
        <w:rPr>
          <w:rFonts w:eastAsia="等线"/>
          <w:i/>
          <w:kern w:val="2"/>
          <w:lang w:val="en-US" w:eastAsia="zh-CN"/>
        </w:rPr>
        <w:t>Br J Cancer</w:t>
      </w:r>
      <w:r w:rsidRPr="00B605E7">
        <w:rPr>
          <w:rFonts w:eastAsia="等线"/>
          <w:kern w:val="2"/>
          <w:lang w:val="en-US" w:eastAsia="zh-CN"/>
        </w:rPr>
        <w:t xml:space="preserve"> 2017; </w:t>
      </w:r>
      <w:r w:rsidRPr="00B605E7">
        <w:rPr>
          <w:rFonts w:eastAsia="等线"/>
          <w:b/>
          <w:kern w:val="2"/>
          <w:lang w:val="en-US" w:eastAsia="zh-CN"/>
        </w:rPr>
        <w:t>116</w:t>
      </w:r>
      <w:r w:rsidRPr="00B605E7">
        <w:rPr>
          <w:rFonts w:eastAsia="等线"/>
          <w:kern w:val="2"/>
          <w:lang w:val="en-US" w:eastAsia="zh-CN"/>
        </w:rPr>
        <w:t xml:space="preserve">: 1358-1365 [PMID: 28376082 DOI: </w:t>
      </w:r>
      <w:r w:rsidRPr="00B605E7">
        <w:rPr>
          <w:rFonts w:eastAsia="等线"/>
          <w:kern w:val="2"/>
          <w:lang w:val="en-US" w:eastAsia="zh-CN"/>
        </w:rPr>
        <w:lastRenderedPageBreak/>
        <w:t>10.1038/bjc.2017.96]</w:t>
      </w:r>
    </w:p>
    <w:p w14:paraId="692E6BB6"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194 </w:t>
      </w:r>
      <w:r w:rsidRPr="00B605E7">
        <w:rPr>
          <w:rFonts w:eastAsia="等线"/>
          <w:b/>
          <w:kern w:val="2"/>
          <w:lang w:val="en-US" w:eastAsia="zh-CN"/>
        </w:rPr>
        <w:t>Lu X</w:t>
      </w:r>
      <w:r w:rsidRPr="00B605E7">
        <w:rPr>
          <w:rFonts w:eastAsia="等线"/>
          <w:kern w:val="2"/>
          <w:lang w:val="en-US" w:eastAsia="zh-CN"/>
        </w:rPr>
        <w:t xml:space="preserve">, Guo W, Xu W, Zhang X, Shi Z, Zheng L, Zhao W. Prognostic value of the Glasgow prognostic score in colorectal cancer: a meta-analysis of 9,839 patients. </w:t>
      </w:r>
      <w:r w:rsidRPr="00B605E7">
        <w:rPr>
          <w:rFonts w:eastAsia="等线"/>
          <w:i/>
          <w:kern w:val="2"/>
          <w:lang w:val="en-US" w:eastAsia="zh-CN"/>
        </w:rPr>
        <w:t>Cancer Manag Res</w:t>
      </w:r>
      <w:r w:rsidRPr="00B605E7">
        <w:rPr>
          <w:rFonts w:eastAsia="等线"/>
          <w:kern w:val="2"/>
          <w:lang w:val="en-US" w:eastAsia="zh-CN"/>
        </w:rPr>
        <w:t xml:space="preserve"> 2018; </w:t>
      </w:r>
      <w:r w:rsidRPr="00B605E7">
        <w:rPr>
          <w:rFonts w:eastAsia="等线"/>
          <w:b/>
          <w:kern w:val="2"/>
          <w:lang w:val="en-US" w:eastAsia="zh-CN"/>
        </w:rPr>
        <w:t>11</w:t>
      </w:r>
      <w:r w:rsidRPr="00B605E7">
        <w:rPr>
          <w:rFonts w:eastAsia="等线"/>
          <w:kern w:val="2"/>
          <w:lang w:val="en-US" w:eastAsia="zh-CN"/>
        </w:rPr>
        <w:t>: 229-249 [PMID: 30636896 DOI: 10.2147/CMAR.S185350]</w:t>
      </w:r>
    </w:p>
    <w:p w14:paraId="34E72253" w14:textId="77777777" w:rsidR="00B605E7" w:rsidRPr="00B605E7" w:rsidRDefault="00B605E7" w:rsidP="00F67ED8">
      <w:pPr>
        <w:widowControl w:val="0"/>
        <w:spacing w:after="0"/>
        <w:rPr>
          <w:rFonts w:eastAsia="等线"/>
          <w:kern w:val="2"/>
          <w:lang w:val="en-US" w:eastAsia="zh-CN"/>
        </w:rPr>
      </w:pPr>
      <w:r w:rsidRPr="00B605E7">
        <w:rPr>
          <w:rFonts w:eastAsia="等线"/>
          <w:kern w:val="2"/>
          <w:lang w:val="en-US" w:eastAsia="zh-CN"/>
        </w:rPr>
        <w:t xml:space="preserve">195 </w:t>
      </w:r>
      <w:r w:rsidRPr="00B605E7">
        <w:rPr>
          <w:rFonts w:eastAsia="等线"/>
          <w:b/>
          <w:kern w:val="2"/>
          <w:lang w:val="en-US" w:eastAsia="zh-CN"/>
        </w:rPr>
        <w:t>Lee JH</w:t>
      </w:r>
      <w:r w:rsidRPr="00B605E7">
        <w:rPr>
          <w:rFonts w:eastAsia="等线"/>
          <w:kern w:val="2"/>
          <w:lang w:val="en-US" w:eastAsia="zh-CN"/>
        </w:rPr>
        <w:t xml:space="preserve">, Choi JW, Kim YS. Plasma or serum TIMP-1 is a predictor of survival outcomes in colorectal cancer: a meta-analysis. </w:t>
      </w:r>
      <w:r w:rsidRPr="00B605E7">
        <w:rPr>
          <w:rFonts w:eastAsia="等线"/>
          <w:i/>
          <w:kern w:val="2"/>
          <w:lang w:val="en-US" w:eastAsia="zh-CN"/>
        </w:rPr>
        <w:t>J Gastrointestin Liver Dis</w:t>
      </w:r>
      <w:r w:rsidRPr="00B605E7">
        <w:rPr>
          <w:rFonts w:eastAsia="等线"/>
          <w:kern w:val="2"/>
          <w:lang w:val="en-US" w:eastAsia="zh-CN"/>
        </w:rPr>
        <w:t xml:space="preserve"> 2011; </w:t>
      </w:r>
      <w:r w:rsidRPr="00B605E7">
        <w:rPr>
          <w:rFonts w:eastAsia="等线"/>
          <w:b/>
          <w:kern w:val="2"/>
          <w:lang w:val="en-US" w:eastAsia="zh-CN"/>
        </w:rPr>
        <w:t>20</w:t>
      </w:r>
      <w:r w:rsidRPr="00B605E7">
        <w:rPr>
          <w:rFonts w:eastAsia="等线"/>
          <w:kern w:val="2"/>
          <w:lang w:val="en-US" w:eastAsia="zh-CN"/>
        </w:rPr>
        <w:t>: 287-291 [PMID: 21961097]</w:t>
      </w:r>
    </w:p>
    <w:p w14:paraId="578FAB87" w14:textId="119405EF" w:rsidR="006F1BAC" w:rsidRDefault="006F1BAC" w:rsidP="00F67ED8">
      <w:pPr>
        <w:suppressAutoHyphens/>
        <w:spacing w:after="0"/>
        <w:jc w:val="right"/>
        <w:rPr>
          <w:rFonts w:cs="Mangal"/>
          <w:b/>
          <w:bCs/>
          <w:lang w:val="it-IT" w:bidi="hi-IN"/>
        </w:rPr>
      </w:pPr>
      <w:bookmarkStart w:id="157" w:name="OLE_LINK502"/>
      <w:bookmarkStart w:id="158" w:name="OLE_LINK480"/>
      <w:bookmarkStart w:id="159" w:name="OLE_LINK2090"/>
      <w:bookmarkStart w:id="160" w:name="OLE_LINK2200"/>
      <w:bookmarkStart w:id="161" w:name="OLE_LINK2199"/>
      <w:bookmarkStart w:id="162" w:name="OLE_LINK2198"/>
      <w:bookmarkStart w:id="163" w:name="OLE_LINK2162"/>
      <w:bookmarkStart w:id="164" w:name="OLE_LINK1963"/>
      <w:bookmarkStart w:id="165" w:name="OLE_LINK1962"/>
      <w:bookmarkStart w:id="166" w:name="OLE_LINK1812"/>
      <w:bookmarkStart w:id="167" w:name="OLE_LINK1811"/>
      <w:bookmarkStart w:id="168" w:name="OLE_LINK1807"/>
      <w:bookmarkStart w:id="169" w:name="OLE_LINK1806"/>
      <w:bookmarkStart w:id="170" w:name="OLE_LINK1636"/>
      <w:bookmarkStart w:id="171" w:name="OLE_LINK1845"/>
      <w:bookmarkStart w:id="172" w:name="OLE_LINK1844"/>
      <w:bookmarkStart w:id="173" w:name="OLE_LINK1843"/>
      <w:bookmarkStart w:id="174" w:name="OLE_LINK1803"/>
      <w:bookmarkStart w:id="175" w:name="OLE_LINK1802"/>
      <w:bookmarkStart w:id="176" w:name="OLE_LINK1801"/>
      <w:bookmarkStart w:id="177" w:name="OLE_LINK1800"/>
      <w:bookmarkStart w:id="178" w:name="OLE_LINK1282"/>
      <w:bookmarkStart w:id="179" w:name="OLE_LINK1266"/>
      <w:bookmarkStart w:id="180" w:name="OLE_LINK1264"/>
      <w:bookmarkStart w:id="181" w:name="OLE_LINK1261"/>
      <w:bookmarkStart w:id="182" w:name="OLE_LINK1260"/>
      <w:bookmarkStart w:id="183" w:name="OLE_LINK1044"/>
      <w:bookmarkStart w:id="184" w:name="OLE_LINK1043"/>
      <w:bookmarkStart w:id="185" w:name="OLE_LINK1039"/>
      <w:bookmarkStart w:id="186" w:name="OLE_LINK1038"/>
      <w:bookmarkStart w:id="187" w:name="OLE_LINK1036"/>
      <w:bookmarkStart w:id="188" w:name="OLE_LINK1035"/>
      <w:bookmarkStart w:id="189" w:name="OLE_LINK987"/>
      <w:bookmarkStart w:id="190" w:name="OLE_LINK947"/>
      <w:bookmarkStart w:id="191" w:name="OLE_LINK946"/>
      <w:bookmarkStart w:id="192" w:name="OLE_LINK945"/>
      <w:bookmarkStart w:id="193" w:name="OLE_LINK1127"/>
      <w:bookmarkStart w:id="194" w:name="OLE_LINK962"/>
      <w:bookmarkStart w:id="195" w:name="OLE_LINK959"/>
      <w:bookmarkStart w:id="196" w:name="OLE_LINK1185"/>
      <w:bookmarkStart w:id="197" w:name="OLE_LINK1159"/>
      <w:bookmarkStart w:id="198" w:name="OLE_LINK1158"/>
      <w:bookmarkStart w:id="199" w:name="OLE_LINK1157"/>
      <w:bookmarkStart w:id="200" w:name="OLE_LINK1156"/>
      <w:bookmarkStart w:id="201" w:name="OLE_LINK1065"/>
      <w:bookmarkStart w:id="202" w:name="OLE_LINK1064"/>
      <w:bookmarkStart w:id="203" w:name="OLE_LINK1023"/>
      <w:bookmarkStart w:id="204" w:name="OLE_LINK1022"/>
      <w:bookmarkStart w:id="205" w:name="OLE_LINK1021"/>
      <w:r>
        <w:rPr>
          <w:rFonts w:eastAsia="Lucida Sans Unicode" w:cs="Arial"/>
          <w:b/>
          <w:noProof/>
          <w:lang w:val="it-IT" w:eastAsia="hi-IN" w:bidi="hi-IN"/>
        </w:rPr>
        <w:t>P-Reviewer</w:t>
      </w:r>
      <w:r>
        <w:rPr>
          <w:rFonts w:cs="Arial"/>
          <w:b/>
          <w:noProof/>
          <w:lang w:val="it-IT" w:bidi="hi-IN"/>
        </w:rPr>
        <w:t>:</w:t>
      </w:r>
      <w:r>
        <w:t xml:space="preserve">  </w:t>
      </w:r>
      <w:r w:rsidR="002336C4" w:rsidRPr="002336C4">
        <w:t>Sung</w:t>
      </w:r>
      <w:r w:rsidR="002336C4">
        <w:t xml:space="preserve"> WW, </w:t>
      </w:r>
      <w:r w:rsidR="002336C4" w:rsidRPr="002336C4">
        <w:t>Temraz</w:t>
      </w:r>
      <w:r w:rsidR="002336C4">
        <w:t xml:space="preserve"> S </w:t>
      </w:r>
      <w:r>
        <w:rPr>
          <w:rFonts w:eastAsia="Lucida Sans Unicode" w:cs="Mangal"/>
          <w:b/>
          <w:bCs/>
          <w:lang w:val="it-IT" w:eastAsia="hi-IN" w:bidi="hi-IN"/>
        </w:rPr>
        <w:t>S-Editor</w:t>
      </w:r>
      <w:r>
        <w:rPr>
          <w:rFonts w:cs="Mangal"/>
          <w:b/>
          <w:bCs/>
          <w:lang w:val="it-IT" w:bidi="hi-IN"/>
        </w:rPr>
        <w:t>:</w:t>
      </w:r>
      <w:r>
        <w:rPr>
          <w:rFonts w:eastAsia="Lucida Sans Unicode" w:cs="Mangal"/>
          <w:bCs/>
          <w:lang w:val="it-IT" w:eastAsia="hi-IN" w:bidi="hi-IN"/>
        </w:rPr>
        <w:t xml:space="preserve"> </w:t>
      </w:r>
      <w:r>
        <w:rPr>
          <w:rFonts w:cs="Mangal"/>
          <w:bCs/>
          <w:lang w:val="it-IT" w:bidi="hi-IN"/>
        </w:rPr>
        <w:t>Ma YJ</w:t>
      </w:r>
      <w:r>
        <w:rPr>
          <w:rFonts w:eastAsia="Lucida Sans Unicode" w:cs="Mangal"/>
          <w:b/>
          <w:bCs/>
          <w:lang w:val="it-IT" w:eastAsia="hi-IN" w:bidi="hi-IN"/>
        </w:rPr>
        <w:t xml:space="preserve"> L-Editor</w:t>
      </w:r>
      <w:r>
        <w:rPr>
          <w:rFonts w:cs="Mangal"/>
          <w:b/>
          <w:bCs/>
          <w:lang w:val="it-IT" w:bidi="hi-IN"/>
        </w:rPr>
        <w:t xml:space="preserve">: </w:t>
      </w:r>
      <w:r>
        <w:rPr>
          <w:rFonts w:eastAsia="Lucida Sans Unicode" w:cs="Mangal"/>
          <w:b/>
          <w:bCs/>
          <w:lang w:val="it-IT" w:eastAsia="hi-IN" w:bidi="hi-IN"/>
        </w:rPr>
        <w:t xml:space="preserve"> E-Editor</w:t>
      </w:r>
      <w:r>
        <w:rPr>
          <w:rFonts w:cs="Mangal"/>
          <w:b/>
          <w:bCs/>
          <w:lang w:val="it-IT" w:bidi="hi-IN"/>
        </w:rPr>
        <w:t>:</w:t>
      </w:r>
      <w:r>
        <w:rPr>
          <w:lang w:val="it-IT"/>
        </w:rPr>
        <w:t xml:space="preserve"> </w:t>
      </w:r>
    </w:p>
    <w:p w14:paraId="478A3C01" w14:textId="77777777" w:rsidR="006F1BAC" w:rsidRDefault="006F1BAC" w:rsidP="00F67ED8">
      <w:pPr>
        <w:shd w:val="clear" w:color="auto" w:fill="FFFFFF"/>
        <w:snapToGrid w:val="0"/>
        <w:spacing w:after="0"/>
        <w:rPr>
          <w:rFonts w:cs="Helvetica"/>
          <w:b/>
        </w:rPr>
      </w:pPr>
      <w:r>
        <w:rPr>
          <w:rFonts w:cs="Helvetica"/>
          <w:b/>
        </w:rPr>
        <w:t xml:space="preserve">Specialty type: </w:t>
      </w:r>
      <w:r>
        <w:rPr>
          <w:rFonts w:eastAsia="微软雅黑" w:cs="宋体"/>
        </w:rPr>
        <w:t>Gastroenterology and hepatology</w:t>
      </w:r>
    </w:p>
    <w:p w14:paraId="1D2CC2B0" w14:textId="77777777" w:rsidR="006F1BAC" w:rsidRDefault="006F1BAC" w:rsidP="00F67ED8">
      <w:pPr>
        <w:shd w:val="clear" w:color="auto" w:fill="FFFFFF"/>
        <w:snapToGrid w:val="0"/>
        <w:spacing w:after="0"/>
        <w:rPr>
          <w:rFonts w:cs="Helvetica"/>
          <w:b/>
          <w:lang w:val="pt-BR"/>
        </w:rPr>
      </w:pPr>
      <w:r>
        <w:rPr>
          <w:rFonts w:cs="Helvetica"/>
          <w:b/>
        </w:rPr>
        <w:t xml:space="preserve">Country of origin: </w:t>
      </w:r>
      <w:r>
        <w:rPr>
          <w:rFonts w:cs="Helvetica"/>
        </w:rPr>
        <w:t>United States</w:t>
      </w:r>
    </w:p>
    <w:p w14:paraId="5935A8FC" w14:textId="77777777" w:rsidR="006F1BAC" w:rsidRDefault="006F1BAC" w:rsidP="00F67ED8">
      <w:pPr>
        <w:shd w:val="clear" w:color="auto" w:fill="FFFFFF"/>
        <w:snapToGrid w:val="0"/>
        <w:spacing w:after="0"/>
        <w:rPr>
          <w:rFonts w:cs="Helvetica"/>
          <w:b/>
        </w:rPr>
      </w:pPr>
      <w:r>
        <w:rPr>
          <w:rFonts w:cs="Helvetica"/>
          <w:b/>
        </w:rPr>
        <w:t>Peer-review report classification</w:t>
      </w:r>
    </w:p>
    <w:p w14:paraId="7AA0BD96" w14:textId="22830234" w:rsidR="006F1BAC" w:rsidRDefault="006F1BAC" w:rsidP="00F67ED8">
      <w:pPr>
        <w:shd w:val="clear" w:color="auto" w:fill="FFFFFF"/>
        <w:snapToGrid w:val="0"/>
        <w:spacing w:after="0"/>
        <w:rPr>
          <w:rFonts w:cs="Helvetica"/>
        </w:rPr>
      </w:pPr>
      <w:r>
        <w:rPr>
          <w:rFonts w:cs="Helvetica"/>
        </w:rPr>
        <w:t xml:space="preserve">Grade A (Excellent): </w:t>
      </w:r>
      <w:r w:rsidR="0074303B">
        <w:rPr>
          <w:rFonts w:cs="Helvetica"/>
        </w:rPr>
        <w:t>0</w:t>
      </w:r>
    </w:p>
    <w:p w14:paraId="03960EDE" w14:textId="09914F57" w:rsidR="006F1BAC" w:rsidRDefault="006F1BAC" w:rsidP="00F67ED8">
      <w:pPr>
        <w:shd w:val="clear" w:color="auto" w:fill="FFFFFF"/>
        <w:snapToGrid w:val="0"/>
        <w:spacing w:after="0"/>
        <w:rPr>
          <w:rFonts w:cs="Helvetica"/>
        </w:rPr>
      </w:pPr>
      <w:r>
        <w:rPr>
          <w:rFonts w:cs="Helvetica"/>
        </w:rPr>
        <w:t>Grade B (Very good): B</w:t>
      </w:r>
      <w:r w:rsidR="0074303B">
        <w:rPr>
          <w:rFonts w:cs="Helvetica"/>
        </w:rPr>
        <w:t>, B</w:t>
      </w:r>
    </w:p>
    <w:p w14:paraId="2EC5195D" w14:textId="77777777" w:rsidR="006F1BAC" w:rsidRDefault="006F1BAC" w:rsidP="00F67ED8">
      <w:pPr>
        <w:shd w:val="clear" w:color="auto" w:fill="FFFFFF"/>
        <w:snapToGrid w:val="0"/>
        <w:spacing w:after="0"/>
        <w:rPr>
          <w:rFonts w:cs="Helvetica"/>
        </w:rPr>
      </w:pPr>
      <w:r>
        <w:rPr>
          <w:rFonts w:cs="Helvetica"/>
        </w:rPr>
        <w:t>Grade C (Good): 0</w:t>
      </w:r>
    </w:p>
    <w:p w14:paraId="5A6ADFE6" w14:textId="77777777" w:rsidR="006F1BAC" w:rsidRDefault="006F1BAC" w:rsidP="00F67ED8">
      <w:pPr>
        <w:shd w:val="clear" w:color="auto" w:fill="FFFFFF"/>
        <w:snapToGrid w:val="0"/>
        <w:spacing w:after="0"/>
        <w:rPr>
          <w:rFonts w:cs="Helvetica"/>
        </w:rPr>
      </w:pPr>
      <w:r>
        <w:rPr>
          <w:rFonts w:cs="Helvetica"/>
        </w:rPr>
        <w:t xml:space="preserve">Grade D (Fair): </w:t>
      </w:r>
      <w:bookmarkEnd w:id="157"/>
      <w:bookmarkEnd w:id="158"/>
      <w:r>
        <w:rPr>
          <w:rFonts w:cs="Helvetica"/>
        </w:rPr>
        <w:t>0</w:t>
      </w:r>
    </w:p>
    <w:p w14:paraId="511C4F99" w14:textId="77777777" w:rsidR="006F1BAC" w:rsidRDefault="006F1BAC" w:rsidP="00F67ED8">
      <w:pPr>
        <w:shd w:val="clear" w:color="auto" w:fill="FFFFFF"/>
        <w:snapToGrid w:val="0"/>
        <w:spacing w:after="0"/>
        <w:rPr>
          <w:rFonts w:cs="Helvetica"/>
        </w:rPr>
      </w:pPr>
      <w:r>
        <w:rPr>
          <w:rFonts w:cs="Helvetica"/>
        </w:rPr>
        <w:t xml:space="preserve">Grade E (Poor): </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Fonts w:cs="Helvetica"/>
        </w:rPr>
        <w:t>0</w:t>
      </w:r>
    </w:p>
    <w:p w14:paraId="33785C16" w14:textId="77777777" w:rsidR="003E199B" w:rsidRPr="00F06EA4" w:rsidRDefault="003E199B" w:rsidP="00F67ED8">
      <w:pPr>
        <w:spacing w:after="0"/>
        <w:rPr>
          <w:lang w:val="en-US"/>
        </w:rPr>
      </w:pPr>
      <w:r w:rsidRPr="00F06EA4">
        <w:rPr>
          <w:lang w:val="en-US"/>
        </w:rPr>
        <w:br w:type="page"/>
      </w:r>
    </w:p>
    <w:p w14:paraId="2B7190A2" w14:textId="0BE5BF3D" w:rsidR="003E199B" w:rsidRPr="00F06EA4" w:rsidRDefault="00562708" w:rsidP="00F67ED8">
      <w:pPr>
        <w:spacing w:after="0"/>
      </w:pPr>
      <w:r>
        <w:rPr>
          <w:noProof/>
          <w:lang w:val="en-US" w:eastAsia="zh-CN"/>
        </w:rPr>
        <w:lastRenderedPageBreak/>
        <w:drawing>
          <wp:inline distT="0" distB="0" distL="0" distR="0" wp14:anchorId="07E632C6" wp14:editId="602521C3">
            <wp:extent cx="6120130" cy="39122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912235"/>
                    </a:xfrm>
                    <a:prstGeom prst="rect">
                      <a:avLst/>
                    </a:prstGeom>
                  </pic:spPr>
                </pic:pic>
              </a:graphicData>
            </a:graphic>
          </wp:inline>
        </w:drawing>
      </w:r>
    </w:p>
    <w:p w14:paraId="3EC66C1F" w14:textId="7C624469" w:rsidR="003E199B" w:rsidRPr="00F06EA4" w:rsidRDefault="004675EC" w:rsidP="00F67ED8">
      <w:pPr>
        <w:spacing w:after="0"/>
      </w:pPr>
      <w:r w:rsidRPr="00F06EA4">
        <w:rPr>
          <w:b/>
          <w:lang w:val="en-US"/>
        </w:rPr>
        <w:t>Figure</w:t>
      </w:r>
      <w:r w:rsidR="003E199B" w:rsidRPr="00F06EA4">
        <w:rPr>
          <w:b/>
          <w:lang w:val="en-US"/>
        </w:rPr>
        <w:t xml:space="preserve"> 1</w:t>
      </w:r>
      <w:r w:rsidR="003E199B" w:rsidRPr="00F06EA4">
        <w:rPr>
          <w:lang w:val="en-US"/>
        </w:rPr>
        <w:t xml:space="preserve"> </w:t>
      </w:r>
      <w:r w:rsidR="003E199B" w:rsidRPr="00F06EA4">
        <w:rPr>
          <w:b/>
          <w:bCs/>
          <w:lang w:val="en-US"/>
        </w:rPr>
        <w:t xml:space="preserve">Phenotypic spectrum of macrophages. </w:t>
      </w:r>
      <w:r w:rsidR="003E199B" w:rsidRPr="00F06EA4">
        <w:rPr>
          <w:lang w:val="en-US"/>
        </w:rPr>
        <w:t>The illustration portrays the heterogeneity of immune cell main categories in producing inflammatory mediators and growth factors based on their activation state. The image illustrates the spectrum model of macrophage polarization based on the M1-M2 paradigm. Macrophage polarization describes the type of macrophage activation at a given point in space and time</w:t>
      </w:r>
      <w:r w:rsidR="003E199B" w:rsidRPr="00F06EA4">
        <w:rPr>
          <w:lang w:val="en-US"/>
        </w:rPr>
        <w:fldChar w:fldCharType="begin" w:fldLock="1"/>
      </w:r>
      <w:r w:rsidR="00F45F97" w:rsidRPr="00F06EA4">
        <w:rPr>
          <w:lang w:val="en-US"/>
        </w:rPr>
        <w:instrText>ADDIN CSL_CITATION {"citationItems":[{"id":"ITEM-1","itemData":{"DOI":"10.1146/annurev-physiol-022516-034339","ISBN":"0000000000000","ISSN":"1545-1585","PMID":"27813830","abstract":"Macrophage polarization refers to how macrophages have been activated at a given point in space and time. Polarization is not fixed, as macrophages are sufficiently plastic to integrate multiple signals, such as those from microbes, damaged tissues, and the normal tissue environment. Three broad pathways control polarization: epigenetic and cell survival pathways that prolong or shorten macrophage development and viability, the tissue microenvironment, and extrinsic factors, such as microbial products and cytokines released in inflammation. A plethora of advances have provided a framework for rationally purifying, describing, and manipulating macrophage polarization. Here, I assess the current state of knowledge about macrophage polarization and enumerate the major questions about how activated macrophages regulate the physiology of normal and damaged tissues.","author":[{"dropping-particle":"","family":"Murray","given":"Peter J.","non-dropping-particle":"","parse-names":false,"suffix":""}],"container-title":"Annual review of physiology","id":"ITEM-1","issue":"1","issued":{"date-parts":[["2017"]]},"page":"541-566","title":"Macrophage Polarization.","type":"article-journal","volume":"79"},"uris":["http://www.mendeley.com/documents/?uuid=d9ce7225-c628-460a-8447-43ec75c6bb9e"]}],"mendeley":{"formattedCitation":"&lt;sup&gt;[155]&lt;/sup&gt;","plainTextFormattedCitation":"[155]","previouslyFormattedCitation":"&lt;sup&gt;[155]&lt;/sup&gt;"},"properties":{"noteIndex":0},"schema":"https://github.com/citation-style-language/schema/raw/master/csl-citation.json"}</w:instrText>
      </w:r>
      <w:r w:rsidR="003E199B" w:rsidRPr="00F06EA4">
        <w:rPr>
          <w:lang w:val="en-US"/>
        </w:rPr>
        <w:fldChar w:fldCharType="separate"/>
      </w:r>
      <w:r w:rsidR="00F45F97" w:rsidRPr="00F06EA4">
        <w:rPr>
          <w:noProof/>
          <w:vertAlign w:val="superscript"/>
          <w:lang w:val="en-US"/>
        </w:rPr>
        <w:t>[155]</w:t>
      </w:r>
      <w:r w:rsidR="003E199B" w:rsidRPr="00F06EA4">
        <w:rPr>
          <w:lang w:val="en-US"/>
        </w:rPr>
        <w:fldChar w:fldCharType="end"/>
      </w:r>
      <w:r w:rsidR="003E199B" w:rsidRPr="00F06EA4">
        <w:rPr>
          <w:lang w:val="en-US"/>
        </w:rPr>
        <w:t xml:space="preserve">. The polarization can be viewed as a continuum, with M1 (pro-inflammatory) and M2 (anti-inflammatory) as the extremes. The M1 and M2 designations are based on </w:t>
      </w:r>
      <w:r w:rsidR="003E199B" w:rsidRPr="00F06EA4">
        <w:rPr>
          <w:i/>
          <w:lang w:val="en-US"/>
        </w:rPr>
        <w:t>in vitro</w:t>
      </w:r>
      <w:r w:rsidR="003E199B" w:rsidRPr="00F06EA4">
        <w:rPr>
          <w:lang w:val="en-US"/>
        </w:rPr>
        <w:t xml:space="preserve"> stimulation with either </w:t>
      </w:r>
      <w:r w:rsidR="008F6B03" w:rsidRPr="00F06EA4">
        <w:rPr>
          <w:lang w:val="en-US"/>
        </w:rPr>
        <w:t xml:space="preserve">interferon gamma </w:t>
      </w:r>
      <w:r w:rsidR="003E199B" w:rsidRPr="00F06EA4">
        <w:rPr>
          <w:lang w:val="en-US"/>
        </w:rPr>
        <w:t xml:space="preserve"> (M1) or </w:t>
      </w:r>
      <w:r w:rsidR="008F6B03" w:rsidRPr="00F06EA4">
        <w:rPr>
          <w:lang w:val="en-US"/>
        </w:rPr>
        <w:t xml:space="preserve">interleukin 4 </w:t>
      </w:r>
      <w:r w:rsidR="003E199B" w:rsidRPr="00F06EA4">
        <w:rPr>
          <w:lang w:val="en-US"/>
        </w:rPr>
        <w:t>(M2) without environmental influence</w:t>
      </w:r>
      <w:r w:rsidR="003E199B" w:rsidRPr="00F06EA4">
        <w:rPr>
          <w:lang w:val="en-US"/>
        </w:rPr>
        <w:fldChar w:fldCharType="begin" w:fldLock="1"/>
      </w:r>
      <w:r w:rsidR="00F45F97" w:rsidRPr="00F06EA4">
        <w:rPr>
          <w:lang w:val="en-US"/>
        </w:rPr>
        <w:instrText>ADDIN CSL_CITATION {"citationItems":[{"id":"ITEM-1","itemData":{"DOI":"10.1016/j.immuni.2014.06.008","ISBN":"1097-4180 (Electronic)\\r1074-7613 (Linking)","ISSN":"1097-4180","PMID":"25035950","abstract":"Description of macrophage activation is currently contentious and confusing. Like the biblical Tower of Babel, macrophage activation encompasses a panoply of descriptors used in different ways. The lack of consensus on how to define macrophage activation in experiments in vitro and in vivo impedes progress in multiple ways, including the fact that many researchers still consider there to be only two types of activated macrophages, often termed M1 and M2. Here, we describe a set of standards encompassing three principles-the source of macrophages, definition of the activators, and a consensus collection of markers to describe macrophage activation-with the goal of unifying experimental standards for diverse experimental scenarios. Collectively, we propose a common framework for macrophage-activation nomenclature.","author":[{"dropping-particle":"","family":"Murray","given":"Peter J.","non-dropping-particle":"","parse-names":false,"suffix":""},{"dropping-particle":"","family":"Allen","given":"Judith E.","non-dropping-particle":"","parse-names":false,"suffix":""},{"dropping-particle":"","family":"Biswas","given":"Subhra K.","non-dropping-particle":"","parse-names":false,"suffix":""},{"dropping-particle":"","family":"Fisher","given":"Edward A.","non-dropping-particle":"","parse-names":false,"suffix":""},{"dropping-particle":"","family":"Gilroy","given":"Derek W.","non-dropping-particle":"","parse-names":false,"suffix":""},{"dropping-particle":"","family":"Goerdt","given":"Sergij","non-dropping-particle":"","parse-names":false,"suffix":""},{"dropping-particle":"","family":"Gordon","given":"Siamon","non-dropping-particle":"","parse-names":false,"suffix":""},{"dropping-particle":"","family":"Hamilton","given":"John A.","non-dropping-particle":"","parse-names":false,"suffix":""},{"dropping-particle":"","family":"Ivashkiv","given":"Lionel B.","non-dropping-particle":"","parse-names":false,"suffix":""},{"dropping-particle":"","family":"Lawrence","given":"Toby","non-dropping-particle":"","parse-names":false,"suffix":""},{"dropping-particle":"","family":"Locati","given":"Massimo","non-dropping-particle":"","parse-names":false,"suffix":""},{"dropping-particle":"","family":"Mantovani","given":"Alberto","non-dropping-particle":"","parse-names":false,"suffix":""},{"dropping-particle":"","family":"Martinez","given":"Fernando O.","non-dropping-particle":"","parse-names":false,"suffix":""},{"dropping-particle":"","family":"Mege","given":"Jean-Louis","non-dropping-particle":"","parse-names":false,"suffix":""},{"dropping-particle":"","family":"Mosser","given":"David M.","non-dropping-particle":"","parse-names":false,"suffix":""},{"dropping-particle":"","family":"Natoli","given":"Gioacchino","non-dropping-particle":"","parse-names":false,"suffix":""},{"dropping-particle":"","family":"Saeij","given":"Jeroen P.","non-dropping-particle":"","parse-names":false,"suffix":""},{"dropping-particle":"","family":"Schultze","given":"Joachim L.","non-dropping-particle":"","parse-names":false,"suffix":""},{"dropping-particle":"","family":"Shirey","given":"Kari Ann","non-dropping-particle":"","parse-names":false,"suffix":""},{"dropping-particle":"","family":"Sica","given":"Antonio","non-dropping-particle":"","parse-names":false,"suffix":""},{"dropping-particle":"","family":"Suttles","given":"Jill","non-dropping-particle":"","parse-names":false,"suffix":""},{"dropping-particle":"","family":"Udalova","given":"Irina","non-dropping-particle":"","parse-names":false,"suffix":""},{"dropping-particle":"","family":"Ginderachter","given":"Jo A","non-dropping-particle":"van","parse-names":false,"suffix":""},{"dropping-particle":"","family":"Vogel","given":"Stefanie N.","non-dropping-particle":"","parse-names":false,"suffix":""},{"dropping-particle":"","family":"Wynn","given":"Thomas A.","non-dropping-particle":"","parse-names":false,"suffix":""}],"container-title":"Immunity","id":"ITEM-1","issue":"1","issued":{"date-parts":[["2014"]]},"page":"14-20","title":"Macrophage activation and polarization: nomenclature and experimental guidelines.","type":"article-journal","volume":"41"},"uris":["http://www.mendeley.com/documents/?uuid=a7e22b7a-97ae-4cdb-a93e-26a691aaacf4"]}],"mendeley":{"formattedCitation":"&lt;sup&gt;[54]&lt;/sup&gt;","plainTextFormattedCitation":"[54]","previouslyFormattedCitation":"&lt;sup&gt;[54]&lt;/sup&gt;"},"properties":{"noteIndex":0},"schema":"https://github.com/citation-style-language/schema/raw/master/csl-citation.json"}</w:instrText>
      </w:r>
      <w:r w:rsidR="003E199B" w:rsidRPr="00F06EA4">
        <w:rPr>
          <w:lang w:val="en-US"/>
        </w:rPr>
        <w:fldChar w:fldCharType="separate"/>
      </w:r>
      <w:r w:rsidR="00F45F97" w:rsidRPr="00F06EA4">
        <w:rPr>
          <w:noProof/>
          <w:vertAlign w:val="superscript"/>
          <w:lang w:val="en-US"/>
        </w:rPr>
        <w:t>[54]</w:t>
      </w:r>
      <w:r w:rsidR="003E199B" w:rsidRPr="00F06EA4">
        <w:rPr>
          <w:lang w:val="en-US"/>
        </w:rPr>
        <w:fldChar w:fldCharType="end"/>
      </w:r>
      <w:r w:rsidR="003E199B" w:rsidRPr="00F06EA4">
        <w:rPr>
          <w:lang w:val="en-US"/>
        </w:rPr>
        <w:t xml:space="preserve">;  </w:t>
      </w:r>
      <w:r w:rsidR="003E199B" w:rsidRPr="00F06EA4">
        <w:rPr>
          <w:i/>
          <w:lang w:val="en-US"/>
        </w:rPr>
        <w:t>in vivo</w:t>
      </w:r>
      <w:r w:rsidR="003E199B" w:rsidRPr="00F06EA4">
        <w:rPr>
          <w:lang w:val="en-US"/>
        </w:rPr>
        <w:t xml:space="preserve">, stimulation of macrophages with multiple cytokines may result in mixed phenotypes. The image shows examples of transcription factors, cell surface molecules and inflammatory mediators commonly associated with M1 and M2 polarization states. Similarly to macrophages, different activation states have been associated with other immune cell types such as </w:t>
      </w:r>
      <w:r w:rsidR="003E199B" w:rsidRPr="00F06EA4">
        <w:rPr>
          <w:rFonts w:eastAsia="Book Antiqua" w:cs="Book Antiqua"/>
          <w:lang w:val="en-US"/>
        </w:rPr>
        <w:t>neutrophils</w:t>
      </w:r>
      <w:r w:rsidR="003E199B"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{"citationItems":[{"id":"ITEM-1","itemData":{"DOI":"10.3389/fimmu.2014.00508","ISBN":"1664-3224 (Electronic)\\r1664-3224 (Linking)","ISSN":"1664-3224","PMID":"25374568","abstract":"Polymorphonuclear neutrophils, besides their involvement in primary defense against infections - mainly through phagocytosis, generation of toxic molecules, release of enzymes, and formation of extracellular traps - are also becoming increasingly important for their contribution to the fine regulation in development of inflammatory and immune responses. These latter functions of neutrophils occur, in part, via their de novo production and release of a large variety of cytokines, including chemotactic cytokines (chemokines). Accordingly, the improvement in technologies for molecular and functional cell analysis, along with concomitant advances in cell purification techniques, have allowed the identification of a continuously growing list of neutrophil-derived cytokines, as well as the characterization of their biological implications in vitro and/or in vivo. This short review summarizes crucial concepts regarding the modalities of expression, release, and regulation of neutrophil-derived cytokines. It also highlights examples illustrating the potential implications of neutrophil-derived cytokines according to recent observations made in humans and/or in experimental animal models.","author":[{"dropping-particle":"","family":"Tecchio","given":"Cristina","non-dropping-particle":"","parse-names":false,"suffix":""},{"dropping-particle":"","family":"Micheletti","given":"Alessandra","non-dropping-particle":"","parse-names":false,"suffix":""},{"dropping-particle":"","family":"Cassatella","given":"Marco A.","non-dropping-particle":"","parse-names":false,"suffix":""}],"container-title":"Frontiers in immunology","id":"ITEM-1","issue":"OCT","issued":{"date-parts":[["2014"]]},"page":"508","title":"Neutrophil-derived cytokines: facts beyond expression.","type":"article-journal","volume":"5"},"uris":["http://www.mendeley.com/documents/?uuid=a26761b8-ff79-4023-8cff-f3753e24ab92"]},{"id":"ITEM-2","itemData":{"DOI":"10.1038/nri2649","ISSN":"14741733","abstract":"New research published in Cancer Cell suggests that tumour -associated neutrophils can have antitumorigenic ('N1') or protumorigenic ('N2') functions, a plasticity that has been well described for M1 and M2 macrophage subsets. It is suggested that the presence of ... \\n","author":[{"dropping-particle":"","family":"Bird","given":"Lucy","non-dropping-particle":"","parse-names":false,"suffix":""}],"container-title":"Nature Reviews Immunology","id":"ITEM-2","issue":"10","issued":{"date-parts":[["2009"]]},"page":"672","publisher":"Nature Publishing Group","title":"Tumour immunology: Neutrophil plasticity","type":"article-journal","volume":"9"},"uris":["http://www.mendeley.com/documents/?uuid=9e293cdc-ad94-4c91-94b9-ed69be7cff53"]}],"mendeley":{"formattedCitation":"&lt;sup&gt;[57,58]&lt;/sup&gt;","plainTextFormattedCitation":"[57,58]","previouslyFormattedCitation":"&lt;sup&gt;[57,58]&lt;/sup&gt;"},"properties":{"noteIndex":0},"schema":"https://github.com/citation-style-language/schema/raw/master/csl-citation.json"}</w:instrText>
      </w:r>
      <w:r w:rsidR="003E199B" w:rsidRPr="00F06EA4">
        <w:rPr>
          <w:rFonts w:eastAsia="Book Antiqua" w:cs="Book Antiqua"/>
          <w:lang w:val="en-US"/>
        </w:rPr>
        <w:fldChar w:fldCharType="separate"/>
      </w:r>
      <w:r w:rsidR="00F45F97" w:rsidRPr="00F06EA4">
        <w:rPr>
          <w:rFonts w:eastAsia="Book Antiqua" w:cs="Book Antiqua"/>
          <w:noProof/>
          <w:vertAlign w:val="superscript"/>
          <w:lang w:val="en-US"/>
        </w:rPr>
        <w:t>[57,58]</w:t>
      </w:r>
      <w:r w:rsidR="003E199B" w:rsidRPr="00F06EA4">
        <w:rPr>
          <w:rFonts w:eastAsia="Book Antiqua" w:cs="Book Antiqua"/>
          <w:lang w:val="en-US"/>
        </w:rPr>
        <w:fldChar w:fldCharType="end"/>
      </w:r>
      <w:r w:rsidR="003E199B" w:rsidRPr="00F06EA4">
        <w:rPr>
          <w:rFonts w:eastAsia="Book Antiqua" w:cs="Book Antiqua"/>
          <w:lang w:val="en-US"/>
        </w:rPr>
        <w:t>, B cells</w:t>
      </w:r>
      <w:r w:rsidR="003E199B"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{"citationItems":[{"id":"ITEM-1","itemData":{"DOI":"10.1016/j.coi.2008.03.003","ISSN":"0952-7915","PMID":"18417336","abstract":"The successful use of B cell depletion therapy for the treatment of autoimmune disease has led to a resurgent appreciation of B cells as powerful regulators of immunity. However, to the surprise of many, B cells appear to regulate autoimmune conditions independently of their ability to produce autoantibodies. Indeed, disturbances in the ability of B cell subsets to present antigen, produce cytokines, and regulate the activities of T cells is emerging as a key feature in many inflammatory diseases. Here we review the recent literature describing cytokine-producing regulatory and effector B cell subsets in health and disease and discuss how future B cell-directed therapies might target the pathologic cytokine-producing effector B cell subsets without impacting the protective regulatory subsets.","author":[{"dropping-particle":"","family":"Lund","given":"Frances E.","non-dropping-particle":"","parse-names":false,"suffix":""}],"container-title":"Current opinion in immunology","id":"ITEM-1","issue":"3","issued":{"date-parts":[["2008","6"]]},"page":"332-8","title":"Cytokine-producing B lymphocytes-key regulators of immunity.","type":"article-journal","volume":"20"},"uris":["http://www.mendeley.com/documents/?uuid=062a90f2-73cd-4ce6-b4b3-2828229be167"]}],"mendeley":{"formattedCitation":"&lt;sup&gt;[56]&lt;/sup&gt;","plainTextFormattedCitation":"[56]","previouslyFormattedCitation":"&lt;sup&gt;[56]&lt;/sup&gt;"},"properties":{"noteIndex":0},"schema":"https://github.com/citation-style-language/schema/raw/master/csl-citation.json"}</w:instrText>
      </w:r>
      <w:r w:rsidR="003E199B" w:rsidRPr="00F06EA4">
        <w:rPr>
          <w:rFonts w:eastAsia="Book Antiqua" w:cs="Book Antiqua"/>
          <w:lang w:val="en-US"/>
        </w:rPr>
        <w:fldChar w:fldCharType="separate"/>
      </w:r>
      <w:r w:rsidR="00F45F97" w:rsidRPr="00F06EA4">
        <w:rPr>
          <w:rFonts w:eastAsia="Book Antiqua" w:cs="Book Antiqua"/>
          <w:noProof/>
          <w:vertAlign w:val="superscript"/>
          <w:lang w:val="en-US"/>
        </w:rPr>
        <w:t>[56]</w:t>
      </w:r>
      <w:r w:rsidR="003E199B" w:rsidRPr="00F06EA4">
        <w:rPr>
          <w:rFonts w:eastAsia="Book Antiqua" w:cs="Book Antiqua"/>
          <w:lang w:val="en-US"/>
        </w:rPr>
        <w:fldChar w:fldCharType="end"/>
      </w:r>
      <w:r w:rsidR="003E199B" w:rsidRPr="00F06EA4">
        <w:rPr>
          <w:rFonts w:eastAsia="Book Antiqua" w:cs="Book Antiqua"/>
          <w:lang w:val="en-US"/>
        </w:rPr>
        <w:t>, and plasma cells</w:t>
      </w:r>
      <w:r w:rsidR="003E199B" w:rsidRPr="00F06EA4">
        <w:rPr>
          <w:rFonts w:eastAsia="Book Antiqua" w:cs="Book Antiqua"/>
          <w:lang w:val="en-US"/>
        </w:rPr>
        <w:fldChar w:fldCharType="begin" w:fldLock="1"/>
      </w:r>
      <w:r w:rsidR="00F45F97" w:rsidRPr="00F06EA4">
        <w:rPr>
          <w:rFonts w:eastAsia="Book Antiqua" w:cs="Book Antiqua"/>
          <w:lang w:val="en-US"/>
        </w:rPr>
        <w:instrText>ADDIN CSL_CITATION {"citationItems":[{"id":"ITEM-1","itemData":{"DOI":"10.1016/j.coi.2014.02.009","ISBN":"1879-0372 (Electronic)\\r0952-7915 (Linking)","ISSN":"1879-0372","PMID":"24637161","abstract":"B lymphocytes have a unique role as antibody-producing cells. Antibodies are key mediators of humoral immunity against infections, and are thought to account for the protection afforded by successful vaccines. B cells can also secrete cytokines and subsequently regulate immune responses mediated by T and innate cells. Remarkably, recent studies identified plasma blasts/plasma cells as the main types of activated B cells producing the cytokines interleukin (IL)-10, IL-35, tumor necrosis factor (TNF)-α, IL-17, and GM-CSF in various contexts in mice. Here, we discuss these observations, which suggest the existence of various subsets of plasma blast/plasma cells distinguishable through their cytokine expression pattern.","author":[{"dropping-particle":"","family":"Dang","given":"Van Duc","non-dropping-particle":"","parse-names":false,"suffix":""},{"dropping-particle":"","family":"Hilgenberg","given":"Ellen","non-dropping-particle":"","parse-names":false,"suffix":""},{"dropping-particle":"","family":"Ries","given":"Stefanie","non-dropping-particle":"","parse-names":false,"suffix":""},{"dropping-particle":"","family":"Shen","given":"Ping","non-dropping-particle":"","parse-names":false,"suffix":""},{"dropping-particle":"","family":"Fillatreau","given":"Simon","non-dropping-particle":"","parse-names":false,"suffix":""}],"container-title":"Current opinion in immunology","id":"ITEM-1","issue":"1","issued":{"date-parts":[["2014","6"]]},"page":"77-83","title":"From the regulatory functions of B cells to the identification of cytokine-producing plasma cell subsets.","type":"article-journal","volume":"28"},"uris":["http://www.mendeley.com/documents/?uuid=1589e850-32d8-48e7-a770-3f5e51151aa9"]}],"mendeley":{"formattedCitation":"&lt;sup&gt;[156]&lt;/sup&gt;","plainTextFormattedCitation":"[156]","previouslyFormattedCitation":"&lt;sup&gt;[156]&lt;/sup&gt;"},"properties":{"noteIndex":0},"schema":"https://github.com/citation-style-language/schema/raw/master/csl-citation.json"}</w:instrText>
      </w:r>
      <w:r w:rsidR="003E199B" w:rsidRPr="00F06EA4">
        <w:rPr>
          <w:rFonts w:eastAsia="Book Antiqua" w:cs="Book Antiqua"/>
          <w:lang w:val="en-US"/>
        </w:rPr>
        <w:fldChar w:fldCharType="separate"/>
      </w:r>
      <w:r w:rsidR="00F45F97" w:rsidRPr="00F06EA4">
        <w:rPr>
          <w:rFonts w:eastAsia="Book Antiqua" w:cs="Book Antiqua"/>
          <w:noProof/>
          <w:vertAlign w:val="superscript"/>
          <w:lang w:val="en-US"/>
        </w:rPr>
        <w:t>[156]</w:t>
      </w:r>
      <w:r w:rsidR="003E199B" w:rsidRPr="00F06EA4">
        <w:rPr>
          <w:rFonts w:eastAsia="Book Antiqua" w:cs="Book Antiqua"/>
          <w:lang w:val="en-US"/>
        </w:rPr>
        <w:fldChar w:fldCharType="end"/>
      </w:r>
      <w:r w:rsidR="003E199B" w:rsidRPr="00F06EA4">
        <w:rPr>
          <w:rFonts w:eastAsia="Book Antiqua" w:cs="Book Antiqua"/>
          <w:lang w:val="en-US"/>
        </w:rPr>
        <w:t>.</w:t>
      </w:r>
      <w:r w:rsidR="008F6B03" w:rsidRPr="00F06EA4">
        <w:rPr>
          <w:rFonts w:eastAsia="Book Antiqua" w:cs="Book Antiqua"/>
          <w:lang w:val="en-US"/>
        </w:rPr>
        <w:t xml:space="preserve"> </w:t>
      </w:r>
      <w:r w:rsidR="009B21BF" w:rsidRPr="00F06EA4">
        <w:rPr>
          <w:rFonts w:eastAsia="Calibri"/>
          <w:lang w:val="en-US"/>
        </w:rPr>
        <w:t>CCL: C-C motif chemokine ligand</w:t>
      </w:r>
      <w:r w:rsidR="00562708">
        <w:rPr>
          <w:rFonts w:eastAsia="Calibri"/>
          <w:lang w:val="en-US"/>
        </w:rPr>
        <w:t>;</w:t>
      </w:r>
      <w:r w:rsidR="009B21BF" w:rsidRPr="00F06EA4">
        <w:rPr>
          <w:rFonts w:eastAsia="Calibri"/>
          <w:lang w:val="en-US"/>
        </w:rPr>
        <w:t xml:space="preserve"> </w:t>
      </w:r>
      <w:r w:rsidR="00F956C9" w:rsidRPr="00F06EA4">
        <w:rPr>
          <w:rFonts w:eastAsia="Calibri"/>
          <w:lang w:val="en-US"/>
        </w:rPr>
        <w:t>CD</w:t>
      </w:r>
      <w:r w:rsidR="00F23F5D" w:rsidRPr="00F06EA4">
        <w:rPr>
          <w:rFonts w:eastAsia="Calibri"/>
          <w:lang w:val="en-US"/>
        </w:rPr>
        <w:t>80: CD80 molecule</w:t>
      </w:r>
      <w:r w:rsidR="00562708">
        <w:rPr>
          <w:rFonts w:eastAsia="Calibri"/>
          <w:lang w:val="en-US"/>
        </w:rPr>
        <w:t>;</w:t>
      </w:r>
      <w:r w:rsidR="00F23F5D" w:rsidRPr="00F06EA4">
        <w:rPr>
          <w:rFonts w:eastAsia="Calibri"/>
          <w:lang w:val="en-US"/>
        </w:rPr>
        <w:t xml:space="preserve"> CD86: CD86 molecule</w:t>
      </w:r>
      <w:r w:rsidR="00562708">
        <w:rPr>
          <w:rFonts w:eastAsia="Calibri"/>
          <w:lang w:val="en-US"/>
        </w:rPr>
        <w:t>;</w:t>
      </w:r>
      <w:r w:rsidR="00F23F5D" w:rsidRPr="00F06EA4">
        <w:rPr>
          <w:rFonts w:eastAsia="Calibri"/>
          <w:lang w:val="en-US"/>
        </w:rPr>
        <w:t xml:space="preserve"> </w:t>
      </w:r>
      <w:r w:rsidR="009B21BF" w:rsidRPr="00F06EA4">
        <w:rPr>
          <w:rFonts w:eastAsia="Calibri"/>
          <w:lang w:val="en-US"/>
        </w:rPr>
        <w:t>CXCL: C-X-C motif chemokine ligand</w:t>
      </w:r>
      <w:r w:rsidR="00562708">
        <w:rPr>
          <w:rFonts w:eastAsia="Calibri"/>
          <w:lang w:val="en-US"/>
        </w:rPr>
        <w:t>;</w:t>
      </w:r>
      <w:r w:rsidR="009B21BF" w:rsidRPr="00F06EA4">
        <w:rPr>
          <w:rFonts w:eastAsia="Calibri"/>
          <w:lang w:val="en-US"/>
        </w:rPr>
        <w:t xml:space="preserve"> </w:t>
      </w:r>
      <w:r w:rsidR="00C63DD7" w:rsidRPr="00F06EA4">
        <w:rPr>
          <w:rFonts w:eastAsia="Calibri"/>
          <w:lang w:val="en-US"/>
        </w:rPr>
        <w:t>GATA3: GATA binding protein 3</w:t>
      </w:r>
      <w:r w:rsidR="00562708">
        <w:rPr>
          <w:rFonts w:eastAsia="Calibri"/>
          <w:lang w:val="en-US"/>
        </w:rPr>
        <w:t>;</w:t>
      </w:r>
      <w:r w:rsidR="00C63DD7" w:rsidRPr="00F06EA4">
        <w:rPr>
          <w:rFonts w:eastAsia="Calibri"/>
          <w:lang w:val="en-US"/>
        </w:rPr>
        <w:t xml:space="preserve"> </w:t>
      </w:r>
      <w:r w:rsidR="009B21BF" w:rsidRPr="00F06EA4">
        <w:rPr>
          <w:rFonts w:eastAsia="Calibri"/>
          <w:lang w:val="en-US"/>
        </w:rPr>
        <w:t xml:space="preserve">IL: </w:t>
      </w:r>
      <w:r w:rsidR="00562708" w:rsidRPr="00F06EA4">
        <w:rPr>
          <w:rFonts w:eastAsia="Calibri"/>
          <w:lang w:val="en-US"/>
        </w:rPr>
        <w:t>Interleukin</w:t>
      </w:r>
      <w:r w:rsidR="00562708">
        <w:rPr>
          <w:rFonts w:eastAsia="Calibri"/>
          <w:lang w:val="en-US"/>
        </w:rPr>
        <w:t>;</w:t>
      </w:r>
      <w:r w:rsidR="009B21BF" w:rsidRPr="00F06EA4">
        <w:rPr>
          <w:rFonts w:eastAsia="Calibri"/>
          <w:lang w:val="en-US"/>
        </w:rPr>
        <w:t xml:space="preserve"> </w:t>
      </w:r>
      <w:r w:rsidR="00C63DD7" w:rsidRPr="00F06EA4">
        <w:rPr>
          <w:rFonts w:eastAsia="Calibri"/>
          <w:lang w:val="en-US"/>
        </w:rPr>
        <w:t xml:space="preserve">IRF: </w:t>
      </w:r>
      <w:r w:rsidR="00562708" w:rsidRPr="00F06EA4">
        <w:rPr>
          <w:rFonts w:eastAsia="Calibri"/>
          <w:lang w:val="en-US"/>
        </w:rPr>
        <w:t xml:space="preserve">Interferon </w:t>
      </w:r>
      <w:r w:rsidR="00C63DD7" w:rsidRPr="00F06EA4">
        <w:rPr>
          <w:rFonts w:eastAsia="Calibri"/>
          <w:lang w:val="en-US"/>
        </w:rPr>
        <w:t>regulatory factor</w:t>
      </w:r>
      <w:r w:rsidR="00562708">
        <w:rPr>
          <w:rFonts w:eastAsia="Calibri"/>
          <w:lang w:val="en-US"/>
        </w:rPr>
        <w:t>;</w:t>
      </w:r>
      <w:r w:rsidR="00F23F5D" w:rsidRPr="00F06EA4">
        <w:rPr>
          <w:rFonts w:eastAsia="Calibri"/>
          <w:lang w:val="en-US"/>
        </w:rPr>
        <w:t xml:space="preserve"> </w:t>
      </w:r>
      <w:r w:rsidR="00E46B9E" w:rsidRPr="00F06EA4">
        <w:rPr>
          <w:rFonts w:eastAsia="Calibri"/>
          <w:lang w:val="en-US"/>
        </w:rPr>
        <w:t xml:space="preserve">MHC II: </w:t>
      </w:r>
      <w:r w:rsidR="00562708" w:rsidRPr="00F06EA4">
        <w:rPr>
          <w:color w:val="000000"/>
        </w:rPr>
        <w:t xml:space="preserve">Major </w:t>
      </w:r>
      <w:r w:rsidR="00E46B9E" w:rsidRPr="00F06EA4">
        <w:rPr>
          <w:color w:val="000000"/>
        </w:rPr>
        <w:t>histocompatibility complex, type II</w:t>
      </w:r>
      <w:r w:rsidR="00562708">
        <w:rPr>
          <w:color w:val="000000"/>
        </w:rPr>
        <w:t>;</w:t>
      </w:r>
      <w:r w:rsidR="00F23F5D" w:rsidRPr="00F06EA4">
        <w:rPr>
          <w:rFonts w:eastAsia="Calibri"/>
          <w:lang w:val="en-US"/>
        </w:rPr>
        <w:t xml:space="preserve"> </w:t>
      </w:r>
      <w:r w:rsidR="00C63DD7" w:rsidRPr="00F06EA4">
        <w:rPr>
          <w:rFonts w:eastAsia="Calibri"/>
          <w:lang w:val="en-US"/>
        </w:rPr>
        <w:t xml:space="preserve"> </w:t>
      </w:r>
      <w:r w:rsidR="00013212" w:rsidRPr="00F06EA4">
        <w:rPr>
          <w:rFonts w:eastAsia="Calibri"/>
          <w:lang w:val="en-US"/>
        </w:rPr>
        <w:t xml:space="preserve">MMP1: </w:t>
      </w:r>
      <w:r w:rsidR="00562708" w:rsidRPr="00F06EA4">
        <w:rPr>
          <w:rFonts w:eastAsia="Calibri"/>
          <w:lang w:val="en-US"/>
        </w:rPr>
        <w:t xml:space="preserve">Matrix </w:t>
      </w:r>
      <w:r w:rsidR="00013212" w:rsidRPr="00F06EA4">
        <w:rPr>
          <w:rFonts w:eastAsia="Calibri"/>
          <w:lang w:val="en-US"/>
        </w:rPr>
        <w:t>metallopeptidase 1</w:t>
      </w:r>
      <w:r w:rsidR="00562708">
        <w:rPr>
          <w:rFonts w:eastAsia="Calibri"/>
          <w:lang w:val="en-US"/>
        </w:rPr>
        <w:t>;</w:t>
      </w:r>
      <w:r w:rsidR="00013212" w:rsidRPr="00F06EA4">
        <w:rPr>
          <w:rFonts w:eastAsia="Calibri"/>
          <w:lang w:val="en-US"/>
        </w:rPr>
        <w:t xml:space="preserve"> </w:t>
      </w:r>
      <w:r w:rsidR="00F956C9" w:rsidRPr="00F06EA4">
        <w:rPr>
          <w:rFonts w:eastAsia="Calibri"/>
          <w:lang w:val="en-US"/>
        </w:rPr>
        <w:t xml:space="preserve">MRC1; </w:t>
      </w:r>
      <w:r w:rsidR="00562708" w:rsidRPr="00F06EA4">
        <w:rPr>
          <w:rFonts w:eastAsia="Calibri"/>
          <w:lang w:val="en-US"/>
        </w:rPr>
        <w:t xml:space="preserve">Mannose </w:t>
      </w:r>
      <w:r w:rsidR="00F956C9" w:rsidRPr="00F06EA4">
        <w:rPr>
          <w:rFonts w:eastAsia="Calibri"/>
          <w:lang w:val="en-US"/>
        </w:rPr>
        <w:t>receptor C-type 1</w:t>
      </w:r>
      <w:r w:rsidR="00562708">
        <w:rPr>
          <w:rFonts w:eastAsia="Calibri"/>
          <w:lang w:val="en-US"/>
        </w:rPr>
        <w:t>;</w:t>
      </w:r>
      <w:r w:rsidR="00F956C9" w:rsidRPr="00F06EA4">
        <w:rPr>
          <w:rFonts w:eastAsia="Calibri"/>
          <w:lang w:val="en-US"/>
        </w:rPr>
        <w:t xml:space="preserve"> </w:t>
      </w:r>
      <w:r w:rsidR="00C63DD7" w:rsidRPr="00F06EA4">
        <w:rPr>
          <w:rFonts w:eastAsia="Calibri"/>
          <w:lang w:val="en-US"/>
        </w:rPr>
        <w:t xml:space="preserve">pSTAT1: </w:t>
      </w:r>
      <w:r w:rsidR="00562708" w:rsidRPr="00F06EA4">
        <w:rPr>
          <w:rFonts w:eastAsia="Calibri"/>
          <w:lang w:val="en-US"/>
        </w:rPr>
        <w:t xml:space="preserve">Phosphorylated </w:t>
      </w:r>
      <w:r w:rsidR="00C63DD7" w:rsidRPr="00F06EA4">
        <w:rPr>
          <w:rFonts w:eastAsia="Calibri"/>
          <w:lang w:val="en-US"/>
        </w:rPr>
        <w:t xml:space="preserve">signal transducer and activator of </w:t>
      </w:r>
      <w:r w:rsidR="00C63DD7" w:rsidRPr="00F06EA4">
        <w:rPr>
          <w:rFonts w:eastAsia="Calibri"/>
          <w:lang w:val="en-US"/>
        </w:rPr>
        <w:lastRenderedPageBreak/>
        <w:t>transcription 1</w:t>
      </w:r>
      <w:r w:rsidR="00562708">
        <w:rPr>
          <w:rFonts w:eastAsia="Calibri"/>
          <w:lang w:val="en-US"/>
        </w:rPr>
        <w:t>;</w:t>
      </w:r>
      <w:r w:rsidR="00C63DD7" w:rsidRPr="00F06EA4">
        <w:rPr>
          <w:rFonts w:eastAsia="Calibri"/>
          <w:lang w:val="en-US"/>
        </w:rPr>
        <w:t xml:space="preserve"> </w:t>
      </w:r>
      <w:r w:rsidR="00F956C9" w:rsidRPr="00F06EA4">
        <w:rPr>
          <w:rFonts w:eastAsia="Calibri"/>
          <w:lang w:val="en-US"/>
        </w:rPr>
        <w:t xml:space="preserve">STAB1: </w:t>
      </w:r>
      <w:r w:rsidR="00562708" w:rsidRPr="00F06EA4">
        <w:rPr>
          <w:rFonts w:eastAsia="Calibri"/>
          <w:lang w:val="en-US"/>
        </w:rPr>
        <w:t xml:space="preserve">Stabilin </w:t>
      </w:r>
      <w:r w:rsidR="00F956C9" w:rsidRPr="00F06EA4">
        <w:rPr>
          <w:rFonts w:eastAsia="Calibri"/>
          <w:lang w:val="en-US"/>
        </w:rPr>
        <w:t>1</w:t>
      </w:r>
      <w:r w:rsidR="00562708">
        <w:rPr>
          <w:rFonts w:eastAsia="Calibri"/>
          <w:lang w:val="en-US"/>
        </w:rPr>
        <w:t>;</w:t>
      </w:r>
      <w:r w:rsidR="00F956C9" w:rsidRPr="00F06EA4">
        <w:rPr>
          <w:rFonts w:eastAsia="Calibri"/>
          <w:lang w:val="en-US"/>
        </w:rPr>
        <w:t xml:space="preserve"> </w:t>
      </w:r>
      <w:r w:rsidR="009B21BF" w:rsidRPr="00F06EA4">
        <w:rPr>
          <w:rFonts w:eastAsia="Calibri"/>
          <w:lang w:val="en-US"/>
        </w:rPr>
        <w:t xml:space="preserve">TGFB1: </w:t>
      </w:r>
      <w:r w:rsidR="00562708" w:rsidRPr="00F06EA4">
        <w:rPr>
          <w:rFonts w:eastAsia="Calibri"/>
          <w:lang w:val="en-US"/>
        </w:rPr>
        <w:t xml:space="preserve">Transforming </w:t>
      </w:r>
      <w:r w:rsidR="009B21BF" w:rsidRPr="00F06EA4">
        <w:rPr>
          <w:rFonts w:eastAsia="Calibri"/>
          <w:lang w:val="en-US"/>
        </w:rPr>
        <w:t>growth factor beta 1</w:t>
      </w:r>
      <w:r w:rsidR="00562708">
        <w:rPr>
          <w:rFonts w:eastAsia="Calibri"/>
          <w:lang w:val="en-US"/>
        </w:rPr>
        <w:t>;</w:t>
      </w:r>
      <w:r w:rsidR="009B21BF" w:rsidRPr="00F06EA4">
        <w:rPr>
          <w:rFonts w:eastAsia="Calibri"/>
          <w:lang w:val="en-US"/>
        </w:rPr>
        <w:t xml:space="preserve"> TNF: </w:t>
      </w:r>
      <w:r w:rsidR="00562708" w:rsidRPr="00F06EA4">
        <w:rPr>
          <w:rFonts w:eastAsia="Calibri"/>
          <w:lang w:val="en-US"/>
        </w:rPr>
        <w:t xml:space="preserve">Tumor </w:t>
      </w:r>
      <w:r w:rsidR="009B21BF" w:rsidRPr="00F06EA4">
        <w:rPr>
          <w:rFonts w:eastAsia="Calibri"/>
          <w:lang w:val="en-US"/>
        </w:rPr>
        <w:t>necrosis factor</w:t>
      </w:r>
      <w:r w:rsidR="00562708">
        <w:rPr>
          <w:rFonts w:eastAsia="Calibri"/>
          <w:lang w:val="en-US"/>
        </w:rPr>
        <w:t>;</w:t>
      </w:r>
      <w:r w:rsidR="009B21BF" w:rsidRPr="00F06EA4">
        <w:rPr>
          <w:rFonts w:eastAsia="Calibri"/>
          <w:lang w:val="en-US"/>
        </w:rPr>
        <w:t xml:space="preserve"> VEGFA</w:t>
      </w:r>
      <w:r w:rsidR="00562708">
        <w:rPr>
          <w:rFonts w:eastAsia="Calibri"/>
          <w:lang w:val="en-US"/>
        </w:rPr>
        <w:t>:</w:t>
      </w:r>
      <w:r w:rsidR="009B21BF" w:rsidRPr="00F06EA4">
        <w:rPr>
          <w:rFonts w:eastAsia="Calibri"/>
          <w:lang w:val="en-US"/>
        </w:rPr>
        <w:t xml:space="preserve"> </w:t>
      </w:r>
      <w:r w:rsidR="00562708" w:rsidRPr="00F06EA4">
        <w:rPr>
          <w:rFonts w:eastAsia="Calibri"/>
          <w:lang w:val="en-US"/>
        </w:rPr>
        <w:t xml:space="preserve">Vascular </w:t>
      </w:r>
      <w:r w:rsidR="009B21BF" w:rsidRPr="00F06EA4">
        <w:rPr>
          <w:rFonts w:eastAsia="Calibri"/>
          <w:lang w:val="en-US"/>
        </w:rPr>
        <w:t>endothelial growth factor A</w:t>
      </w:r>
      <w:r w:rsidR="00562708">
        <w:rPr>
          <w:rFonts w:eastAsia="Calibri"/>
          <w:lang w:val="en-US"/>
        </w:rPr>
        <w:t>.</w:t>
      </w:r>
    </w:p>
    <w:p w14:paraId="7CCB9AAF" w14:textId="0B8D1082" w:rsidR="003E199B" w:rsidRDefault="003E199B" w:rsidP="00F67ED8">
      <w:pPr>
        <w:spacing w:after="0"/>
      </w:pPr>
    </w:p>
    <w:p w14:paraId="3DBEF676" w14:textId="726B7844" w:rsidR="00562708" w:rsidRPr="00F06EA4" w:rsidRDefault="00562708" w:rsidP="00F67ED8">
      <w:pPr>
        <w:spacing w:after="0"/>
      </w:pPr>
      <w:r>
        <w:rPr>
          <w:noProof/>
          <w:lang w:val="en-US" w:eastAsia="zh-CN"/>
        </w:rPr>
        <w:drawing>
          <wp:inline distT="0" distB="0" distL="0" distR="0" wp14:anchorId="1FF1CE74" wp14:editId="5A99F53D">
            <wp:extent cx="6120130" cy="60902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6090285"/>
                    </a:xfrm>
                    <a:prstGeom prst="rect">
                      <a:avLst/>
                    </a:prstGeom>
                  </pic:spPr>
                </pic:pic>
              </a:graphicData>
            </a:graphic>
          </wp:inline>
        </w:drawing>
      </w:r>
    </w:p>
    <w:p w14:paraId="79E44D2E" w14:textId="58C80041" w:rsidR="00F32695" w:rsidRPr="00F06EA4" w:rsidRDefault="004675EC" w:rsidP="00F67ED8">
      <w:pPr>
        <w:spacing w:after="0"/>
        <w:rPr>
          <w:rFonts w:eastAsia="Calibri"/>
          <w:lang w:val="en-US"/>
        </w:rPr>
      </w:pPr>
      <w:r w:rsidRPr="00F06EA4">
        <w:rPr>
          <w:rFonts w:eastAsia="Calibri"/>
          <w:b/>
          <w:lang w:val="en-US"/>
        </w:rPr>
        <w:t>Figure</w:t>
      </w:r>
      <w:r w:rsidR="003E199B" w:rsidRPr="00F06EA4">
        <w:rPr>
          <w:rFonts w:eastAsia="Calibri"/>
          <w:b/>
          <w:lang w:val="en-US"/>
        </w:rPr>
        <w:t xml:space="preserve"> 2</w:t>
      </w:r>
      <w:r w:rsidR="003E199B" w:rsidRPr="00F06EA4">
        <w:rPr>
          <w:rFonts w:eastAsia="Calibri"/>
          <w:b/>
          <w:bCs/>
          <w:lang w:val="en-US"/>
        </w:rPr>
        <w:t xml:space="preserve"> Overview of the effects of systemic inflammation in colorectal cancer.</w:t>
      </w:r>
      <w:r w:rsidR="003E199B" w:rsidRPr="00F06EA4">
        <w:rPr>
          <w:rFonts w:eastAsia="Calibri"/>
          <w:lang w:val="en-US"/>
        </w:rPr>
        <w:t xml:space="preserve"> The illustration portrays some of the molecules and phenomena considered important in the pathogenesis of colorectal cancer associated systemic inflammation. Some markers showing increased circulating concentrations in colorectal cancer patients are listed in the center.</w:t>
      </w:r>
      <w:r w:rsidR="006C2AB5" w:rsidRPr="00F06EA4">
        <w:rPr>
          <w:rFonts w:eastAsia="Calibri"/>
          <w:lang w:val="en-US"/>
        </w:rPr>
        <w:t xml:space="preserve"> </w:t>
      </w:r>
      <w:r w:rsidR="00AC3D75" w:rsidRPr="00F06EA4">
        <w:rPr>
          <w:rFonts w:eastAsia="Calibri"/>
          <w:lang w:val="en-US"/>
        </w:rPr>
        <w:t xml:space="preserve">ALB: </w:t>
      </w:r>
      <w:r w:rsidR="00562708" w:rsidRPr="00F06EA4">
        <w:rPr>
          <w:rFonts w:eastAsia="Calibri"/>
          <w:lang w:val="en-US"/>
        </w:rPr>
        <w:t>Albumin</w:t>
      </w:r>
      <w:r w:rsidR="00562708">
        <w:rPr>
          <w:rFonts w:eastAsia="Calibri"/>
          <w:lang w:val="en-US"/>
        </w:rPr>
        <w:t>;</w:t>
      </w:r>
      <w:r w:rsidR="006C2AB5" w:rsidRPr="00F06EA4">
        <w:rPr>
          <w:rFonts w:eastAsia="Calibri"/>
          <w:lang w:val="en-US"/>
        </w:rPr>
        <w:t xml:space="preserve"> CCL: C-C motif chemokine ligand</w:t>
      </w:r>
      <w:r w:rsidR="00562708">
        <w:rPr>
          <w:rFonts w:eastAsia="Calibri"/>
          <w:lang w:val="en-US"/>
        </w:rPr>
        <w:t>;</w:t>
      </w:r>
      <w:r w:rsidR="006C2AB5" w:rsidRPr="00F06EA4">
        <w:rPr>
          <w:rFonts w:eastAsia="Calibri"/>
          <w:lang w:val="en-US"/>
        </w:rPr>
        <w:t xml:space="preserve"> CXCL: C-X-C motif chemokine ligand</w:t>
      </w:r>
      <w:r w:rsidR="00562708">
        <w:rPr>
          <w:rFonts w:eastAsia="Calibri"/>
          <w:lang w:val="en-US"/>
        </w:rPr>
        <w:t>;</w:t>
      </w:r>
      <w:r w:rsidR="006C2AB5" w:rsidRPr="00F06EA4">
        <w:rPr>
          <w:rFonts w:eastAsia="Calibri"/>
          <w:lang w:val="en-US"/>
        </w:rPr>
        <w:t xml:space="preserve"> </w:t>
      </w:r>
      <w:r w:rsidR="005E231F" w:rsidRPr="00F06EA4">
        <w:rPr>
          <w:rFonts w:eastAsia="Calibri"/>
          <w:lang w:val="en-US"/>
        </w:rPr>
        <w:t>CRP: C-reactive protein</w:t>
      </w:r>
      <w:r w:rsidR="00562708">
        <w:rPr>
          <w:rFonts w:eastAsia="Calibri"/>
          <w:lang w:val="en-US"/>
        </w:rPr>
        <w:t>;</w:t>
      </w:r>
      <w:r w:rsidR="005E231F" w:rsidRPr="00F06EA4">
        <w:rPr>
          <w:rFonts w:eastAsia="Calibri"/>
          <w:lang w:val="en-US"/>
        </w:rPr>
        <w:t xml:space="preserve"> </w:t>
      </w:r>
      <w:r w:rsidR="00F32695" w:rsidRPr="00F06EA4">
        <w:rPr>
          <w:rFonts w:eastAsia="Calibri"/>
          <w:lang w:val="en-US"/>
        </w:rPr>
        <w:t xml:space="preserve">CSF: </w:t>
      </w:r>
      <w:r w:rsidR="00562708" w:rsidRPr="00F06EA4">
        <w:rPr>
          <w:rFonts w:eastAsia="Calibri"/>
          <w:lang w:val="en-US"/>
        </w:rPr>
        <w:t xml:space="preserve">Colony </w:t>
      </w:r>
      <w:r w:rsidR="00F32695" w:rsidRPr="00F06EA4">
        <w:rPr>
          <w:rFonts w:eastAsia="Calibri"/>
          <w:lang w:val="en-US"/>
        </w:rPr>
        <w:t>stimulating factor</w:t>
      </w:r>
      <w:r w:rsidR="00562708">
        <w:rPr>
          <w:rFonts w:eastAsia="Calibri"/>
          <w:lang w:val="en-US"/>
        </w:rPr>
        <w:t>;</w:t>
      </w:r>
      <w:r w:rsidR="00F32695" w:rsidRPr="00F06EA4">
        <w:rPr>
          <w:rFonts w:eastAsia="Calibri"/>
          <w:lang w:val="en-US"/>
        </w:rPr>
        <w:t xml:space="preserve"> </w:t>
      </w:r>
      <w:r w:rsidR="00061838" w:rsidRPr="00F06EA4">
        <w:rPr>
          <w:rFonts w:eastAsia="Calibri"/>
          <w:lang w:val="en-US"/>
        </w:rPr>
        <w:t xml:space="preserve">FGF2: </w:t>
      </w:r>
      <w:r w:rsidR="00562708" w:rsidRPr="00F06EA4">
        <w:rPr>
          <w:rFonts w:eastAsia="Calibri"/>
          <w:lang w:val="en-US"/>
        </w:rPr>
        <w:t xml:space="preserve">Fibroblast </w:t>
      </w:r>
      <w:r w:rsidR="00061838" w:rsidRPr="00F06EA4">
        <w:rPr>
          <w:rFonts w:eastAsia="Calibri"/>
          <w:lang w:val="en-US"/>
        </w:rPr>
        <w:t>growth factor 2</w:t>
      </w:r>
      <w:r w:rsidR="00562708">
        <w:rPr>
          <w:rFonts w:eastAsia="Calibri"/>
          <w:lang w:val="en-US"/>
        </w:rPr>
        <w:t>;</w:t>
      </w:r>
      <w:r w:rsidR="00061838" w:rsidRPr="00F06EA4">
        <w:rPr>
          <w:rFonts w:eastAsia="Calibri"/>
          <w:lang w:val="en-US"/>
        </w:rPr>
        <w:t xml:space="preserve"> </w:t>
      </w:r>
      <w:r w:rsidR="00061838" w:rsidRPr="00F06EA4">
        <w:rPr>
          <w:rFonts w:eastAsia="Calibri"/>
          <w:lang w:val="en-US"/>
        </w:rPr>
        <w:lastRenderedPageBreak/>
        <w:t xml:space="preserve">Gln: </w:t>
      </w:r>
      <w:r w:rsidR="00562708" w:rsidRPr="00F06EA4">
        <w:rPr>
          <w:rFonts w:eastAsia="Calibri"/>
          <w:lang w:val="en-US"/>
        </w:rPr>
        <w:t>Glutamine</w:t>
      </w:r>
      <w:r w:rsidR="00562708">
        <w:rPr>
          <w:rFonts w:eastAsia="Calibri"/>
          <w:lang w:val="en-US"/>
        </w:rPr>
        <w:t>;</w:t>
      </w:r>
      <w:r w:rsidR="00061838" w:rsidRPr="00F06EA4">
        <w:rPr>
          <w:rFonts w:eastAsia="Calibri"/>
          <w:lang w:val="en-US"/>
        </w:rPr>
        <w:t xml:space="preserve"> </w:t>
      </w:r>
      <w:r w:rsidR="00AC3D75" w:rsidRPr="00F06EA4">
        <w:rPr>
          <w:rFonts w:eastAsia="Calibri"/>
          <w:lang w:val="en-US"/>
        </w:rPr>
        <w:t xml:space="preserve">HP: </w:t>
      </w:r>
      <w:r w:rsidR="00562708" w:rsidRPr="00F06EA4">
        <w:rPr>
          <w:rFonts w:eastAsia="Calibri"/>
          <w:lang w:val="en-US"/>
        </w:rPr>
        <w:t>Haptoglobin</w:t>
      </w:r>
      <w:r w:rsidR="00562708">
        <w:rPr>
          <w:rFonts w:eastAsia="Calibri"/>
          <w:lang w:val="en-US"/>
        </w:rPr>
        <w:t>;</w:t>
      </w:r>
      <w:r w:rsidR="00AC3D75" w:rsidRPr="00F06EA4">
        <w:rPr>
          <w:rFonts w:eastAsia="Calibri"/>
          <w:lang w:val="en-US"/>
        </w:rPr>
        <w:t xml:space="preserve"> </w:t>
      </w:r>
      <w:r w:rsidR="006C2AB5" w:rsidRPr="00F06EA4">
        <w:rPr>
          <w:rFonts w:eastAsia="Calibri"/>
          <w:lang w:val="en-US"/>
        </w:rPr>
        <w:t xml:space="preserve">IL: </w:t>
      </w:r>
      <w:r w:rsidR="00562708" w:rsidRPr="00F06EA4">
        <w:rPr>
          <w:rFonts w:eastAsia="Calibri"/>
          <w:lang w:val="en-US"/>
        </w:rPr>
        <w:t>Interleukin</w:t>
      </w:r>
      <w:r w:rsidR="00562708">
        <w:rPr>
          <w:rFonts w:eastAsia="Calibri"/>
          <w:lang w:val="en-US"/>
        </w:rPr>
        <w:t>;</w:t>
      </w:r>
      <w:r w:rsidR="006C2AB5" w:rsidRPr="00F06EA4">
        <w:rPr>
          <w:rFonts w:eastAsia="Calibri"/>
          <w:lang w:val="en-US"/>
        </w:rPr>
        <w:t xml:space="preserve"> </w:t>
      </w:r>
      <w:r w:rsidR="00F32695" w:rsidRPr="00F06EA4">
        <w:rPr>
          <w:rFonts w:eastAsia="Calibri"/>
          <w:lang w:val="en-US"/>
        </w:rPr>
        <w:t xml:space="preserve">MMP: </w:t>
      </w:r>
      <w:r w:rsidR="00562708" w:rsidRPr="00F06EA4">
        <w:rPr>
          <w:rFonts w:eastAsia="Calibri"/>
          <w:lang w:val="en-US"/>
        </w:rPr>
        <w:t xml:space="preserve">Matrix </w:t>
      </w:r>
      <w:r w:rsidR="00F32695" w:rsidRPr="00F06EA4">
        <w:rPr>
          <w:rFonts w:eastAsia="Calibri"/>
          <w:lang w:val="en-US"/>
        </w:rPr>
        <w:t>metallopeptidase</w:t>
      </w:r>
      <w:r w:rsidR="00562708">
        <w:rPr>
          <w:rFonts w:eastAsia="Calibri"/>
          <w:lang w:val="en-US"/>
        </w:rPr>
        <w:t>;</w:t>
      </w:r>
      <w:r w:rsidR="00F32695" w:rsidRPr="00F06EA4">
        <w:rPr>
          <w:rFonts w:eastAsia="Calibri"/>
          <w:lang w:val="en-US"/>
        </w:rPr>
        <w:t xml:space="preserve"> OPN: </w:t>
      </w:r>
      <w:r w:rsidR="00562708" w:rsidRPr="00F06EA4">
        <w:rPr>
          <w:rFonts w:eastAsia="Calibri"/>
          <w:lang w:val="en-US"/>
        </w:rPr>
        <w:t>Osteopontin</w:t>
      </w:r>
      <w:r w:rsidR="00562708">
        <w:rPr>
          <w:rFonts w:eastAsia="Calibri"/>
          <w:lang w:val="en-US"/>
        </w:rPr>
        <w:t>;</w:t>
      </w:r>
      <w:r w:rsidR="00F32695" w:rsidRPr="00F06EA4">
        <w:rPr>
          <w:rFonts w:eastAsia="Calibri"/>
          <w:lang w:val="en-US"/>
        </w:rPr>
        <w:t xml:space="preserve"> PDGF: </w:t>
      </w:r>
      <w:r w:rsidR="00562708" w:rsidRPr="00F06EA4">
        <w:rPr>
          <w:rFonts w:eastAsia="Calibri"/>
          <w:lang w:val="en-US"/>
        </w:rPr>
        <w:t xml:space="preserve">Platelet </w:t>
      </w:r>
      <w:r w:rsidR="00F32695" w:rsidRPr="00F06EA4">
        <w:rPr>
          <w:rFonts w:eastAsia="Calibri"/>
          <w:lang w:val="en-US"/>
        </w:rPr>
        <w:t>derived growth factor</w:t>
      </w:r>
      <w:r w:rsidR="00562708">
        <w:rPr>
          <w:rFonts w:eastAsia="Calibri"/>
          <w:lang w:val="en-US"/>
        </w:rPr>
        <w:t>;</w:t>
      </w:r>
      <w:r w:rsidR="00F32695" w:rsidRPr="00F06EA4">
        <w:rPr>
          <w:rFonts w:eastAsia="Calibri"/>
          <w:lang w:val="en-US"/>
        </w:rPr>
        <w:t xml:space="preserve"> </w:t>
      </w:r>
      <w:r w:rsidR="00AC3D75" w:rsidRPr="00F06EA4">
        <w:rPr>
          <w:rFonts w:eastAsia="Calibri"/>
          <w:lang w:val="en-US"/>
        </w:rPr>
        <w:t>SAA</w:t>
      </w:r>
      <w:r w:rsidR="00512991" w:rsidRPr="00F06EA4">
        <w:rPr>
          <w:rFonts w:eastAsia="Calibri"/>
          <w:lang w:val="en-US"/>
        </w:rPr>
        <w:t>1</w:t>
      </w:r>
      <w:r w:rsidR="00AC3D75" w:rsidRPr="00F06EA4">
        <w:rPr>
          <w:rFonts w:eastAsia="Calibri"/>
          <w:lang w:val="en-US"/>
        </w:rPr>
        <w:t xml:space="preserve">: </w:t>
      </w:r>
      <w:r w:rsidR="00562708" w:rsidRPr="00F06EA4">
        <w:rPr>
          <w:rFonts w:eastAsia="Calibri"/>
          <w:lang w:val="en-US"/>
        </w:rPr>
        <w:t xml:space="preserve">Serum </w:t>
      </w:r>
      <w:r w:rsidR="00AC3D75" w:rsidRPr="00F06EA4">
        <w:rPr>
          <w:rFonts w:eastAsia="Calibri"/>
          <w:lang w:val="en-US"/>
        </w:rPr>
        <w:t>amyloid A1</w:t>
      </w:r>
      <w:r w:rsidR="00562708">
        <w:rPr>
          <w:rFonts w:eastAsia="Calibri"/>
          <w:lang w:val="en-US"/>
        </w:rPr>
        <w:t>;</w:t>
      </w:r>
      <w:r w:rsidR="00AC3D75" w:rsidRPr="00F06EA4">
        <w:rPr>
          <w:rFonts w:eastAsia="Calibri"/>
          <w:lang w:val="en-US"/>
        </w:rPr>
        <w:t xml:space="preserve"> </w:t>
      </w:r>
      <w:r w:rsidR="00AD764B" w:rsidRPr="00F06EA4">
        <w:rPr>
          <w:rFonts w:eastAsia="Calibri"/>
          <w:lang w:val="en-US"/>
        </w:rPr>
        <w:t xml:space="preserve">THPO: </w:t>
      </w:r>
      <w:r w:rsidR="00562708" w:rsidRPr="00F06EA4">
        <w:rPr>
          <w:rFonts w:eastAsia="Calibri"/>
          <w:lang w:val="en-US"/>
        </w:rPr>
        <w:t>Thrombopoietin</w:t>
      </w:r>
      <w:r w:rsidR="00562708">
        <w:rPr>
          <w:rFonts w:eastAsia="Calibri"/>
          <w:lang w:val="en-US"/>
        </w:rPr>
        <w:t>;</w:t>
      </w:r>
      <w:r w:rsidR="00AD764B" w:rsidRPr="00F06EA4">
        <w:rPr>
          <w:rFonts w:eastAsia="Calibri"/>
          <w:lang w:val="en-US"/>
        </w:rPr>
        <w:t xml:space="preserve"> </w:t>
      </w:r>
      <w:r w:rsidR="00061838" w:rsidRPr="00F06EA4">
        <w:rPr>
          <w:rFonts w:eastAsia="Calibri"/>
          <w:lang w:val="en-US"/>
        </w:rPr>
        <w:t>TIMP1: TIMP metallopeptidase inhibitor 1</w:t>
      </w:r>
      <w:r w:rsidR="00562708">
        <w:rPr>
          <w:rFonts w:eastAsia="Calibri"/>
          <w:lang w:val="en-US"/>
        </w:rPr>
        <w:t>;</w:t>
      </w:r>
      <w:r w:rsidR="00061838" w:rsidRPr="00F06EA4">
        <w:rPr>
          <w:rFonts w:eastAsia="Calibri"/>
          <w:lang w:val="en-US"/>
        </w:rPr>
        <w:t xml:space="preserve"> </w:t>
      </w:r>
      <w:r w:rsidR="00F32695" w:rsidRPr="00F06EA4">
        <w:rPr>
          <w:rFonts w:eastAsia="Calibri"/>
          <w:lang w:val="en-US"/>
        </w:rPr>
        <w:t>VEGFA</w:t>
      </w:r>
      <w:r w:rsidR="00562708">
        <w:rPr>
          <w:rFonts w:eastAsia="Calibri"/>
          <w:lang w:val="en-US"/>
        </w:rPr>
        <w:t>:</w:t>
      </w:r>
      <w:r w:rsidR="00F32695" w:rsidRPr="00F06EA4">
        <w:rPr>
          <w:rFonts w:eastAsia="Calibri"/>
          <w:lang w:val="en-US"/>
        </w:rPr>
        <w:t xml:space="preserve"> </w:t>
      </w:r>
      <w:r w:rsidR="00562708" w:rsidRPr="00F06EA4">
        <w:rPr>
          <w:rFonts w:eastAsia="Calibri"/>
          <w:lang w:val="en-US"/>
        </w:rPr>
        <w:t xml:space="preserve">Vascular </w:t>
      </w:r>
      <w:r w:rsidR="00F32695" w:rsidRPr="00F06EA4">
        <w:rPr>
          <w:rFonts w:eastAsia="Calibri"/>
          <w:lang w:val="en-US"/>
        </w:rPr>
        <w:t>endothelial growth factor A</w:t>
      </w:r>
      <w:r w:rsidR="00562708">
        <w:rPr>
          <w:rFonts w:eastAsia="Calibri"/>
          <w:lang w:val="en-US"/>
        </w:rPr>
        <w:t>;</w:t>
      </w:r>
      <w:r w:rsidR="00F32695" w:rsidRPr="00F06EA4">
        <w:rPr>
          <w:rFonts w:eastAsia="Calibri"/>
          <w:lang w:val="en-US"/>
        </w:rPr>
        <w:t xml:space="preserve"> VEGFC</w:t>
      </w:r>
      <w:r w:rsidR="00562708">
        <w:rPr>
          <w:rFonts w:eastAsia="Calibri"/>
          <w:lang w:val="en-US"/>
        </w:rPr>
        <w:t>:</w:t>
      </w:r>
      <w:r w:rsidR="00F32695" w:rsidRPr="00F06EA4">
        <w:rPr>
          <w:rFonts w:eastAsia="Calibri"/>
          <w:lang w:val="en-US"/>
        </w:rPr>
        <w:t xml:space="preserve"> </w:t>
      </w:r>
      <w:r w:rsidR="00562708" w:rsidRPr="00F06EA4">
        <w:rPr>
          <w:rFonts w:eastAsia="Calibri"/>
          <w:lang w:val="en-US"/>
        </w:rPr>
        <w:t xml:space="preserve">Vascular </w:t>
      </w:r>
      <w:r w:rsidR="00F32695" w:rsidRPr="00F06EA4">
        <w:rPr>
          <w:rFonts w:eastAsia="Calibri"/>
          <w:lang w:val="en-US"/>
        </w:rPr>
        <w:t>endothelial growth factor C</w:t>
      </w:r>
      <w:r w:rsidR="00562708">
        <w:rPr>
          <w:rFonts w:eastAsia="Calibri"/>
          <w:lang w:val="en-US"/>
        </w:rPr>
        <w:t>;</w:t>
      </w:r>
      <w:r w:rsidR="00F32695" w:rsidRPr="00F06EA4">
        <w:rPr>
          <w:rFonts w:eastAsia="Calibri"/>
          <w:lang w:val="en-US"/>
        </w:rPr>
        <w:t xml:space="preserve"> </w:t>
      </w:r>
      <w:r w:rsidR="00061838" w:rsidRPr="00F06EA4">
        <w:rPr>
          <w:rFonts w:eastAsia="Calibri"/>
          <w:lang w:val="en-US"/>
        </w:rPr>
        <w:t>vWF: von Willebrand factor</w:t>
      </w:r>
    </w:p>
    <w:p w14:paraId="666188FC" w14:textId="03F27BF9" w:rsidR="00D411BC" w:rsidRDefault="00D411BC">
      <w:pPr>
        <w:spacing w:after="160" w:line="259" w:lineRule="auto"/>
        <w:jc w:val="left"/>
        <w:rPr>
          <w:rFonts w:eastAsia="Calibri"/>
          <w:lang w:val="en-US"/>
        </w:rPr>
      </w:pPr>
      <w:r>
        <w:rPr>
          <w:rFonts w:eastAsia="Calibri"/>
          <w:lang w:val="en-US"/>
        </w:rPr>
        <w:br w:type="page"/>
      </w:r>
    </w:p>
    <w:p w14:paraId="2DE27B4C" w14:textId="2533E295" w:rsidR="00562708" w:rsidRPr="00F06EA4" w:rsidRDefault="00E51C4B" w:rsidP="00F67ED8">
      <w:pPr>
        <w:spacing w:after="0"/>
        <w:rPr>
          <w:rFonts w:eastAsia="Calibri"/>
          <w:lang w:val="en-US"/>
        </w:rPr>
      </w:pPr>
      <w:r>
        <w:rPr>
          <w:noProof/>
          <w:lang w:val="en-US" w:eastAsia="zh-CN"/>
        </w:rPr>
        <w:lastRenderedPageBreak/>
        <w:drawing>
          <wp:inline distT="0" distB="0" distL="0" distR="0" wp14:anchorId="528846D8" wp14:editId="433C4D26">
            <wp:extent cx="6120130" cy="28613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2861310"/>
                    </a:xfrm>
                    <a:prstGeom prst="rect">
                      <a:avLst/>
                    </a:prstGeom>
                  </pic:spPr>
                </pic:pic>
              </a:graphicData>
            </a:graphic>
          </wp:inline>
        </w:drawing>
      </w:r>
    </w:p>
    <w:p w14:paraId="7EC5BD69" w14:textId="6C803FE5" w:rsidR="002618DE" w:rsidRPr="00F06EA4" w:rsidRDefault="004675EC" w:rsidP="00F67ED8">
      <w:pPr>
        <w:spacing w:after="0"/>
        <w:rPr>
          <w:rFonts w:eastAsia="Calibri"/>
          <w:lang w:val="en-US"/>
        </w:rPr>
      </w:pPr>
      <w:r w:rsidRPr="00F06EA4">
        <w:rPr>
          <w:rFonts w:eastAsia="Times New Roman"/>
          <w:b/>
          <w:bCs/>
          <w:color w:val="000000"/>
          <w:lang w:val="en-US"/>
        </w:rPr>
        <w:t>Figure</w:t>
      </w:r>
      <w:r w:rsidR="003E199B" w:rsidRPr="00F06EA4">
        <w:rPr>
          <w:rFonts w:eastAsia="Times New Roman"/>
          <w:b/>
          <w:bCs/>
          <w:color w:val="000000"/>
          <w:lang w:val="en-US"/>
        </w:rPr>
        <w:t xml:space="preserve"> 3 Overview of the potential pathways involved in the suppression of anti-tumor immunity by myeloid derived suppressor cells.</w:t>
      </w:r>
      <w:r w:rsidR="00987174" w:rsidRPr="00F06EA4">
        <w:rPr>
          <w:rFonts w:eastAsia="Times New Roman"/>
          <w:b/>
          <w:bCs/>
          <w:color w:val="000000"/>
          <w:lang w:val="en-US"/>
        </w:rPr>
        <w:t xml:space="preserve"> </w:t>
      </w:r>
      <w:r w:rsidR="00987174" w:rsidRPr="00F06EA4">
        <w:rPr>
          <w:rFonts w:eastAsia="Calibri"/>
          <w:lang w:val="en-US"/>
        </w:rPr>
        <w:t xml:space="preserve">ARG1: </w:t>
      </w:r>
      <w:r w:rsidR="00E51C4B" w:rsidRPr="00F06EA4">
        <w:rPr>
          <w:rFonts w:eastAsia="Calibri"/>
          <w:lang w:val="en-US"/>
        </w:rPr>
        <w:t xml:space="preserve">Arginase </w:t>
      </w:r>
      <w:r w:rsidR="00987174" w:rsidRPr="00F06EA4">
        <w:rPr>
          <w:rFonts w:eastAsia="Calibri"/>
          <w:lang w:val="en-US"/>
        </w:rPr>
        <w:t>1</w:t>
      </w:r>
      <w:r w:rsidR="00E51C4B">
        <w:rPr>
          <w:rFonts w:eastAsia="Calibri"/>
          <w:lang w:val="en-US"/>
        </w:rPr>
        <w:t>;</w:t>
      </w:r>
      <w:r w:rsidR="00B742C7" w:rsidRPr="00F06EA4">
        <w:rPr>
          <w:rFonts w:eastAsia="Calibri"/>
          <w:lang w:val="en-US"/>
        </w:rPr>
        <w:t xml:space="preserve"> </w:t>
      </w:r>
      <w:r w:rsidR="00987174" w:rsidRPr="00F06EA4">
        <w:rPr>
          <w:rFonts w:eastAsia="Calibri"/>
          <w:lang w:val="en-US"/>
        </w:rPr>
        <w:t xml:space="preserve">IDO1: </w:t>
      </w:r>
      <w:r w:rsidR="00E51C4B" w:rsidRPr="00F06EA4">
        <w:rPr>
          <w:rFonts w:eastAsia="Calibri"/>
          <w:lang w:val="en-US"/>
        </w:rPr>
        <w:t xml:space="preserve">Indoleamine </w:t>
      </w:r>
      <w:r w:rsidR="00987174" w:rsidRPr="00F06EA4">
        <w:rPr>
          <w:rFonts w:eastAsia="Calibri"/>
          <w:lang w:val="en-US"/>
        </w:rPr>
        <w:t>2,3-dioxygenase 1</w:t>
      </w:r>
      <w:r w:rsidR="00E51C4B">
        <w:rPr>
          <w:rFonts w:eastAsia="Calibri"/>
          <w:lang w:val="en-US"/>
        </w:rPr>
        <w:t>;</w:t>
      </w:r>
      <w:r w:rsidR="00987174" w:rsidRPr="00F06EA4">
        <w:rPr>
          <w:rFonts w:eastAsia="Calibri"/>
          <w:lang w:val="en-US"/>
        </w:rPr>
        <w:t xml:space="preserve"> IL10: </w:t>
      </w:r>
      <w:r w:rsidR="00E51C4B" w:rsidRPr="00F06EA4">
        <w:rPr>
          <w:rFonts w:eastAsia="Calibri"/>
          <w:lang w:val="en-US"/>
        </w:rPr>
        <w:t xml:space="preserve">Interleukin </w:t>
      </w:r>
      <w:r w:rsidR="00987174" w:rsidRPr="00F06EA4">
        <w:rPr>
          <w:rFonts w:eastAsia="Calibri"/>
          <w:lang w:val="en-US"/>
        </w:rPr>
        <w:t>10</w:t>
      </w:r>
      <w:r w:rsidR="00E51C4B">
        <w:rPr>
          <w:rFonts w:eastAsia="Calibri"/>
          <w:lang w:val="en-US"/>
        </w:rPr>
        <w:t>;</w:t>
      </w:r>
      <w:r w:rsidR="00987174" w:rsidRPr="00F06EA4">
        <w:rPr>
          <w:rFonts w:eastAsia="Calibri"/>
          <w:lang w:val="en-US"/>
        </w:rPr>
        <w:t xml:space="preserve"> MDSCs: </w:t>
      </w:r>
      <w:r w:rsidR="00E51C4B" w:rsidRPr="00F06EA4">
        <w:rPr>
          <w:rFonts w:eastAsia="Calibri"/>
          <w:lang w:val="en-US"/>
        </w:rPr>
        <w:t xml:space="preserve">Myeloid </w:t>
      </w:r>
      <w:r w:rsidR="00987174" w:rsidRPr="00F06EA4">
        <w:rPr>
          <w:rFonts w:eastAsia="Calibri"/>
          <w:lang w:val="en-US"/>
        </w:rPr>
        <w:t>derived suppressor cells</w:t>
      </w:r>
      <w:r w:rsidR="00E51C4B">
        <w:rPr>
          <w:rFonts w:eastAsia="Calibri"/>
          <w:lang w:val="en-US"/>
        </w:rPr>
        <w:t>;</w:t>
      </w:r>
      <w:r w:rsidR="00987174" w:rsidRPr="00F06EA4">
        <w:rPr>
          <w:rFonts w:eastAsia="Calibri"/>
          <w:lang w:val="en-US"/>
        </w:rPr>
        <w:t xml:space="preserve"> </w:t>
      </w:r>
      <w:bookmarkStart w:id="206" w:name="_Hlk10468561"/>
      <w:r w:rsidR="00987174" w:rsidRPr="00F06EA4">
        <w:rPr>
          <w:rFonts w:eastAsia="Calibri"/>
          <w:lang w:val="en-US"/>
        </w:rPr>
        <w:t xml:space="preserve">PD1: </w:t>
      </w:r>
      <w:r w:rsidR="00E51C4B" w:rsidRPr="00F06EA4">
        <w:rPr>
          <w:rFonts w:eastAsia="Calibri"/>
          <w:lang w:val="en-US"/>
        </w:rPr>
        <w:t xml:space="preserve">Programmed </w:t>
      </w:r>
      <w:r w:rsidR="00987174" w:rsidRPr="00F06EA4">
        <w:rPr>
          <w:rFonts w:eastAsia="Calibri"/>
          <w:lang w:val="en-US"/>
        </w:rPr>
        <w:t>cell death</w:t>
      </w:r>
      <w:r w:rsidR="00BF6181" w:rsidRPr="00F06EA4">
        <w:rPr>
          <w:rFonts w:eastAsia="Calibri"/>
          <w:lang w:val="en-US"/>
        </w:rPr>
        <w:t xml:space="preserve"> protein</w:t>
      </w:r>
      <w:r w:rsidR="00987174" w:rsidRPr="00F06EA4">
        <w:rPr>
          <w:rFonts w:eastAsia="Calibri"/>
          <w:lang w:val="en-US"/>
        </w:rPr>
        <w:t xml:space="preserve"> 1</w:t>
      </w:r>
      <w:bookmarkEnd w:id="206"/>
      <w:r w:rsidR="00E51C4B">
        <w:rPr>
          <w:rFonts w:eastAsia="Calibri"/>
          <w:lang w:val="en-US"/>
        </w:rPr>
        <w:t>;</w:t>
      </w:r>
      <w:r w:rsidR="00987174" w:rsidRPr="00F06EA4">
        <w:rPr>
          <w:rFonts w:eastAsia="Calibri"/>
          <w:lang w:val="en-US"/>
        </w:rPr>
        <w:t xml:space="preserve"> </w:t>
      </w:r>
      <w:r w:rsidR="00BF6181" w:rsidRPr="00F06EA4">
        <w:rPr>
          <w:rFonts w:eastAsia="Calibri"/>
          <w:lang w:val="en-US"/>
        </w:rPr>
        <w:t xml:space="preserve">PDL1: </w:t>
      </w:r>
      <w:r w:rsidR="00E51C4B" w:rsidRPr="00F06EA4">
        <w:rPr>
          <w:rFonts w:eastAsia="Calibri"/>
          <w:lang w:val="en-US"/>
        </w:rPr>
        <w:t xml:space="preserve">Programmed </w:t>
      </w:r>
      <w:r w:rsidR="00BF6181" w:rsidRPr="00F06EA4">
        <w:rPr>
          <w:rFonts w:eastAsia="Calibri"/>
          <w:lang w:val="en-US"/>
        </w:rPr>
        <w:t>death ligand 1</w:t>
      </w:r>
      <w:r w:rsidR="00E51C4B">
        <w:rPr>
          <w:rFonts w:eastAsia="Calibri"/>
          <w:lang w:val="en-US"/>
        </w:rPr>
        <w:t>;</w:t>
      </w:r>
      <w:r w:rsidR="00BF6181" w:rsidRPr="00F06EA4">
        <w:rPr>
          <w:rFonts w:eastAsia="Calibri"/>
          <w:lang w:val="en-US"/>
        </w:rPr>
        <w:t xml:space="preserve"> </w:t>
      </w:r>
      <w:r w:rsidR="00B742C7" w:rsidRPr="00F06EA4">
        <w:rPr>
          <w:rFonts w:eastAsia="Calibri"/>
          <w:lang w:val="en-US"/>
        </w:rPr>
        <w:t xml:space="preserve">TGFB1: </w:t>
      </w:r>
      <w:r w:rsidR="00E51C4B" w:rsidRPr="00F06EA4">
        <w:rPr>
          <w:rFonts w:eastAsia="Calibri"/>
          <w:lang w:val="en-US"/>
        </w:rPr>
        <w:t xml:space="preserve">Transforming </w:t>
      </w:r>
      <w:r w:rsidR="00B742C7" w:rsidRPr="00F06EA4">
        <w:rPr>
          <w:rFonts w:eastAsia="Calibri"/>
          <w:lang w:val="en-US"/>
        </w:rPr>
        <w:t>growth factor beta 1</w:t>
      </w:r>
      <w:r w:rsidR="00E51C4B">
        <w:rPr>
          <w:rFonts w:eastAsia="Calibri"/>
          <w:lang w:val="en-US"/>
        </w:rPr>
        <w:t>.</w:t>
      </w:r>
    </w:p>
    <w:p w14:paraId="08FC87BA" w14:textId="63A38679" w:rsidR="00E3328C" w:rsidRPr="00F06EA4" w:rsidRDefault="00E3328C" w:rsidP="00F67ED8">
      <w:pPr>
        <w:spacing w:after="0"/>
        <w:rPr>
          <w:lang w:val="en-US"/>
        </w:rPr>
      </w:pPr>
    </w:p>
    <w:p w14:paraId="136AC380" w14:textId="62E157E7" w:rsidR="003E199B" w:rsidRPr="00F06EA4" w:rsidRDefault="003E199B" w:rsidP="00F67ED8">
      <w:pPr>
        <w:spacing w:after="0"/>
        <w:rPr>
          <w:lang w:val="en-US"/>
        </w:rPr>
      </w:pPr>
      <w:r w:rsidRPr="00F06EA4">
        <w:rPr>
          <w:lang w:val="en-US"/>
        </w:rPr>
        <w:br w:type="page"/>
      </w:r>
    </w:p>
    <w:p w14:paraId="4BD63D0D" w14:textId="0F202111" w:rsidR="003E199B" w:rsidRPr="00E51C4B" w:rsidRDefault="003E199B" w:rsidP="00F67ED8">
      <w:pPr>
        <w:spacing w:after="0"/>
        <w:rPr>
          <w:rFonts w:eastAsia="Calibri"/>
          <w:b/>
          <w:bCs/>
          <w:lang w:val="en-US"/>
        </w:rPr>
      </w:pPr>
      <w:r w:rsidRPr="00E51C4B">
        <w:rPr>
          <w:rFonts w:eastAsia="Calibri"/>
          <w:b/>
          <w:bCs/>
          <w:lang w:val="en-US"/>
        </w:rPr>
        <w:lastRenderedPageBreak/>
        <w:t>Table 1 Some systemic inflammatory markers showing altered circulating levels in colorectal cancer patients</w:t>
      </w:r>
    </w:p>
    <w:tbl>
      <w:tblPr>
        <w:tblStyle w:val="ac"/>
        <w:tblW w:w="1006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9"/>
        <w:gridCol w:w="336"/>
        <w:gridCol w:w="2224"/>
        <w:gridCol w:w="2453"/>
        <w:gridCol w:w="1150"/>
        <w:gridCol w:w="1402"/>
      </w:tblGrid>
      <w:tr w:rsidR="003E199B" w:rsidRPr="00E51C4B" w14:paraId="5DCA9D09" w14:textId="77777777" w:rsidTr="00D411BC">
        <w:trPr>
          <w:trHeight w:val="20"/>
        </w:trPr>
        <w:tc>
          <w:tcPr>
            <w:tcW w:w="2700" w:type="dxa"/>
            <w:tcBorders>
              <w:top w:val="single" w:sz="4" w:space="0" w:color="auto"/>
              <w:bottom w:val="single" w:sz="4" w:space="0" w:color="auto"/>
            </w:tcBorders>
          </w:tcPr>
          <w:p w14:paraId="74F0FAF4" w14:textId="77777777" w:rsidR="003E199B" w:rsidRPr="00E51C4B" w:rsidRDefault="003E199B" w:rsidP="00F67ED8">
            <w:pPr>
              <w:spacing w:after="0"/>
              <w:contextualSpacing/>
              <w:rPr>
                <w:rFonts w:eastAsia="Calibri"/>
                <w:b/>
                <w:bCs/>
                <w:lang w:val="en-US"/>
              </w:rPr>
            </w:pPr>
            <w:r w:rsidRPr="00E51C4B">
              <w:rPr>
                <w:rFonts w:eastAsia="Calibri"/>
                <w:b/>
                <w:bCs/>
                <w:lang w:val="en-US"/>
              </w:rPr>
              <w:t>Marker</w:t>
            </w:r>
          </w:p>
        </w:tc>
        <w:tc>
          <w:tcPr>
            <w:tcW w:w="332" w:type="dxa"/>
            <w:tcBorders>
              <w:top w:val="single" w:sz="4" w:space="0" w:color="auto"/>
              <w:bottom w:val="single" w:sz="4" w:space="0" w:color="auto"/>
            </w:tcBorders>
          </w:tcPr>
          <w:p w14:paraId="5BD85DAC" w14:textId="77777777" w:rsidR="003E199B" w:rsidRPr="00E51C4B" w:rsidRDefault="003E199B" w:rsidP="00F67ED8">
            <w:pPr>
              <w:spacing w:after="0"/>
              <w:contextualSpacing/>
              <w:rPr>
                <w:rFonts w:eastAsia="Calibri"/>
                <w:b/>
                <w:bCs/>
                <w:lang w:val="en-US"/>
              </w:rPr>
            </w:pPr>
          </w:p>
        </w:tc>
        <w:tc>
          <w:tcPr>
            <w:tcW w:w="2162" w:type="dxa"/>
            <w:tcBorders>
              <w:top w:val="single" w:sz="4" w:space="0" w:color="auto"/>
              <w:bottom w:val="single" w:sz="4" w:space="0" w:color="auto"/>
            </w:tcBorders>
          </w:tcPr>
          <w:p w14:paraId="168E7337" w14:textId="77777777" w:rsidR="003E199B" w:rsidRPr="00E51C4B" w:rsidRDefault="003E199B" w:rsidP="00F67ED8">
            <w:pPr>
              <w:spacing w:after="0"/>
              <w:contextualSpacing/>
              <w:rPr>
                <w:rFonts w:eastAsia="Calibri"/>
                <w:b/>
                <w:bCs/>
                <w:lang w:val="en-US"/>
              </w:rPr>
            </w:pPr>
            <w:r w:rsidRPr="00E51C4B">
              <w:rPr>
                <w:rFonts w:eastAsia="Calibri"/>
                <w:b/>
                <w:bCs/>
                <w:lang w:val="en-US"/>
              </w:rPr>
              <w:t>Function</w:t>
            </w:r>
          </w:p>
        </w:tc>
        <w:tc>
          <w:tcPr>
            <w:tcW w:w="2384" w:type="dxa"/>
            <w:tcBorders>
              <w:top w:val="single" w:sz="4" w:space="0" w:color="auto"/>
              <w:bottom w:val="single" w:sz="4" w:space="0" w:color="auto"/>
            </w:tcBorders>
          </w:tcPr>
          <w:p w14:paraId="71E6D5C0" w14:textId="77777777" w:rsidR="003E199B" w:rsidRPr="00E51C4B" w:rsidRDefault="003E199B" w:rsidP="00F67ED8">
            <w:pPr>
              <w:spacing w:after="0"/>
              <w:contextualSpacing/>
              <w:rPr>
                <w:rFonts w:eastAsia="Calibri"/>
                <w:b/>
                <w:bCs/>
                <w:lang w:val="en-US"/>
              </w:rPr>
            </w:pPr>
            <w:r w:rsidRPr="00E51C4B">
              <w:rPr>
                <w:rFonts w:eastAsia="Calibri"/>
                <w:b/>
                <w:bCs/>
                <w:lang w:val="en-US"/>
              </w:rPr>
              <w:t>Detection method</w:t>
            </w:r>
          </w:p>
        </w:tc>
        <w:tc>
          <w:tcPr>
            <w:tcW w:w="1121" w:type="dxa"/>
            <w:tcBorders>
              <w:top w:val="single" w:sz="4" w:space="0" w:color="auto"/>
              <w:bottom w:val="single" w:sz="4" w:space="0" w:color="auto"/>
            </w:tcBorders>
          </w:tcPr>
          <w:p w14:paraId="3FA31F9C" w14:textId="77777777" w:rsidR="003E199B" w:rsidRPr="00E51C4B" w:rsidRDefault="003E199B" w:rsidP="00F67ED8">
            <w:pPr>
              <w:spacing w:after="0"/>
              <w:contextualSpacing/>
              <w:rPr>
                <w:rFonts w:eastAsia="Calibri"/>
                <w:b/>
                <w:bCs/>
                <w:lang w:val="en-US"/>
              </w:rPr>
            </w:pPr>
            <w:r w:rsidRPr="00E51C4B">
              <w:rPr>
                <w:rFonts w:eastAsia="Calibri"/>
                <w:b/>
                <w:bCs/>
                <w:lang w:val="en-US"/>
              </w:rPr>
              <w:t>Samples</w:t>
            </w:r>
          </w:p>
        </w:tc>
        <w:tc>
          <w:tcPr>
            <w:tcW w:w="1365" w:type="dxa"/>
            <w:tcBorders>
              <w:top w:val="single" w:sz="4" w:space="0" w:color="auto"/>
              <w:bottom w:val="single" w:sz="4" w:space="0" w:color="auto"/>
            </w:tcBorders>
          </w:tcPr>
          <w:p w14:paraId="70007D0F" w14:textId="5159BF26" w:rsidR="003E199B" w:rsidRPr="00E51C4B" w:rsidRDefault="003E199B" w:rsidP="00F67ED8">
            <w:pPr>
              <w:spacing w:after="0"/>
              <w:contextualSpacing/>
              <w:rPr>
                <w:rFonts w:eastAsia="Calibri"/>
                <w:b/>
                <w:bCs/>
                <w:lang w:val="en-US"/>
              </w:rPr>
            </w:pPr>
            <w:r w:rsidRPr="00E51C4B">
              <w:rPr>
                <w:rFonts w:eastAsia="Calibri"/>
                <w:b/>
                <w:bCs/>
                <w:lang w:val="en-US"/>
              </w:rPr>
              <w:t>Ref</w:t>
            </w:r>
            <w:r w:rsidR="00E51C4B">
              <w:rPr>
                <w:rFonts w:eastAsia="Calibri"/>
                <w:b/>
                <w:bCs/>
                <w:lang w:val="en-US"/>
              </w:rPr>
              <w:t>.</w:t>
            </w:r>
          </w:p>
        </w:tc>
      </w:tr>
      <w:tr w:rsidR="003E199B" w:rsidRPr="00F06EA4" w14:paraId="5FAF9E6A" w14:textId="77777777" w:rsidTr="00D411BC">
        <w:trPr>
          <w:trHeight w:val="20"/>
        </w:trPr>
        <w:tc>
          <w:tcPr>
            <w:tcW w:w="2700" w:type="dxa"/>
          </w:tcPr>
          <w:p w14:paraId="0A3C7229" w14:textId="77777777" w:rsidR="003E199B" w:rsidRPr="00F06EA4" w:rsidRDefault="003E199B" w:rsidP="00F67ED8">
            <w:pPr>
              <w:spacing w:after="0"/>
              <w:contextualSpacing/>
              <w:rPr>
                <w:rFonts w:eastAsia="Calibri"/>
                <w:b/>
                <w:lang w:val="en-US"/>
              </w:rPr>
            </w:pPr>
            <w:r w:rsidRPr="00F06EA4">
              <w:rPr>
                <w:rFonts w:eastAsia="Calibri"/>
                <w:b/>
                <w:lang w:val="en-US"/>
              </w:rPr>
              <w:t>Acute phase proteins</w:t>
            </w:r>
          </w:p>
        </w:tc>
        <w:tc>
          <w:tcPr>
            <w:tcW w:w="332" w:type="dxa"/>
          </w:tcPr>
          <w:p w14:paraId="4BF44B70" w14:textId="77777777" w:rsidR="003E199B" w:rsidRPr="00F06EA4" w:rsidRDefault="003E199B" w:rsidP="00F67ED8">
            <w:pPr>
              <w:spacing w:after="0"/>
              <w:contextualSpacing/>
              <w:rPr>
                <w:rFonts w:eastAsia="Calibri"/>
                <w:lang w:val="en-US"/>
              </w:rPr>
            </w:pPr>
          </w:p>
        </w:tc>
        <w:tc>
          <w:tcPr>
            <w:tcW w:w="2162" w:type="dxa"/>
          </w:tcPr>
          <w:p w14:paraId="75FED888" w14:textId="77777777" w:rsidR="003E199B" w:rsidRPr="00F06EA4" w:rsidRDefault="003E199B" w:rsidP="00F67ED8">
            <w:pPr>
              <w:spacing w:after="0"/>
              <w:contextualSpacing/>
              <w:rPr>
                <w:rFonts w:eastAsia="Calibri"/>
                <w:lang w:val="en-US"/>
              </w:rPr>
            </w:pPr>
          </w:p>
        </w:tc>
        <w:tc>
          <w:tcPr>
            <w:tcW w:w="2384" w:type="dxa"/>
          </w:tcPr>
          <w:p w14:paraId="4CC5D93C" w14:textId="77777777" w:rsidR="003E199B" w:rsidRPr="00F06EA4" w:rsidRDefault="003E199B" w:rsidP="00F67ED8">
            <w:pPr>
              <w:spacing w:after="0"/>
              <w:contextualSpacing/>
              <w:rPr>
                <w:rFonts w:eastAsia="Calibri"/>
                <w:lang w:val="en-US"/>
              </w:rPr>
            </w:pPr>
          </w:p>
        </w:tc>
        <w:tc>
          <w:tcPr>
            <w:tcW w:w="1121" w:type="dxa"/>
          </w:tcPr>
          <w:p w14:paraId="5D2BA824" w14:textId="77777777" w:rsidR="003E199B" w:rsidRPr="00F06EA4" w:rsidRDefault="003E199B" w:rsidP="00F67ED8">
            <w:pPr>
              <w:spacing w:after="0"/>
              <w:contextualSpacing/>
              <w:rPr>
                <w:rFonts w:eastAsia="Calibri"/>
                <w:lang w:val="en-US"/>
              </w:rPr>
            </w:pPr>
          </w:p>
        </w:tc>
        <w:tc>
          <w:tcPr>
            <w:tcW w:w="1365" w:type="dxa"/>
          </w:tcPr>
          <w:p w14:paraId="6EDE42A5" w14:textId="77777777" w:rsidR="003E199B" w:rsidRPr="00F06EA4" w:rsidRDefault="003E199B" w:rsidP="00F67ED8">
            <w:pPr>
              <w:spacing w:after="0"/>
              <w:contextualSpacing/>
              <w:rPr>
                <w:rFonts w:eastAsia="Calibri"/>
                <w:lang w:val="en-US"/>
              </w:rPr>
            </w:pPr>
          </w:p>
        </w:tc>
      </w:tr>
      <w:tr w:rsidR="003E199B" w:rsidRPr="00F06EA4" w14:paraId="5EC4475C" w14:textId="77777777" w:rsidTr="00D411BC">
        <w:trPr>
          <w:trHeight w:val="20"/>
        </w:trPr>
        <w:tc>
          <w:tcPr>
            <w:tcW w:w="2700" w:type="dxa"/>
          </w:tcPr>
          <w:p w14:paraId="6F5D26B1" w14:textId="77777777" w:rsidR="003E199B" w:rsidRPr="00F06EA4" w:rsidRDefault="003E199B" w:rsidP="00F67ED8">
            <w:pPr>
              <w:spacing w:after="0"/>
              <w:contextualSpacing/>
              <w:rPr>
                <w:rFonts w:eastAsia="Calibri"/>
                <w:lang w:val="en-US"/>
              </w:rPr>
            </w:pPr>
            <w:r w:rsidRPr="00F06EA4">
              <w:rPr>
                <w:rFonts w:eastAsia="Calibri"/>
                <w:lang w:val="en-US"/>
              </w:rPr>
              <w:t>CRP (C-reactive protein)</w:t>
            </w:r>
          </w:p>
        </w:tc>
        <w:tc>
          <w:tcPr>
            <w:tcW w:w="332" w:type="dxa"/>
          </w:tcPr>
          <w:p w14:paraId="63A23A80"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1AB3769" w14:textId="77777777" w:rsidR="003E199B" w:rsidRPr="00F06EA4" w:rsidRDefault="003E199B" w:rsidP="00F67ED8">
            <w:pPr>
              <w:spacing w:after="0"/>
              <w:contextualSpacing/>
              <w:rPr>
                <w:rFonts w:eastAsia="Calibri"/>
                <w:lang w:val="en-US"/>
              </w:rPr>
            </w:pPr>
            <w:r w:rsidRPr="00F06EA4">
              <w:rPr>
                <w:rFonts w:eastAsia="Calibri"/>
                <w:lang w:val="en-US"/>
              </w:rPr>
              <w:t>Acute phase protein</w:t>
            </w:r>
          </w:p>
        </w:tc>
        <w:tc>
          <w:tcPr>
            <w:tcW w:w="2384" w:type="dxa"/>
          </w:tcPr>
          <w:p w14:paraId="00799B1A"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543FF3C2"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347745FA" w14:textId="1F2C0273" w:rsidR="003E199B" w:rsidRPr="00F06EA4" w:rsidRDefault="003E199B" w:rsidP="00F67ED8">
            <w:pPr>
              <w:spacing w:after="0"/>
              <w:contextualSpacing/>
              <w:rPr>
                <w:rFonts w:eastAsia="Calibri"/>
                <w:lang w:val="en-US"/>
              </w:rPr>
            </w:pPr>
            <w:r w:rsidRPr="00F06EA4">
              <w:rPr>
                <w:rFonts w:eastAsia="Calibri"/>
                <w:lang w:val="en-US"/>
              </w:rPr>
              <w:t xml:space="preserve">Gunter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{"citationItems":[{"id":"ITEM-1","itemData":{"DOI":"10.1158/0008-5472.CAN-05-3631","ISSN":"0008-5472","PMID":"16489056","abstract":"Chronic inflammation has been implicated in the etiology of colorectal cancer. C-reactive protein (CRP), a sensitive marker of inflammation, has been investigated with regard to colorectal cancer in only three previous studies, and the results from these investigations were inconsistent. We examined serum CRP levels in relation to colorectal cancer incidence in a nested case-control study within the Alpha Tocopherol, Beta-Carotene (ATBC) Cancer Prevention Study, a cohort of 29,133 Finnish males enrolled from 1985 to 1988 with follow-up through April 2002. Colorectal cancer cases were ascertained by the Finnish Cancer Registry; this analysis included 130 cases of colorectal cancer (with available blood), which occurred between 1990 and April 30, 2002, and 260 matched controls. Baseline median CRP levels were approximately 25% higher among colorectal cancer cases (3.4 mg/L) than controls (2.6 mg/L; P = 0.04). Relative to men in the lowest quartile of CRP concentration, men in the highest quartile had an odds ratio of 2.9 (95% confidence interval, 1.4-6.0) for developing colorectal cancer with a dose-response relationship supported (P(trend) = 0.006). The relation between CRP and incident colorectal cancer was modified by body mass index such that the association was stronger among lean individuals than in heavier individuals (P(interaction) = 0.018). These results support the notion that chronic low-grade inflammation is a marker for increased risk of colorectal cancer.","author":[{"dropping-particle":"","family":"Gunter","given":"Marc J.","non-dropping-particle":"","parse-names":false,"suffix":""},{"dropping-particle":"","family":"Stolzenberg-Solomon","given":"Rachael","non-dropping-particle":"","parse-names":false,"suffix":""},{"dropping-particle":"","family":"Cross","given":"Amanda J.","non-dropping-particle":"","parse-names":false,"suffix":""},{"dropping-particle":"","family":"Leitzmann","given":"Michael F.","non-dropping-particle":"","parse-names":false,"suffix":""},{"dropping-particle":"","family":"Weinstein","given":"Stephanie","non-dropping-particle":"","parse-names":false,"suffix":""},{"dropping-particle":"","family":"Wood","given":"Richard J.","non-dropping-particle":"","parse-names":false,"suffix":""},{"dropping-particle":"","family":"Virtamo","given":"Jarmo","non-dropping-particle":"","parse-names":false,"suffix":""},{"dropping-particle":"","family":"Taylor","given":"Philip R.","non-dropping-particle":"","parse-names":false,"suffix":""},{"dropping-particle":"","family":"Albanes","given":"Demetrius","non-dropping-particle":"","parse-names":false,"suffix":""},{"dropping-particle":"","family":"Sinha","given":"Rashmi","non-dropping-particle":"","parse-names":false,"suffix":""}],"container-title":"Cancer research","id":"ITEM-1","issue":"4","issued":{"date-parts":[["2006","2"]]},"page":"2483-7","title":"A prospective study of serum C-reactive protein and colorectal cancer risk in men.","type":"article-journal","volume":"66"},"uris":["http://www.mendeley.com/documents/?uuid=367f42fb-2bd8-4991-8f17-04b94cc28702"]}],"mendeley":{"formattedCitation":"&lt;sup&gt;[157]&lt;/sup&gt;","plainTextFormattedCitation":"[157]","previouslyFormattedCitation":"&lt;sup&gt;[157]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[157]</w:t>
            </w:r>
            <w:r w:rsidRPr="00F06EA4">
              <w:rPr>
                <w:rFonts w:eastAsia="Calibri"/>
                <w:lang w:val="en-US"/>
              </w:rPr>
              <w:fldChar w:fldCharType="end"/>
            </w:r>
          </w:p>
        </w:tc>
      </w:tr>
      <w:tr w:rsidR="003E199B" w:rsidRPr="00F06EA4" w14:paraId="36E90B79" w14:textId="77777777" w:rsidTr="00D411BC">
        <w:trPr>
          <w:trHeight w:val="20"/>
        </w:trPr>
        <w:tc>
          <w:tcPr>
            <w:tcW w:w="2700" w:type="dxa"/>
          </w:tcPr>
          <w:p w14:paraId="2AF26F76" w14:textId="77777777" w:rsidR="003E199B" w:rsidRPr="00F06EA4" w:rsidRDefault="003E199B" w:rsidP="00F67ED8">
            <w:pPr>
              <w:spacing w:after="0"/>
              <w:contextualSpacing/>
              <w:rPr>
                <w:rFonts w:eastAsia="Calibri"/>
                <w:lang w:val="en-US"/>
              </w:rPr>
            </w:pPr>
            <w:r w:rsidRPr="00F06EA4">
              <w:rPr>
                <w:rFonts w:eastAsia="Calibri"/>
                <w:lang w:val="en-US"/>
              </w:rPr>
              <w:t>HP (haptoglobin)</w:t>
            </w:r>
          </w:p>
        </w:tc>
        <w:tc>
          <w:tcPr>
            <w:tcW w:w="332" w:type="dxa"/>
          </w:tcPr>
          <w:p w14:paraId="31AACFF2"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0F834BC" w14:textId="77777777" w:rsidR="003E199B" w:rsidRPr="00F06EA4" w:rsidRDefault="003E199B" w:rsidP="00F67ED8">
            <w:pPr>
              <w:spacing w:after="0"/>
              <w:contextualSpacing/>
              <w:rPr>
                <w:rFonts w:eastAsia="Calibri"/>
                <w:lang w:val="en-US"/>
              </w:rPr>
            </w:pPr>
            <w:r w:rsidRPr="00F06EA4">
              <w:rPr>
                <w:rFonts w:eastAsia="Calibri"/>
                <w:lang w:val="en-US"/>
              </w:rPr>
              <w:t>Hemoglobin-binding acute phase protein</w:t>
            </w:r>
          </w:p>
        </w:tc>
        <w:tc>
          <w:tcPr>
            <w:tcW w:w="2384" w:type="dxa"/>
          </w:tcPr>
          <w:p w14:paraId="4D0BBE27"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568ABE4D"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23B37700" w14:textId="311E7273" w:rsidR="003E199B" w:rsidRPr="00F06EA4" w:rsidRDefault="003E199B" w:rsidP="00F67ED8">
            <w:pPr>
              <w:spacing w:after="0"/>
              <w:contextualSpacing/>
              <w:rPr>
                <w:rFonts w:eastAsia="Calibri"/>
                <w:lang w:val="en-US"/>
              </w:rPr>
            </w:pPr>
            <w:r w:rsidRPr="00F06EA4">
              <w:rPr>
                <w:rFonts w:eastAsia="Calibri"/>
                <w:lang w:val="en-US"/>
              </w:rPr>
              <w:t xml:space="preserve">Sun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{"citationItems":[{"id":"ITEM-1","itemData":{"DOI":"10.1002/ijc.29993","ISSN":"00207136","PMID":"26756179","abstract":"Early detection of liver metastasis is important for improving colorectal cancer (CRC) patient survival. Our previous studies showed haptoglobin was highly expressed in primary CRC tissues, especially in heterochronous metastatic cases. Here, we assessed the potential of serum haptoglobin (sHP) as a biomarker for early detection of CRC liver metastasis by evaluating the sHP in 475 CRC patients and 152 healthy volunteers. In the training set (250 cases), sHP level in CRC-M1 (1773.18 ± 690.25 ng/mL) were significantly increased as compared to in CRC-M0 (1544.37 ± 1497.65 ng/mL) or healthy (917.76 ± 571.59 ng/mL). And the high sHP level was correlated with poor survival. Logistic regression analysis revealed that sHP, serum carcinoembryonic antigen (sCEA) and serum carbohydrate antigen 19.9 (sCA19.9) level were the significant parameters for detecting liver metastasis. In leave-one-out-cross-validation, these three markers resulted in 89.1% sensitivity and 85.8% specificity for hepatic metastasis detection. In an independent test set (225 cases), receiver operating characteristic curve analysis of sHP in CRC liver metastasis showed an area under the curve of 0.735, with a sensitivity of 87.2% and a specificity of 59.9%. Combination of sHP, sCEA and sCA19.9 improved diagnostic accuracy to 0.880, with a sensitivity of 88.5% and a specificity of 87.8%. Silencing of HP by specific shRNA significantly inhibited the LOVO and SW620 cell invasion, and suppressed xenograft tumor invasive growth. In summary, these results demonstrate that sHP is associated with poor prognosis of CRC patients and that HP promotes colorectal cancer cell invasion. sHP combining with sCA19.9 and sCEA may be used as accurate predictors of CRC liver metastasis.","author":[{"dropping-particle":"","family":"Sun","given":"Lichao","non-dropping-particle":"","parse-names":false,"suffix":""},{"dropping-particle":"","family":"Hu","given":"Shusheng","non-dropping-particle":"","parse-names":false,"suffix":""},{"dropping-particle":"","family":"Yu","given":"Long","non-dropping-particle":"","parse-names":false,"suffix":""},{"dropping-particle":"","family":"Guo","given":"Chunguang","non-dropping-particle":"","parse-names":false,"suffix":""},{"dropping-particle":"","family":"Sun","given":"Lixin","non-dropping-particle":"","parse-names":false,"suffix":""},{"dropping-particle":"","family":"Yang","given":"Zhihua","non-dropping-particle":"","parse-names":false,"suffix":""},{"dropping-particle":"","family":"Qi","given":"Jun","non-dropping-particle":"","parse-names":false,"suffix":""},{"dropping-particle":"","family":"Ran","given":"Yuliang","non-dropping-particle":"","parse-names":false,"suffix":""}],"container-title":"International Journal of Cancer","id":"ITEM-1","issue":"11","issued":{"date-parts":[["2016","6"]]},"page":"2724-2731","title":"Serum haptoglobin as a novel molecular biomarker predicting colorectal cancer hepatic metastasis","type":"article-journal","volume":"138"},"uris":["http://www.mendeley.com/documents/?uuid=ab28ff82-8306-3cb2-b98f-d3e308f5fdc0","http://www.mendeley.com/documents/?uuid=c2de26d0-7ec5-4cdc-bc1e-8726ab9dec39"]}],"mendeley":{"formattedCitation":"&lt;sup&gt;[158]&lt;/sup&gt;","plainTextFormattedCitation":"[158]","previouslyFormattedCitation":"&lt;sup&gt;[158]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[158]</w:t>
            </w:r>
            <w:r w:rsidRPr="00F06EA4">
              <w:rPr>
                <w:rFonts w:eastAsia="Calibri"/>
                <w:lang w:val="en-US"/>
              </w:rPr>
              <w:fldChar w:fldCharType="end"/>
            </w:r>
          </w:p>
        </w:tc>
      </w:tr>
      <w:tr w:rsidR="003E199B" w:rsidRPr="00F06EA4" w14:paraId="7FA21CDB" w14:textId="77777777" w:rsidTr="00D411BC">
        <w:trPr>
          <w:trHeight w:val="20"/>
        </w:trPr>
        <w:tc>
          <w:tcPr>
            <w:tcW w:w="2700" w:type="dxa"/>
          </w:tcPr>
          <w:p w14:paraId="2569FDF2" w14:textId="77777777" w:rsidR="003E199B" w:rsidRPr="00F06EA4" w:rsidRDefault="003E199B" w:rsidP="00F67ED8">
            <w:pPr>
              <w:spacing w:after="0"/>
              <w:contextualSpacing/>
              <w:rPr>
                <w:rFonts w:eastAsia="Calibri"/>
                <w:lang w:val="en-US"/>
              </w:rPr>
            </w:pPr>
            <w:r w:rsidRPr="00F06EA4">
              <w:rPr>
                <w:rFonts w:eastAsia="Calibri"/>
                <w:lang w:val="en-US"/>
              </w:rPr>
              <w:t>Ferritin</w:t>
            </w:r>
          </w:p>
        </w:tc>
        <w:tc>
          <w:tcPr>
            <w:tcW w:w="332" w:type="dxa"/>
          </w:tcPr>
          <w:p w14:paraId="6E3FF059"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25F47275" w14:textId="77777777" w:rsidR="003E199B" w:rsidRPr="00F06EA4" w:rsidRDefault="003E199B" w:rsidP="00F67ED8">
            <w:pPr>
              <w:spacing w:after="0"/>
              <w:contextualSpacing/>
              <w:rPr>
                <w:rFonts w:eastAsia="Calibri"/>
                <w:lang w:val="en-US"/>
              </w:rPr>
            </w:pPr>
            <w:r w:rsidRPr="00F06EA4">
              <w:rPr>
                <w:rFonts w:eastAsia="Calibri"/>
                <w:lang w:val="en-US"/>
              </w:rPr>
              <w:t>Protein that stores iron</w:t>
            </w:r>
          </w:p>
        </w:tc>
        <w:tc>
          <w:tcPr>
            <w:tcW w:w="2384" w:type="dxa"/>
          </w:tcPr>
          <w:p w14:paraId="2DD7AA2D" w14:textId="77777777" w:rsidR="003E199B" w:rsidRPr="00F06EA4" w:rsidRDefault="003E199B" w:rsidP="00F67ED8">
            <w:pPr>
              <w:spacing w:after="0"/>
              <w:contextualSpacing/>
              <w:rPr>
                <w:rFonts w:eastAsia="Calibri"/>
                <w:lang w:val="en-US"/>
              </w:rPr>
            </w:pPr>
            <w:r w:rsidRPr="00F06EA4">
              <w:rPr>
                <w:rFonts w:eastAsia="Calibri"/>
                <w:lang w:val="en-US"/>
              </w:rPr>
              <w:t>meta-analysis</w:t>
            </w:r>
          </w:p>
        </w:tc>
        <w:tc>
          <w:tcPr>
            <w:tcW w:w="1121" w:type="dxa"/>
          </w:tcPr>
          <w:p w14:paraId="45A8589D"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665C57D3" w14:textId="74A571CB" w:rsidR="003E199B" w:rsidRPr="00F06EA4" w:rsidRDefault="003E199B" w:rsidP="00F67ED8">
            <w:pPr>
              <w:spacing w:after="0"/>
              <w:contextualSpacing/>
              <w:rPr>
                <w:rFonts w:eastAsia="Calibri"/>
                <w:lang w:val="en-US"/>
              </w:rPr>
            </w:pPr>
            <w:r w:rsidRPr="00F06EA4">
              <w:rPr>
                <w:rFonts w:eastAsia="Calibri"/>
                <w:lang w:val="en-US"/>
              </w:rPr>
              <w:t xml:space="preserve">Feng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{"citationItems":[{"id":"ITEM-1","itemData":{"ISSN":"19405901","PMID":"26885206","abstract":"There are conflicting reports on the correlation between serum levels of ferritin with colorectal cancer. The purpose of the present study is to clarify the association between serum ferritin with colorectal cancer using a meta-analysis approach. We searched articles indexed in Pubmed published as of July 2015 that met our predefined criteria. Six eligible articles involving 927 subjects were identified. Overall, pooled analysis indicated that subjects with colorectal cancer had lower serum level of ferritin than the healthy controls (SMD=-1.569, 95% CI=[-2.718, -0.420], P= 0.007). Further subgroup analysis found lower serum level of ferritin among patients with colorectal cancer in eastern country (SMD=-1.956, 95% CI=[-3.750, -0.162], P=0.033), but not in western country (SMD=-1.285, 95% CI=[-2.778, 0.207], P=0.091). In conclusion, this meta-analysis supports a significant association between serum ferritin with colorectal cancer. However, the subgroup analysis found that there was significant effect modification of ferritin level by ethnic. Thus this finding needs further confirmation by trans-regional multicenter, long-term observation in a cohort design to obtain better understanding of causal relationships between serum ferrintin levels and colorectal cancer, through measuring ferritin at baseline to investigate whether the highest ferritin category versus lowest is associated with colorectal cancer risk.","author":[{"dropping-particle":"","family":"Feng","given":"Zhe","non-dropping-particle":"","parse-names":false,"suffix":""},{"dropping-particle":"","family":"Chen","given":"Ji Wei","non-dropping-particle":"","parse-names":false,"suffix":""},{"dropping-particle":"","family":"Feng","given":"Jian Hua","non-dropping-particle":"","parse-names":false,"suffix":""},{"dropping-particle":"","family":"Shen","given":"Fei","non-dropping-particle":"","parse-names":false,"suffix":""},{"dropping-particle":"","family":"Cai","given":"Wen Song","non-dropping-particle":"","parse-names":false,"suffix":""},{"dropping-particle":"","family":"Cao","given":"Jie","non-dropping-particle":"","parse-names":false,"suffix":""},{"dropping-particle":"","family":"Xu","given":"Bo","non-dropping-particle":"","parse-names":false,"suffix":""}],"container-title":"International Journal of Clinical and Experimental Medicine","id":"ITEM-1","issue":"12","issued":{"date-parts":[["2015"]]},"page":"22293-22299","title":"The association between serum ferritin with colorectal cancer","type":"article-journal","volume":"8"},"uris":["http://www.mendeley.com/documents/?uuid=92f9807f-dfd5-451e-b006-c65a37c61dfd"]}],"mendeley":{"formattedCitation":"&lt;sup&gt;[159]&lt;/sup&gt;","plainTextFormattedCitation":"[159]","previouslyFormattedCitation":"&lt;sup&gt;[159]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[159]</w:t>
            </w:r>
            <w:r w:rsidRPr="00F06EA4">
              <w:rPr>
                <w:rFonts w:eastAsia="Calibri"/>
                <w:lang w:val="en-US"/>
              </w:rPr>
              <w:fldChar w:fldCharType="end"/>
            </w:r>
          </w:p>
        </w:tc>
      </w:tr>
      <w:tr w:rsidR="003E199B" w:rsidRPr="00F06EA4" w14:paraId="324D5B0A" w14:textId="77777777" w:rsidTr="00D411BC">
        <w:trPr>
          <w:trHeight w:val="20"/>
        </w:trPr>
        <w:tc>
          <w:tcPr>
            <w:tcW w:w="2700" w:type="dxa"/>
          </w:tcPr>
          <w:p w14:paraId="0939EA49" w14:textId="77777777" w:rsidR="003E199B" w:rsidRPr="00F06EA4" w:rsidRDefault="003E199B" w:rsidP="00F67ED8">
            <w:pPr>
              <w:spacing w:after="0"/>
              <w:contextualSpacing/>
              <w:rPr>
                <w:rFonts w:eastAsia="Calibri"/>
                <w:b/>
                <w:bCs/>
                <w:lang w:val="en-US"/>
              </w:rPr>
            </w:pPr>
            <w:r w:rsidRPr="00F06EA4">
              <w:rPr>
                <w:rFonts w:eastAsia="Calibri"/>
                <w:b/>
                <w:bCs/>
                <w:lang w:val="en-US"/>
              </w:rPr>
              <w:t>Cytokines and chemokines</w:t>
            </w:r>
          </w:p>
        </w:tc>
        <w:tc>
          <w:tcPr>
            <w:tcW w:w="332" w:type="dxa"/>
          </w:tcPr>
          <w:p w14:paraId="0DDD9537" w14:textId="77777777" w:rsidR="003E199B" w:rsidRPr="00F06EA4" w:rsidRDefault="003E199B" w:rsidP="00F67ED8">
            <w:pPr>
              <w:spacing w:after="0"/>
              <w:contextualSpacing/>
              <w:rPr>
                <w:rFonts w:eastAsia="Calibri"/>
                <w:lang w:val="en-US"/>
              </w:rPr>
            </w:pPr>
          </w:p>
        </w:tc>
        <w:tc>
          <w:tcPr>
            <w:tcW w:w="2162" w:type="dxa"/>
          </w:tcPr>
          <w:p w14:paraId="08B21648" w14:textId="77777777" w:rsidR="003E199B" w:rsidRPr="00F06EA4" w:rsidRDefault="003E199B" w:rsidP="00F67ED8">
            <w:pPr>
              <w:spacing w:after="0"/>
              <w:contextualSpacing/>
              <w:rPr>
                <w:rFonts w:eastAsia="Calibri"/>
                <w:lang w:val="en-US"/>
              </w:rPr>
            </w:pPr>
          </w:p>
        </w:tc>
        <w:tc>
          <w:tcPr>
            <w:tcW w:w="2384" w:type="dxa"/>
          </w:tcPr>
          <w:p w14:paraId="330D7D95" w14:textId="77777777" w:rsidR="003E199B" w:rsidRPr="00F06EA4" w:rsidRDefault="003E199B" w:rsidP="00F67ED8">
            <w:pPr>
              <w:spacing w:after="0"/>
              <w:contextualSpacing/>
              <w:rPr>
                <w:rFonts w:eastAsia="Calibri"/>
                <w:lang w:val="en-US"/>
              </w:rPr>
            </w:pPr>
          </w:p>
        </w:tc>
        <w:tc>
          <w:tcPr>
            <w:tcW w:w="1121" w:type="dxa"/>
          </w:tcPr>
          <w:p w14:paraId="2797842A" w14:textId="77777777" w:rsidR="003E199B" w:rsidRPr="00F06EA4" w:rsidRDefault="003E199B" w:rsidP="00F67ED8">
            <w:pPr>
              <w:spacing w:after="0"/>
              <w:contextualSpacing/>
              <w:rPr>
                <w:rFonts w:eastAsia="Calibri"/>
                <w:lang w:val="en-US"/>
              </w:rPr>
            </w:pPr>
          </w:p>
        </w:tc>
        <w:tc>
          <w:tcPr>
            <w:tcW w:w="1365" w:type="dxa"/>
          </w:tcPr>
          <w:p w14:paraId="7AB5FA39" w14:textId="77777777" w:rsidR="003E199B" w:rsidRPr="00F06EA4" w:rsidRDefault="003E199B" w:rsidP="00F67ED8">
            <w:pPr>
              <w:spacing w:after="0"/>
              <w:contextualSpacing/>
              <w:rPr>
                <w:rFonts w:eastAsia="Calibri"/>
                <w:lang w:val="en-US"/>
              </w:rPr>
            </w:pPr>
          </w:p>
        </w:tc>
      </w:tr>
      <w:tr w:rsidR="003E199B" w:rsidRPr="00F06EA4" w14:paraId="411650C0" w14:textId="77777777" w:rsidTr="00D411BC">
        <w:trPr>
          <w:trHeight w:val="20"/>
        </w:trPr>
        <w:tc>
          <w:tcPr>
            <w:tcW w:w="2700" w:type="dxa"/>
          </w:tcPr>
          <w:p w14:paraId="5CAA4BB3" w14:textId="77777777" w:rsidR="003E199B" w:rsidRPr="00F06EA4" w:rsidRDefault="003E199B" w:rsidP="00F67ED8">
            <w:pPr>
              <w:spacing w:after="0"/>
              <w:contextualSpacing/>
              <w:rPr>
                <w:rFonts w:eastAsia="Calibri"/>
                <w:lang w:val="en-US"/>
              </w:rPr>
            </w:pPr>
            <w:r w:rsidRPr="00F06EA4">
              <w:rPr>
                <w:rFonts w:eastAsia="Calibri"/>
                <w:lang w:val="en-US"/>
              </w:rPr>
              <w:t>IL6</w:t>
            </w:r>
          </w:p>
        </w:tc>
        <w:tc>
          <w:tcPr>
            <w:tcW w:w="332" w:type="dxa"/>
          </w:tcPr>
          <w:p w14:paraId="0C26ED4B"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4C6A12DD" w14:textId="77777777" w:rsidR="003E199B" w:rsidRPr="00F06EA4" w:rsidRDefault="003E199B" w:rsidP="00F67ED8">
            <w:pPr>
              <w:spacing w:after="0"/>
              <w:contextualSpacing/>
              <w:rPr>
                <w:rFonts w:eastAsia="Calibri"/>
                <w:lang w:val="en-US"/>
              </w:rPr>
            </w:pPr>
            <w:r w:rsidRPr="00F06EA4">
              <w:rPr>
                <w:rFonts w:eastAsia="Calibri"/>
                <w:lang w:val="en-US"/>
              </w:rPr>
              <w:t>Proinflammatory cytokine</w:t>
            </w:r>
          </w:p>
        </w:tc>
        <w:tc>
          <w:tcPr>
            <w:tcW w:w="2384" w:type="dxa"/>
          </w:tcPr>
          <w:p w14:paraId="1C62801B" w14:textId="77777777" w:rsidR="003E199B" w:rsidRPr="00F06EA4" w:rsidRDefault="003E199B" w:rsidP="00F67ED8">
            <w:pPr>
              <w:spacing w:after="0"/>
              <w:contextualSpacing/>
              <w:rPr>
                <w:rFonts w:eastAsia="Calibri"/>
                <w:lang w:val="en-US"/>
              </w:rPr>
            </w:pPr>
            <w:r w:rsidRPr="00F06EA4">
              <w:rPr>
                <w:rFonts w:eastAsia="Calibri"/>
                <w:lang w:val="en-US"/>
              </w:rPr>
              <w:t>meta-analysis</w:t>
            </w:r>
          </w:p>
        </w:tc>
        <w:tc>
          <w:tcPr>
            <w:tcW w:w="1121" w:type="dxa"/>
          </w:tcPr>
          <w:p w14:paraId="09D93ACB"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6DB12CF3" w14:textId="73D8A348" w:rsidR="003E199B" w:rsidRPr="00F06EA4" w:rsidRDefault="003E199B" w:rsidP="00F67ED8">
            <w:pPr>
              <w:spacing w:after="0"/>
              <w:contextualSpacing/>
              <w:rPr>
                <w:rFonts w:eastAsia="Calibri"/>
                <w:lang w:val="en-US"/>
              </w:rPr>
            </w:pPr>
            <w:r w:rsidRPr="00F06EA4">
              <w:rPr>
                <w:rFonts w:eastAsia="Calibri"/>
                <w:lang w:val="en-US"/>
              </w:rPr>
              <w:t xml:space="preserve">Xu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{"citationItems":[{"id":"ITEM-1","itemData":{"DOI":"10.1097/MD.0000000000002502","ISBN":"0000000000","ISSN":"1536-5964","PMID":"26765465","abstract":"The application of serum interleukin-6 (IL-6) in the diagnosis and prognosis of colorectal cancer (CRC) has been evaluated in many studies, whereas the results were contradictive.The aim of this study was to systematically evaluate this issue.An original study was conducted to explore the diagnostic value of serum IL-6 in CRC. Pubmed, Embase, and Cochrane library databases were searched for eligible studies.For diagnostic meta-analysis, aggregate data (AD) and individual participant data (IPD) meta-analyses were both adopted. The sensitivity and specificity were pooled and a summary receiver-operating characteristic (ROC) curve was constructed. For prognostic meta-analysis, study-specific hazard ratios (HRs) of IL-6 for survival were summarized. Secondary analysis of survival data was performed to synthesize the Kaplan-Meier curves.Total 17 studies (including our study) were included in this meta-analysis. The pooled sensitivity, specificity, and area under curve (AUC) of serum IL-6 were 0.72 (95% CI: 0.46-0.88), 0.74 (95% CI: 0.56-0.86), and 0.79 (95% CI: 0.75-0.82) in CRC diagnosis, respectively. Further, IPD meta-analysis strengthened the diagnostic value of serum IL-6 (the AUC, sensitivity, and specificity were 0.794, 0.606, and 0.839, respectively). For prognostic analysis, the high serum level of IL-6 was inversely associated with overall survival (OS) (pooled HR = 1.76, 95% CI: 1.42-2.19, P &lt; 0.001) and disease-free survival (DFS) (pooled HR = 2.97, 95% CI: 1.76-5.01, P &lt; 0.001). The synthesized Kaplan-Meier curves indicated that CRC patients with higher serum IL-6 level had a worse OS (P = 0.0027) and DFS (P &lt; 0.001), which further support the prognostic value of serum IL-6 in CRC patients.The present study confirmed that serum IL-6 may be a potential biomarker for CRC diagnosis, and the high serum IL-6 level was associated with poor prognosis for both CRC overall survival and disease-free survival. The study has been registered in an international registry of systematic reviews PROSPERO (CRD42013006485).","author":[{"dropping-particle":"","family":"Xu","given":"Jinming","non-dropping-particle":"","parse-names":false,"suffix":""},{"dropping-particle":"","family":"Ye","given":"Yao","non-dropping-particle":"","parse-names":false,"suffix":""},{"dropping-particle":"","family":"Zhang","given":"Honghe","non-dropping-particle":"","parse-names":false,"suffix":""},{"dropping-particle":"","family":"Szmitkowski","given":"Maciej","non-dropping-particle":"","parse-names":false,"suffix":""},{"dropping-particle":"","family":"Mäkinen","given":"M. J.","non-dropping-particle":"","parse-names":false,"suffix":""},{"dropping-particle":"","family":"Li","given":"Peiwei","non-dropping-particle":"","parse-names":false,"suffix":""},{"dropping-particle":"","family":"Xia","given":"Dajing","non-dropping-particle":"","parse-names":false,"suffix":""},{"dropping-particle":"","family":"Yang","given":"Jun","non-dropping-particle":"","parse-names":false,"suffix":""},{"dropping-particle":"","family":"Wu","given":"Yihua","non-dropping-particle":"","parse-names":false,"suffix":""},{"dropping-particle":"","family":"Wu","given":"Han","non-dropping-particle":"","parse-names":false,"suffix":""}],"container-title":"Medicine","id":"ITEM-1","issue":"2","issued":{"date-parts":[["2016","1"]]},"page":"e2502","title":"Diagnostic and Prognostic Value of Serum Interleukin-6 in Colorectal Cancer.","type":"article-journal","volume":"95"},"uris":["http://www.mendeley.com/documents/?uuid=4608fcd7-14de-4e7b-8742-7c6bc5a80d48"]}],"mendeley":{"formattedCitation":"&lt;sup&gt;[23]&lt;/sup&gt;","plainTextFormattedCitation":"[23]","previouslyFormattedCitation":"&lt;sup&gt;[23]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[23]</w:t>
            </w:r>
            <w:r w:rsidRPr="00F06EA4">
              <w:rPr>
                <w:rFonts w:eastAsia="Calibri"/>
                <w:lang w:val="en-US"/>
              </w:rPr>
              <w:fldChar w:fldCharType="end"/>
            </w:r>
          </w:p>
        </w:tc>
      </w:tr>
      <w:tr w:rsidR="003E199B" w:rsidRPr="00F06EA4" w14:paraId="0185B73B" w14:textId="77777777" w:rsidTr="00D411BC">
        <w:trPr>
          <w:trHeight w:val="20"/>
        </w:trPr>
        <w:tc>
          <w:tcPr>
            <w:tcW w:w="2700" w:type="dxa"/>
          </w:tcPr>
          <w:p w14:paraId="1024B3F0" w14:textId="77777777" w:rsidR="003E199B" w:rsidRPr="00F06EA4" w:rsidRDefault="003E199B" w:rsidP="00F67ED8">
            <w:pPr>
              <w:spacing w:after="0"/>
              <w:contextualSpacing/>
              <w:rPr>
                <w:rFonts w:eastAsia="Calibri"/>
                <w:lang w:val="en-US"/>
              </w:rPr>
            </w:pPr>
            <w:r w:rsidRPr="00F06EA4">
              <w:rPr>
                <w:rFonts w:eastAsia="Calibri"/>
                <w:lang w:val="en-US"/>
              </w:rPr>
              <w:t>IL7</w:t>
            </w:r>
          </w:p>
        </w:tc>
        <w:tc>
          <w:tcPr>
            <w:tcW w:w="332" w:type="dxa"/>
          </w:tcPr>
          <w:p w14:paraId="6B17BE06"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8E1E318" w14:textId="77777777" w:rsidR="003E199B" w:rsidRPr="00F06EA4" w:rsidRDefault="003E199B" w:rsidP="00F67ED8">
            <w:pPr>
              <w:spacing w:after="0"/>
              <w:contextualSpacing/>
              <w:rPr>
                <w:rFonts w:eastAsia="Calibri"/>
                <w:lang w:val="en-US"/>
              </w:rPr>
            </w:pPr>
            <w:r w:rsidRPr="00F06EA4">
              <w:rPr>
                <w:rFonts w:eastAsia="Calibri"/>
                <w:lang w:val="en-US"/>
              </w:rPr>
              <w:t>Cytokine involved in lymphocyte maturation</w:t>
            </w:r>
          </w:p>
        </w:tc>
        <w:tc>
          <w:tcPr>
            <w:tcW w:w="2384" w:type="dxa"/>
          </w:tcPr>
          <w:p w14:paraId="5CD1CD62" w14:textId="77777777" w:rsidR="003E199B" w:rsidRPr="00F06EA4" w:rsidRDefault="003E199B" w:rsidP="00F67ED8">
            <w:pPr>
              <w:spacing w:after="0"/>
              <w:contextualSpacing/>
              <w:rPr>
                <w:rFonts w:eastAsia="Calibri"/>
                <w:lang w:val="en-US"/>
              </w:rPr>
            </w:pPr>
            <w:r w:rsidRPr="00F06EA4">
              <w:rPr>
                <w:rFonts w:eastAsia="Calibri"/>
                <w:lang w:val="en-US"/>
              </w:rPr>
              <w:t>Multiplex magnetic bead assay</w:t>
            </w:r>
          </w:p>
        </w:tc>
        <w:tc>
          <w:tcPr>
            <w:tcW w:w="1121" w:type="dxa"/>
          </w:tcPr>
          <w:p w14:paraId="77C1153F"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4558FA43" w14:textId="7C46E24F" w:rsidR="003E199B" w:rsidRPr="00F06EA4" w:rsidRDefault="003E199B" w:rsidP="00F67ED8">
            <w:pPr>
              <w:spacing w:after="0"/>
              <w:contextualSpacing/>
              <w:rPr>
                <w:rFonts w:eastAsia="Calibri"/>
                <w:lang w:val="fi-FI"/>
              </w:rPr>
            </w:pPr>
            <w:r w:rsidRPr="00F06EA4">
              <w:rPr>
                <w:rFonts w:eastAsia="Calibri"/>
                <w:lang w:val="en-US"/>
              </w:rPr>
              <w:t xml:space="preserve">Kantola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{"citationItems":[{"id":"ITEM-1","itemData":{"DOI":"10.1038/bjc.2012.456","ISSN":"1532-1827","PMID":"23059742","abstract":"BACKGROUND Inflammation contributes to the pathogenesis of colorectal cancer (CRC), and cytokine levels are altered during colorectal carcinogenesis. METHODS The serum levels of 13 cytokines and their relation to clinical and pathological parameters, and systemic inflammatory response (mGPS, CRP and neutrophil-lymphocyte ratio), were analysed from a prospective series of 148 CRC patients and 86 healthy age- and sex-matched controls. RESULTS CRC patients had higher serum platelet-derived growth factor, interleukin (IL)-6, IL-7, and IL-8 levels and lower monocyte chemotactic protein-1 (MCP-1) levels than the controls. A logistic regression model for discriminating the patients from the controls - including the five most predictive cytokines (high IL-8, high IL-6, low MCP-1, low IL-1ra, and low IP-10) - yielded an area under curve value of 0.890 in receiver operating characteristics analysis. Serum cytokines showed distinct correlation with other markers of systemic inflammatory response, and advanced CRCs were associated with higher levels of IL-8, IL-1ra, and IL-6. A metastasised disease was accompanied by an orientation towards Th2 cytokine milieu. CONCLUSION CRC is associated with extensive alterations in serum cytokine environment, highlighting the importance of studying relative cytokine level alterations. Serum cytokine profile shows promise in separating CRC patients from healthy controls but its clinical value is yet to be confirmed.","author":[{"dropping-particle":"","family":"Kantola","given":"T.","non-dropping-particle":"","parse-names":false,"suffix":""},{"dropping-particle":"","family":"Klintrup","given":"K.","non-dropping-particle":"","parse-names":false,"suffix":""},{"dropping-particle":"","family":"Väyrynen","given":"J.P.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J. J","non-dropping-particle":"","parse-names":false,"suffix":""},{"dropping-particle":"","family":"Tuomisto","given":"A.","non-dropping-particle":"","parse-names":false,"suffix":""},{"dropping-particle":"","family":"Mäkinen","given":"M.J. J","non-dropping-particle":"","parse-names":false,"suffix":""}],"container-title":"British journal of cancer","id":"ITEM-1","issue":"10","issued":{"date-parts":[["2012","11","6"]]},"page":"1729-36","title":"Stage-dependent alterations of the serum cytokine pattern in colorectal carcinoma.","type":"article-journal","volume":"107"},"uris":["http://www.mendeley.com/documents/?uuid=269bf46a-8d7f-4e7f-b7a0-75f33bcfe550"]}],"mendeley":{"formattedCitation":"&lt;sup&gt;[18]&lt;/sup&gt;","plainTextFormattedCitation":"[18]","previouslyFormattedCitation":"&lt;sup&gt;[18]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[18]</w:t>
            </w:r>
            <w:r w:rsidRPr="00F06EA4">
              <w:rPr>
                <w:rFonts w:eastAsia="Calibri"/>
                <w:lang w:val="en-US"/>
              </w:rPr>
              <w:fldChar w:fldCharType="end"/>
            </w:r>
          </w:p>
        </w:tc>
      </w:tr>
      <w:tr w:rsidR="003E199B" w:rsidRPr="00F06EA4" w14:paraId="1AC5860D" w14:textId="77777777" w:rsidTr="00D411BC">
        <w:trPr>
          <w:trHeight w:val="20"/>
        </w:trPr>
        <w:tc>
          <w:tcPr>
            <w:tcW w:w="2700" w:type="dxa"/>
          </w:tcPr>
          <w:p w14:paraId="01D31294" w14:textId="77777777" w:rsidR="003E199B" w:rsidRPr="00F06EA4" w:rsidRDefault="003E199B" w:rsidP="00F67ED8">
            <w:pPr>
              <w:spacing w:after="0"/>
              <w:contextualSpacing/>
              <w:rPr>
                <w:rFonts w:eastAsia="Calibri"/>
                <w:lang w:val="fi-FI"/>
              </w:rPr>
            </w:pPr>
            <w:r w:rsidRPr="00F06EA4">
              <w:rPr>
                <w:rFonts w:eastAsia="Calibri"/>
                <w:lang w:val="fi-FI"/>
              </w:rPr>
              <w:t>IL17A</w:t>
            </w:r>
          </w:p>
        </w:tc>
        <w:tc>
          <w:tcPr>
            <w:tcW w:w="332" w:type="dxa"/>
          </w:tcPr>
          <w:p w14:paraId="197C5777" w14:textId="77777777" w:rsidR="003E199B" w:rsidRPr="00F06EA4" w:rsidRDefault="003E199B" w:rsidP="00F67ED8">
            <w:pPr>
              <w:spacing w:after="0"/>
              <w:contextualSpacing/>
              <w:rPr>
                <w:rFonts w:eastAsia="Calibri"/>
                <w:lang w:val="fi-FI"/>
              </w:rPr>
            </w:pPr>
            <w:r w:rsidRPr="00F06EA4">
              <w:rPr>
                <w:rFonts w:eastAsia="Calibri"/>
                <w:lang w:val="fi-FI"/>
              </w:rPr>
              <w:t>↑</w:t>
            </w:r>
          </w:p>
        </w:tc>
        <w:tc>
          <w:tcPr>
            <w:tcW w:w="2162" w:type="dxa"/>
          </w:tcPr>
          <w:p w14:paraId="523428D6" w14:textId="77777777" w:rsidR="003E199B" w:rsidRPr="00F06EA4" w:rsidRDefault="003E199B" w:rsidP="00F67ED8">
            <w:pPr>
              <w:spacing w:after="0"/>
              <w:contextualSpacing/>
              <w:rPr>
                <w:rFonts w:eastAsia="Calibri"/>
                <w:lang w:val="fi-FI"/>
              </w:rPr>
            </w:pPr>
            <w:r w:rsidRPr="00F06EA4">
              <w:rPr>
                <w:rFonts w:eastAsia="Calibri"/>
                <w:lang w:val="fi-FI"/>
              </w:rPr>
              <w:t>Proinflammatory cytokine</w:t>
            </w:r>
          </w:p>
        </w:tc>
        <w:tc>
          <w:tcPr>
            <w:tcW w:w="2384" w:type="dxa"/>
          </w:tcPr>
          <w:p w14:paraId="360F7891" w14:textId="77777777" w:rsidR="003E199B" w:rsidRPr="00F06EA4" w:rsidRDefault="003E199B" w:rsidP="00F67ED8">
            <w:pPr>
              <w:spacing w:after="0"/>
              <w:contextualSpacing/>
              <w:rPr>
                <w:rFonts w:eastAsia="Calibri"/>
                <w:lang w:val="fi-FI"/>
              </w:rPr>
            </w:pPr>
            <w:r w:rsidRPr="00F06EA4">
              <w:rPr>
                <w:rFonts w:eastAsia="Calibri"/>
                <w:lang w:val="fi-FI"/>
              </w:rPr>
              <w:t>meta-analysis</w:t>
            </w:r>
          </w:p>
        </w:tc>
        <w:tc>
          <w:tcPr>
            <w:tcW w:w="1121" w:type="dxa"/>
          </w:tcPr>
          <w:p w14:paraId="0A91142B" w14:textId="77777777" w:rsidR="003E199B" w:rsidRPr="00F06EA4" w:rsidRDefault="003E199B" w:rsidP="00F67ED8">
            <w:pPr>
              <w:spacing w:after="0"/>
              <w:contextualSpacing/>
              <w:rPr>
                <w:rFonts w:eastAsia="Calibri"/>
                <w:lang w:val="fi-FI"/>
              </w:rPr>
            </w:pPr>
            <w:r w:rsidRPr="00F06EA4">
              <w:rPr>
                <w:rFonts w:eastAsia="Calibri"/>
                <w:lang w:val="fi-FI"/>
              </w:rPr>
              <w:t>serum</w:t>
            </w:r>
          </w:p>
        </w:tc>
        <w:tc>
          <w:tcPr>
            <w:tcW w:w="1365" w:type="dxa"/>
          </w:tcPr>
          <w:p w14:paraId="7ABF5FA7" w14:textId="04C607A3" w:rsidR="003E199B" w:rsidRPr="00F06EA4" w:rsidRDefault="003E199B" w:rsidP="00F67ED8">
            <w:pPr>
              <w:spacing w:after="0"/>
              <w:contextualSpacing/>
              <w:rPr>
                <w:rFonts w:eastAsia="Calibri"/>
                <w:lang w:val="en-US"/>
              </w:rPr>
            </w:pPr>
            <w:r w:rsidRPr="00F06EA4">
              <w:rPr>
                <w:rFonts w:eastAsia="Calibri"/>
                <w:lang w:val="fi-FI"/>
              </w:rPr>
              <w:t xml:space="preserve">Yan </w:t>
            </w:r>
            <w:r w:rsidR="0020070C" w:rsidRPr="0020070C">
              <w:rPr>
                <w:rFonts w:eastAsia="Calibri"/>
                <w:i/>
                <w:iCs/>
                <w:lang w:val="fi-FI"/>
              </w:rPr>
              <w:t>et al</w:t>
            </w:r>
            <w:r w:rsidRPr="00F06EA4">
              <w:rPr>
                <w:rFonts w:eastAsia="Calibri"/>
                <w:lang w:val="en-US"/>
              </w:rPr>
              <w:fldChar w:fldCharType="begin" w:fldLock="1"/>
            </w:r>
            <w:r w:rsidR="000A0431" w:rsidRPr="00F06EA4">
              <w:rPr>
                <w:rFonts w:eastAsia="Calibri"/>
                <w:lang w:val="fi-FI"/>
              </w:rPr>
              <w:instrText>ADDIN CSL_CITATION {"citationItems":[{"id":"ITEM-1","itemData":{"ISSN":"1165-158X","PMID":"29808807","abstract":"Studies suggest that inflammation is involved in the colorectal cancer (CRC) pathology and symptoms. This study sought to quantitatively summarize the clinical cytokine data. Multiple reports have described the proportion of Th17 cells in peripheral blood and serum levels of Th17-related cytokines in patients with colorectal cancer (CRC). To clarify the status of Th17 cells and Th17-related cytokines in CRC patients, we did a meta-analysis of the results published previously to quantitatively assess the levels of peripheral Th17 cells and serum Th17-related cytokines in patients with CRC. We searched PubMed, Embase, web of Science, Cochrane Library and China National Knowledge Infrastructure (CNKI) systematically for studies reporting the proportion of Th17 cells and the serum levels of Th17-related cytokines (IL-17, IL-17A, IL-6, IL-22, IL-23) in CRC patients. Studies measuring the proportion of Th17 cells and the serum levels of Th17-related cytokines (IL-17, IL-17A, IL-6, IL-22, IL-23) in CRC and healthy control subjects were included. Mean (standard deviation) proportion of Th17 cells and cytokine concentrations for CRC and control subjects were extracted. We assessed pooled data by using a random-effects model. We identified 1276 studies, of which 24 studies were included in the final meta-analytical processes. The quality was reliable according to the Newcastle-Ottawa Quality Assessment Scale (Case Control Studies). Compared with control subjects, CRC patients had a higher proportion of Th17 cells [2.37%, (0.53, 2.21)]; an elevated levels of serum IL-17A 1.11 pg./ml, 95%CI (0.16-2.07); an elevated levels of serum IL-6 3.42 pg/ml, 95%CI (3.14-3.70); an elevated levels of serum IL-22 1.32 pg/ml, 95%CI (0.94-1.70); an elevated levels of serum IL-23 0.16pg/ml, 95%CI(1.94-5.39). After sensitivity analysis, an elevated level of serum IL-17 was showed. The data showed that the proportion of Th17 cells in PB and levels of serum IL-17, IL-17A, IL-6, IL-22, IL-23 increased among CR</w:instrText>
            </w:r>
            <w:r w:rsidR="000A0431" w:rsidRPr="00F06EA4">
              <w:rPr>
                <w:rFonts w:eastAsia="Calibri"/>
                <w:lang w:val="en-US"/>
              </w:rPr>
              <w:instrText>C patients compared to control subjects. This result demonstrated that Th17 cells and Th17-related cytokines may be involved in the pathogenic mechanisms of CRC.","author":[{"dropping-particle":"","family":"Yan","given":"Guoqiang","non-dropping-particle":"","parse-names":false,"suffix":""},{"dropping-particle":"","family":"Liu","given":"Tao","non-dropping-particle":"","parse-names":false,"suffix":""},{"dropping-particle":"","family":"Yin","given":"Libin","non-dropping-particle":"","parse-names":false,"suffix":""},{"dropping-particle":"","family":"Kang","given":"Zhenhua","non-dropping-particle":"","parse-names":false,"suffix":""},{"dropping-particle":"","family":"Wang","given":"Lei","non-dropping-particle":"","parse-names":false,"suffix":""}],"container-title":"Cellular and molecular biology (Noisy-le-Grand, France)","id":"ITEM-1","issue":"6","issued":{"date-parts":[["2018"]]},"page":"94-102","title":"Levels of peripheral Th17 cells and serum Th17-related cytokines in patients with colorectal cancer: a meta-analysis.","type":"article-journal","volume":"64"},"uris":["http://www.mendeley.com/documents/?uuid=90308581-466a-33a3-85bc-bb3495787250","http://www.mendeley.com/documents/?uuid=b882b0c9-1e2f-415c-b5cf-a7ef78381584"]}],"mendeley":{"formattedCitation":"&lt;sup&gt;[160]&lt;/sup&gt;","plainTextFormattedCitation":"[160]","previouslyFormattedCitation":"&lt;sup&gt;[160]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[160]</w:t>
            </w:r>
            <w:r w:rsidRPr="00F06EA4">
              <w:rPr>
                <w:rFonts w:eastAsia="Calibri"/>
                <w:lang w:val="en-US"/>
              </w:rPr>
              <w:fldChar w:fldCharType="end"/>
            </w:r>
          </w:p>
        </w:tc>
      </w:tr>
      <w:tr w:rsidR="003E199B" w:rsidRPr="00F06EA4" w14:paraId="375D2AD3" w14:textId="77777777" w:rsidTr="00D411BC">
        <w:trPr>
          <w:trHeight w:val="20"/>
        </w:trPr>
        <w:tc>
          <w:tcPr>
            <w:tcW w:w="2700" w:type="dxa"/>
          </w:tcPr>
          <w:p w14:paraId="26B46848" w14:textId="77777777" w:rsidR="003E199B" w:rsidRPr="00F06EA4" w:rsidRDefault="003E199B" w:rsidP="00F67ED8">
            <w:pPr>
              <w:spacing w:after="0"/>
              <w:contextualSpacing/>
              <w:rPr>
                <w:rFonts w:eastAsia="Calibri"/>
                <w:lang w:val="en-US"/>
              </w:rPr>
            </w:pPr>
            <w:r w:rsidRPr="00F06EA4">
              <w:rPr>
                <w:rFonts w:eastAsia="Calibri"/>
                <w:lang w:val="en-US"/>
              </w:rPr>
              <w:t>IL22</w:t>
            </w:r>
          </w:p>
        </w:tc>
        <w:tc>
          <w:tcPr>
            <w:tcW w:w="332" w:type="dxa"/>
          </w:tcPr>
          <w:p w14:paraId="7211578A"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1E582A9E" w14:textId="77777777" w:rsidR="003E199B" w:rsidRPr="00F06EA4" w:rsidRDefault="003E199B" w:rsidP="00F67ED8">
            <w:pPr>
              <w:spacing w:after="0"/>
              <w:contextualSpacing/>
              <w:rPr>
                <w:rFonts w:eastAsia="Calibri"/>
                <w:lang w:val="en-US"/>
              </w:rPr>
            </w:pPr>
            <w:r w:rsidRPr="00F06EA4">
              <w:rPr>
                <w:rFonts w:eastAsia="Calibri"/>
                <w:lang w:val="en-US"/>
              </w:rPr>
              <w:t>Cytokine contributing to tissue homeostasis</w:t>
            </w:r>
          </w:p>
        </w:tc>
        <w:tc>
          <w:tcPr>
            <w:tcW w:w="2384" w:type="dxa"/>
          </w:tcPr>
          <w:p w14:paraId="3767AF03" w14:textId="77777777" w:rsidR="003E199B" w:rsidRPr="00F06EA4" w:rsidRDefault="003E199B" w:rsidP="00F67ED8">
            <w:pPr>
              <w:spacing w:after="0"/>
              <w:contextualSpacing/>
              <w:rPr>
                <w:rFonts w:eastAsia="Calibri"/>
                <w:lang w:val="en-US"/>
              </w:rPr>
            </w:pPr>
            <w:r w:rsidRPr="00F06EA4">
              <w:rPr>
                <w:rFonts w:eastAsia="Calibri"/>
                <w:lang w:val="en-US"/>
              </w:rPr>
              <w:t>meta-analysis</w:t>
            </w:r>
          </w:p>
        </w:tc>
        <w:tc>
          <w:tcPr>
            <w:tcW w:w="1121" w:type="dxa"/>
          </w:tcPr>
          <w:p w14:paraId="1FB1E819"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0721D10A" w14:textId="23CB90D7" w:rsidR="003E199B" w:rsidRPr="00F06EA4" w:rsidRDefault="003E199B" w:rsidP="00F67ED8">
            <w:pPr>
              <w:spacing w:after="0"/>
              <w:contextualSpacing/>
              <w:rPr>
                <w:rFonts w:eastAsia="Calibri"/>
                <w:lang w:val="fi-FI"/>
              </w:rPr>
            </w:pPr>
            <w:r w:rsidRPr="00F06EA4">
              <w:rPr>
                <w:rFonts w:eastAsia="Calibri"/>
                <w:lang w:val="en-US"/>
              </w:rPr>
              <w:t xml:space="preserve">Yan </w:t>
            </w:r>
            <w:r w:rsidR="0020070C" w:rsidRPr="0020070C">
              <w:rPr>
                <w:rFonts w:eastAsia="Calibri"/>
                <w:i/>
                <w:iCs/>
                <w:lang w:val="en-US"/>
              </w:rPr>
              <w:t>et al</w:t>
            </w:r>
            <w:r w:rsidRPr="00F06EA4">
              <w:rPr>
                <w:rFonts w:eastAsia="Calibri"/>
                <w:lang w:val="en-US"/>
              </w:rPr>
              <w:fldChar w:fldCharType="begin" w:fldLock="1"/>
            </w:r>
            <w:r w:rsidR="000A0431" w:rsidRPr="00F06EA4">
              <w:rPr>
                <w:rFonts w:eastAsia="Calibri"/>
                <w:lang w:val="en-US"/>
              </w:rPr>
              <w:instrText>ADDIN CSL_CITATION {"citationItems":[{"id":"ITEM-1","itemData":{"ISSN":"1165-158X","PMID":"29808807","abstract":"Studies suggest that inflammation is involved in the colorectal cancer (CRC) pathology and symptoms. This study sought to quantitatively summarize the clinical cytokine data. Multiple reports have described the proportion of Th17 cells in peripheral blood and serum levels of Th17-related cytokines in patients with colorectal cancer (CRC). To clarify the status of Th17 cells and Th17-related cytokines in CRC patients, we did a meta-analysis of the results published previously to quantitatively assess the levels of peripheral Th17 cells and serum Th17-related cytokines in patients with CRC. We searched PubMed, Embase, web of Science, Cochrane Library and China National Knowledge Infrastructure (CNKI) systematically for studies reporting the proportion of Th17 cells and the serum levels of Th17-related cytokines (IL-17, IL-17A, IL-6, IL-22, IL-23) in CRC patients. Studies measuring the proportion of Th17 cells and the serum levels of Th17-related cytokines (IL-17, IL-17A, IL-6, IL-22, IL-23) in CRC and healthy control subjects were included. Mean (standard deviation) proportion of Th17 cells and cytokine concentrations for CRC and control subjects were extracted. We assessed pooled data by using a random-effects model. We identified 1276 studies, of which 24 studies were included in the final meta-analytical processes. The quality was reliable according to the Newcastle-Ottawa Quality Assessment Scale (Case Control Studies). Compared with control subjects, CRC patients had a higher proportion of Th17 cells [2.37%, (0.53, 2.21)]; an elevated levels of serum IL-17A 1.11 pg./ml, 95%CI (0.16-2.07); an elevated levels of serum IL-6 3.42 pg/ml, 95%CI (3.14-3.70); an elevated levels of serum IL-22 1.32 pg/ml, 95%CI (0.94-1.70); an elevated levels of serum IL-23 0.16pg/ml, 95%CI(1.94-5.39). After sensitivity analysis, an elevated level of serum IL-17 was showed. The data showed that the proportion of Th17 cells in PB and levels of serum IL-17, IL-17A, IL-6, IL-22, IL-23 increased among CRC patients compared to control subjects. This result demonstrated that Th17 cells and Th17-related cytokines may be involved in the pathogenic mechanisms of CRC.","author":[{"dropping-particle":"","family":"Yan","given":"Guoqiang","non-dropping-particle":"","parse-names":false,"suffix":""},{"dropping-particle":"","family":"Liu","given":"Tao","non-dropping-particle":"","parse-names":false,"suffix":""},{"dropping-particle":"","family":"Yin","given":"Libin","non-dropping-particle":"","parse-names":false,"suffix":""},{"dropping-particle":"","family":"Kang","given":"Zhenhua","non-dropping-particle":"","parse-names":false,"suffix":""},{"dropping-particle":"","family":"Wang","given":"Lei","non-dropping-particle":"","parse-names":false,"suffix":""}],"container-title":"Cellular and molecular biology (Noisy-le-Grand, France)","id":"ITEM-1","issue":"6","issued":{"date-parts":[["2018"]]},"page":"94-102","title":"Levels of peripheral Th17 cells and serum Th17-related cytokines in patients with colorectal cancer: a meta-analysis.","type":"article-journal","volume":"64"},"uris":["http://www.mendeley.com/documents/?uuid=b882b0c9-1e2f-415c-b5cf-a7ef78381584","http://www.mendeley.com/documents/?uuid=90308581-466a-33a3-85bc-bb3495787250"]}],"mendeley":{"formattedCitation":"&lt;sup&gt;[160]&lt;/sup&gt;","plainTextFormattedCitation":"[160]","previouslyFormattedCitation":"&lt;sup&gt;[160]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[160]</w:t>
            </w:r>
            <w:r w:rsidRPr="00F06EA4">
              <w:rPr>
                <w:rFonts w:eastAsia="Calibri"/>
                <w:lang w:val="en-US"/>
              </w:rPr>
              <w:fldChar w:fldCharType="end"/>
            </w:r>
          </w:p>
        </w:tc>
      </w:tr>
      <w:tr w:rsidR="003E199B" w:rsidRPr="00F06EA4" w14:paraId="193E0BB6" w14:textId="77777777" w:rsidTr="00D411BC">
        <w:trPr>
          <w:trHeight w:val="20"/>
        </w:trPr>
        <w:tc>
          <w:tcPr>
            <w:tcW w:w="2700" w:type="dxa"/>
          </w:tcPr>
          <w:p w14:paraId="0C40B15B" w14:textId="77777777" w:rsidR="003E199B" w:rsidRPr="00F06EA4" w:rsidRDefault="003E199B" w:rsidP="00F67ED8">
            <w:pPr>
              <w:spacing w:after="0"/>
              <w:contextualSpacing/>
              <w:rPr>
                <w:rFonts w:eastAsia="Calibri"/>
                <w:lang w:val="fi-FI"/>
              </w:rPr>
            </w:pPr>
            <w:r w:rsidRPr="00F06EA4">
              <w:rPr>
                <w:rFonts w:eastAsia="Calibri"/>
                <w:lang w:val="fi-FI"/>
              </w:rPr>
              <w:t>IL23</w:t>
            </w:r>
          </w:p>
        </w:tc>
        <w:tc>
          <w:tcPr>
            <w:tcW w:w="332" w:type="dxa"/>
          </w:tcPr>
          <w:p w14:paraId="28E0953A" w14:textId="77777777" w:rsidR="003E199B" w:rsidRPr="00F06EA4" w:rsidRDefault="003E199B" w:rsidP="00F67ED8">
            <w:pPr>
              <w:spacing w:after="0"/>
              <w:contextualSpacing/>
              <w:rPr>
                <w:rFonts w:eastAsia="Calibri"/>
                <w:lang w:val="fi-FI"/>
              </w:rPr>
            </w:pPr>
            <w:r w:rsidRPr="00F06EA4">
              <w:rPr>
                <w:rFonts w:eastAsia="Calibri"/>
                <w:lang w:val="fi-FI"/>
              </w:rPr>
              <w:t>↑</w:t>
            </w:r>
          </w:p>
        </w:tc>
        <w:tc>
          <w:tcPr>
            <w:tcW w:w="2162" w:type="dxa"/>
          </w:tcPr>
          <w:p w14:paraId="4AC98924" w14:textId="77777777" w:rsidR="003E199B" w:rsidRPr="00F06EA4" w:rsidRDefault="003E199B" w:rsidP="00F67ED8">
            <w:pPr>
              <w:spacing w:after="0"/>
              <w:contextualSpacing/>
              <w:rPr>
                <w:rFonts w:eastAsia="Calibri"/>
                <w:lang w:val="fi-FI"/>
              </w:rPr>
            </w:pPr>
            <w:r w:rsidRPr="00F06EA4">
              <w:rPr>
                <w:rFonts w:eastAsia="Calibri"/>
                <w:lang w:val="fi-FI"/>
              </w:rPr>
              <w:t>Proinflammatory cytokine</w:t>
            </w:r>
          </w:p>
        </w:tc>
        <w:tc>
          <w:tcPr>
            <w:tcW w:w="2384" w:type="dxa"/>
          </w:tcPr>
          <w:p w14:paraId="309F1753" w14:textId="77777777" w:rsidR="003E199B" w:rsidRPr="00F06EA4" w:rsidRDefault="003E199B" w:rsidP="00F67ED8">
            <w:pPr>
              <w:spacing w:after="0"/>
              <w:contextualSpacing/>
              <w:rPr>
                <w:rFonts w:eastAsia="Calibri"/>
                <w:lang w:val="fi-FI"/>
              </w:rPr>
            </w:pPr>
            <w:r w:rsidRPr="00F06EA4">
              <w:rPr>
                <w:rFonts w:eastAsia="Calibri"/>
                <w:lang w:val="fi-FI"/>
              </w:rPr>
              <w:t>meta-analysis</w:t>
            </w:r>
          </w:p>
        </w:tc>
        <w:tc>
          <w:tcPr>
            <w:tcW w:w="1121" w:type="dxa"/>
          </w:tcPr>
          <w:p w14:paraId="624E9E8C" w14:textId="77777777" w:rsidR="003E199B" w:rsidRPr="00F06EA4" w:rsidRDefault="003E199B" w:rsidP="00F67ED8">
            <w:pPr>
              <w:spacing w:after="0"/>
              <w:contextualSpacing/>
              <w:rPr>
                <w:rFonts w:eastAsia="Calibri"/>
                <w:lang w:val="fi-FI"/>
              </w:rPr>
            </w:pPr>
            <w:r w:rsidRPr="00F06EA4">
              <w:rPr>
                <w:rFonts w:eastAsia="Calibri"/>
                <w:lang w:val="fi-FI"/>
              </w:rPr>
              <w:t>serum</w:t>
            </w:r>
          </w:p>
        </w:tc>
        <w:tc>
          <w:tcPr>
            <w:tcW w:w="1365" w:type="dxa"/>
          </w:tcPr>
          <w:p w14:paraId="7D254110" w14:textId="7C323580" w:rsidR="003E199B" w:rsidRPr="00F06EA4" w:rsidRDefault="003E199B" w:rsidP="00F67ED8">
            <w:pPr>
              <w:spacing w:after="0"/>
              <w:contextualSpacing/>
              <w:rPr>
                <w:rFonts w:eastAsia="Calibri"/>
                <w:lang w:val="en-US"/>
              </w:rPr>
            </w:pPr>
            <w:r w:rsidRPr="00F06EA4">
              <w:rPr>
                <w:rFonts w:eastAsia="Calibri"/>
                <w:lang w:val="fi-FI"/>
              </w:rPr>
              <w:t xml:space="preserve">Yan </w:t>
            </w:r>
            <w:r w:rsidR="0020070C" w:rsidRPr="0020070C">
              <w:rPr>
                <w:rFonts w:eastAsia="Calibri"/>
                <w:i/>
                <w:iCs/>
                <w:lang w:val="fi-FI"/>
              </w:rPr>
              <w:t>et al</w:t>
            </w:r>
            <w:r w:rsidRPr="00F06EA4">
              <w:rPr>
                <w:rFonts w:eastAsia="Calibri"/>
                <w:lang w:val="en-US"/>
              </w:rPr>
              <w:fldChar w:fldCharType="begin" w:fldLock="1"/>
            </w:r>
            <w:r w:rsidR="000A0431" w:rsidRPr="00F06EA4">
              <w:rPr>
                <w:rFonts w:eastAsia="Calibri"/>
                <w:lang w:val="fi-FI"/>
              </w:rPr>
              <w:instrText>ADDIN CSL_CITATION {"citationItems":[{"id":"ITEM-1","itemData":{"ISSN":"1165-158X","PMID":"29808807","abstract":"Studies suggest that inflammation is involved in the colorectal cancer (CRC) pathology and symptoms. This study sought to quantitatively summarize the clinical cytokine data. Multiple reports have described the proportion of Th17 cells in peripheral blood and serum levels of Th17-related cytokines in patients with colorectal cancer (CRC). To clarify the status of Th17 cells and Th17-related cytokines in CRC patients, we did a meta-analysis of the results published previously to quantitatively assess the levels of peripheral Th17 cells and serum Th17-related cytokines in patients with CRC. We searched PubMed, Embase, web of Science, Cochrane Library and China National Knowledge Infrastructure (CNKI) systematically for studies reporting the proportion of Th17 cells and the serum levels of Th17-related cytokines (IL-17, IL-17A, IL-6, IL-22, IL-23) in CRC patients. Studies measuring the proportion of Th17 cells and the serum levels of Th17-related cytokines (IL-17, IL-17A, IL-6, IL-22, IL-23) in CRC and healthy control subjects were included. Mean (standard deviation) proportion of Th17 cells and cytokine concentrations for CRC and control subjects were extracted. We assessed pooled data by using a random-effects model. We identified 1276 studies, of which 24 studies were included in the final meta-analytical processes. The quality was reliable according to the Newcastle-Ottawa Quality Assessment Scale (Case Control Studies). Compared with control subjects, CRC patients had a higher proportion of Th17 cells [2.37%, (0.53, 2.21)]; an elevated levels of serum IL-17A 1.11 pg./ml, 95%CI (0.16-2.07); an elevated levels of serum IL-6 3.42 pg/ml, 95%CI (3.14-3.70); an elevated levels of serum IL-22 1.32 pg/ml, 95%CI (0.94-1.70); an elevated levels of serum IL-23 0.16pg/ml, 95%CI(1.94-5.39). After sensitivity analysis, an elevated level of serum IL-17 was showed. The data showed that the proportion of Th17 cells in PB and levels of serum IL-17, IL-17A, IL-6, IL-22, IL-23 increased among CR</w:instrText>
            </w:r>
            <w:r w:rsidR="000A0431" w:rsidRPr="00F06EA4">
              <w:rPr>
                <w:rFonts w:eastAsia="Calibri"/>
                <w:lang w:val="en-US"/>
              </w:rPr>
              <w:instrText>C patients compared to control subjects. This result demonstrated that Th17 cells and Th17-related cytokines may be involved in the pathogenic mechanisms of CRC.","author":[{"dropping-particle":"","family":"Yan","given":"Guoqiang","non-dropping-particle":"","parse-names":false,"suffix":""},{"dropping-particle":"","family":"Liu","given":"Tao","non-dropping-particle":"","parse-names":false,"suffix":""},{"dropping-particle":"","family":"Yin","given":"Libin","non-dropping-particle":"","parse-names":false,"suffix":""},{"dropping-particle":"","family":"Kang","given":"Zhenhua","non-dropping-particle":"","parse-names":false,"suffix":""},{"dropping-particle":"","family":"Wang","given":"Lei","non-dropping-particle":"","parse-names":false,"suffix":""}],"container-title":"Cellular and molecular biology (Noisy-le-Grand, France)","id":"ITEM-1","issue":"6","issued":{"date-parts":[["2018"]]},"page":"94-102","title":"Levels of peripheral Th17 cells and serum Th17-related cytokines in patients with colorectal cancer: a meta-analysis.","type":"article-journal","volume":"64"},"uris":["http://www.mendeley.com/documents/?uuid=b882b0c9-1e2f-415c-b5cf-a7ef78381584","http://www.mendeley.com/documents/?uuid=90308581-466a-33a3-85bc-bb3495787250"]}],"mendeley":{"formattedCitation":"&lt;sup&gt;[160]&lt;/sup&gt;","plainTextFormattedCitation":"[160]","previouslyFormattedCitation":"&lt;sup&gt;[160]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[160]</w:t>
            </w:r>
            <w:r w:rsidRPr="00F06EA4">
              <w:rPr>
                <w:rFonts w:eastAsia="Calibri"/>
                <w:lang w:val="en-US"/>
              </w:rPr>
              <w:fldChar w:fldCharType="end"/>
            </w:r>
          </w:p>
        </w:tc>
      </w:tr>
      <w:tr w:rsidR="003E199B" w:rsidRPr="00F06EA4" w14:paraId="40685294" w14:textId="77777777" w:rsidTr="00D411BC">
        <w:trPr>
          <w:trHeight w:val="20"/>
        </w:trPr>
        <w:tc>
          <w:tcPr>
            <w:tcW w:w="2700" w:type="dxa"/>
          </w:tcPr>
          <w:p w14:paraId="7C53F332" w14:textId="77777777" w:rsidR="003E199B" w:rsidRPr="00F06EA4" w:rsidRDefault="003E199B" w:rsidP="00F67ED8">
            <w:pPr>
              <w:spacing w:after="0"/>
              <w:contextualSpacing/>
              <w:rPr>
                <w:rFonts w:eastAsia="Calibri"/>
                <w:lang w:val="en-US"/>
              </w:rPr>
            </w:pPr>
            <w:r w:rsidRPr="00F06EA4">
              <w:rPr>
                <w:rFonts w:eastAsia="Calibri"/>
                <w:lang w:val="en-US"/>
              </w:rPr>
              <w:t>CCL2</w:t>
            </w:r>
          </w:p>
        </w:tc>
        <w:tc>
          <w:tcPr>
            <w:tcW w:w="332" w:type="dxa"/>
          </w:tcPr>
          <w:p w14:paraId="3BA5BA34"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5FE52C3D" w14:textId="77777777" w:rsidR="003E199B" w:rsidRPr="00F06EA4" w:rsidRDefault="003E199B" w:rsidP="00F67ED8">
            <w:pPr>
              <w:spacing w:after="0"/>
              <w:contextualSpacing/>
              <w:rPr>
                <w:rFonts w:eastAsia="Calibri"/>
                <w:lang w:val="en-US"/>
              </w:rPr>
            </w:pPr>
            <w:r w:rsidRPr="00F06EA4">
              <w:rPr>
                <w:rFonts w:eastAsia="Calibri"/>
                <w:lang w:val="en-US"/>
              </w:rPr>
              <w:t>Recruitment of monocytes and macrophages</w:t>
            </w:r>
          </w:p>
        </w:tc>
        <w:tc>
          <w:tcPr>
            <w:tcW w:w="2384" w:type="dxa"/>
          </w:tcPr>
          <w:p w14:paraId="75DF07B5" w14:textId="77777777" w:rsidR="003E199B" w:rsidRPr="00F06EA4" w:rsidRDefault="003E199B" w:rsidP="00F67ED8">
            <w:pPr>
              <w:spacing w:after="0"/>
              <w:contextualSpacing/>
              <w:rPr>
                <w:rFonts w:eastAsia="Calibri"/>
                <w:lang w:val="en-US"/>
              </w:rPr>
            </w:pPr>
            <w:r w:rsidRPr="00F06EA4">
              <w:rPr>
                <w:rFonts w:eastAsia="Calibri"/>
                <w:lang w:val="en-US"/>
              </w:rPr>
              <w:t>Multiplex magnetic bead assay</w:t>
            </w:r>
          </w:p>
        </w:tc>
        <w:tc>
          <w:tcPr>
            <w:tcW w:w="1121" w:type="dxa"/>
          </w:tcPr>
          <w:p w14:paraId="0837AC02"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5ACE88F0" w14:textId="0492503B" w:rsidR="003E199B" w:rsidRPr="00F06EA4" w:rsidRDefault="003E199B" w:rsidP="00F67ED8">
            <w:pPr>
              <w:spacing w:after="0"/>
              <w:contextualSpacing/>
              <w:rPr>
                <w:rFonts w:eastAsia="Calibri"/>
                <w:lang w:val="en-US"/>
              </w:rPr>
            </w:pPr>
            <w:r w:rsidRPr="00F06EA4">
              <w:rPr>
                <w:rFonts w:eastAsia="Calibri"/>
                <w:lang w:val="en-US"/>
              </w:rPr>
              <w:t xml:space="preserve">Kantola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{"citationItems":[{"id":"ITEM-1","itemData":{"DOI":"10.1038/bjc.2012.456","ISSN":"1532-1827","PMID":"23059742","abstract":"BACKGROUND Inflammation contributes to the pathogenesis of colorectal cancer (CRC), and cytokine levels are altered during colorectal carcinogenesis. METHODS The serum levels of 13 cytokines and their relation to clinical and pathological parameters, and systemic inflammatory response (mGPS, CRP and neutrophil-lymphocyte ratio), were analysed from a prospective series of 148 CRC patients and 86 healthy age- and sex-matched controls. RESULTS CRC patients had higher serum platelet-derived growth factor, interleukin (IL)-6, IL-7, and IL-8 levels and lower monocyte chemotactic protein-1 (MCP-1) levels than the controls. A logistic regression model for discriminating the patients from the controls - including the five most predictive cytokines (high IL-8, high IL-6, low MCP-1, low IL-1ra, and low IP-10) - yielded an area under curve value of 0.890 in receiver operating characteristics analysis. Serum cytokines showed distinct correlation with other markers of systemic inflammatory response, and advanced CRCs were associated with higher levels of IL-8, IL-1ra, and IL-6. A metastasised disease was accompanied by an orientation towards Th2 cytokine milieu. CONCLUSION CRC is associated with extensive alterations in serum cytokine environment, highlighting the importance of studying relative cytokine level alterations. Serum cytokine profile shows promise in separating CRC patients from healthy controls but its clinical value is yet to be confirmed.","author":[{"dropping-particle":"","family":"Kantola","given":"T.","non-dropping-particle":"","parse-names":false,"suffix":""},{"dropping-particle":"","family":"Klintrup","given":"K.","non-dropping-particle":"","parse-names":false,"suffix":""},{"dropping-particle":"","family":"Väyrynen","given":"J.P.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J. J","non-dropping-particle":"","parse-names":false,"suffix":""},{"dropping-particle":"","family":"Tuomisto","given":"A.","non-dropping-particle":"","parse-names":false,"suffix":""},{"dropping-particle":"","family":"Mäkinen","given":"M.J. J","non-dropping-particle":"","parse-names":false,"suffix":""}],"container-title":"British journal of cancer","id":"ITEM-1","issue":"10","issued":{"date-parts":[["2012","11","6"]]},"page":"1729-36","title":"Stage-dependent alterations of the serum cytokine pattern in colorectal carcinoma.","type":"article-journal","volume":"107"},"uris":["http://www.mendeley.com/documents/?uuid=269bf46a-8d7f-4e7f-b7a0-75f33bcfe550"]}],"mendeley":{"formattedCitation":"&lt;sup&gt;[18]&lt;/sup&gt;","plainTextFormattedCitation":"[18]","previouslyFormattedCitation":"&lt;sup&gt;[18]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w:t>
            </w:r>
            <w:r w:rsidRPr="00F06EA4">
              <w:rPr>
                <w:rFonts w:eastAsia="Calibri"/>
                <w:lang w:val="en-US"/>
              </w:rPr>
              <w:fldChar w:fldCharType="end"/>
            </w:r>
          </w:p>
        </w:tc>
      </w:tr>
      <w:tr w:rsidR="003E199B" w:rsidRPr="00F06EA4" w14:paraId="7B0559B2" w14:textId="77777777" w:rsidTr="00D411BC">
        <w:trPr>
          <w:trHeight w:val="20"/>
        </w:trPr>
        <w:tc>
          <w:tcPr>
            <w:tcW w:w="2700" w:type="dxa"/>
          </w:tcPr>
          <w:p w14:paraId="7D34C71C" w14:textId="77777777" w:rsidR="003E199B" w:rsidRPr="00F06EA4" w:rsidRDefault="003E199B" w:rsidP="00F67ED8">
            <w:pPr>
              <w:spacing w:after="0"/>
              <w:contextualSpacing/>
              <w:rPr>
                <w:rFonts w:eastAsia="Calibri"/>
                <w:lang w:val="en-US"/>
              </w:rPr>
            </w:pPr>
            <w:r w:rsidRPr="00F06EA4">
              <w:rPr>
                <w:rFonts w:eastAsia="Calibri"/>
                <w:lang w:val="en-US"/>
              </w:rPr>
              <w:t>CXCL5</w:t>
            </w:r>
          </w:p>
        </w:tc>
        <w:tc>
          <w:tcPr>
            <w:tcW w:w="332" w:type="dxa"/>
          </w:tcPr>
          <w:p w14:paraId="6CC78B15"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3E2FA608" w14:textId="77777777" w:rsidR="003E199B" w:rsidRPr="00F06EA4" w:rsidRDefault="003E199B" w:rsidP="00F67ED8">
            <w:pPr>
              <w:spacing w:after="0"/>
              <w:contextualSpacing/>
              <w:rPr>
                <w:rFonts w:eastAsia="Calibri"/>
                <w:lang w:val="en-US"/>
              </w:rPr>
            </w:pPr>
            <w:r w:rsidRPr="00F06EA4">
              <w:rPr>
                <w:rFonts w:eastAsia="Calibri"/>
                <w:lang w:val="en-US"/>
              </w:rPr>
              <w:t>Recruitment of neutrophils</w:t>
            </w:r>
          </w:p>
        </w:tc>
        <w:tc>
          <w:tcPr>
            <w:tcW w:w="2384" w:type="dxa"/>
          </w:tcPr>
          <w:p w14:paraId="45014F0E"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5E42B73B"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407C48E5" w14:textId="5C2D9EA7" w:rsidR="003E199B" w:rsidRPr="00F06EA4" w:rsidRDefault="003E199B" w:rsidP="00F67ED8">
            <w:pPr>
              <w:spacing w:after="0"/>
              <w:contextualSpacing/>
              <w:rPr>
                <w:rFonts w:eastAsia="Calibri"/>
                <w:lang w:val="en-US"/>
              </w:rPr>
            </w:pPr>
            <w:r w:rsidRPr="00F06EA4">
              <w:rPr>
                <w:rFonts w:eastAsia="Calibri"/>
                <w:lang w:val="en-US"/>
              </w:rPr>
              <w:t xml:space="preserve">Kawamura </w:t>
            </w:r>
            <w:r w:rsidR="0020070C" w:rsidRPr="0020070C">
              <w:rPr>
                <w:rFonts w:eastAsia="Calibri"/>
                <w:i/>
                <w:iCs/>
                <w:lang w:val="en-US"/>
              </w:rPr>
              <w:t>et al</w:t>
            </w:r>
            <w:r w:rsidRPr="00F06EA4">
              <w:rPr>
                <w:rFonts w:eastAsia="Calibri"/>
                <w:lang w:val="en-US"/>
              </w:rPr>
              <w:fldChar w:fldCharType="begin" w:fldLock="1"/>
            </w:r>
            <w:r w:rsidR="000A0431" w:rsidRPr="00F06EA4">
              <w:rPr>
                <w:rFonts w:eastAsia="Calibri"/>
                <w:lang w:val="en-US"/>
              </w:rPr>
              <w:instrText>ADDIN CSL_CITATION {"citationItems":[{"id":"ITEM-1","itemData":{"DOI":"10.1016/j.ejca.2011.11.032","ISSN":"09598049","PMID":"22197219","abstract":"PURPOSE Serum CXCL5 levels in patients with colorectal cancer (CRC) were assessed to evaluate correlation with clinicopathologic features and prognosis. The effects of CXCL5 on CRC cells were also investigated in vitro. METHODS Based on cytokine array analysis, CXCL5 was identified as a novel prognostic serum marker. Serum levels of CXCL5 were assessed in 250 CRC patients and 33 normal volunteers by enzyme-linked immunosorbent assay (ELISA), and their relation to clinicopathologic findings and survival investigated. CXCL5 levels in CRC cell lines were also measured by ELISA, and CXCL5 and CXCR2 expression was evaluated by immunohistochemistry. To investigate the biological role of the CXCL5/CXCR2 axis, recombinant human CXCL5 and CXCR2 neutralisation antibodies were used for proliferation, migration and invasion assays. RESULTS Preoperative serum CXCL5 was significantly elevated in patients with CRC compared with healthy volunteers (p=0.013). High serum CXCL5 was significantly associated with female sex (p=0.0098) and liver metastasis (p=0.0040). Univariate analysis correlated elevated CXCL5 with poor overall survival (p=0.0002). Multivariate analysis showed that elevated CXCL5 was a significant and independent prognostic factor of survival in all CRC patients (p=0.038). CRC cells secreted CXCL5, and administration of recombinant human CXCL5 promoted proliferation, migration and partial invasion. These effects were generally inhibited by CXCR2 neutralisation antibody. CONCLUSIONS Preoperative serum CXCL5 could serve as a novel predictive marker for prognosis determination of CRC patients. CXCL5/CXCR2 axis might be associated with colorectal cancer progression.","author":[{"dropping-particle":"","family":"Kawamura","given":"Mikio","non-dropping-particle":"","parse-names":false,"suffix":""},{"dropping-particle":"","family":"Toiyama","given":"Yuji","non-dropping-particle":"","parse-names":false,"suffix":""},{"dropping-particle":"","family":"Tanaka","given":"Kouji","non-dropping-particle":"","parse-names":false,"suffix":""},{"dropping-particle":"","family":"Saigusa","given":"Susumu","non-dropping-particle":"","parse-names":false,"suffix":""},{"dropping-particle":"","family":"Okugawa","given":"Yoshinaga","non-dropping-particle":"","parse-names":false,"suffix":""},{"dropping-particle":"","family":"Hiro","given":"Junichiro","non-dropping-particle":"","parse-names":false,"suffix":""},{"dropping-particle":"","family":"Uchida","given":"Keiichi","non-dropping-particle":"","parse-names":false,"suffix":""},{"dropping-particle":"","family":"Mohri","given":"Yasuhiko","non-dropping-particle":"","parse-names":false,"suffix":""},{"dropping-particle":"","family":"Inoue","given":"Yasuhiro","non-dropping-particle":"","parse-names":false,"suffix":""},{"dropping-particle":"","family":"Kusunoki","given":"Masato","non-dropping-particle":"","parse-names":false,"suffix":""}],"container-title":"European Journal of Cancer","id":"ITEM-1","issue":"14","issued":{"date-parts":[["2012"]]},"page":"2244-2251","title":"CXCL5, a promoter of cell proliferation, migration and invasion, is a novel serum prognostic marker in patients with colorectal cancer","type":"article-journal","volume":"48"},"uris":["http://www.mendeley.com/documents/?uuid=a045600c-9f88-3760-87f7-4928b3e5857b","http://www.mendeley.com/documents/?uuid=cfb63d93-879c-414f-8562-b6be3f35d089"]}],"mendeley":{"formattedCitation":"&lt;sup&gt;[161]&lt;/sup&gt;","plainTextFormattedCitation":"[161]","previouslyFormattedCitation":"&lt;sup&gt;[161]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[161]</w:t>
            </w:r>
            <w:r w:rsidRPr="00F06EA4">
              <w:rPr>
                <w:rFonts w:eastAsia="Calibri"/>
                <w:lang w:val="en-US"/>
              </w:rPr>
              <w:fldChar w:fldCharType="end"/>
            </w:r>
          </w:p>
        </w:tc>
      </w:tr>
      <w:tr w:rsidR="003E199B" w:rsidRPr="00F06EA4" w14:paraId="42D8D620" w14:textId="77777777" w:rsidTr="00D411BC">
        <w:trPr>
          <w:trHeight w:val="20"/>
        </w:trPr>
        <w:tc>
          <w:tcPr>
            <w:tcW w:w="2700" w:type="dxa"/>
          </w:tcPr>
          <w:p w14:paraId="174F0012" w14:textId="77777777" w:rsidR="003E199B" w:rsidRPr="00F06EA4" w:rsidRDefault="003E199B" w:rsidP="00F67ED8">
            <w:pPr>
              <w:spacing w:after="0"/>
              <w:contextualSpacing/>
              <w:rPr>
                <w:rFonts w:eastAsia="Calibri"/>
                <w:lang w:val="en-US"/>
              </w:rPr>
            </w:pPr>
            <w:r w:rsidRPr="00F06EA4">
              <w:rPr>
                <w:rFonts w:eastAsia="Calibri"/>
                <w:lang w:val="en-US"/>
              </w:rPr>
              <w:lastRenderedPageBreak/>
              <w:t>CXCL8 (IL8)</w:t>
            </w:r>
          </w:p>
        </w:tc>
        <w:tc>
          <w:tcPr>
            <w:tcW w:w="332" w:type="dxa"/>
          </w:tcPr>
          <w:p w14:paraId="4CC27680"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5B48DCAC" w14:textId="77777777" w:rsidR="003E199B" w:rsidRPr="00F06EA4" w:rsidRDefault="003E199B" w:rsidP="00F67ED8">
            <w:pPr>
              <w:spacing w:after="0"/>
              <w:contextualSpacing/>
              <w:rPr>
                <w:rFonts w:eastAsia="Calibri"/>
                <w:lang w:val="en-US"/>
              </w:rPr>
            </w:pPr>
            <w:r w:rsidRPr="00F06EA4">
              <w:rPr>
                <w:rFonts w:eastAsia="Calibri"/>
                <w:lang w:val="en-US"/>
              </w:rPr>
              <w:t>Recruitment of neutrophils</w:t>
            </w:r>
          </w:p>
        </w:tc>
        <w:tc>
          <w:tcPr>
            <w:tcW w:w="2384" w:type="dxa"/>
          </w:tcPr>
          <w:p w14:paraId="154699F7" w14:textId="77777777" w:rsidR="003E199B" w:rsidRPr="00F06EA4" w:rsidRDefault="003E199B" w:rsidP="00F67ED8">
            <w:pPr>
              <w:spacing w:after="0"/>
              <w:contextualSpacing/>
              <w:rPr>
                <w:rFonts w:eastAsia="Calibri"/>
                <w:lang w:val="en-US"/>
              </w:rPr>
            </w:pPr>
            <w:r w:rsidRPr="00F06EA4">
              <w:rPr>
                <w:rFonts w:eastAsia="Calibri"/>
                <w:lang w:val="en-US"/>
              </w:rPr>
              <w:t>meta-analysis</w:t>
            </w:r>
          </w:p>
        </w:tc>
        <w:tc>
          <w:tcPr>
            <w:tcW w:w="1121" w:type="dxa"/>
          </w:tcPr>
          <w:p w14:paraId="508D4649"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56CE4924" w14:textId="714FE43A" w:rsidR="003E199B" w:rsidRPr="00F06EA4" w:rsidRDefault="003E199B" w:rsidP="00F67ED8">
            <w:pPr>
              <w:spacing w:after="0"/>
              <w:contextualSpacing/>
              <w:rPr>
                <w:rFonts w:eastAsia="Calibri"/>
                <w:lang w:val="en-US"/>
              </w:rPr>
            </w:pPr>
            <w:r w:rsidRPr="00F06EA4">
              <w:rPr>
                <w:rFonts w:eastAsia="Calibri"/>
                <w:lang w:val="en-US"/>
              </w:rPr>
              <w:t xml:space="preserve">Jin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{"citationItems":[{"id":"ITEM-1","itemData":{"DOI":"10.3748/wjg.v20.i43.16334","ISSN":"2219-2840","PMID":"25473192","abstract":"AIM To assess the diagnostic value of serum interleukin-8 (IL-8) in the detection of colorectal cancer (CRC). METHODS An original study was conducted to explore the potential value of IL-8 in CRC diagnosis. Receiver operating characteristic (ROC) analysis was performed and the area under the curve (AUC) value was calculated. PUBMED and EMBASE were searched (to October, 2013), supplemented with manual screening for relevant publications. Meta-analysis methods were applied to pool sensitivity, specificity, positive and negative likelihood ratios, and diagnostic odds ratios and to construct a summary receiver-operating characteristic (sROC) curve. Heterogeneity across studies was checked by the I(2) test and Deek's funnel plot method was applied to test publication bias. RESULTS In our original study, serum IL-8 yielded an AUC of 0.742 [95%CI: 0.635-0.849]. The sensitivity and specificity were 85.42% and 54.05%, respectively, at a cut-off value of 5.39. In this meta-analysis, we included five studies with 668 CRC patients and 374 controls and one study in our own center with 48 CRC patients and 37 controls. The pooled sensitivity and specificity of IL-8 were 0.69 (95%CI: 0.42-0.87) and 0.85 (95%CI: 0.68-0.94) for CRC detection. Besides, the area under the sROC curve was 0.86 (95%CI: 0.82-0.88). Subgroup analysis suggested that there was no heterogeneity in the Asian subgroup but some in the European subgroup. In addition, no publication bias was found according to the Deek's funnel plot asymmetry test. CONCLUSION Serum IL-8 is a promising biomarker for CRC detection and may become a clinically useful tool to identify high-risk patients.","author":[{"dropping-particle":"","family":"Jin","given":"Wen-Jun","non-dropping-particle":"","parse-names":false,"suffix":""},{"dropping-particle":"","family":"Xu","given":"Jin-Ming","non-dropping-particle":"","parse-names":false,"suffix":""},{"dropping-particle":"","family":"Xu","given":"Wen-Li","non-dropping-particle":"","parse-names":false,"suffix":""},{"dropping-particle":"","family":"Gu","given":"Dong-Hua","non-dropping-particle":"","parse-names":false,"suffix":""},{"dropping-particle":"","family":"Li","given":"Pei-Wei","non-dropping-particle":"","parse-names":false,"suffix":""}],"container-title":"World journal of gastroenterology","id":"ITEM-1","issue":"43","issued":{"date-parts":[["2014"]]},"page":"16334-42","title":"Diagnostic value of interleukin-8 in colorectal cancer: a case-control study and meta-analysis.","type":"article-journal","volume":"20"},"uris":["http://www.mendeley.com/documents/?uuid=5a57d543-c506-470f-b5c9-db874803fca0"]}],"mendeley":{"formattedCitation":"&lt;sup&gt;[24]&lt;/sup&gt;","plainTextFormattedCitation":"[24]","previouslyFormattedCitation":"&lt;sup&gt;[24]&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[24]</w:t>
            </w:r>
            <w:r w:rsidRPr="00F06EA4">
              <w:rPr>
                <w:rFonts w:eastAsia="Calibri"/>
                <w:lang w:val="en-US"/>
              </w:rPr>
              <w:fldChar w:fldCharType="end"/>
            </w:r>
          </w:p>
        </w:tc>
      </w:tr>
      <w:tr w:rsidR="003E199B" w:rsidRPr="00F06EA4" w14:paraId="128EE900" w14:textId="77777777" w:rsidTr="00D411BC">
        <w:trPr>
          <w:trHeight w:val="20"/>
        </w:trPr>
        <w:tc>
          <w:tcPr>
            <w:tcW w:w="2700" w:type="dxa"/>
          </w:tcPr>
          <w:p w14:paraId="139B609F" w14:textId="77777777" w:rsidR="003E199B" w:rsidRPr="00F06EA4" w:rsidRDefault="003E199B" w:rsidP="00F67ED8">
            <w:pPr>
              <w:spacing w:after="0"/>
              <w:contextualSpacing/>
              <w:rPr>
                <w:rFonts w:eastAsia="Calibri"/>
                <w:lang w:val="en-US"/>
              </w:rPr>
            </w:pPr>
            <w:r w:rsidRPr="00F06EA4">
              <w:rPr>
                <w:rFonts w:eastAsia="Calibri"/>
                <w:lang w:val="en-US"/>
              </w:rPr>
              <w:t>CXCL10</w:t>
            </w:r>
          </w:p>
        </w:tc>
        <w:tc>
          <w:tcPr>
            <w:tcW w:w="332" w:type="dxa"/>
          </w:tcPr>
          <w:p w14:paraId="4AD662D1"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1D99C877" w14:textId="77777777" w:rsidR="003E199B" w:rsidRPr="00F06EA4" w:rsidRDefault="003E199B" w:rsidP="00F67ED8">
            <w:pPr>
              <w:spacing w:after="0"/>
              <w:contextualSpacing/>
              <w:rPr>
                <w:rFonts w:eastAsia="Calibri"/>
                <w:lang w:val="en-US"/>
              </w:rPr>
            </w:pPr>
            <w:r w:rsidRPr="00F06EA4">
              <w:rPr>
                <w:rFonts w:eastAsia="Calibri"/>
                <w:lang w:val="en-US"/>
              </w:rPr>
              <w:t>Recruitment of T cells and NK cells</w:t>
            </w:r>
          </w:p>
        </w:tc>
        <w:tc>
          <w:tcPr>
            <w:tcW w:w="2384" w:type="dxa"/>
          </w:tcPr>
          <w:p w14:paraId="2FAC3D38"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7DB56BD3"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33F67FBB" w14:textId="622E4097" w:rsidR="003E199B" w:rsidRPr="00F06EA4" w:rsidRDefault="003E199B" w:rsidP="00F67ED8">
            <w:pPr>
              <w:spacing w:after="0"/>
              <w:contextualSpacing/>
              <w:rPr>
                <w:rFonts w:eastAsia="Calibri"/>
                <w:lang w:val="en-US"/>
              </w:rPr>
            </w:pPr>
            <w:r w:rsidRPr="00F06EA4">
              <w:rPr>
                <w:rFonts w:eastAsia="Calibri"/>
                <w:lang w:val="en-US"/>
              </w:rPr>
              <w:t xml:space="preserve">Toiyama et el </w:t>
            </w:r>
            <w:r w:rsidRPr="00F06EA4">
              <w:rPr>
                <w:rFonts w:eastAsia="Calibri"/>
                <w:lang w:val="en-US"/>
              </w:rPr>
              <w:fldChar w:fldCharType="begin" w:fldLock="1"/>
            </w:r>
            <w:r w:rsidR="00F45F97" w:rsidRPr="00F06EA4">
              <w:rPr>
                <w:rFonts w:eastAsia="Calibri"/>
                <w:lang w:val="en-US"/>
              </w:rPr>
              <w:instrText>ADDIN CSL_CITATION {"citationItems":[{"id":"ITEM-1","itemData":{"DOI":"10.3892/ijo.2011.1247","ISSN":"1019-6439","PMID":"22038159","abstract":"The aim of this study was to identify novel and reliable serum markers related to the prognosis of colorectal cancer (CRC) patients and to assess the association between selected markers and clinical outcome. We performed experiments using cytokine arrays to investigate the cytokine profiles in serum from stage IV CRC patients, compared with those of stage I patients. Serum CXCL10 was measured using an ELISA in 218 CRC patients and 17 normal volunteers to clarify the association of CXCL10 with clinical outcome. The mean serum CXCL10 concentration in CRC patients was significantly higher compared to that in normal volunteers. Serum CXCL10 levels increased significantly in accordance with the progression of UICC stage classification. Serum CXCL10 was significantly associated with high pathological T stage, the presence of vascular invasion and distant metastasis. Elevated serum CXCL10 levels were significantly associated with poor survival in all stages or in stage I-III with curative patients, respectively, and were an independent marker in predicting liver metastasis. Immunohistochemical analysis showed that CXCL10 was expressed in cancer cells at primary tumor and liver metastases sites, and in normal liver tissue surrounding metastatic cancer cells. Comprehensive analysis using cytokine arrays identified the novel serum prognosis marker CXCL10. Preoperative high serum levels of CXCL10 were associated with poor prognosis and liver metastasis in CRC.","author":[{"dropping-particle":"","family":"Toiyama","given":"Yuji","non-dropping-particle":"","parse-names":false,"suffix":""},{"dropping-particle":"","family":"Fujikawa","given":"Hiroyuki","non-dropping-particle":"","parse-names":false,"suffix":""},{"dropping-particle":"","family":"Kawamura","given":"Mikio","non-dropping-particle":"","parse-names":false,"suffix":""},{"dropping-particle":"","family":"Matsushita","given":"Kohei","non-dropping-particle":"","parse-names":false,"suffix":""},{"dropping-particle":"","family":"Saigusa","given":"Susumu","non-dropping-particle":"","parse-names":false,"suffix":""},{"dropping-particle":"","family":"Tanaka","given":"Koji","non-dropping-particle":"","parse-names":false,"suffix":""},{"dropping-particle":"","family":"Inoue","given":"Yasuhiro","non-dropping-particle":"","parse-names":false,"suffix":""},{"dropping-particle":"","family":"Uchida","given":"Keiichi","non-dropping-particle":"","parse-names":false,"suffix":""},{"dropping-particle":"","family":"Mohri","given":"Yasuhiko","non-dropping-particle":"","parse-names":false,"suffix":""},{"dropping-particle":"","family":"Kusunoki","given":"Masato","non-dropping-particle":"","parse-names":false,"suffix":""}],"container-title":"International Journal of Oncology","id":"ITEM-1","issue":"2","issued":{"date-parts":[["2011"]]},"page":"560-6","title":"Evaluation of CXCL10 as a novel serum marker for predicting liver metastasis and prognosis in colorectal cancer","type":"article-journal","volume":"40"},"uris":["http://www.mendeley.com/documents/?uuid=794244f1-0b28-3b01-a73a-6f5e9a36a434","http://www.mendeley.com/documents/?uuid=86f06d42-d079-4cba-a774-0dd4ccc8b04f"]}],"mendeley":{"formattedCitation":"&lt;sup&gt;[162]&lt;/sup&gt;","plainTextFormattedCitation":"[162]","previouslyFormattedCitation":"&lt;sup&gt;[162]&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[162]</w:t>
            </w:r>
            <w:r w:rsidRPr="00F06EA4">
              <w:rPr>
                <w:rFonts w:eastAsia="Calibri"/>
                <w:lang w:val="en-US"/>
              </w:rPr>
              <w:fldChar w:fldCharType="end"/>
            </w:r>
          </w:p>
        </w:tc>
      </w:tr>
      <w:tr w:rsidR="003E199B" w:rsidRPr="00F06EA4" w14:paraId="3D76242D" w14:textId="77777777" w:rsidTr="00D411BC">
        <w:trPr>
          <w:trHeight w:val="20"/>
        </w:trPr>
        <w:tc>
          <w:tcPr>
            <w:tcW w:w="2700" w:type="dxa"/>
          </w:tcPr>
          <w:p w14:paraId="0F8D6418" w14:textId="77777777" w:rsidR="003E199B" w:rsidRPr="00F06EA4" w:rsidRDefault="003E199B" w:rsidP="00F67ED8">
            <w:pPr>
              <w:spacing w:after="0"/>
              <w:contextualSpacing/>
              <w:rPr>
                <w:rFonts w:eastAsia="Calibri"/>
                <w:lang w:val="en-US"/>
              </w:rPr>
            </w:pPr>
            <w:r w:rsidRPr="00F06EA4">
              <w:rPr>
                <w:rFonts w:eastAsia="Calibri"/>
                <w:lang w:val="en-US"/>
              </w:rPr>
              <w:t>CXCL16</w:t>
            </w:r>
          </w:p>
        </w:tc>
        <w:tc>
          <w:tcPr>
            <w:tcW w:w="332" w:type="dxa"/>
          </w:tcPr>
          <w:p w14:paraId="3E459DF2"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FC933B8" w14:textId="77777777" w:rsidR="003E199B" w:rsidRPr="00F06EA4" w:rsidRDefault="003E199B" w:rsidP="00F67ED8">
            <w:pPr>
              <w:spacing w:after="0"/>
              <w:contextualSpacing/>
              <w:rPr>
                <w:rFonts w:eastAsia="Calibri"/>
                <w:lang w:val="en-US"/>
              </w:rPr>
            </w:pPr>
            <w:r w:rsidRPr="00F06EA4">
              <w:rPr>
                <w:rFonts w:eastAsia="Calibri"/>
                <w:lang w:val="en-US"/>
              </w:rPr>
              <w:t>Recruitment of T cells and NK cells</w:t>
            </w:r>
          </w:p>
        </w:tc>
        <w:tc>
          <w:tcPr>
            <w:tcW w:w="2384" w:type="dxa"/>
          </w:tcPr>
          <w:p w14:paraId="34D1D56A"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70F5067E"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0306F874" w14:textId="0A0C3333" w:rsidR="003E199B" w:rsidRPr="00F06EA4" w:rsidRDefault="003E199B" w:rsidP="00F67ED8">
            <w:pPr>
              <w:spacing w:after="0"/>
              <w:contextualSpacing/>
              <w:rPr>
                <w:rFonts w:eastAsia="Calibri"/>
                <w:lang w:val="en-US"/>
              </w:rPr>
            </w:pPr>
            <w:r w:rsidRPr="00F06EA4">
              <w:rPr>
                <w:rFonts w:eastAsia="Calibri"/>
                <w:lang w:val="en-US"/>
              </w:rPr>
              <w:t xml:space="preserve">Matsushita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{"citationItems":[{"id":"ITEM-1","itemData":{"DOI":"10.1245/s10434-011-1993-8","ISSN":"1068-9265","PMID":"21845497","abstract":"PURPOSE This study was designed to identify novel and reliable serum prognostic markers in patients with colorectal cancer (CRC). METHODS Based on cytokine array analysis, we identified soluble CXCL16 as a novel prognostic serum marker. Serum levels of CXCL16 were assessed in 314 CRC patients and 20 normal volunteers by enzyme-linked immunosorbent assay, and their relationships with clinicopathologic findings, including survival, were investigated. Proliferation, invasion, and wound healing assays were used to investigate the biological role of soluble CXCL16 in CRC cells, by exposure of HT-29 cells to recombinant CXCL16. RESULTS The median serum CXCL16 concentration in CRC patients was significantly higher than that in normal volunteers. In addition, serum CXCL16 levels increased significantly in accordance with the progression of UICC stage classification. Elevated serum CXCL16 level was significantly associated with poor survival and was an independent prognostic marker in CRC patients. Furthermore, in stage I-III CRC patients who underwent curative intent surgery, elevated serum CXCL16 levels were significantly associated with metachronous liver recurrence and poor survival. Recombinant soluble CXCL16 promoted the epithelial-mesenchymal transition (EMT) phenotype characterized by impaired E-cadherin production and induction of vimentin in vitro. In addition, recombinant soluble CXCL16 promoted cell growth, migration, and invasion in a CRC cell line. CONCLUSIONS In this study, we identified CXCL16 as a novel prognostic marker. Preoperative high serum levels of CXCL16 were associated with metachronous liver recurrence and poor prognosis in CRC patients. Soluble CXCL16 may play an important role in liver metastases through the induction of EMT.","author":[{"dropping-particle":"","family":"Matsushita","given":"Kohei","non-dropping-particle":"","parse-names":false,"suffix":""},{"dropping-particle":"","family":"Toiyama","given":"Yuji","non-dropping-particle":"","parse-names":false,"suffix":""},{"dropping-particle":"","family":"Tanaka","given":"Koji","non-dropping-particle":"","parse-names":false,"suffix":""},{"dropping-particle":"","family":"Saigusa","given":"Susumu","non-dropping-particle":"","parse-names":false,"suffix":""},{"dropping-particle":"","family":"Hiro","given":"Junichiro","non-dropping-particle":"","parse-names":false,"suffix":""},{"dropping-particle":"","family":"Uchida","given":"Keiichi","non-dropping-particle":"","parse-names":false,"suffix":""},{"dropping-particle":"","family":"Inoue","given":"Yasuhiro","non-dropping-particle":"","parse-names":false,"suffix":""},{"dropping-particle":"","family":"Kusunoki","given":"Masato","non-dropping-particle":"","parse-names":false,"suffix":""}],"container-title":"Annals of Surgical Oncology","id":"ITEM-1","issue":"S3","issued":{"date-parts":[["2012"]]},"page":"518-527","title":"Soluble CXCL16 in Preoperative Serum is a Novel Prognostic Marker and Predicts Recurrence of Liver Metastases in Colorectal Cancer Patients","type":"article-journal","volume":"19"},"uris":["http://www.mendeley.com/documents/?uuid=8ad2cfad-8d75-3f9d-b2c3-8a1fe7eca541","http://www.mendeley.com/documents/?uuid=98506f5c-6be0-4629-a2fe-ebc943932971"]}],"mendeley":{"formattedCitation":"&lt;sup&gt;[163]&lt;/sup&gt;","plainTextFormattedCitation":"[163]","previouslyFormattedCitation":"&lt;sup&gt;[163]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[163]</w:t>
            </w:r>
            <w:r w:rsidRPr="00F06EA4">
              <w:rPr>
                <w:rFonts w:eastAsia="Calibri"/>
                <w:lang w:val="en-US"/>
              </w:rPr>
              <w:fldChar w:fldCharType="end"/>
            </w:r>
          </w:p>
        </w:tc>
      </w:tr>
      <w:tr w:rsidR="003E199B" w:rsidRPr="00F06EA4" w14:paraId="67E27C12" w14:textId="77777777" w:rsidTr="00D411BC">
        <w:trPr>
          <w:trHeight w:val="20"/>
        </w:trPr>
        <w:tc>
          <w:tcPr>
            <w:tcW w:w="2700" w:type="dxa"/>
          </w:tcPr>
          <w:p w14:paraId="7856A85D" w14:textId="77777777" w:rsidR="003E199B" w:rsidRPr="00F06EA4" w:rsidRDefault="003E199B" w:rsidP="00F67ED8">
            <w:pPr>
              <w:spacing w:after="0"/>
              <w:contextualSpacing/>
              <w:rPr>
                <w:rFonts w:eastAsia="Calibri"/>
                <w:lang w:val="en-US"/>
              </w:rPr>
            </w:pPr>
            <w:r w:rsidRPr="00F06EA4">
              <w:rPr>
                <w:rFonts w:eastAsia="Calibri"/>
                <w:lang w:val="en-US"/>
              </w:rPr>
              <w:t>SPP1 (secreted phosphoprotein 1)</w:t>
            </w:r>
          </w:p>
        </w:tc>
        <w:tc>
          <w:tcPr>
            <w:tcW w:w="332" w:type="dxa"/>
          </w:tcPr>
          <w:p w14:paraId="2F85FCB6"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423C8E96" w14:textId="77777777" w:rsidR="003E199B" w:rsidRPr="00F06EA4" w:rsidRDefault="003E199B" w:rsidP="00F67ED8">
            <w:pPr>
              <w:spacing w:after="0"/>
              <w:contextualSpacing/>
              <w:rPr>
                <w:rFonts w:eastAsia="Calibri"/>
                <w:lang w:val="en-US"/>
              </w:rPr>
            </w:pPr>
            <w:r w:rsidRPr="00F06EA4">
              <w:rPr>
                <w:rFonts w:eastAsia="Calibri"/>
                <w:lang w:val="en-US"/>
              </w:rPr>
              <w:t>Leukocyte chemotaxis</w:t>
            </w:r>
          </w:p>
        </w:tc>
        <w:tc>
          <w:tcPr>
            <w:tcW w:w="2384" w:type="dxa"/>
          </w:tcPr>
          <w:p w14:paraId="2836DA60" w14:textId="77777777" w:rsidR="003E199B" w:rsidRPr="00F06EA4" w:rsidRDefault="003E199B" w:rsidP="00F67ED8">
            <w:pPr>
              <w:spacing w:after="0"/>
              <w:contextualSpacing/>
              <w:rPr>
                <w:rFonts w:eastAsia="Calibri"/>
                <w:lang w:val="en-US"/>
              </w:rPr>
            </w:pPr>
            <w:r w:rsidRPr="00F06EA4">
              <w:rPr>
                <w:rFonts w:eastAsia="Calibri"/>
                <w:lang w:val="en-US"/>
              </w:rPr>
              <w:t>streptavidin–biotin sandwich assay</w:t>
            </w:r>
          </w:p>
        </w:tc>
        <w:tc>
          <w:tcPr>
            <w:tcW w:w="1121" w:type="dxa"/>
          </w:tcPr>
          <w:p w14:paraId="5B644C19"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31C82FE7" w14:textId="370DBA0B" w:rsidR="003E199B" w:rsidRPr="00F06EA4" w:rsidRDefault="003E199B" w:rsidP="00F67ED8">
            <w:pPr>
              <w:spacing w:after="0"/>
              <w:contextualSpacing/>
              <w:rPr>
                <w:rFonts w:eastAsia="Calibri"/>
                <w:lang w:val="en-US"/>
              </w:rPr>
            </w:pPr>
            <w:r w:rsidRPr="00F06EA4">
              <w:rPr>
                <w:rFonts w:eastAsia="Calibri"/>
                <w:lang w:val="en-US"/>
              </w:rPr>
              <w:t xml:space="preserve">Werner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{"citationItems":[{"id":"ITEM-1","itemData":{"DOI":"10.1158/1078-0432.CCR-15-1268","ISSN":"1078-0432","PMID":"26561557","abstract":"PURPOSE In initial studies that included colorectal cancer patients undergoing diagnostic colonoscopy, we had identified a serum marker combination able to detect colorectal cancer with similar diagnostic performance as fecal immunochemical test (FIT). In this study, we aimed to validate the results in participants of a large colorectal cancer screening study conducted in the average-risk, asymptomatic screening population. EXPERIMENTAL DESIGN We tested serum samples from 1,200 controls, 420 advanced adenoma patients, 4 carcinoma in situ patients, and 36 colorectal cancer patients with a 5-marker blood test [carcinoembryonic antigen (CEA)+anti-p53+osteopontin+seprase+ferritin]. The diagnostic performance of individual markers and marker combinations was assessed and compared with stool test results. RESULTS AUCs for the detection of colorectal cancer and advanced adenomas with the 5-marker blood test were 0.78 [95% confidence interval (CI), 0.68-0.87] and 0.56 (95% CI, 0.53-0.59), respectively, which now is comparable with guaiac-based fecal occult blood test (gFOBT) but inferior to FIT. With cutoffs yielding specificities of 80%, 90%, and 95%, the sensitivities for the detection of colorectal cancer were 64%, 50%, and 42%, and early-stage cancers were detected as well as late-stage cancers. For osteopontin, seprase, and ferritin, the diagnostic performance in the screening setting was reduced compared with previous studies in diagnostic settings while CEA and anti-p53 showed similar diagnostic performance in both settings. CONCLUSIONS Performance of the 5-marker blood test under screening conditions is inferior to FIT even though it is still comparable with the performance of gFOBT. CEA and anti-p53 could contribute to the development of a multiple marker blood-based test for early detection of colorectal cancer.","author":[{"dropping-particle":"","family":"Werner","given":"Simone","non-dropping-particle":"","parse-names":false,"suffix":""},{"dropping-particle":"","family":"Krause","given":"Friedemann","non-dropping-particle":"","parse-names":false,"suffix":""},{"dropping-particle":"","family":"Rolny","given":"Vinzent","non-dropping-particle":"","parse-names":false,"suffix":""},{"dropping-particle":"","family":"Strobl","given":"Matthias","non-dropping-particle":"","parse-names":false,"suffix":""},{"dropping-particle":"","family":"Morgenstern","given":"David","non-dropping-particle":"","parse-names":false,"suffix":""},{"dropping-particle":"","family":"Datz","given":"Christian","non-dropping-particle":"","parse-names":false,"suffix":""},{"dropping-particle":"","family":"Chen","given":"Hongda","non-dropping-particle":"","parse-names":false,"suffix":""},{"dropping-particle":"","family":"Brenner","given":"Hermann","non-dropping-particle":"","parse-names":false,"suffix":""}],"container-title":"Clinical cancer research : an official journal of the American Association for Cancer Research","id":"ITEM-1","issue":"7","issued":{"date-parts":[["2016","4"]]},"page":"1725-33","title":"Evaluation of a 5-Marker Blood Test for Colorectal Cancer Early Detection in a Colorectal Cancer Screening Setting.","type":"article-journal","volume":"22"},"uris":["http://www.mendeley.com/documents/?uuid=4f86cd47-2969-46d2-bd5e-da88ea3f88dd"]}],"mendeley":{"formattedCitation":"&lt;sup&gt;[164]&lt;/sup&gt;","plainTextFormattedCitation":"[164]","previouslyFormattedCitation":"&lt;sup&gt;[164]&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[164]</w:t>
            </w:r>
            <w:r w:rsidRPr="00F06EA4">
              <w:rPr>
                <w:rFonts w:eastAsia="Calibri"/>
                <w:lang w:val="en-US"/>
              </w:rPr>
              <w:fldChar w:fldCharType="end"/>
            </w:r>
          </w:p>
        </w:tc>
      </w:tr>
      <w:tr w:rsidR="003E199B" w:rsidRPr="00F06EA4" w14:paraId="49FABFB5" w14:textId="77777777" w:rsidTr="00D411BC">
        <w:trPr>
          <w:trHeight w:val="20"/>
        </w:trPr>
        <w:tc>
          <w:tcPr>
            <w:tcW w:w="2700" w:type="dxa"/>
          </w:tcPr>
          <w:p w14:paraId="76BE9F7E" w14:textId="77777777" w:rsidR="003E199B" w:rsidRPr="00F06EA4" w:rsidRDefault="003E199B" w:rsidP="00F67ED8">
            <w:pPr>
              <w:spacing w:after="0"/>
              <w:contextualSpacing/>
              <w:rPr>
                <w:rFonts w:eastAsia="Calibri"/>
                <w:b/>
                <w:bCs/>
                <w:lang w:val="en-US"/>
              </w:rPr>
            </w:pPr>
            <w:r w:rsidRPr="00F06EA4">
              <w:rPr>
                <w:rFonts w:eastAsia="Calibri"/>
                <w:b/>
                <w:bCs/>
                <w:lang w:val="en-US"/>
              </w:rPr>
              <w:t>Protease enzymes and their inhibitors</w:t>
            </w:r>
          </w:p>
        </w:tc>
        <w:tc>
          <w:tcPr>
            <w:tcW w:w="332" w:type="dxa"/>
          </w:tcPr>
          <w:p w14:paraId="09F9A6A1" w14:textId="77777777" w:rsidR="003E199B" w:rsidRPr="00F06EA4" w:rsidRDefault="003E199B" w:rsidP="00F67ED8">
            <w:pPr>
              <w:spacing w:after="0"/>
              <w:contextualSpacing/>
              <w:rPr>
                <w:rFonts w:eastAsia="Calibri"/>
                <w:lang w:val="en-US"/>
              </w:rPr>
            </w:pPr>
          </w:p>
        </w:tc>
        <w:tc>
          <w:tcPr>
            <w:tcW w:w="2162" w:type="dxa"/>
          </w:tcPr>
          <w:p w14:paraId="497A19B9" w14:textId="77777777" w:rsidR="003E199B" w:rsidRPr="00F06EA4" w:rsidRDefault="003E199B" w:rsidP="00F67ED8">
            <w:pPr>
              <w:spacing w:after="0"/>
              <w:contextualSpacing/>
              <w:rPr>
                <w:rFonts w:eastAsia="Calibri"/>
                <w:lang w:val="en-US"/>
              </w:rPr>
            </w:pPr>
          </w:p>
        </w:tc>
        <w:tc>
          <w:tcPr>
            <w:tcW w:w="2384" w:type="dxa"/>
          </w:tcPr>
          <w:p w14:paraId="6C39A0A0" w14:textId="77777777" w:rsidR="003E199B" w:rsidRPr="00F06EA4" w:rsidRDefault="003E199B" w:rsidP="00F67ED8">
            <w:pPr>
              <w:spacing w:after="0"/>
              <w:contextualSpacing/>
              <w:rPr>
                <w:rFonts w:eastAsia="Calibri"/>
                <w:lang w:val="en-US"/>
              </w:rPr>
            </w:pPr>
          </w:p>
        </w:tc>
        <w:tc>
          <w:tcPr>
            <w:tcW w:w="1121" w:type="dxa"/>
          </w:tcPr>
          <w:p w14:paraId="79D412D5" w14:textId="77777777" w:rsidR="003E199B" w:rsidRPr="00F06EA4" w:rsidRDefault="003E199B" w:rsidP="00F67ED8">
            <w:pPr>
              <w:spacing w:after="0"/>
              <w:contextualSpacing/>
              <w:rPr>
                <w:rFonts w:eastAsia="Calibri"/>
                <w:lang w:val="en-US"/>
              </w:rPr>
            </w:pPr>
          </w:p>
        </w:tc>
        <w:tc>
          <w:tcPr>
            <w:tcW w:w="1365" w:type="dxa"/>
          </w:tcPr>
          <w:p w14:paraId="57E36732" w14:textId="77777777" w:rsidR="003E199B" w:rsidRPr="00F06EA4" w:rsidRDefault="003E199B" w:rsidP="00F67ED8">
            <w:pPr>
              <w:spacing w:after="0"/>
              <w:contextualSpacing/>
              <w:rPr>
                <w:rFonts w:eastAsia="Calibri"/>
                <w:lang w:val="en-US"/>
              </w:rPr>
            </w:pPr>
          </w:p>
        </w:tc>
      </w:tr>
      <w:tr w:rsidR="003E199B" w:rsidRPr="00F06EA4" w14:paraId="107DC2E0" w14:textId="77777777" w:rsidTr="00D411BC">
        <w:trPr>
          <w:trHeight w:val="20"/>
        </w:trPr>
        <w:tc>
          <w:tcPr>
            <w:tcW w:w="2700" w:type="dxa"/>
          </w:tcPr>
          <w:p w14:paraId="339954BA" w14:textId="77777777" w:rsidR="003E199B" w:rsidRPr="00F06EA4" w:rsidRDefault="003E199B" w:rsidP="00F67ED8">
            <w:pPr>
              <w:spacing w:after="0"/>
              <w:contextualSpacing/>
              <w:rPr>
                <w:rFonts w:eastAsia="Calibri"/>
                <w:lang w:val="en-US"/>
              </w:rPr>
            </w:pPr>
            <w:r w:rsidRPr="00F06EA4">
              <w:rPr>
                <w:rFonts w:eastAsia="Calibri"/>
                <w:lang w:val="en-US"/>
              </w:rPr>
              <w:t xml:space="preserve">MMP8 </w:t>
            </w:r>
          </w:p>
        </w:tc>
        <w:tc>
          <w:tcPr>
            <w:tcW w:w="332" w:type="dxa"/>
          </w:tcPr>
          <w:p w14:paraId="1C543279"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52109B2" w14:textId="77777777" w:rsidR="003E199B" w:rsidRPr="00F06EA4" w:rsidRDefault="003E199B" w:rsidP="00F67ED8">
            <w:pPr>
              <w:spacing w:after="0"/>
              <w:contextualSpacing/>
              <w:rPr>
                <w:rFonts w:eastAsia="Calibri"/>
                <w:lang w:val="en-US"/>
              </w:rPr>
            </w:pPr>
            <w:r w:rsidRPr="00F06EA4">
              <w:rPr>
                <w:rFonts w:eastAsia="Calibri"/>
                <w:lang w:val="en-US"/>
              </w:rPr>
              <w:t>Protease enzyme also cleaving cytokines</w:t>
            </w:r>
          </w:p>
        </w:tc>
        <w:tc>
          <w:tcPr>
            <w:tcW w:w="2384" w:type="dxa"/>
          </w:tcPr>
          <w:p w14:paraId="3F7DE547" w14:textId="77777777" w:rsidR="003E199B" w:rsidRPr="00F06EA4" w:rsidRDefault="003E199B" w:rsidP="00F67ED8">
            <w:pPr>
              <w:spacing w:after="0"/>
              <w:contextualSpacing/>
              <w:rPr>
                <w:rFonts w:eastAsia="Calibri"/>
                <w:lang w:val="en-US"/>
              </w:rPr>
            </w:pPr>
            <w:r w:rsidRPr="00F06EA4">
              <w:rPr>
                <w:rFonts w:eastAsia="Calibri"/>
                <w:lang w:val="en-US"/>
              </w:rPr>
              <w:t>immunofluorometric assay</w:t>
            </w:r>
          </w:p>
        </w:tc>
        <w:tc>
          <w:tcPr>
            <w:tcW w:w="1121" w:type="dxa"/>
          </w:tcPr>
          <w:p w14:paraId="5BD1B90C"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17B4DC8D" w14:textId="3667474E" w:rsidR="003E199B" w:rsidRPr="00F06EA4" w:rsidRDefault="003E199B" w:rsidP="00F67ED8">
            <w:pPr>
              <w:spacing w:after="0"/>
              <w:contextualSpacing/>
              <w:rPr>
                <w:rFonts w:eastAsia="Calibri"/>
                <w:lang w:val="en-US"/>
              </w:rPr>
            </w:pPr>
            <w:r w:rsidRPr="00F06EA4">
              <w:rPr>
                <w:rFonts w:eastAsia="Calibri"/>
                <w:lang w:val="en-US"/>
              </w:rPr>
              <w:t xml:space="preserve">Väyrynen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{"citationItems":[{"id":"ITEM-1","itemData":{"DOI":"10.1002/ijc.26435","ISSN":"1097-0215","PMID":"21918979","abstract":"Matrix metalloproteinases (MMPs) form a family of zinc-dependent endoproteases participating in cancer pathogenesis by promoting invasion and regulating growth signaling, apoptosis, angiogenesis and immune responses. MMP-8 is an intriguing MMP with recently discovered antitumor activity and immunoregulatory properties, but its role in colorectal cancer (CRC) has not been studied extensively. Preoperative serum MMP-8 levels (S-MMP-8) of 148 CRC patients and 83 healthy controls were measured using an immunofluorometric assay and related to clinical and pathological parameters. The patients had higher S-MMP-8 than the controls (median 63.0 vs. 17.2 ng/ml, p = 1.5E - 9), and a receiver operating characteristics analysis yielded an area under the curve of 0.751 in differentiating the groups. In univariate analyses, S-MMP-8 correlated positively with disease stage (p = 4.5E - 4), the degree of primary tumor necrosis (p = 0.0024) and blood neutrophil count (Pearson r = 0.523, p = 2.5E - 9). Particular interest was also addressed to the inflammatory properties of the tumors, and both variables studied, peritumoral tumor-destructing inflammatory infiltrate and Crohn's-like lymphoid reaction (CLR), showed a negative correlation with S-MMP-8 (p = 0.041 and p = 0.0057, respectively). In a multiple linear regression analysis, high S-MMP-8 associated with elevated blood neutrophil count, distant metastases, low-grade CLR and low body mass index. Overall, our results indicate that MMP-8 is involved in the course and progression of CRC influencing the immune response against the tumor and contributing to the resolution of necrosis. Serum or plasma MMP-8 may prove to be a worthy biomarker for CRC.","author":[{"dropping-particle":"","family":"Väyrynen","given":"Juha P","non-dropping-particle":"","parse-names":false,"suffix":""},{"dropping-particle":"","family":"Vornanen","given":"Juha","non-dropping-particle":"","parse-names":false,"suffix":""},{"dropping-particle":"","family":"Tervahartiala","given":"Taina","non-dropping-particle":"","parse-names":false,"suffix":""},{"dropping-particle":"","family":"Sorsa","given":"Timo","non-dropping-particle":"","parse-names":false,"suffix":""},{"dropping-particle":"","family":"Bloigu","given":"Risto","non-dropping-particle":"","parse-names":false,"suffix":""},{"dropping-particle":"","family":"Salo","given":"Tuula","non-dropping-particle":"","parse-names":false,"suffix":""},{"dropping-particle":"","family":"Tuomisto","given":"Anne","non-dropping-particle":"","parse-names":false,"suffix":""},{"dropping-particle":"","family":"Mäkinen","given":"Markus J","non-dropping-particle":"","parse-names":false,"suffix":""}],"container-title":"International journal of cancer","id":"ITEM-1","issue":"4","issued":{"date-parts":[["2012"]]},"page":"E463-74","title":"Serum MMP-8 levels increase in colorectal cancer and correlate with disease course and inflammatory properties of primary tumors.","type":"article-journal","volume":"131"},"uris":["http://www.mendeley.com/documents/?uuid=a6f1d876-4ba0-4069-9bcf-b1bc4e1319e3"]}],"mendeley":{"formattedCitation":"&lt;sup&gt;[165]&lt;/sup&gt;","plainTextFormattedCitation":"[165]","previouslyFormattedCitation":"&lt;sup&gt;[165]&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[165]</w:t>
            </w:r>
            <w:r w:rsidRPr="00F06EA4">
              <w:rPr>
                <w:rFonts w:eastAsia="Calibri"/>
                <w:lang w:val="en-US"/>
              </w:rPr>
              <w:fldChar w:fldCharType="end"/>
            </w:r>
          </w:p>
        </w:tc>
      </w:tr>
      <w:tr w:rsidR="003E199B" w:rsidRPr="00F06EA4" w14:paraId="07FECFDD" w14:textId="77777777" w:rsidTr="00D411BC">
        <w:trPr>
          <w:trHeight w:val="20"/>
        </w:trPr>
        <w:tc>
          <w:tcPr>
            <w:tcW w:w="2700" w:type="dxa"/>
          </w:tcPr>
          <w:p w14:paraId="43A9C0F3" w14:textId="77777777" w:rsidR="003E199B" w:rsidRPr="00F06EA4" w:rsidRDefault="003E199B" w:rsidP="00F67ED8">
            <w:pPr>
              <w:spacing w:after="0"/>
              <w:contextualSpacing/>
              <w:rPr>
                <w:rFonts w:eastAsia="Calibri"/>
                <w:lang w:val="en-US"/>
              </w:rPr>
            </w:pPr>
            <w:r w:rsidRPr="00F06EA4">
              <w:rPr>
                <w:rFonts w:eastAsia="Calibri"/>
                <w:lang w:val="en-US"/>
              </w:rPr>
              <w:t>MMP9</w:t>
            </w:r>
          </w:p>
        </w:tc>
        <w:tc>
          <w:tcPr>
            <w:tcW w:w="332" w:type="dxa"/>
          </w:tcPr>
          <w:p w14:paraId="625BFF3F" w14:textId="77777777" w:rsidR="003E199B" w:rsidRPr="00F06EA4" w:rsidRDefault="003E199B" w:rsidP="00F67ED8">
            <w:pPr>
              <w:spacing w:after="0"/>
              <w:contextualSpacing/>
              <w:rPr>
                <w:rFonts w:eastAsia="Calibri"/>
                <w:lang w:val="en-US"/>
              </w:rPr>
            </w:pPr>
          </w:p>
        </w:tc>
        <w:tc>
          <w:tcPr>
            <w:tcW w:w="2162" w:type="dxa"/>
          </w:tcPr>
          <w:p w14:paraId="7E5BECF9" w14:textId="77777777" w:rsidR="003E199B" w:rsidRPr="00F06EA4" w:rsidRDefault="003E199B" w:rsidP="00F67ED8">
            <w:pPr>
              <w:spacing w:after="0"/>
              <w:contextualSpacing/>
              <w:rPr>
                <w:rFonts w:eastAsia="Calibri"/>
                <w:lang w:val="en-US"/>
              </w:rPr>
            </w:pPr>
            <w:r w:rsidRPr="00F06EA4">
              <w:rPr>
                <w:rFonts w:eastAsia="Calibri"/>
                <w:lang w:val="en-US"/>
              </w:rPr>
              <w:t>Degradation of extracellular matrix and regulation of neutrophil action</w:t>
            </w:r>
          </w:p>
        </w:tc>
        <w:tc>
          <w:tcPr>
            <w:tcW w:w="2384" w:type="dxa"/>
          </w:tcPr>
          <w:p w14:paraId="279F0B8A"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1B8A6302"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27050E35" w14:textId="06FE50E5" w:rsidR="003E199B" w:rsidRPr="00F06EA4" w:rsidRDefault="003E199B" w:rsidP="00F67ED8">
            <w:pPr>
              <w:spacing w:after="0"/>
              <w:contextualSpacing/>
              <w:rPr>
                <w:rFonts w:eastAsia="Calibri"/>
                <w:lang w:val="en-US"/>
              </w:rPr>
            </w:pPr>
            <w:r w:rsidRPr="00F06EA4">
              <w:rPr>
                <w:rFonts w:eastAsia="Calibri"/>
                <w:lang w:val="en-US"/>
              </w:rPr>
              <w:t xml:space="preserve">Wilson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{"citationItems":[{"id":"ITEM-1","itemData":{"DOI":"10.1038/bjc.2012.93","ISSN":"1532-1827","PMID":"22433968","abstract":"BACKGROUND A blood test may be a more acceptable routine colorectal cancer (CRC) screening test than faecal occult blood test, flexible sigmoidoscopy or colonoscopy, and could be safer and cheaper. We evaluated the accuracy of a serum matrix metalloproteinase (MMP9) test for CRC in a non-presenting symptomatic population. METHODS A cohort, aged 50-69 with lower gastrointestinal symptoms, was identified by community-based survey. Accuracy of serum MMP9 was assessed by comparison with colonoscopy. Logistic regression identified predictors of neoplasia and receiver operating characteristic curve analyses determined the cutoff to maximise the sensitivity. RESULTS Data were available for 748 patients. Overall, 46 cases of neoplasia were identified. Univariate analysis demonstrated that demographic characteristics, behavioural factors, clinical symptoms and raised serum MMP9 concentration were all significantly associated with the presence of neoplasia. Our final logistic regression model had a sensitivity of 79% and specificity of 70%. CONCLUSION We demonstrated a significant association between serum MMP9 concentration and the presence of neoplasia. Serum MMP9 levels are raised in those with cancer and high-risk adenomas, although MMP9 estimation is likely to have the greatest predictive utility when used as part of a panel of biomarkers. Further work is required to identify biomarkers that are sufficiently accurate for implementing into routine practice.","author":[{"dropping-particle":"","family":"Wilson","given":"S.","non-dropping-particle":"","parse-names":false,"suffix":""},{"dropping-particle":"","family":"Damery","given":"S.","non-dropping-particle":"","parse-names":false,"suffix":""},{"dropping-particle":"","family":"Stocken","given":"D. D.","non-dropping-particle":"","parse-names":false,"suffix":""},{"dropping-particle":"","family":"Dowswell","given":"G.","non-dropping-particle":"","parse-names":false,"suffix":""},{"dropping-particle":"","family":"Holder","given":"R.","non-dropping-particle":"","parse-names":false,"suffix":""},{"dropping-particle":"","family":"Ward","given":"S. T.","non-dropping-particle":"","parse-names":false,"suffix":""},{"dropping-particle":"","family":"Redman","given":"V.","non-dropping-particle":"","parse-names":false,"suffix":""},{"dropping-particle":"","family":"Wakelam","given":"M. J.","non-dropping-particle":"","parse-names":false,"suffix":""},{"dropping-particle":"","family":"James","given":"J.","non-dropping-particle":"","parse-names":false,"suffix":""},{"dropping-particle":"","family":"Hobbs","given":"F D R","non-dropping-particle":"","parse-names":false,"suffix":""},{"dropping-particle":"","family":"Ismail","given":"T.","non-dropping-particle":"","parse-names":false,"suffix":""}],"container-title":"British journal of cancer","id":"ITEM-1","issue":"8","issued":{"date-parts":[["2012","4"]]},"page":"1431-8","title":"Serum matrix metalloproteinase 9 and colorectal neoplasia: a community-based evaluation of a potential diagnostic test.","type":"article-journal","volume":"106"},"uris":["http://www.mendeley.com/documents/?uuid=d28dede4-1c17-4743-8839-797e9618c0a6"]}],"mendeley":{"formattedCitation":"&lt;sup&gt;[166]&lt;/sup&gt;","plainTextFormattedCitation":"[166]","previouslyFormattedCitation":"&lt;sup&gt;[166]&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[166]</w:t>
            </w:r>
            <w:r w:rsidRPr="00F06EA4">
              <w:rPr>
                <w:rFonts w:eastAsia="Calibri"/>
                <w:lang w:val="en-US"/>
              </w:rPr>
              <w:fldChar w:fldCharType="end"/>
            </w:r>
          </w:p>
        </w:tc>
      </w:tr>
      <w:tr w:rsidR="003E199B" w:rsidRPr="00F06EA4" w14:paraId="1D39B023" w14:textId="77777777" w:rsidTr="00D411BC">
        <w:trPr>
          <w:trHeight w:val="20"/>
        </w:trPr>
        <w:tc>
          <w:tcPr>
            <w:tcW w:w="2700" w:type="dxa"/>
          </w:tcPr>
          <w:p w14:paraId="55790522" w14:textId="77777777" w:rsidR="003E199B" w:rsidRPr="00F06EA4" w:rsidRDefault="003E199B" w:rsidP="00F67ED8">
            <w:pPr>
              <w:spacing w:after="0"/>
              <w:contextualSpacing/>
              <w:rPr>
                <w:rFonts w:eastAsia="Calibri"/>
                <w:lang w:val="en-US"/>
              </w:rPr>
            </w:pPr>
            <w:r w:rsidRPr="00F06EA4">
              <w:rPr>
                <w:rFonts w:eastAsia="Calibri"/>
                <w:lang w:val="en-US"/>
              </w:rPr>
              <w:t>TIMP1</w:t>
            </w:r>
          </w:p>
        </w:tc>
        <w:tc>
          <w:tcPr>
            <w:tcW w:w="332" w:type="dxa"/>
          </w:tcPr>
          <w:p w14:paraId="1EC6DDDE"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4E3A526F" w14:textId="77777777" w:rsidR="003E199B" w:rsidRPr="00F06EA4" w:rsidRDefault="003E199B" w:rsidP="00F67ED8">
            <w:pPr>
              <w:spacing w:after="0"/>
              <w:contextualSpacing/>
              <w:rPr>
                <w:rFonts w:eastAsia="Calibri"/>
                <w:lang w:val="en-US"/>
              </w:rPr>
            </w:pPr>
            <w:r w:rsidRPr="00F06EA4">
              <w:rPr>
                <w:rFonts w:eastAsia="Calibri"/>
                <w:lang w:val="en-US"/>
              </w:rPr>
              <w:t>Inhibitor of metalloproteinases</w:t>
            </w:r>
          </w:p>
        </w:tc>
        <w:tc>
          <w:tcPr>
            <w:tcW w:w="2384" w:type="dxa"/>
          </w:tcPr>
          <w:p w14:paraId="2E793C6D" w14:textId="77777777" w:rsidR="003E199B" w:rsidRPr="00F06EA4" w:rsidRDefault="003E199B" w:rsidP="00F67ED8">
            <w:pPr>
              <w:spacing w:after="0"/>
              <w:contextualSpacing/>
              <w:rPr>
                <w:rFonts w:eastAsia="Calibri"/>
                <w:lang w:val="en-US"/>
              </w:rPr>
            </w:pPr>
            <w:r w:rsidRPr="00F06EA4">
              <w:rPr>
                <w:rFonts w:eastAsia="Calibri"/>
                <w:lang w:val="en-US"/>
              </w:rPr>
              <w:t>meta-analysis</w:t>
            </w:r>
          </w:p>
        </w:tc>
        <w:tc>
          <w:tcPr>
            <w:tcW w:w="1121" w:type="dxa"/>
          </w:tcPr>
          <w:p w14:paraId="7C0FDBBD"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076DE011" w14:textId="63E05DAE" w:rsidR="003E199B" w:rsidRPr="00F06EA4" w:rsidRDefault="003E199B" w:rsidP="00F67ED8">
            <w:pPr>
              <w:spacing w:after="0"/>
              <w:contextualSpacing/>
              <w:rPr>
                <w:rFonts w:eastAsia="Calibri"/>
                <w:lang w:val="en-US"/>
              </w:rPr>
            </w:pPr>
            <w:r w:rsidRPr="00F06EA4">
              <w:rPr>
                <w:rFonts w:eastAsia="Calibri"/>
                <w:lang w:val="en-US"/>
              </w:rPr>
              <w:t xml:space="preserve">Meng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{"citationItems":[{"id":"ITEM-1","itemData":{"DOI":"10.1371/journal.pone.0207039","ISBN":"1111111111","ISSN":"1932-6203","PMID":"30458003","abstract":"PURPOSE Tissue inhibitor of metalloproteinase-1 (TIMP-1) is a glycoprotein involved in cell survival and tumorigenesis. There have been some promising results regarding the diagnostic value of TIMP-1 for patients with colorectal cancer (CRC). The aim of the present study was to assess the diagnostic accuracy and clinical utility of serum TIMP-1 in CRC patients through meta-analysis. METHODS A systematic search of online databases was performed to collect eligible studies. The pooled sensitivity, specificity, diagnostic odds ratio (DOR), and summary receiver operator characteristic (SROC) curve were generated from accuracy data using the random-effects model. Fagan's nomogram and the likelihood matrix were applied to estimate the clinical utility of TIMP-1. RESULTS A total of 9 eligible studies with 1886 patients were included. Among the patients, 819 were pathologically diagnosed with CRC, whereas 1067 did not have adenomas or other cancers. The overall sensitivity, specificity, and DOR of TIMP-1 for the diagnosis of CRC were 0.65 (95% confidence interval (CI): 0.57-0.72), 0.87 (95% CI: 0.76-0.94), and 12.73 (95% CI 5.71-28.38), respectively. The area under the SROC was 0.77 (95% CI, 0.73-0.81), suggesting the potential diagnostic value of TIMP-1 in CRC patients. Among patients with a pretest CRC probability of 20%, posttest probabilities were 56% and 9% for positive and negative TIMP-1 results, respectively. CONCLUSIONS TIMP-1 expression exhibits an upper moderate diagnostic value in CRC, and TIMP-1 assessment may be useful as a noninvasive screening tool for CRC in clinical practice.","author":[{"dropping-particle":"","family":"Meng","given":"Chunyan","non-dropping-particle":"","parse-names":false,"suffix":""},{"dropping-particle":"","family":"Yin","given":"Xiaowei","non-dropping-particle":"","parse-names":false,"suffix":""},{"dropping-particle":"","family":"Liu","given":"Jingting","non-dropping-particle":"","parse-names":false,"suffix":""},{"dropping-particle":"","family":"Tang","given":"Kaifeng","non-dropping-particle":"","parse-names":false,"suffix":""},{"dropping-particle":"","family":"Tang","given":"Hongchao","non-dropping-particle":"","parse-names":false,"suffix":""},{"dropping-particle":"","family":"Liao","given":"Jianhua","non-dropping-particle":"","parse-names":false,"suffix":""}],"container-title":"PloS one","id":"ITEM-1","issue":"11","issued":{"date-parts":[["2018"]]},"page":"e0207039","title":"TIMP-1 is a novel serum biomarker for the diagnosis of colorectal cancer: A meta-analysis.","type":"article-journal","volume":"13"},"uris":["http://www.mendeley.com/documents/?uuid=9e518678-7e10-4a95-9c7c-2919d08eb056"]}],"mendeley":{"formattedCitation":"&lt;sup&gt;[167]&lt;/sup&gt;","plainTextFormattedCitation":"[167]","previouslyFormattedCitation":"&lt;sup&gt;[167]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[167]</w:t>
            </w:r>
            <w:r w:rsidRPr="00F06EA4">
              <w:rPr>
                <w:rFonts w:eastAsia="Calibri"/>
                <w:lang w:val="en-US"/>
              </w:rPr>
              <w:fldChar w:fldCharType="end"/>
            </w:r>
          </w:p>
        </w:tc>
      </w:tr>
      <w:tr w:rsidR="003E199B" w:rsidRPr="00F06EA4" w14:paraId="1BE76A31" w14:textId="77777777" w:rsidTr="00D411BC">
        <w:trPr>
          <w:trHeight w:val="20"/>
        </w:trPr>
        <w:tc>
          <w:tcPr>
            <w:tcW w:w="2700" w:type="dxa"/>
          </w:tcPr>
          <w:p w14:paraId="4926FEE3" w14:textId="77777777" w:rsidR="003E199B" w:rsidRPr="00F06EA4" w:rsidRDefault="003E199B" w:rsidP="00F67ED8">
            <w:pPr>
              <w:spacing w:after="0"/>
              <w:contextualSpacing/>
              <w:rPr>
                <w:rFonts w:eastAsia="Calibri"/>
                <w:b/>
                <w:bCs/>
                <w:lang w:val="en-US"/>
              </w:rPr>
            </w:pPr>
            <w:r w:rsidRPr="00F06EA4">
              <w:rPr>
                <w:rFonts w:eastAsia="Calibri"/>
                <w:b/>
                <w:bCs/>
                <w:lang w:val="en-US"/>
              </w:rPr>
              <w:t>Growth factors and their inhibitors</w:t>
            </w:r>
          </w:p>
        </w:tc>
        <w:tc>
          <w:tcPr>
            <w:tcW w:w="332" w:type="dxa"/>
          </w:tcPr>
          <w:p w14:paraId="780D31F0" w14:textId="77777777" w:rsidR="003E199B" w:rsidRPr="00F06EA4" w:rsidRDefault="003E199B" w:rsidP="00F67ED8">
            <w:pPr>
              <w:spacing w:after="0"/>
              <w:contextualSpacing/>
              <w:rPr>
                <w:rFonts w:eastAsia="Calibri"/>
                <w:lang w:val="en-US"/>
              </w:rPr>
            </w:pPr>
          </w:p>
        </w:tc>
        <w:tc>
          <w:tcPr>
            <w:tcW w:w="2162" w:type="dxa"/>
          </w:tcPr>
          <w:p w14:paraId="2D41BE79" w14:textId="77777777" w:rsidR="003E199B" w:rsidRPr="00F06EA4" w:rsidRDefault="003E199B" w:rsidP="00F67ED8">
            <w:pPr>
              <w:spacing w:after="0"/>
              <w:contextualSpacing/>
              <w:rPr>
                <w:rFonts w:eastAsia="Calibri"/>
                <w:lang w:val="en-US"/>
              </w:rPr>
            </w:pPr>
          </w:p>
        </w:tc>
        <w:tc>
          <w:tcPr>
            <w:tcW w:w="2384" w:type="dxa"/>
          </w:tcPr>
          <w:p w14:paraId="4E34EC37" w14:textId="77777777" w:rsidR="003E199B" w:rsidRPr="00F06EA4" w:rsidRDefault="003E199B" w:rsidP="00F67ED8">
            <w:pPr>
              <w:spacing w:after="0"/>
              <w:contextualSpacing/>
              <w:rPr>
                <w:rFonts w:eastAsia="Calibri"/>
                <w:lang w:val="en-US"/>
              </w:rPr>
            </w:pPr>
          </w:p>
        </w:tc>
        <w:tc>
          <w:tcPr>
            <w:tcW w:w="1121" w:type="dxa"/>
          </w:tcPr>
          <w:p w14:paraId="5F56E607" w14:textId="77777777" w:rsidR="003E199B" w:rsidRPr="00F06EA4" w:rsidRDefault="003E199B" w:rsidP="00F67ED8">
            <w:pPr>
              <w:spacing w:after="0"/>
              <w:contextualSpacing/>
              <w:rPr>
                <w:rFonts w:eastAsia="Calibri"/>
                <w:lang w:val="en-US"/>
              </w:rPr>
            </w:pPr>
          </w:p>
        </w:tc>
        <w:tc>
          <w:tcPr>
            <w:tcW w:w="1365" w:type="dxa"/>
          </w:tcPr>
          <w:p w14:paraId="23C37189" w14:textId="77777777" w:rsidR="003E199B" w:rsidRPr="00F06EA4" w:rsidRDefault="003E199B" w:rsidP="00F67ED8">
            <w:pPr>
              <w:spacing w:after="0"/>
              <w:contextualSpacing/>
              <w:rPr>
                <w:rFonts w:eastAsia="Calibri"/>
                <w:lang w:val="en-US"/>
              </w:rPr>
            </w:pPr>
          </w:p>
        </w:tc>
      </w:tr>
      <w:tr w:rsidR="003E199B" w:rsidRPr="00F06EA4" w14:paraId="0C7189BE" w14:textId="77777777" w:rsidTr="00D411BC">
        <w:trPr>
          <w:trHeight w:val="20"/>
        </w:trPr>
        <w:tc>
          <w:tcPr>
            <w:tcW w:w="2700" w:type="dxa"/>
          </w:tcPr>
          <w:p w14:paraId="17E18FFA" w14:textId="77777777" w:rsidR="003E199B" w:rsidRPr="00F06EA4" w:rsidRDefault="003E199B" w:rsidP="00F67ED8">
            <w:pPr>
              <w:spacing w:after="0"/>
              <w:contextualSpacing/>
              <w:rPr>
                <w:rFonts w:eastAsia="Calibri"/>
                <w:lang w:val="en-US"/>
              </w:rPr>
            </w:pPr>
            <w:r w:rsidRPr="00F06EA4">
              <w:rPr>
                <w:rFonts w:eastAsia="Calibri"/>
                <w:lang w:val="en-US"/>
              </w:rPr>
              <w:t>ANGPTL2</w:t>
            </w:r>
          </w:p>
        </w:tc>
        <w:tc>
          <w:tcPr>
            <w:tcW w:w="332" w:type="dxa"/>
          </w:tcPr>
          <w:p w14:paraId="435D29CF"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819C8AF" w14:textId="77777777" w:rsidR="003E199B" w:rsidRPr="00F06EA4" w:rsidRDefault="003E199B" w:rsidP="00F67ED8">
            <w:pPr>
              <w:spacing w:after="0"/>
              <w:contextualSpacing/>
              <w:rPr>
                <w:rFonts w:eastAsia="Calibri"/>
                <w:lang w:val="en-US"/>
              </w:rPr>
            </w:pPr>
            <w:r w:rsidRPr="00F06EA4">
              <w:rPr>
                <w:rFonts w:eastAsia="Calibri"/>
                <w:lang w:val="en-US"/>
              </w:rPr>
              <w:t xml:space="preserve">Growth factor contributing to the regulation of inflammation and angiogenesis </w:t>
            </w:r>
          </w:p>
        </w:tc>
        <w:tc>
          <w:tcPr>
            <w:tcW w:w="2384" w:type="dxa"/>
          </w:tcPr>
          <w:p w14:paraId="4034BD49"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424E7FF2" w14:textId="77777777" w:rsidR="003E199B" w:rsidRPr="00F06EA4" w:rsidRDefault="003E199B" w:rsidP="00F67ED8">
            <w:pPr>
              <w:spacing w:after="0"/>
              <w:contextualSpacing/>
              <w:rPr>
                <w:rFonts w:eastAsia="Calibri"/>
                <w:lang w:val="en-US"/>
              </w:rPr>
            </w:pPr>
            <w:r w:rsidRPr="00F06EA4">
              <w:rPr>
                <w:rFonts w:eastAsia="Calibri"/>
                <w:lang w:val="en-US"/>
              </w:rPr>
              <w:t xml:space="preserve">serum </w:t>
            </w:r>
          </w:p>
        </w:tc>
        <w:tc>
          <w:tcPr>
            <w:tcW w:w="1365" w:type="dxa"/>
          </w:tcPr>
          <w:p w14:paraId="588F4C5E" w14:textId="68CA5A63" w:rsidR="003E199B" w:rsidRPr="00F06EA4" w:rsidRDefault="003E199B" w:rsidP="00F67ED8">
            <w:pPr>
              <w:spacing w:after="0"/>
              <w:contextualSpacing/>
              <w:rPr>
                <w:rFonts w:eastAsia="Calibri"/>
                <w:lang w:val="en-US"/>
              </w:rPr>
            </w:pPr>
            <w:r w:rsidRPr="00F06EA4">
              <w:rPr>
                <w:rFonts w:eastAsia="Calibri"/>
                <w:lang w:val="en-US"/>
              </w:rPr>
              <w:t xml:space="preserve">Toiyama </w:t>
            </w:r>
            <w:r w:rsidR="0020070C" w:rsidRPr="0020070C">
              <w:rPr>
                <w:rFonts w:eastAsia="Calibri"/>
                <w:i/>
                <w:iCs/>
                <w:lang w:val="en-US"/>
              </w:rPr>
              <w:t>et al</w:t>
            </w:r>
            <w:r w:rsidRPr="00F06EA4">
              <w:rPr>
                <w:rFonts w:eastAsia="Calibri"/>
                <w:lang w:val="en-US"/>
              </w:rPr>
              <w:fldChar w:fldCharType="begin" w:fldLock="1"/>
            </w:r>
            <w:r w:rsidR="000A0431" w:rsidRPr="00F06EA4">
              <w:rPr>
                <w:rFonts w:eastAsia="Calibri"/>
                <w:lang w:val="en-US"/>
              </w:rPr>
              <w:instrText>ADDIN CSL_CITATION {"citationItems":[{"id":"ITEM-1","itemData":{"DOI":"10.1158/1078-0432.CCR-14-0007","ISSN":"1078-0432","PMID":"25294915","abstract":"PURPOSE Angiopoietin-like protein 2 (ANGPTL2) is a mediator of chronic inflammation and inflammatory carcinogenesis. The biologic and clinical significance of ANGPTL2 remains unknown in human cancer. Therefore, we investigated the function of ANGPTL2 and evaluated its clinical significance in both primary tumors and matched sera in patients with colorectal cancer. EXPERIMENTAL DESIGN A colorectal cancer cell line was transfected with siRNA against ANGPTL2 for the assessment of its function. We examined ANGPTL2 expression in colorectal cancer tissues (n = 195) by immunohistochemistry. Finally, we screened serum ANGPTL2 levels from 32 colorectal cancers and 23 normal controls (NC), and validated these results in serum samples obtained from 195 colorectal cancers and 45 NCs by ELISA. RESULTS Knockdown of ANGPTL2 in vitro significantly inhibited cell proliferation, migration, and invasion, whereas it enhanced anoikis. ANGPTL2 was overexpressed in colorectal cancer tissues, and was significantly associated with advanced T stage, lymph node, and liver metastasis. Likewise, serum ANGPTL2 levels in colorectal cancers were significantly higher than NCs (P &lt; 0.01), and allowed distinguishing of colorectal cancers from NCs with high accuracy (AUC = 0.837). The subsequent validation step confirmed that serum ANGPTL2 levels in colorectal cancers were significantly higher than in NCs (P &lt; 0.0001), and had a high AUC value (0.885) for distinguishing colorectal cancers from NCs. High serum ANGPTL2 was significantly associated with advanced T stage, lymph node and liver metastasis, early relapse, and poor prognosis in colorectal cancers. CONCLUSION Serum ANGPTL2 is a novel diagnostic and recurrence-predictive biomarker in patients with colorectal cancer.","author":[{"dropping-particle":"","family":"Toiyama","given":"Y.","non-dropping-particle":"","parse-names":false,"suffix":""},{"dropping-particle":"","family":"Tanaka","given":"K.","non-dropping-particle":"","parse-names":false,"suffix":""},{"dropping-particle":"","family":"Kitajima","given":"T.","non-dropping-particle":"","parse-names":false,"suffix":""},{"dropping-particle":"","family":"Shimura","given":"T.","non-dropping-particle":"","parse-names":false,"suffix":""},{"dropping-particle":"","family":"Kawamura","given":"M.","non-dropping-particle":"","parse-names":false,"suffix":""},{"dropping-particle":"","family":"Kawamoto","given":"A.","non-dropping-particle":"","parse-names":false,"suffix":""},{"dropping-particle":"","family":"Okugawa","given":"Y.","non-dropping-particle":"","parse-names":false,"suffix":""},{"dropping-particle":"","family":"Saigusa","given":"S.","non-dropping-particle":"","parse-names":false,"suffix":""},{"dropping-particle":"","family":"Hiro","given":"J.","non-dropping-particle":"","parse-names":false,"suffix":""},{"dropping-particle":"","family":"Inoue","given":"Y.","non-dropping-particle":"","parse-names":false,"suffix":""},{"dropping-particle":"","family":"Mohri","given":"Y.","non-dropping-particle":"","parse-names":false,"suffix":""},{"dropping-particle":"","family":"Goel","given":"A.","non-dropping-particle":"","parse-names":false,"suffix":""},{"dropping-particle":"","family":"Kusunoki","given":"M.","non-dropping-particle":"","parse-names":false,"suffix":""}],"container-title":"Clinical Cancer Research","id":"ITEM-1","issue":"23","issued":{"date-parts":[["2014"]]},"page":"6175-6186","title":"Elevated Serum Angiopoietin-like Protein 2 Correlates with the Metastatic Properties of Colorectal Cancer: A Serum Biomarker for Early Diagnosis and Recurrence","type":"article-journal","volume":"20"},"uris":["http://www.mendeley.com/documents/?uuid=7686d902-8182-38ba-9838-d09870db9c24","http://www.mendeley.com/documents/?uuid=d09fa26e-f23e-4857-b1b4-a13f704fd0e6"]}],"mendeley":{"formattedCitation":"&lt;sup&gt;[168]&lt;/sup&gt;","plainTextFormattedCitation":"[168]","previouslyFormattedCitation":"&lt;sup&gt;[168]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[168]</w:t>
            </w:r>
            <w:r w:rsidRPr="00F06EA4">
              <w:rPr>
                <w:rFonts w:eastAsia="Calibri"/>
                <w:lang w:val="en-US"/>
              </w:rPr>
              <w:fldChar w:fldCharType="end"/>
            </w:r>
          </w:p>
        </w:tc>
      </w:tr>
      <w:tr w:rsidR="003E199B" w:rsidRPr="00F06EA4" w14:paraId="27BE4FD6" w14:textId="77777777" w:rsidTr="00D411BC">
        <w:trPr>
          <w:trHeight w:val="20"/>
        </w:trPr>
        <w:tc>
          <w:tcPr>
            <w:tcW w:w="2700" w:type="dxa"/>
          </w:tcPr>
          <w:p w14:paraId="7ABDFE75" w14:textId="77777777" w:rsidR="003E199B" w:rsidRPr="00F06EA4" w:rsidRDefault="003E199B" w:rsidP="00F67ED8">
            <w:pPr>
              <w:spacing w:after="0"/>
              <w:contextualSpacing/>
              <w:rPr>
                <w:rFonts w:eastAsia="Calibri"/>
                <w:lang w:val="en-US"/>
              </w:rPr>
            </w:pPr>
            <w:r w:rsidRPr="00F06EA4">
              <w:rPr>
                <w:rFonts w:eastAsia="Calibri"/>
                <w:lang w:val="en-US"/>
              </w:rPr>
              <w:t>ESM1</w:t>
            </w:r>
          </w:p>
        </w:tc>
        <w:tc>
          <w:tcPr>
            <w:tcW w:w="332" w:type="dxa"/>
          </w:tcPr>
          <w:p w14:paraId="65D7D6CC"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24583989" w14:textId="77777777" w:rsidR="003E199B" w:rsidRPr="00F06EA4" w:rsidRDefault="003E199B" w:rsidP="00F67ED8">
            <w:pPr>
              <w:spacing w:after="0"/>
              <w:contextualSpacing/>
              <w:rPr>
                <w:rFonts w:eastAsia="Calibri"/>
                <w:lang w:val="en-US"/>
              </w:rPr>
            </w:pPr>
            <w:r w:rsidRPr="00F06EA4">
              <w:rPr>
                <w:rFonts w:eastAsia="Calibri"/>
                <w:lang w:val="en-US"/>
              </w:rPr>
              <w:t>Secreted angiogenic factor</w:t>
            </w:r>
          </w:p>
        </w:tc>
        <w:tc>
          <w:tcPr>
            <w:tcW w:w="2384" w:type="dxa"/>
          </w:tcPr>
          <w:p w14:paraId="67A4060C"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1A88ECED"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11F60F86" w14:textId="641EEFA2" w:rsidR="003E199B" w:rsidRPr="00F06EA4" w:rsidRDefault="003E199B" w:rsidP="00F67ED8">
            <w:pPr>
              <w:spacing w:after="0"/>
              <w:contextualSpacing/>
              <w:rPr>
                <w:rFonts w:eastAsia="Calibri"/>
                <w:lang w:val="en-US"/>
              </w:rPr>
            </w:pPr>
            <w:r w:rsidRPr="00F06EA4">
              <w:rPr>
                <w:rFonts w:eastAsia="Calibri"/>
                <w:lang w:val="en-US"/>
              </w:rPr>
              <w:t xml:space="preserve">Jiang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{"citationItems":[{"id":"ITEM-1","itemData":{"DOI":"10.4238/2015.May.25.3","ISSN":"16765680","PMID":"26125749","abstract":"We evaluated the clinical significance and explored the prognostic value of serum endothelial cell-specific molecule-1 (ESM-1) expression in colorectal cancer (CRC) in a Chinese population. Serum samples were obtained from 89 CRC patients undergoing surgical treatment and 90 healthy volunteers (control group). ESM-1 levels in serum samples from CRC patients and controls were measured using a sandwich enzyme-linked immunosorbent assay. Overall survival was analyzed by the log-rank test, and survival curves were plotted according to the Kaplan-Meier method. Univariate Cox regression was performed on each clinical covariate to examine its influence on patient survival. Final multivariate models were based on step-wise addition. Serum ESM-1 expression levels were significantly higher in patients with CRC (66.81 ± 22.97 pg/mL) than in healthy volunteers (31.50 ± 16.81 pg/mL, P = 0.012). Expression levels of ESM-1 in CRC patients were significantly correlated with histological differentiation (P = 0.004), TNM stage (P = 0.007), depth of tumor invasion (P = 0.02), and lymph node metastasis (P = 0.001). Kaplan-Meier survival curves revealed that the overall survival was significantly lower in patients with high ESM-1 levels than in those with low levels (29.43 vs 61.20%, P = 0.0166). Multivariate analysis confirmed that the hazard risk of death was significantly higher in patients with high serum ESM-1 expression compared with low expression (hazard risk = 4.09, 95% confidence interval: 2.27-10.88, P &lt; 0.001). Detection of ESM-1 levels in the serum may serve as a tumor biomarker for assessing prognosis in CRC.","author":[{"dropping-particle":"","family":"Jiang","given":"H.","non-dropping-particle":"","parse-names":false,"suffix":""},{"dropping-particle":"","family":"Fu","given":"X.G.","non-dropping-particle":"","parse-names":false,"suffix":""},{"dropping-particle":"","family":"Chen","given":"Y.T.","non-dropping-particle":"","parse-names":false,"suffix":""}],"container-title":"Genetics and Molecular Research","id":"ITEM-1","issue":"2","issued":{"date-parts":[["2015"]]},"page":"5519-5526","title":"Serum level of endothelial cell-specific molecule-1 and prognosis of colorectal cancer","type":"article-journal","volume":"14"},"uris":["http://www.mendeley.com/documents/?uuid=bab2288b-0073-3e52-85e4-c84beec5f26a","http://www.mendeley.com/documents/?uuid=63d26ca1-ff97-481a-a92d-62faf25e4003"]}],"mendeley":{"formattedCitation":"&lt;sup&gt;[169]&lt;/sup&gt;","plainTextFormattedCitation":"[169]","previouslyFormattedCitation":"&lt;sup&gt;[169]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[169]</w:t>
            </w:r>
            <w:r w:rsidRPr="00F06EA4">
              <w:rPr>
                <w:rFonts w:eastAsia="Calibri"/>
                <w:lang w:val="en-US"/>
              </w:rPr>
              <w:fldChar w:fldCharType="end"/>
            </w:r>
          </w:p>
        </w:tc>
      </w:tr>
      <w:tr w:rsidR="003E199B" w:rsidRPr="00F06EA4" w14:paraId="27FC183A" w14:textId="77777777" w:rsidTr="00D411BC">
        <w:trPr>
          <w:trHeight w:val="20"/>
        </w:trPr>
        <w:tc>
          <w:tcPr>
            <w:tcW w:w="2700" w:type="dxa"/>
          </w:tcPr>
          <w:p w14:paraId="4B099B82" w14:textId="77777777" w:rsidR="003E199B" w:rsidRPr="00F06EA4" w:rsidRDefault="003E199B" w:rsidP="00F67ED8">
            <w:pPr>
              <w:spacing w:after="0"/>
              <w:contextualSpacing/>
              <w:rPr>
                <w:rFonts w:eastAsia="Calibri"/>
                <w:lang w:val="en-US"/>
              </w:rPr>
            </w:pPr>
            <w:r w:rsidRPr="00F06EA4">
              <w:rPr>
                <w:rFonts w:eastAsia="Calibri"/>
                <w:lang w:val="en-US"/>
              </w:rPr>
              <w:t>PDGFB</w:t>
            </w:r>
          </w:p>
        </w:tc>
        <w:tc>
          <w:tcPr>
            <w:tcW w:w="332" w:type="dxa"/>
          </w:tcPr>
          <w:p w14:paraId="4A9FB11A"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B5A1B58" w14:textId="77777777" w:rsidR="003E199B" w:rsidRPr="00F06EA4" w:rsidRDefault="003E199B" w:rsidP="00F67ED8">
            <w:pPr>
              <w:spacing w:after="0"/>
              <w:contextualSpacing/>
              <w:rPr>
                <w:rFonts w:eastAsia="Calibri"/>
                <w:lang w:val="en-US"/>
              </w:rPr>
            </w:pPr>
            <w:r w:rsidRPr="00F06EA4">
              <w:rPr>
                <w:rFonts w:eastAsia="Calibri"/>
                <w:lang w:val="en-US"/>
              </w:rPr>
              <w:t>Proliferation of mesenchymal cells</w:t>
            </w:r>
          </w:p>
        </w:tc>
        <w:tc>
          <w:tcPr>
            <w:tcW w:w="2384" w:type="dxa"/>
          </w:tcPr>
          <w:p w14:paraId="7AD7E432" w14:textId="77777777" w:rsidR="003E199B" w:rsidRPr="00F06EA4" w:rsidRDefault="003E199B" w:rsidP="00F67ED8">
            <w:pPr>
              <w:spacing w:after="0"/>
              <w:contextualSpacing/>
              <w:rPr>
                <w:rFonts w:eastAsia="Calibri"/>
                <w:lang w:val="en-US"/>
              </w:rPr>
            </w:pPr>
            <w:r w:rsidRPr="00F06EA4">
              <w:rPr>
                <w:rFonts w:eastAsia="Calibri"/>
                <w:lang w:val="en-US"/>
              </w:rPr>
              <w:t>Multiplex magnetic bead assay</w:t>
            </w:r>
          </w:p>
        </w:tc>
        <w:tc>
          <w:tcPr>
            <w:tcW w:w="1121" w:type="dxa"/>
          </w:tcPr>
          <w:p w14:paraId="475A3B4A"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6BA159BA" w14:textId="36707020" w:rsidR="003E199B" w:rsidRPr="00F06EA4" w:rsidRDefault="003E199B" w:rsidP="00F67ED8">
            <w:pPr>
              <w:spacing w:after="0"/>
              <w:contextualSpacing/>
              <w:rPr>
                <w:rFonts w:eastAsia="Calibri"/>
                <w:lang w:val="fi-FI"/>
              </w:rPr>
            </w:pPr>
            <w:r w:rsidRPr="00F06EA4">
              <w:rPr>
                <w:rFonts w:eastAsia="Calibri"/>
                <w:lang w:val="fi-FI"/>
              </w:rPr>
              <w:t xml:space="preserve">Kantola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{"citationItems":[{"id":"ITEM-1","itemData":{"DOI":"10.1038/bjc.2012.456","ISSN":"1532-1827","PMID":"23059742","abstract":"BACKGROUND Inflammation contributes to the pathogenesis of colorectal cancer (CRC), and cytokine levels are altered during colorectal carcinogenesis. METHODS The serum levels of 13 cytokines and their relation to clinical and pathological parameters, and systemic inflammatory response (mGPS, CRP and neutrophil-lymphocyte ratio), were analysed from a prospective series of 148 CRC patients and 86 healthy age- and sex-matched controls. RESULTS CRC patients had higher serum platelet-derived growth factor, interleukin (IL)-6, IL-7, and IL-8 levels and lower monocyte chemotactic protein-1 (MCP-1) levels than the controls. A logistic regression model for discriminating the patients from the controls - including the five most predictive cytokines (high IL-8, high IL-6, low MCP-1, low IL-1ra, and low IP-10) - yielded an area under curve value of 0.890 in receiver operating characteristics analysis. Serum cytokines showed distinct correlation with other markers of systemic inflammatory response, and advanced CRCs were associated with higher levels of IL-8, IL-1ra, and IL-6. A metastasised disease was accompanied by an orientation towards Th2 cytokine milieu. CONCLUSION CRC is associated with extensive alterations in serum cytokine environment, highlighting the importance of studying relative cytokine level alterations. Serum cytokine profile shows promise in separating CRC patients from healthy controls but its clinical value is yet to be confirmed.","author":[{"dropping-particle":"","family":"Kantola","given":"T.","non-dropping-particle":"","parse-names":false,"suffix":""},{"dropping-particle":"","family":"Klintrup","given":"K.","non-dropping-particle":"","parse-names":false,"suffix":""},{"dropping-particle":"","family":"Väyrynen","given":"J.P. P","non-dropping-particle":"","parse-names":false,"suffix":""},{"dropping-particle":"","family":"Vornanen","given":"J.","non-dropping-particle":"","parse-names":false,"suffix":""},{"dropping-particle":"","family":"Bloigu","given":"R.","non-dropping-particle":"","parse-names":false,"suffix":""},{"dropping-particle":"","family":"Karhu","given":"T.","non-dropping-particle":"","parse-names":false,"suffix":""},{"dropping-particle":"","family":"Herzig","given":"K-H","non-dropping-particle":"","parse-names":false,"suffix":""},{"dropping-particle":"","family":"Näpänkangas","given":"J.","non-dropping-particle":"","parse-names":false,"suffix":""},{"dropping-particle":"","family":"Mäkelä","given":"J.","non-dropping-particle":"","parse-names":false,"suffix":""},{"dropping-particle":"","family":"Karttunen","given":"T.J. J","non-dropping-particle":"","parse-names":false,"suffix":""},{"dropping-particle":"","family":"Tuomisto","given":"A.","non-dropping-particle":"","parse-names":false,"suffix":""},{"dropping-particle":"","family":"Mäkinen","given":"M.J. J","non-dropping-particle":"","parse-names":false,"suffix":""}],"container-title":"British journal of cancer","id":"ITEM-1","issue":"10","issued":{"date-parts":[["2012","11","6"]]},"page":"1729-36","title":"Stage-dependent alterations of the serum cytokine pattern in colorectal carcinoma.","type":"article-journal","volume":"107"},"uris":["http://www.mendeley.com/documents/?uuid=269bf46a-8d7f-4e7f-b7a0-75f33bcfe550"]}],"mendeley":{"formattedCitation":"&lt;sup&gt;[18]&lt;/sup&gt;","plainTextFormattedCitation":"[18]","previouslyFormattedCitation":"&lt;sup&gt;[18]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[18]</w:t>
            </w:r>
            <w:r w:rsidRPr="00F06EA4">
              <w:rPr>
                <w:rFonts w:eastAsia="Calibri"/>
                <w:lang w:val="en-US"/>
              </w:rPr>
              <w:fldChar w:fldCharType="end"/>
            </w:r>
          </w:p>
        </w:tc>
      </w:tr>
      <w:tr w:rsidR="003E199B" w:rsidRPr="00F06EA4" w14:paraId="4EC1A020" w14:textId="77777777" w:rsidTr="00D411BC">
        <w:trPr>
          <w:trHeight w:val="20"/>
        </w:trPr>
        <w:tc>
          <w:tcPr>
            <w:tcW w:w="2700" w:type="dxa"/>
          </w:tcPr>
          <w:p w14:paraId="0D3A3307" w14:textId="77777777" w:rsidR="003E199B" w:rsidRPr="00F06EA4" w:rsidRDefault="003E199B" w:rsidP="00F67ED8">
            <w:pPr>
              <w:spacing w:after="0"/>
              <w:contextualSpacing/>
              <w:rPr>
                <w:rFonts w:eastAsia="Calibri"/>
                <w:lang w:val="en-US"/>
              </w:rPr>
            </w:pPr>
            <w:r w:rsidRPr="00F06EA4">
              <w:rPr>
                <w:rFonts w:eastAsia="Calibri"/>
                <w:lang w:val="en-US"/>
              </w:rPr>
              <w:lastRenderedPageBreak/>
              <w:t>VEGFA</w:t>
            </w:r>
          </w:p>
        </w:tc>
        <w:tc>
          <w:tcPr>
            <w:tcW w:w="332" w:type="dxa"/>
          </w:tcPr>
          <w:p w14:paraId="0CC451BD"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28069FE" w14:textId="77777777" w:rsidR="003E199B" w:rsidRPr="00F06EA4" w:rsidRDefault="003E199B" w:rsidP="00F67ED8">
            <w:pPr>
              <w:spacing w:after="0"/>
              <w:contextualSpacing/>
              <w:rPr>
                <w:rFonts w:eastAsia="Calibri"/>
                <w:lang w:val="en-US"/>
              </w:rPr>
            </w:pPr>
            <w:r w:rsidRPr="00F06EA4">
              <w:rPr>
                <w:rFonts w:eastAsia="Calibri"/>
                <w:lang w:val="en-US"/>
              </w:rPr>
              <w:t>Vascular growth factor</w:t>
            </w:r>
          </w:p>
        </w:tc>
        <w:tc>
          <w:tcPr>
            <w:tcW w:w="2384" w:type="dxa"/>
          </w:tcPr>
          <w:p w14:paraId="736F2729" w14:textId="77777777" w:rsidR="003E199B" w:rsidRPr="00F06EA4" w:rsidRDefault="003E199B" w:rsidP="00F67ED8">
            <w:pPr>
              <w:spacing w:after="0"/>
              <w:contextualSpacing/>
              <w:rPr>
                <w:rFonts w:eastAsia="Calibri"/>
                <w:lang w:val="en-US"/>
              </w:rPr>
            </w:pPr>
          </w:p>
        </w:tc>
        <w:tc>
          <w:tcPr>
            <w:tcW w:w="1121" w:type="dxa"/>
          </w:tcPr>
          <w:p w14:paraId="0A3E53B2" w14:textId="77777777" w:rsidR="003E199B" w:rsidRPr="00F06EA4" w:rsidRDefault="003E199B" w:rsidP="00F67ED8">
            <w:pPr>
              <w:spacing w:after="0"/>
              <w:contextualSpacing/>
              <w:rPr>
                <w:rFonts w:eastAsia="Calibri"/>
                <w:lang w:val="en-US"/>
              </w:rPr>
            </w:pPr>
          </w:p>
        </w:tc>
        <w:tc>
          <w:tcPr>
            <w:tcW w:w="1365" w:type="dxa"/>
          </w:tcPr>
          <w:p w14:paraId="141D9AA0" w14:textId="77777777" w:rsidR="003E199B" w:rsidRPr="00F06EA4" w:rsidRDefault="003E199B" w:rsidP="00F67ED8">
            <w:pPr>
              <w:spacing w:after="0"/>
              <w:contextualSpacing/>
              <w:rPr>
                <w:rFonts w:eastAsia="Calibri"/>
                <w:lang w:val="en-US"/>
              </w:rPr>
            </w:pPr>
          </w:p>
        </w:tc>
      </w:tr>
      <w:tr w:rsidR="003E199B" w:rsidRPr="00F06EA4" w14:paraId="710D5947" w14:textId="77777777" w:rsidTr="00D411BC">
        <w:trPr>
          <w:trHeight w:val="20"/>
        </w:trPr>
        <w:tc>
          <w:tcPr>
            <w:tcW w:w="2700" w:type="dxa"/>
          </w:tcPr>
          <w:p w14:paraId="7528C7B5" w14:textId="77777777" w:rsidR="003E199B" w:rsidRPr="00F06EA4" w:rsidRDefault="003E199B" w:rsidP="00F67ED8">
            <w:pPr>
              <w:spacing w:after="0"/>
              <w:contextualSpacing/>
              <w:rPr>
                <w:rFonts w:eastAsia="Calibri"/>
                <w:lang w:val="en-US"/>
              </w:rPr>
            </w:pPr>
            <w:r w:rsidRPr="00F06EA4">
              <w:rPr>
                <w:rFonts w:eastAsia="Calibri"/>
                <w:lang w:val="en-US"/>
              </w:rPr>
              <w:t>VEGFC</w:t>
            </w:r>
          </w:p>
        </w:tc>
        <w:tc>
          <w:tcPr>
            <w:tcW w:w="332" w:type="dxa"/>
          </w:tcPr>
          <w:p w14:paraId="38827406"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7FA9DB06" w14:textId="77777777" w:rsidR="003E199B" w:rsidRPr="00F06EA4" w:rsidRDefault="003E199B" w:rsidP="00F67ED8">
            <w:pPr>
              <w:spacing w:after="0"/>
              <w:contextualSpacing/>
              <w:rPr>
                <w:rFonts w:eastAsia="Calibri"/>
                <w:lang w:val="en-US"/>
              </w:rPr>
            </w:pPr>
            <w:r w:rsidRPr="00F06EA4">
              <w:rPr>
                <w:rFonts w:eastAsia="Calibri"/>
                <w:lang w:val="en-US"/>
              </w:rPr>
              <w:t>Vascular growth factor</w:t>
            </w:r>
          </w:p>
        </w:tc>
        <w:tc>
          <w:tcPr>
            <w:tcW w:w="2384" w:type="dxa"/>
          </w:tcPr>
          <w:p w14:paraId="32447502"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0749A313"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2F01BF1C" w14:textId="3F207377" w:rsidR="003E199B" w:rsidRPr="00F06EA4" w:rsidRDefault="003E199B" w:rsidP="00F67ED8">
            <w:pPr>
              <w:spacing w:after="0"/>
              <w:contextualSpacing/>
              <w:rPr>
                <w:rFonts w:eastAsia="Calibri"/>
                <w:lang w:val="en-US"/>
              </w:rPr>
            </w:pPr>
            <w:r w:rsidRPr="00F06EA4">
              <w:rPr>
                <w:rFonts w:eastAsia="Calibri"/>
                <w:lang w:val="en-US"/>
              </w:rPr>
              <w:t xml:space="preserve">Wang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{"citationItems":[{"id":"ITEM-1","itemData":{"ISSN":"1445-2197","PMID":"22295309","abstract":"BACKGROUND The study aims to investigate the relationship among serum vascular endothelial growth factor (SVEGF-C), VEGF-C expression and lymph vessel density (LVD) in tumour tissue, and their influence to colorectal carcinoma (CRC). METHODS The SVEGF-C concentration of 110 patients with CRC and 40 healthy donors was examined by ELISA. The 110 tumour tissues and 40 normal colorectal specimens were examined by immunohistochemical staining (SP method) with VEGF-C and podoplanin (lymphatic vessel specific antibody). Kaplan–Meier survival analysis determined the influence on CRC prognosis. RESULTS CRC SVEGF-C level (889.0 ± 264.0 pg/mL) significantly exceeded (P = 0.000) the control level (373.2 ± 97.3 ng/L), and was significantly higher in T3, lymph node metastasis (LNM), distant metastasis, and pTNM groups III and IV. LNM prediction sensitivity, specificity, and accuracy of SVEGF-C were 85.7, 80.0 and 83.6%, respectively (875 pg/mL cut-off). VEGF-C expression was elevated in CRC versus control patients (P = 0.000), and was significantly related to LNM and pTNM stages III and IV. Mean LVD in CRC (6.3 ± 0.7/200 HP) significantly exceeded control mean (3.0 ± 0.7/200 HP) (P = 0.000). LVD was significantly higher in LNM and pTNM stages III and IV. SVEGF-C level was significantly higher in VEGF-C positive versus negative patients (P = 0.000), and was related to LVD (P = 0.009). Kaplan–Meier ranking of prognostic factors was SVEGF-C level (P = 0.000), VEGF-C expression (P = 0.001) and LVD (P = 0.012). CONCLUSION SVEGF-C level, VEGF-C and LVD are related to LNM and poor prognosis in patients with CRC. SVEGF-C may be a biomarker for LNM in CRC.","author":[{"dropping-particle":"","family":"Wang","given":"Tian-Bao","non-dropping-particle":"","parse-names":false,"suffix":""},{"dropping-particle":"","family":"Chen","given":"Zhong-Gang","non-dropping-particle":"","parse-names":false,"suffix":""},{"dropping-particle":"","family":"Wei","given":"Xiu-Qing","non-dropping-particle":"","parse-names":false,"suffix":""},{"dropping-particle":"","family":"Wei","given":"Bo","non-dropping-particle":"","parse-names":false,"suffix":""},{"dropping-particle":"","family":"Dong","given":"Wen-Guang","non-dropping-particle":"","parse-names":false,"suffix":""}],"container-title":"ANZ journal of surgery","id":"ITEM-1","issue":"10","issued":{"date-parts":[["2011"]]},"page":"694-9","title":"Serum vascular endothelial growth factor-C and lymphoangiogenesis are associated with the lymph node metastasis and prognosis of patients with colorectal cancer.","type":"article-journal","volume":"81"},"uris":["http://www.mendeley.com/documents/?uuid=bc996498-c13d-31fc-b6f6-f942c79bcdbb","http://www.mendeley.com/documents/?uuid=9f8931de-f83b-4866-9a81-d7bcb864364d"]}],"mendeley":{"formattedCitation":"&lt;sup&gt;[170]&lt;/sup&gt;","plainTextFormattedCitation":"[170]","previouslyFormattedCitation":"&lt;sup&gt;[170]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[170]</w:t>
            </w:r>
            <w:r w:rsidRPr="00F06EA4">
              <w:rPr>
                <w:rFonts w:eastAsia="Calibri"/>
                <w:lang w:val="en-US"/>
              </w:rPr>
              <w:fldChar w:fldCharType="end"/>
            </w:r>
          </w:p>
        </w:tc>
      </w:tr>
      <w:tr w:rsidR="003E199B" w:rsidRPr="00F06EA4" w14:paraId="2EEC3C1F" w14:textId="77777777" w:rsidTr="00D411BC">
        <w:trPr>
          <w:trHeight w:val="20"/>
        </w:trPr>
        <w:tc>
          <w:tcPr>
            <w:tcW w:w="2700" w:type="dxa"/>
          </w:tcPr>
          <w:p w14:paraId="2826FD45" w14:textId="77777777" w:rsidR="003E199B" w:rsidRPr="00F06EA4" w:rsidRDefault="003E199B" w:rsidP="00F67ED8">
            <w:pPr>
              <w:spacing w:after="0"/>
              <w:contextualSpacing/>
              <w:rPr>
                <w:rFonts w:eastAsia="Calibri"/>
                <w:b/>
                <w:lang w:val="en-US"/>
              </w:rPr>
            </w:pPr>
            <w:r w:rsidRPr="00F06EA4">
              <w:rPr>
                <w:rFonts w:eastAsia="Calibri"/>
                <w:b/>
                <w:lang w:val="en-US"/>
              </w:rPr>
              <w:t>Markers of metabolism</w:t>
            </w:r>
          </w:p>
        </w:tc>
        <w:tc>
          <w:tcPr>
            <w:tcW w:w="332" w:type="dxa"/>
          </w:tcPr>
          <w:p w14:paraId="7ACEF8EF" w14:textId="77777777" w:rsidR="003E199B" w:rsidRPr="00F06EA4" w:rsidRDefault="003E199B" w:rsidP="00F67ED8">
            <w:pPr>
              <w:spacing w:after="0"/>
              <w:contextualSpacing/>
              <w:rPr>
                <w:rFonts w:eastAsia="Calibri"/>
                <w:lang w:val="en-US"/>
              </w:rPr>
            </w:pPr>
          </w:p>
        </w:tc>
        <w:tc>
          <w:tcPr>
            <w:tcW w:w="2162" w:type="dxa"/>
          </w:tcPr>
          <w:p w14:paraId="7130E3DB" w14:textId="77777777" w:rsidR="003E199B" w:rsidRPr="00F06EA4" w:rsidRDefault="003E199B" w:rsidP="00F67ED8">
            <w:pPr>
              <w:spacing w:after="0"/>
              <w:contextualSpacing/>
              <w:rPr>
                <w:rFonts w:eastAsia="Calibri"/>
                <w:lang w:val="en-US"/>
              </w:rPr>
            </w:pPr>
          </w:p>
        </w:tc>
        <w:tc>
          <w:tcPr>
            <w:tcW w:w="2384" w:type="dxa"/>
          </w:tcPr>
          <w:p w14:paraId="7BA22C49" w14:textId="77777777" w:rsidR="003E199B" w:rsidRPr="00F06EA4" w:rsidRDefault="003E199B" w:rsidP="00F67ED8">
            <w:pPr>
              <w:spacing w:after="0"/>
              <w:contextualSpacing/>
              <w:rPr>
                <w:rFonts w:eastAsia="Calibri"/>
                <w:lang w:val="en-US"/>
              </w:rPr>
            </w:pPr>
          </w:p>
        </w:tc>
        <w:tc>
          <w:tcPr>
            <w:tcW w:w="1121" w:type="dxa"/>
          </w:tcPr>
          <w:p w14:paraId="1789E3BC" w14:textId="77777777" w:rsidR="003E199B" w:rsidRPr="00F06EA4" w:rsidRDefault="003E199B" w:rsidP="00F67ED8">
            <w:pPr>
              <w:spacing w:after="0"/>
              <w:contextualSpacing/>
              <w:rPr>
                <w:rFonts w:eastAsia="Calibri"/>
                <w:lang w:val="en-US"/>
              </w:rPr>
            </w:pPr>
          </w:p>
        </w:tc>
        <w:tc>
          <w:tcPr>
            <w:tcW w:w="1365" w:type="dxa"/>
          </w:tcPr>
          <w:p w14:paraId="1FF2567A" w14:textId="77777777" w:rsidR="003E199B" w:rsidRPr="00F06EA4" w:rsidRDefault="003E199B" w:rsidP="00F67ED8">
            <w:pPr>
              <w:spacing w:after="0"/>
              <w:contextualSpacing/>
              <w:rPr>
                <w:rFonts w:eastAsia="Calibri"/>
                <w:lang w:val="en-US"/>
              </w:rPr>
            </w:pPr>
          </w:p>
        </w:tc>
      </w:tr>
      <w:tr w:rsidR="003E199B" w:rsidRPr="00F06EA4" w14:paraId="420CCFC2" w14:textId="77777777" w:rsidTr="00D411BC">
        <w:trPr>
          <w:trHeight w:val="20"/>
        </w:trPr>
        <w:tc>
          <w:tcPr>
            <w:tcW w:w="2700" w:type="dxa"/>
          </w:tcPr>
          <w:p w14:paraId="37CB34C6" w14:textId="77777777" w:rsidR="003E199B" w:rsidRPr="00F06EA4" w:rsidRDefault="003E199B" w:rsidP="00F67ED8">
            <w:pPr>
              <w:spacing w:after="0"/>
              <w:contextualSpacing/>
              <w:rPr>
                <w:rFonts w:eastAsia="Calibri"/>
                <w:lang w:val="en-US"/>
              </w:rPr>
            </w:pPr>
            <w:r w:rsidRPr="00F06EA4">
              <w:rPr>
                <w:rFonts w:eastAsia="Calibri"/>
                <w:lang w:val="en-US"/>
              </w:rPr>
              <w:t>glucose (fasting)</w:t>
            </w:r>
          </w:p>
        </w:tc>
        <w:tc>
          <w:tcPr>
            <w:tcW w:w="332" w:type="dxa"/>
          </w:tcPr>
          <w:p w14:paraId="09B45CA9"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75372DE" w14:textId="77777777" w:rsidR="003E199B" w:rsidRPr="00F06EA4" w:rsidRDefault="003E199B" w:rsidP="00F67ED8">
            <w:pPr>
              <w:spacing w:after="0"/>
              <w:contextualSpacing/>
              <w:rPr>
                <w:rFonts w:eastAsia="Calibri"/>
                <w:lang w:val="en-US"/>
              </w:rPr>
            </w:pPr>
            <w:r w:rsidRPr="00F06EA4">
              <w:rPr>
                <w:rFonts w:eastAsia="Calibri"/>
                <w:lang w:val="en-US"/>
              </w:rPr>
              <w:t>Energy source</w:t>
            </w:r>
          </w:p>
        </w:tc>
        <w:tc>
          <w:tcPr>
            <w:tcW w:w="2384" w:type="dxa"/>
          </w:tcPr>
          <w:p w14:paraId="076AA6B0" w14:textId="77777777" w:rsidR="003E199B" w:rsidRPr="00F06EA4" w:rsidRDefault="003E199B" w:rsidP="00F67ED8">
            <w:pPr>
              <w:spacing w:after="0"/>
              <w:contextualSpacing/>
              <w:rPr>
                <w:rFonts w:eastAsia="Calibri"/>
                <w:lang w:val="en-US"/>
              </w:rPr>
            </w:pPr>
            <w:r w:rsidRPr="00F06EA4">
              <w:rPr>
                <w:rFonts w:eastAsia="Calibri"/>
                <w:lang w:val="en-US"/>
              </w:rPr>
              <w:t>G6PD</w:t>
            </w:r>
          </w:p>
        </w:tc>
        <w:tc>
          <w:tcPr>
            <w:tcW w:w="1121" w:type="dxa"/>
          </w:tcPr>
          <w:p w14:paraId="218960F7"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2E59B1F5" w14:textId="5246281A" w:rsidR="003E199B" w:rsidRPr="00F06EA4" w:rsidRDefault="003E199B" w:rsidP="00F67ED8">
            <w:pPr>
              <w:spacing w:after="0"/>
              <w:contextualSpacing/>
              <w:rPr>
                <w:rFonts w:eastAsia="Calibri"/>
                <w:lang w:val="en-US"/>
              </w:rPr>
            </w:pPr>
            <w:r w:rsidRPr="00F06EA4">
              <w:rPr>
                <w:rFonts w:eastAsia="Calibri"/>
                <w:lang w:val="en-US"/>
              </w:rPr>
              <w:t xml:space="preserve">Ferroni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{"citationItems":[{"id":"ITEM-1","itemData":{"DOI":"10.3748/wjg.v22.i45.9984","ISSN":"2219-2840","PMID":"28018105","abstract":"AIM To investigate the clinical significance of routinely used glycemic parameters in a cohort of colorectal cancer (CRC) patients. METHODS Pre-treatment fasting blood glucose, insulin, HbA1c and homeostasis model of risk assessment (HOMA-IR) were retrospectively evaluated in a case-control study of 224 CRC and 112 control subjects matched for sex, obesity and diabetes frequency and blood lipid profile. Furthermore, the prognostic value of routinely used glycemic parameters towards progression-free (PFS) and overall survival (OS) was prospectively evaluated. RESULTS Fasting blood glucose, insulin, HOMA-IR and HbA1c (all P &lt; 0.0001) levels were higher in non-diabetic CRC patients compared with obesity-matched controls. All parameters were associated with increased CRC risk at ROC analysis, but no relationship with clinical-pathological variables or survival outcomes was observed for glycemia, insulinemia or HOMA-IR. Conversely, advanced CRC stage (P = 0.018) was an independent predictor of increased HbA1c levels, which were also higher in patients who had disease progression compared with those who did not (P = 0.05). Elevated HbA1c levels showed a negative prognostic value both in terms of PFS (HR = 1.24) and OS (HR = 1.36) after adjustment for major confounders, which was further confirmed in a subgroup analysis performed after exclusion of diabetic patients. CONCLUSION HbA1c might have a negative prognostic value in CRC, thus suggesting that glycemic metabolic markers should be carefully monitored in these patients, independently of overt diabetes.","author":[{"dropping-particle":"","family":"Ferroni","given":"Patrizia","non-dropping-particle":"","parse-names":false,"suffix":""},{"dropping-particle":"","family":"Formica","given":"Vincenzo","non-dropping-particle":"","parse-names":false,"suffix":""},{"dropping-particle":"","family":"Della-Morte","given":"David","non-dropping-particle":"","parse-names":false,"suffix":""},{"dropping-particle":"","family":"Lucchetti","given":"Jessica","non-dropping-particle":"","parse-names":false,"suffix":""},{"dropping-particle":"","family":"Spila","given":"Antonella","non-dropping-particle":"","parse-names":false,"suffix":""},{"dropping-particle":"","family":"D'Alessandro","given":"Roberta","non-dropping-particle":"","parse-names":false,"suffix":""},{"dropping-particle":"","family":"Riondino","given":"Silvia","non-dropping-particle":"","parse-names":false,"suffix":""},{"dropping-particle":"","family":"Guadagni","given":"Fiorella","non-dropping-particle":"","parse-names":false,"suffix":""},{"dropping-particle":"","family":"Roselli","given":"Mario","non-dropping-particle":"","parse-names":false,"suffix":""}],"container-title":"World journal of gastroenterology","id":"ITEM-1","issue":"45","issued":{"date-parts":[["2016"]]},"page":"9984-9993","title":"Prognostic value of glycated hemoglobin in colorectal cancer.","type":"article-journal","volume":"22"},"uris":["http://www.mendeley.com/documents/?uuid=ff6fe9fc-09a2-3402-aa27-0a53492b20f2","http://www.mendeley.com/documents/?uuid=2b2dec83-65d4-4f2e-afaa-e550b004946c"]}],"mendeley":{"formattedCitation":"&lt;sup&gt;[171]&lt;/sup&gt;","plainTextFormattedCitation":"[171]","previouslyFormattedCitation":"&lt;sup&gt;[171]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[171]</w:t>
            </w:r>
            <w:r w:rsidRPr="00F06EA4">
              <w:rPr>
                <w:rFonts w:eastAsia="Calibri"/>
                <w:lang w:val="en-US"/>
              </w:rPr>
              <w:fldChar w:fldCharType="end"/>
            </w:r>
          </w:p>
        </w:tc>
      </w:tr>
      <w:tr w:rsidR="003E199B" w:rsidRPr="00F06EA4" w14:paraId="1DD949E2" w14:textId="77777777" w:rsidTr="00D411BC">
        <w:trPr>
          <w:trHeight w:val="20"/>
        </w:trPr>
        <w:tc>
          <w:tcPr>
            <w:tcW w:w="2700" w:type="dxa"/>
          </w:tcPr>
          <w:p w14:paraId="008B1175" w14:textId="77777777" w:rsidR="003E199B" w:rsidRPr="00F06EA4" w:rsidRDefault="003E199B" w:rsidP="00F67ED8">
            <w:pPr>
              <w:spacing w:after="0"/>
              <w:contextualSpacing/>
              <w:rPr>
                <w:rFonts w:eastAsia="Calibri"/>
                <w:lang w:val="en-US"/>
              </w:rPr>
            </w:pPr>
            <w:r w:rsidRPr="00F06EA4">
              <w:rPr>
                <w:rFonts w:eastAsia="Calibri"/>
                <w:lang w:val="en-US"/>
              </w:rPr>
              <w:t>HbA1c</w:t>
            </w:r>
          </w:p>
        </w:tc>
        <w:tc>
          <w:tcPr>
            <w:tcW w:w="332" w:type="dxa"/>
          </w:tcPr>
          <w:p w14:paraId="72297005" w14:textId="77777777" w:rsidR="003E199B" w:rsidRPr="00F06EA4" w:rsidRDefault="003E199B" w:rsidP="00F67ED8">
            <w:pPr>
              <w:spacing w:after="0"/>
              <w:contextualSpacing/>
              <w:rPr>
                <w:rFonts w:eastAsia="Calibri"/>
                <w:lang w:val="en-US"/>
              </w:rPr>
            </w:pPr>
          </w:p>
        </w:tc>
        <w:tc>
          <w:tcPr>
            <w:tcW w:w="2162" w:type="dxa"/>
          </w:tcPr>
          <w:p w14:paraId="3ABB6AB3" w14:textId="77777777" w:rsidR="003E199B" w:rsidRPr="00F06EA4" w:rsidRDefault="003E199B" w:rsidP="00F67ED8">
            <w:pPr>
              <w:spacing w:after="0"/>
              <w:contextualSpacing/>
              <w:rPr>
                <w:rFonts w:eastAsia="Calibri"/>
                <w:lang w:val="en-US"/>
              </w:rPr>
            </w:pPr>
            <w:r w:rsidRPr="00F06EA4">
              <w:rPr>
                <w:rFonts w:eastAsia="Calibri"/>
                <w:lang w:val="en-US"/>
              </w:rPr>
              <w:t>Oxygen carrier</w:t>
            </w:r>
          </w:p>
        </w:tc>
        <w:tc>
          <w:tcPr>
            <w:tcW w:w="2384" w:type="dxa"/>
          </w:tcPr>
          <w:p w14:paraId="42F93636" w14:textId="77777777" w:rsidR="003E199B" w:rsidRPr="00F06EA4" w:rsidRDefault="003E199B" w:rsidP="00F67ED8">
            <w:pPr>
              <w:spacing w:after="0"/>
              <w:contextualSpacing/>
              <w:rPr>
                <w:rFonts w:eastAsia="Calibri"/>
                <w:lang w:val="en-US"/>
              </w:rPr>
            </w:pPr>
            <w:r w:rsidRPr="00F06EA4">
              <w:rPr>
                <w:rFonts w:eastAsia="Calibri"/>
                <w:lang w:val="en-US"/>
              </w:rPr>
              <w:t>HPLC Analyzer</w:t>
            </w:r>
          </w:p>
        </w:tc>
        <w:tc>
          <w:tcPr>
            <w:tcW w:w="1121" w:type="dxa"/>
          </w:tcPr>
          <w:p w14:paraId="6DA17FA5" w14:textId="77777777" w:rsidR="003E199B" w:rsidRPr="00F06EA4" w:rsidRDefault="003E199B" w:rsidP="00F67ED8">
            <w:pPr>
              <w:spacing w:after="0"/>
              <w:contextualSpacing/>
              <w:rPr>
                <w:rFonts w:eastAsia="Calibri"/>
                <w:lang w:val="en-US"/>
              </w:rPr>
            </w:pPr>
            <w:r w:rsidRPr="00F06EA4">
              <w:rPr>
                <w:rFonts w:eastAsia="Calibri"/>
                <w:lang w:val="en-US"/>
              </w:rPr>
              <w:t xml:space="preserve">serum </w:t>
            </w:r>
          </w:p>
        </w:tc>
        <w:tc>
          <w:tcPr>
            <w:tcW w:w="1365" w:type="dxa"/>
          </w:tcPr>
          <w:p w14:paraId="67AAC876" w14:textId="2BCDCE8B" w:rsidR="003E199B" w:rsidRPr="00F06EA4" w:rsidRDefault="003E199B" w:rsidP="00F67ED8">
            <w:pPr>
              <w:spacing w:after="0"/>
              <w:contextualSpacing/>
              <w:rPr>
                <w:rFonts w:eastAsia="Calibri"/>
                <w:lang w:val="en-US"/>
              </w:rPr>
            </w:pPr>
            <w:r w:rsidRPr="00F06EA4">
              <w:rPr>
                <w:rFonts w:eastAsia="Calibri"/>
                <w:lang w:val="en-US"/>
              </w:rPr>
              <w:t xml:space="preserve">Ferroni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{"citationItems":[{"id":"ITEM-1","itemData":{"DOI":"10.3748/wjg.v22.i45.9984","ISSN":"2219-2840","PMID":"28018105","abstract":"AIM To investigate the clinical significance of routinely used glycemic parameters in a cohort of colorectal cancer (CRC) patients. METHODS Pre-treatment fasting blood glucose, insulin, HbA1c and homeostasis model of risk assessment (HOMA-IR) were retrospectively evaluated in a case-control study of 224 CRC and 112 control subjects matched for sex, obesity and diabetes frequency and blood lipid profile. Furthermore, the prognostic value of routinely used glycemic parameters towards progression-free (PFS) and overall survival (OS) was prospectively evaluated. RESULTS Fasting blood glucose, insulin, HOMA-IR and HbA1c (all P &lt; 0.0001) levels were higher in non-diabetic CRC patients compared with obesity-matched controls. All parameters were associated with increased CRC risk at ROC analysis, but no relationship with clinical-pathological variables or survival outcomes was observed for glycemia, insulinemia or HOMA-IR. Conversely, advanced CRC stage (P = 0.018) was an independent predictor of increased HbA1c levels, which were also higher in patients who had disease progression compared with those who did not (P = 0.05). Elevated HbA1c levels showed a negative prognostic value both in terms of PFS (HR = 1.24) and OS (HR = 1.36) after adjustment for major confounders, which was further confirmed in a subgroup analysis performed after exclusion of diabetic patients. CONCLUSION HbA1c might have a negative prognostic value in CRC, thus suggesting that glycemic metabolic markers should be carefully monitored in these patients, independently of overt diabetes.","author":[{"dropping-particle":"","family":"Ferroni","given":"Patrizia","non-dropping-particle":"","parse-names":false,"suffix":""},{"dropping-particle":"","family":"Formica","given":"Vincenzo","non-dropping-particle":"","parse-names":false,"suffix":""},{"dropping-particle":"","family":"Della-Morte","given":"David","non-dropping-particle":"","parse-names":false,"suffix":""},{"dropping-particle":"","family":"Lucchetti","given":"Jessica","non-dropping-particle":"","parse-names":false,"suffix":""},{"dropping-particle":"","family":"Spila","given":"Antonella","non-dropping-particle":"","parse-names":false,"suffix":""},{"dropping-particle":"","family":"D'Alessandro","given":"Roberta","non-dropping-particle":"","parse-names":false,"suffix":""},{"dropping-particle":"","family":"Riondino","given":"Silvia","non-dropping-particle":"","parse-names":false,"suffix":""},{"dropping-particle":"","family":"Guadagni","given":"Fiorella","non-dropping-particle":"","parse-names":false,"suffix":""},{"dropping-particle":"","family":"Roselli","given":"Mario","non-dropping-particle":"","parse-names":false,"suffix":""}],"container-title":"World journal of gastroenterology","id":"ITEM-1","issue":"45","issued":{"date-parts":[["2016"]]},"page":"9984-9993","title":"Prognostic value of glycated hemoglobin in colorectal cancer.","type":"article-journal","volume":"22"},"uris":["http://www.mendeley.com/documents/?uuid=ff6fe9fc-09a2-3402-aa27-0a53492b20f2","http://www.mendeley.com/documents/?uuid=2b2dec83-65d4-4f2e-afaa-e550b004946c"]}],"mendeley":{"formattedCitation":"&lt;sup&gt;[171]&lt;/sup&gt;","plainTextFormattedCitation":"[171]","previouslyFormattedCitation":"&lt;sup&gt;[171]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[171]</w:t>
            </w:r>
            <w:r w:rsidRPr="00F06EA4">
              <w:rPr>
                <w:rFonts w:eastAsia="Calibri"/>
                <w:lang w:val="en-US"/>
              </w:rPr>
              <w:fldChar w:fldCharType="end"/>
            </w:r>
          </w:p>
        </w:tc>
      </w:tr>
      <w:tr w:rsidR="003E199B" w:rsidRPr="00F06EA4" w14:paraId="2EE1BD29" w14:textId="77777777" w:rsidTr="00D411BC">
        <w:trPr>
          <w:trHeight w:val="20"/>
        </w:trPr>
        <w:tc>
          <w:tcPr>
            <w:tcW w:w="2700" w:type="dxa"/>
          </w:tcPr>
          <w:p w14:paraId="33F435F9" w14:textId="77777777" w:rsidR="003E199B" w:rsidRPr="00F06EA4" w:rsidRDefault="003E199B" w:rsidP="00F67ED8">
            <w:pPr>
              <w:spacing w:after="0"/>
              <w:contextualSpacing/>
              <w:rPr>
                <w:rFonts w:eastAsia="Calibri"/>
                <w:lang w:val="en-US"/>
              </w:rPr>
            </w:pPr>
            <w:r w:rsidRPr="00F06EA4">
              <w:rPr>
                <w:rFonts w:eastAsia="Calibri"/>
                <w:lang w:val="en-US"/>
              </w:rPr>
              <w:t>insulin (fasting)</w:t>
            </w:r>
          </w:p>
        </w:tc>
        <w:tc>
          <w:tcPr>
            <w:tcW w:w="332" w:type="dxa"/>
          </w:tcPr>
          <w:p w14:paraId="3AC76740"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ED0DB45" w14:textId="77777777" w:rsidR="003E199B" w:rsidRPr="00F06EA4" w:rsidRDefault="003E199B" w:rsidP="00F67ED8">
            <w:pPr>
              <w:spacing w:after="0"/>
              <w:contextualSpacing/>
              <w:rPr>
                <w:rFonts w:eastAsia="Calibri"/>
                <w:lang w:val="en-US"/>
              </w:rPr>
            </w:pPr>
            <w:r w:rsidRPr="00F06EA4">
              <w:rPr>
                <w:rFonts w:eastAsia="Calibri"/>
                <w:lang w:val="en-US"/>
              </w:rPr>
              <w:t>Regulator of metabolism</w:t>
            </w:r>
          </w:p>
        </w:tc>
        <w:tc>
          <w:tcPr>
            <w:tcW w:w="2384" w:type="dxa"/>
          </w:tcPr>
          <w:p w14:paraId="7D789172"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1570C923" w14:textId="77777777" w:rsidR="003E199B" w:rsidRPr="00F06EA4" w:rsidRDefault="003E199B" w:rsidP="00F67ED8">
            <w:pPr>
              <w:spacing w:after="0"/>
              <w:contextualSpacing/>
              <w:rPr>
                <w:rFonts w:eastAsia="Calibri"/>
                <w:lang w:val="en-US"/>
              </w:rPr>
            </w:pPr>
            <w:r w:rsidRPr="00F06EA4">
              <w:rPr>
                <w:rFonts w:eastAsia="Calibri"/>
                <w:lang w:val="en-US"/>
              </w:rPr>
              <w:t xml:space="preserve">serum </w:t>
            </w:r>
          </w:p>
        </w:tc>
        <w:tc>
          <w:tcPr>
            <w:tcW w:w="1365" w:type="dxa"/>
          </w:tcPr>
          <w:p w14:paraId="22E10DF9" w14:textId="7B21E814" w:rsidR="003E199B" w:rsidRPr="00F06EA4" w:rsidRDefault="003E199B" w:rsidP="00F67ED8">
            <w:pPr>
              <w:spacing w:after="0"/>
              <w:contextualSpacing/>
              <w:rPr>
                <w:rFonts w:eastAsia="Calibri"/>
                <w:lang w:val="en-US"/>
              </w:rPr>
            </w:pPr>
            <w:r w:rsidRPr="00F06EA4">
              <w:rPr>
                <w:rFonts w:eastAsia="Calibri"/>
                <w:lang w:val="en-US"/>
              </w:rPr>
              <w:t xml:space="preserve">Ferroni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{"citationItems":[{"id":"ITEM-1","itemData":{"DOI":"10.3748/wjg.v22.i45.9984","ISSN":"2219-2840","PMID":"28018105","abstract":"AIM To investigate the clinical significance of routinely used glycemic parameters in a cohort of colorectal cancer (CRC) patients. METHODS Pre-treatment fasting blood glucose, insulin, HbA1c and homeostasis model of risk assessment (HOMA-IR) were retrospectively evaluated in a case-control study of 224 CRC and 112 control subjects matched for sex, obesity and diabetes frequency and blood lipid profile. Furthermore, the prognostic value of routinely used glycemic parameters towards progression-free (PFS) and overall survival (OS) was prospectively evaluated. RESULTS Fasting blood glucose, insulin, HOMA-IR and HbA1c (all P &lt; 0.0001) levels were higher in non-diabetic CRC patients compared with obesity-matched controls. All parameters were associated with increased CRC risk at ROC analysis, but no relationship with clinical-pathological variables or survival outcomes was observed for glycemia, insulinemia or HOMA-IR. Conversely, advanced CRC stage (P = 0.018) was an independent predictor of increased HbA1c levels, which were also higher in patients who had disease progression compared with those who did not (P = 0.05). Elevated HbA1c levels showed a negative prognostic value both in terms of PFS (HR = 1.24) and OS (HR = 1.36) after adjustment for major confounders, which was further confirmed in a subgroup analysis performed after exclusion of diabetic patients. CONCLUSION HbA1c might have a negative prognostic value in CRC, thus suggesting that glycemic metabolic markers should be carefully monitored in these patients, independently of overt diabetes.","author":[{"dropping-particle":"","family":"Ferroni","given":"Patrizia","non-dropping-particle":"","parse-names":false,"suffix":""},{"dropping-particle":"","family":"Formica","given":"Vincenzo","non-dropping-particle":"","parse-names":false,"suffix":""},{"dropping-particle":"","family":"Della-Morte","given":"David","non-dropping-particle":"","parse-names":false,"suffix":""},{"dropping-particle":"","family":"Lucchetti","given":"Jessica","non-dropping-particle":"","parse-names":false,"suffix":""},{"dropping-particle":"","family":"Spila","given":"Antonella","non-dropping-particle":"","parse-names":false,"suffix":""},{"dropping-particle":"","family":"D'Alessandro","given":"Roberta","non-dropping-particle":"","parse-names":false,"suffix":""},{"dropping-particle":"","family":"Riondino","given":"Silvia","non-dropping-particle":"","parse-names":false,"suffix":""},{"dropping-particle":"","family":"Guadagni","given":"Fiorella","non-dropping-particle":"","parse-names":false,"suffix":""},{"dropping-particle":"","family":"Roselli","given":"Mario","non-dropping-particle":"","parse-names":false,"suffix":""}],"container-title":"World journal of gastroenterology","id":"ITEM-1","issue":"45","issued":{"date-parts":[["2016"]]},"page":"9984-9993","title":"Prognostic value of glycated hemoglobin in colorectal cancer.","type":"article-journal","volume":"22"},"uris":["http://www.mendeley.com/documents/?uuid=2b2dec83-65d4-4f2e-afaa-e550b004946c","http://www.mendeley.com/documents/?uuid=ff6fe9fc-09a2-3402-aa27-0a53492b20f2"]}],"mendeley":{"formattedCitation":"&lt;sup&gt;[171]&lt;/sup&gt;","plainTextFormattedCitation":"[171]","previouslyFormattedCitation":"&lt;sup&gt;[171]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[171]</w:t>
            </w:r>
            <w:r w:rsidRPr="00F06EA4">
              <w:rPr>
                <w:rFonts w:eastAsia="Calibri"/>
                <w:lang w:val="en-US"/>
              </w:rPr>
              <w:fldChar w:fldCharType="end"/>
            </w:r>
          </w:p>
        </w:tc>
      </w:tr>
      <w:tr w:rsidR="003E199B" w:rsidRPr="00F06EA4" w14:paraId="7B7174C7" w14:textId="77777777" w:rsidTr="00D411BC">
        <w:trPr>
          <w:trHeight w:val="20"/>
        </w:trPr>
        <w:tc>
          <w:tcPr>
            <w:tcW w:w="2700" w:type="dxa"/>
          </w:tcPr>
          <w:p w14:paraId="25228E1C" w14:textId="77777777" w:rsidR="003E199B" w:rsidRPr="00F06EA4" w:rsidRDefault="003E199B" w:rsidP="00F67ED8">
            <w:pPr>
              <w:spacing w:after="0"/>
              <w:contextualSpacing/>
              <w:rPr>
                <w:rFonts w:eastAsia="Calibri"/>
                <w:b/>
                <w:lang w:val="en-US"/>
              </w:rPr>
            </w:pPr>
            <w:r w:rsidRPr="00F06EA4">
              <w:rPr>
                <w:rFonts w:eastAsia="Calibri"/>
                <w:b/>
                <w:lang w:val="en-US"/>
              </w:rPr>
              <w:t xml:space="preserve">ECM/endothelium-derived signaling proteins </w:t>
            </w:r>
          </w:p>
        </w:tc>
        <w:tc>
          <w:tcPr>
            <w:tcW w:w="332" w:type="dxa"/>
          </w:tcPr>
          <w:p w14:paraId="39B29533" w14:textId="77777777" w:rsidR="003E199B" w:rsidRPr="00F06EA4" w:rsidRDefault="003E199B" w:rsidP="00F67ED8">
            <w:pPr>
              <w:spacing w:after="0"/>
              <w:contextualSpacing/>
              <w:rPr>
                <w:rFonts w:eastAsia="Calibri"/>
                <w:lang w:val="en-US"/>
              </w:rPr>
            </w:pPr>
          </w:p>
        </w:tc>
        <w:tc>
          <w:tcPr>
            <w:tcW w:w="2162" w:type="dxa"/>
          </w:tcPr>
          <w:p w14:paraId="131294E1" w14:textId="77777777" w:rsidR="003E199B" w:rsidRPr="00F06EA4" w:rsidRDefault="003E199B" w:rsidP="00F67ED8">
            <w:pPr>
              <w:spacing w:after="0"/>
              <w:contextualSpacing/>
              <w:rPr>
                <w:rFonts w:eastAsia="Calibri"/>
                <w:lang w:val="en-US"/>
              </w:rPr>
            </w:pPr>
          </w:p>
        </w:tc>
        <w:tc>
          <w:tcPr>
            <w:tcW w:w="2384" w:type="dxa"/>
          </w:tcPr>
          <w:p w14:paraId="4AE63CED" w14:textId="77777777" w:rsidR="003E199B" w:rsidRPr="00F06EA4" w:rsidRDefault="003E199B" w:rsidP="00F67ED8">
            <w:pPr>
              <w:spacing w:after="0"/>
              <w:contextualSpacing/>
              <w:rPr>
                <w:rFonts w:eastAsia="Calibri"/>
                <w:lang w:val="en-US"/>
              </w:rPr>
            </w:pPr>
          </w:p>
        </w:tc>
        <w:tc>
          <w:tcPr>
            <w:tcW w:w="1121" w:type="dxa"/>
          </w:tcPr>
          <w:p w14:paraId="7DBC2AFB" w14:textId="00E22839" w:rsidR="003E199B" w:rsidRPr="00F06EA4" w:rsidRDefault="003E199B" w:rsidP="00F67ED8">
            <w:pPr>
              <w:spacing w:after="0"/>
              <w:contextualSpacing/>
              <w:rPr>
                <w:rFonts w:eastAsia="Calibri"/>
                <w:lang w:val="en-US"/>
              </w:rPr>
            </w:pPr>
            <w:r w:rsidRPr="00F06EA4">
              <w:rPr>
                <w:rFonts w:eastAsia="Calibri"/>
                <w:lang w:val="en-US"/>
              </w:rPr>
              <w:fldChar w:fldCharType="begin" w:fldLock="1"/>
            </w:r>
            <w:r w:rsidR="00F45F97" w:rsidRPr="00F06EA4">
              <w:rPr>
                <w:rFonts w:eastAsia="Calibri"/>
                <w:lang w:val="en-US"/>
              </w:rPr>
              <w:instrText>ADDIN CSL_CITATION {"citationItems":[{"id":"ITEM-1","itemData":{"DOI":"10.1080/15384047.2018.1550571","ISSN":"1538-4047","PMID":"30626261","abstract":"Vastatin, a fragment derived from type VIII collagen, is one of the least studied collagen-derived matrikines. Vastatin can be detected in serum but little is known regarding the relevance of serum vastatin in colorectal cancer (CRC). In this study, serum vastatin was measured (ELISA) in 67 healthy controls and 48 CRC patients prior to resection and compared to clinicopathological parameters and serum biomarkers of stromal reactivity (C3M, VICM). Impact of resection and chemotherapy were evaluated by comparing baseline values with a 3-month follow-up sample (n = 23). Serum vastatin was detectable in 114 of 115 subjects. At baseline vastatin was elevated in CRC compared to controls (P &lt; 0.001) with a diagnostic accuracy (AUROC) of 0.865, p &lt; 0.0001. Vastatin correlated with age in controls but not in patients with CRC; no association was seen with clinicopathological parameters. Vastatin was independently associated with C3M (stepwise linear regression coefficient 0.25, p = 0.046). Overall, no difference was seen in vastatin levels between baseline and follow-up. In conclusion, vastatin is elevated in serum from patients with CRC and correlate with interstitial matrix degradation (C3M). This indicates that vastatin is linked to stromal reactivity and suggests that vastatin has biomarker potential in CRC. The association with clinicopathological parameters and treatment effect needs further evaluation.","author":[{"dropping-particle":"","family":"Willumsen","given":"Nicholas","non-dropping-particle":"","parse-names":false,"suffix":""},{"dropping-particle":"","family":"Jorgensen","given":"Lars Nannestad","non-dropping-particle":"","parse-names":false,"suffix":""},{"dropping-particle":"","family":"Karsdal","given":"Morten Asser","non-dropping-particle":"","parse-names":false,"suffix":""}],"container-title":"Cancer Biology &amp; Therapy","id":"ITEM-1","issued":{"date-parts":[["2019"]]},"page":"1-8","title":"Vastatin (the NC1 domain of human type VIII collagen a1 chain) is linked to stromal reactivity and elevated in serum from patients with colorectal cancer","type":"article-journal"},"uris":["http://www.mendeley.com/documents/?uuid=d8de20bd-1380-372a-a53e-64780b211901"]}],"mendeley":{"formattedCitation":"&lt;sup&gt;[172]&lt;/sup&gt;","plainTextFormattedCitation":"[172]","previouslyFormattedCitation":"&lt;sup&gt;[172]&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[172]</w:t>
            </w:r>
            <w:r w:rsidRPr="00F06EA4">
              <w:rPr>
                <w:rFonts w:eastAsia="Calibri"/>
                <w:lang w:val="en-US"/>
              </w:rPr>
              <w:fldChar w:fldCharType="end"/>
            </w:r>
          </w:p>
        </w:tc>
        <w:tc>
          <w:tcPr>
            <w:tcW w:w="1365" w:type="dxa"/>
          </w:tcPr>
          <w:p w14:paraId="36C9EC0D" w14:textId="77777777" w:rsidR="003E199B" w:rsidRPr="00F06EA4" w:rsidRDefault="003E199B" w:rsidP="00F67ED8">
            <w:pPr>
              <w:spacing w:after="0"/>
              <w:contextualSpacing/>
              <w:rPr>
                <w:rFonts w:eastAsia="Calibri"/>
                <w:lang w:val="en-US"/>
              </w:rPr>
            </w:pPr>
          </w:p>
        </w:tc>
      </w:tr>
      <w:tr w:rsidR="003E199B" w:rsidRPr="00F06EA4" w14:paraId="04070356" w14:textId="77777777" w:rsidTr="00D411BC">
        <w:trPr>
          <w:trHeight w:val="20"/>
        </w:trPr>
        <w:tc>
          <w:tcPr>
            <w:tcW w:w="2700" w:type="dxa"/>
          </w:tcPr>
          <w:p w14:paraId="4A99F020" w14:textId="77777777" w:rsidR="003E199B" w:rsidRPr="00F06EA4" w:rsidRDefault="003E199B" w:rsidP="00F67ED8">
            <w:pPr>
              <w:spacing w:after="0"/>
              <w:contextualSpacing/>
              <w:rPr>
                <w:rFonts w:eastAsia="Calibri"/>
                <w:lang w:val="en-US"/>
              </w:rPr>
            </w:pPr>
            <w:r w:rsidRPr="00F06EA4">
              <w:rPr>
                <w:rFonts w:eastAsia="Calibri"/>
                <w:lang w:val="en-US"/>
              </w:rPr>
              <w:t>Endostatin</w:t>
            </w:r>
          </w:p>
        </w:tc>
        <w:tc>
          <w:tcPr>
            <w:tcW w:w="332" w:type="dxa"/>
          </w:tcPr>
          <w:p w14:paraId="0E9DE2F4"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5A18709F" w14:textId="77777777" w:rsidR="003E199B" w:rsidRPr="00F06EA4" w:rsidRDefault="003E199B" w:rsidP="00F67ED8">
            <w:pPr>
              <w:spacing w:after="0"/>
              <w:contextualSpacing/>
              <w:rPr>
                <w:rFonts w:eastAsia="Calibri"/>
                <w:lang w:val="en-US"/>
              </w:rPr>
            </w:pPr>
            <w:r w:rsidRPr="00F06EA4">
              <w:rPr>
                <w:rFonts w:eastAsia="Calibri"/>
                <w:lang w:val="en-US"/>
              </w:rPr>
              <w:t>Angiogenesis inhibitor</w:t>
            </w:r>
          </w:p>
        </w:tc>
        <w:tc>
          <w:tcPr>
            <w:tcW w:w="2384" w:type="dxa"/>
          </w:tcPr>
          <w:p w14:paraId="76A576A0"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44C4C36C"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4B89E445" w14:textId="67B3817E" w:rsidR="003E199B" w:rsidRPr="00F06EA4" w:rsidRDefault="003E199B" w:rsidP="00F67ED8">
            <w:pPr>
              <w:spacing w:after="0"/>
              <w:contextualSpacing/>
              <w:rPr>
                <w:rFonts w:eastAsia="Calibri"/>
                <w:lang w:val="fi-FI"/>
              </w:rPr>
            </w:pPr>
            <w:r w:rsidRPr="00F06EA4">
              <w:rPr>
                <w:rFonts w:eastAsia="Calibri"/>
                <w:lang w:val="fi-FI"/>
              </w:rPr>
              <w:t xml:space="preserve">Kantola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{"citationItems":[{"id":"ITEM-1","itemData":{"DOI":"10.1038/bjc.2014.456","ISSN":"1532-1827","PMID":"25137019","abstract":"BACKGROUND Endostatin, a fragment of collagen XVIII, is an endogenous angiogenesis inhibitor with anti-tumour functions. However, elevated circulating endostatin concentrations have been found in several human cancers including colorectal cancer (CRC). METHODS Serum endostatin levels were measured by enzyme-linked immunoassay from a series of 143 patients with CRC and from 84 controls, and correlated with detailed clinicopathological features of CRC, serum leukocyte differential count and C-reactive protein (CRP) levels. RESULTS Patients with CRC had higher serum endostatin levels than the controls (P=0.005), and high levels associated with age, tumour invasion through the muscularis propria and poor differentiation, but not with metastases. Endostatin levels showed a positive correlation with the markers of systemic inflammatory response and a negative correlation with the densities of tumour-infiltrating mast cells and dendritic cells. Collagen XVIII was expressed in tumour stroma most strikingly in blood vessels and capillaries, and in the muscle layer of the bowel wall. CONCLUSIONS Elevated endostatin levels in CRC correlate with systemic inflammation and invasion through the muscularis propria. Increased endostatin level may be a result of invasion-related cleavage of collagen XVIII expressed in the bowel wall. The negative correlations between serum endostatin and intratumoural mast cells and immature dendritic cells may reflect angiogenesis inhibition by endostatin.","author":[{"dropping-particle":"","family":"Kantola","given":"T.","non-dropping-particle":"","parse-names":false,"suffix":""},{"dropping-particle":"","family":"Väyrynen","given":"J.P.","non-dropping-particle":"","parse-names":false,"suffix":""},{"dropping-particle":"","family":"Klintrup","given":"K.","non-dropping-particle":"","parse-names":false,"suffix":""},{"dropping-particle":"","family":"Mäkelä","given":"J.","non-dropping-particle":"","parse-names":false,"suffix":""},{"dropping-particle":"","family":"Karppinen","given":"S.M.","non-dropping-particle":"","parse-names":false,"suffix":""},{"dropping-particle":"","family":"Pihlajaniemi","given":"T.","non-dropping-particle":"","parse-names":false,"suffix":""},{"dropping-particle":"","family":"Autio-Harmainen","given":"H.","non-dropping-particle":"","parse-names":false,"suffix":""},{"dropping-particle":"","family":"Karttunen","given":"T.J.","non-dropping-particle":"","parse-names":false,"suffix":""},{"dropping-particle":"","family":"Mäkinen","given":"M.J.","non-dropping-particle":"","parse-names":false,"suffix":""},{"dropping-particle":"","family":"Tuomisto","given":"A.","non-dropping-particle":"","parse-names":false,"suffix":""}],"container-title":"British journal of cancer","id":"ITEM-1","issue":"8","issued":{"date-parts":[["2014"]]},"page":"1605-13","title":"Serum endostatin levels are elevated in colorectal cancer and correlate with invasion and systemic inflammatory markers.","type":"article-journal","volume":"111"},"uris":["http://www.mendeley.com/documents/?uuid=4c6e04f9-a7dc-402f-a269-d0d2b75b482f"]}],"mendeley":{"formattedCitation":"&lt;sup&gt;[173]&lt;/sup&gt;","plainTextFormattedCitation":"[173]","previouslyFormattedCitation":"&lt;sup&gt;[173]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[173]</w:t>
            </w:r>
            <w:r w:rsidRPr="00F06EA4">
              <w:rPr>
                <w:rFonts w:eastAsia="Calibri"/>
                <w:lang w:val="en-US"/>
              </w:rPr>
              <w:fldChar w:fldCharType="end"/>
            </w:r>
          </w:p>
        </w:tc>
      </w:tr>
      <w:tr w:rsidR="003E199B" w:rsidRPr="00F06EA4" w14:paraId="4CBE140C" w14:textId="77777777" w:rsidTr="00D411BC">
        <w:trPr>
          <w:trHeight w:val="20"/>
        </w:trPr>
        <w:tc>
          <w:tcPr>
            <w:tcW w:w="2700" w:type="dxa"/>
          </w:tcPr>
          <w:p w14:paraId="1C17ACAC" w14:textId="77777777" w:rsidR="003E199B" w:rsidRPr="00F06EA4" w:rsidRDefault="003E199B" w:rsidP="00F67ED8">
            <w:pPr>
              <w:spacing w:after="0"/>
              <w:contextualSpacing/>
              <w:rPr>
                <w:rFonts w:eastAsia="Calibri"/>
                <w:lang w:val="en-US"/>
              </w:rPr>
            </w:pPr>
            <w:r w:rsidRPr="00F06EA4">
              <w:rPr>
                <w:rFonts w:eastAsia="Calibri"/>
                <w:lang w:val="en-US"/>
              </w:rPr>
              <w:t>POSTN (periostin)</w:t>
            </w:r>
          </w:p>
        </w:tc>
        <w:tc>
          <w:tcPr>
            <w:tcW w:w="332" w:type="dxa"/>
          </w:tcPr>
          <w:p w14:paraId="5347FF53"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C1AFFE0" w14:textId="77777777" w:rsidR="003E199B" w:rsidRPr="00F06EA4" w:rsidRDefault="003E199B" w:rsidP="00F67ED8">
            <w:pPr>
              <w:spacing w:after="0"/>
              <w:contextualSpacing/>
              <w:rPr>
                <w:rFonts w:eastAsia="Calibri"/>
                <w:lang w:val="en-US"/>
              </w:rPr>
            </w:pPr>
            <w:r w:rsidRPr="00F06EA4">
              <w:rPr>
                <w:rFonts w:eastAsia="Calibri"/>
                <w:lang w:val="en-US"/>
              </w:rPr>
              <w:t>ECM protein</w:t>
            </w:r>
          </w:p>
        </w:tc>
        <w:tc>
          <w:tcPr>
            <w:tcW w:w="2384" w:type="dxa"/>
          </w:tcPr>
          <w:p w14:paraId="02D6FD5C"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0CC262C1"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18533FAA" w14:textId="4383C9A7" w:rsidR="003E199B" w:rsidRPr="00F06EA4" w:rsidRDefault="003E199B" w:rsidP="00F67ED8">
            <w:pPr>
              <w:spacing w:after="0"/>
              <w:contextualSpacing/>
              <w:rPr>
                <w:rFonts w:eastAsia="Calibri"/>
                <w:lang w:val="en-US"/>
              </w:rPr>
            </w:pPr>
            <w:r w:rsidRPr="00F06EA4">
              <w:rPr>
                <w:rFonts w:eastAsia="Calibri"/>
                <w:lang w:val="en-US"/>
              </w:rPr>
              <w:t xml:space="preserve">Ben </w:t>
            </w:r>
            <w:r w:rsidR="0046007C" w:rsidRPr="00F06EA4">
              <w:rPr>
                <w:rFonts w:eastAsia="Calibri"/>
                <w:i/>
                <w:iCs/>
                <w:lang w:val="en-US"/>
              </w:rPr>
              <w:t>et al</w:t>
            </w:r>
            <w:r w:rsidRPr="00F06EA4">
              <w:rPr>
                <w:rFonts w:eastAsia="Calibri"/>
                <w:lang w:val="en-US"/>
              </w:rPr>
              <w:fldChar w:fldCharType="begin" w:fldLock="1"/>
            </w:r>
            <w:r w:rsidR="000A0431" w:rsidRPr="00F06EA4">
              <w:rPr>
                <w:rFonts w:eastAsia="Calibri"/>
                <w:lang w:val="en-US"/>
              </w:rPr>
              <w:instrText>ADDIN CSL_CITATION {"citationItems":[{"id":"ITEM-1","itemData":{"ISSN":"1019-6439","PMID":"19212687","abstract":"Elevated levels of periostin have been implicated as playing important roles in tumor invasion and metastasis in various tissues. Thus, we determined whether serum periostin levels were associated with progression and poor prognosis in colorectal cancer (CRC) patients. We measured serum periostin levels by ELISA in 67 CRC patients and 120 controls. We also evaluated periostin expression in human CRC specimens (n=15) using immunohistochemistry, and measured expression of periostin mRNA in 7 CRC tissue samples, matched normal tissues and in 4 colon cancer cell lines by RT-PCR. We analyzed the relationship between serum levels of periostin and other clinicopathologic characteristics in patients with CRC. The serum levels of periostin in CRC patients (40.9+/-15.4 ng/ml) were significantly elevated compared to that in healthy volunteers (21.0+/-7.3 ng/ml, P&lt;0.0001) and benign colorectal polyps or adenomas (22.4+/-8.5 ng/ml, P&lt;0.0001). Higher preoperative serum levels of periostin in CRC were found to correlate with distant metastasis (P=0.003), advanced-stage disease (stage III/IV, P&lt;0.0001) and poor prognosis. Preoperative serum periostin levels of 15 cases were significantly higher than matched postoperative levels (47.2+/-13.5 ng/ml vs. 31.3+/-11.0 ng/ml, P=0.008). Twelve of 15 patients (80%) had positive immunohistochemical periostin staining in CRC samples. Interestingly, periostin mRNA was highly upregulated in CRCs in comparison with matched normal tissues, and no expression of periostin mRNA was detected in 4 colon cancer cell lines. Serum levels of periostin detected by ELISA may be of clinical value in identifying patients who may be at high risk for aggression and metastasis of CRC. Periostin may be produced by the stromal cells surrounding the tumor, but not by the CRC cells themselves.","author":[{"dropping-particle":"","family":"Ben","given":"Qi-Wen","non-dropping-particle":"","parse-names":false,"suffix":""},{"dropping-particle":"","family":"Zhao","given":"Zhen","non-dropping-particle":"","parse-names":false,"suffix":""},{"dropping-particle":"","family":"Ge","given":"Sheng-Fang","non-dropping-particle":"","parse-names":false,"suffix":""},{"dropping-particle":"","family":"Zhou","given":"Jie","non-dropping-particle":"","parse-names":false,"suffix":""},{"dropping-particle":"","family":"Yuan","given":"Fei","non-dropping-particle":"","parse-names":false,"suffix":""},{"dropping-particle":"","family":"Yuan","given":"Yao-Zong","non-dropping-particle":"","parse-names":false,"suffix":""}],"container-title":"International journal of oncology","id":"ITEM-1","issue":"3","issued":{"date-parts":[["2009"]]},"page":"821-8","title":"Circulating levels of periostin may help identify patients with more aggressive colorectal cancer.","type":"article-journal","volume":"34"},"uris":["http://www.mendeley.com/documents/?uuid=3b4de6e7-5ab2-3c8d-81c6-47ec752f1f36"]}],"mendeley":{"formattedCitation":"&lt;sup&gt;[174]&lt;/sup&gt;","plainTextFormattedCitation":"[174]","previouslyFormattedCitation":"&lt;sup&gt;[174]&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[174]</w:t>
            </w:r>
            <w:r w:rsidRPr="00F06EA4">
              <w:rPr>
                <w:rFonts w:eastAsia="Calibri"/>
                <w:lang w:val="en-US"/>
              </w:rPr>
              <w:fldChar w:fldCharType="end"/>
            </w:r>
          </w:p>
        </w:tc>
      </w:tr>
      <w:tr w:rsidR="003E199B" w:rsidRPr="00F06EA4" w14:paraId="2C76FA5C" w14:textId="77777777" w:rsidTr="00D411BC">
        <w:trPr>
          <w:trHeight w:val="20"/>
        </w:trPr>
        <w:tc>
          <w:tcPr>
            <w:tcW w:w="2700" w:type="dxa"/>
          </w:tcPr>
          <w:p w14:paraId="3313DCE6" w14:textId="77777777" w:rsidR="003E199B" w:rsidRPr="00F06EA4" w:rsidRDefault="003E199B" w:rsidP="00F67ED8">
            <w:pPr>
              <w:spacing w:after="0"/>
              <w:contextualSpacing/>
              <w:rPr>
                <w:rFonts w:eastAsia="Calibri"/>
                <w:lang w:val="en-US"/>
              </w:rPr>
            </w:pPr>
            <w:r w:rsidRPr="00F06EA4">
              <w:rPr>
                <w:rFonts w:eastAsia="Calibri"/>
                <w:lang w:val="en-US"/>
              </w:rPr>
              <w:t>VASTATIN</w:t>
            </w:r>
          </w:p>
        </w:tc>
        <w:tc>
          <w:tcPr>
            <w:tcW w:w="332" w:type="dxa"/>
          </w:tcPr>
          <w:p w14:paraId="1C0E3F1F"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69983A63" w14:textId="77777777" w:rsidR="003E199B" w:rsidRPr="00F06EA4" w:rsidRDefault="003E199B" w:rsidP="00F67ED8">
            <w:pPr>
              <w:spacing w:after="0"/>
              <w:contextualSpacing/>
              <w:rPr>
                <w:rFonts w:eastAsia="Calibri"/>
                <w:lang w:val="en-US"/>
              </w:rPr>
            </w:pPr>
            <w:r w:rsidRPr="00F06EA4">
              <w:rPr>
                <w:rFonts w:eastAsia="Calibri"/>
                <w:lang w:val="en-US"/>
              </w:rPr>
              <w:t>Collagen VIII derived matrikine</w:t>
            </w:r>
          </w:p>
        </w:tc>
        <w:tc>
          <w:tcPr>
            <w:tcW w:w="2384" w:type="dxa"/>
          </w:tcPr>
          <w:p w14:paraId="1004D5AA"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24858B3D"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323B6AA5" w14:textId="2A5B66CA" w:rsidR="003E199B" w:rsidRPr="00F06EA4" w:rsidRDefault="003E199B" w:rsidP="00F67ED8">
            <w:pPr>
              <w:spacing w:after="0"/>
              <w:contextualSpacing/>
              <w:rPr>
                <w:rFonts w:eastAsia="Calibri"/>
                <w:lang w:val="fi-FI"/>
              </w:rPr>
            </w:pPr>
            <w:r w:rsidRPr="00F06EA4">
              <w:rPr>
                <w:rFonts w:eastAsia="Calibri"/>
                <w:lang w:val="fi-FI"/>
              </w:rPr>
              <w:t>Willumsen et al</w:t>
            </w:r>
            <w:r w:rsidRPr="00F06EA4">
              <w:rPr>
                <w:rFonts w:eastAsia="Calibri"/>
                <w:lang w:val="en-US"/>
              </w:rPr>
              <w:fldChar w:fldCharType="begin" w:fldLock="1"/>
            </w:r>
            <w:r w:rsidR="00F45F97" w:rsidRPr="00F06EA4">
              <w:rPr>
                <w:rFonts w:eastAsia="Calibri"/>
                <w:lang w:val="fi-FI"/>
              </w:rPr>
              <w:instrText>ADDIN CSL_CITATION {"citationItems":[{"id":"ITEM-1","itemData":{"DOI":"10.1080/15384047.2018.1550571","ISSN":"1538-4047","PMID":"30626261","abstract":"Vastatin, a fragment derived from type VIII collagen, is one of the least studied collagen-derived matrikines. Vastatin can be detected in serum but little is known regarding the relevance of serum vastatin in colorectal cancer (CRC). In this study, serum vastatin was measured (ELISA) in 67 healthy controls and 48 CRC patients prior to resection and compared to clinicopathological parameters and serum biomarkers of stromal reactivity (C3M, VICM). Impact of resection and chemotherapy were evaluated by comparing baseline values with a 3-month follow-up sample (n = 23). Serum vastatin was detectable in 114 of 115 subjects. At baseline vastatin was elevated in CRC compared to controls (P &lt; 0.001) with a diagnostic accuracy (AUROC) of 0.865, p &lt; 0.0001. Vastatin correlated with age in controls but not in patients with CRC; no association was seen with clinicopathological parameters. Vastatin was independently associated with C3M (stepwise linear regression coefficient 0.25, p = 0.046). Overall, no difference was seen in vastatin levels between baseline and follow-up. In conclusion, vastatin is elevated in serum from patients with CRC and correlate with interstitial matrix degradation (C3M). This indicates that vastatin is linked to stromal reactivity and suggests that vastatin has biomarker potential in CRC. The association with clinicopathological parameters and treatment effect needs further evaluation.","author":[{"dropping-particle":"","family":"Willumsen","given":"Nicholas","non-dropping-particle":"","parse-names":false,"suffix":""},{"dropping-particle":"","family":"Jorgensen","given":"Lars Nannestad","non-dropping-particle":"","parse-names":false,"suffix":""},{"dropping-particle":"","family":"Karsdal","given":"Morten Asser","non-dropping-particle":"","parse-names":false,"suffix":""}],"container-title":"Cancer Biology &amp; Therapy","id":"ITEM-1","issued":{"date-parts":[["2019"]]},"page":"1-8","title":"Vastatin (the NC1 domain of human type VIII collagen a1 chain) is linked to stromal reactivity and elevated in serum from patients with colorectal cancer","type":"article-journal"},"uris":["http://www.mendeley.com/documents/?uuid=d8de20bd-1380-372a-a53e-64780b211901","http://www.mendeley.com/documents/?uuid=668353a2-1260-4ad1-8ea4-d4af85b1096e"]}],"mendeley":{"formattedCitation":"&lt;sup&gt;[172]&lt;/sup&gt;","plainTextFormattedCitation":"[172]","previouslyFormattedCitation":"&lt;sup&gt;[172]&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[172]</w:t>
            </w:r>
            <w:r w:rsidRPr="00F06EA4">
              <w:rPr>
                <w:rFonts w:eastAsia="Calibri"/>
                <w:lang w:val="en-US"/>
              </w:rPr>
              <w:fldChar w:fldCharType="end"/>
            </w:r>
          </w:p>
        </w:tc>
      </w:tr>
      <w:tr w:rsidR="003E199B" w:rsidRPr="00F06EA4" w14:paraId="61A54C53" w14:textId="77777777" w:rsidTr="00D411BC">
        <w:trPr>
          <w:trHeight w:val="20"/>
        </w:trPr>
        <w:tc>
          <w:tcPr>
            <w:tcW w:w="2700" w:type="dxa"/>
          </w:tcPr>
          <w:p w14:paraId="6B6F5AA9" w14:textId="77777777" w:rsidR="003E199B" w:rsidRPr="00F06EA4" w:rsidRDefault="003E199B" w:rsidP="00F67ED8">
            <w:pPr>
              <w:spacing w:after="0"/>
              <w:contextualSpacing/>
              <w:rPr>
                <w:rFonts w:eastAsia="Calibri"/>
                <w:lang w:val="en-US"/>
              </w:rPr>
            </w:pPr>
            <w:r w:rsidRPr="00F06EA4">
              <w:rPr>
                <w:rFonts w:eastAsia="Calibri"/>
                <w:lang w:val="en-US"/>
              </w:rPr>
              <w:t>VCAM-1 (soluble)</w:t>
            </w:r>
          </w:p>
        </w:tc>
        <w:tc>
          <w:tcPr>
            <w:tcW w:w="332" w:type="dxa"/>
          </w:tcPr>
          <w:p w14:paraId="29F5EAED"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5A423E5E" w14:textId="77777777" w:rsidR="003E199B" w:rsidRPr="00F06EA4" w:rsidRDefault="003E199B" w:rsidP="00F67ED8">
            <w:pPr>
              <w:spacing w:after="0"/>
              <w:contextualSpacing/>
              <w:rPr>
                <w:rFonts w:eastAsia="Calibri"/>
                <w:lang w:val="en-US"/>
              </w:rPr>
            </w:pPr>
            <w:r w:rsidRPr="00F06EA4">
              <w:rPr>
                <w:rFonts w:eastAsia="Calibri"/>
                <w:lang w:val="en-US"/>
              </w:rPr>
              <w:t>Multifunctional</w:t>
            </w:r>
          </w:p>
        </w:tc>
        <w:tc>
          <w:tcPr>
            <w:tcW w:w="2384" w:type="dxa"/>
          </w:tcPr>
          <w:p w14:paraId="3A5F85CC"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7D9CC14A"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01B04074" w14:textId="31DBD82C" w:rsidR="003E199B" w:rsidRPr="00F06EA4" w:rsidRDefault="003E199B" w:rsidP="00F67ED8">
            <w:pPr>
              <w:spacing w:after="0"/>
              <w:contextualSpacing/>
              <w:rPr>
                <w:rFonts w:eastAsia="Calibri"/>
                <w:lang w:val="fi-FI"/>
              </w:rPr>
            </w:pPr>
            <w:r w:rsidRPr="00F06EA4">
              <w:rPr>
                <w:rFonts w:eastAsia="Calibri"/>
                <w:lang w:val="fi-FI"/>
              </w:rPr>
              <w:t>Toiyama et el</w:t>
            </w:r>
            <w:r w:rsidRPr="00F06EA4">
              <w:rPr>
                <w:rFonts w:eastAsia="Calibri"/>
                <w:lang w:val="en-US"/>
              </w:rPr>
              <w:fldChar w:fldCharType="begin" w:fldLock="1"/>
            </w:r>
            <w:r w:rsidR="000A0431" w:rsidRPr="00F06EA4">
              <w:rPr>
                <w:rFonts w:eastAsia="Calibri"/>
                <w:lang w:val="fi-FI"/>
              </w:rPr>
              <w:instrText>ADDIN CSL_CITATION {"citationItems":[{"id":"ITEM-1","itemData":{"DOI":"10.1002/jso.21246","ISSN":"00224790","PMID":"19204971","abstract":"BACKGROUND AND OBJECTIVES Vascular adhesion protein-1 (VAP-1) is an endothelial cell molecule that controls leukocyte tissue infiltration. Elevated serum soluble VAP-1 (sVAP-1) has been described in certain diseases with an inflammatory component. However, sVAP-1 expression or function has not been studied in colorectal cancer. The present study determined the relationships between preoperative serum sVAP-1 and clinicopathological features and prognosis in colorectal cancer. METHODS One hundred patients with histologically proven colorectal cancer and 33 normal volunteers were included. Preoperative serum was collected, and sVAP-1 levels were assayed by enzyme-linked immunosorbent assay. RESULTS Mean sVAP-1 level in patients was significantly higher than in controls, and decreased with disease progression. Mean sVAP-1 level was significantly correlated with venous invasion, lymph node metastasis, distant metastasis including hepatic metastasis, and advanced TNM classification. Furthermore, sVAP-1 was an independent marker for predicting lymph node or hepatic metastasis. Prognosis of patients with a lower sVAP-1 level was significantly worse than those with elevated sVAP-1. CONCLUSIONS Preoperative low sVAP-1 level is associated with poor prognosis in colorectal cancer. Measuring serum sVAP-1 may provide valuable information in predicting patients with lymph node or hepatic metastasis.","author":[{"dropping-particle":"","family":"Toiyama","given":"Yuji","non-dropping-particle":"","parse-names":false,"suffix":""},{"dropping-particle":"","family":"Miki","given":"Chikao","non-dropping-particle":"","parse-names":false,"suffix":""},{"dropping-particle":"","family":"Inoue","given":"Yasuhiro","non-dropping-particle":"","parse-names":false,"suffix":""},{"dropping-particle":"","family":"Kawamoto","given":"Aya","non-dropping-particle":"","parse-names":false,"suffix":""},{"dropping-particle":"","family":"Kusunoki","given":"Masato","non-dropping-particle":"","parse-names":false,"suffix":""}],"container-title":"Journal of Surgical Oncology","id":"ITEM-1","issue":"6","issued":{"date-parts":[["2009"]]},"page":"368-372","title":"Circulating form of human vascular adhesion protein-1 (VAP-1): Decreased serum levels in progression of colorectal cancer and predictive marker of lymphatic and hepatic metastasis","type":"article-journal","volume":"99"},"uris":["http://www.mendeley.com/documents/?uuid=f8b6b4f3-b865-350e-a570-a09dc1731019","http://www.mendeley.com/documents/?uuid=c381e751-ce4c-4daa-b33a-e3fb4aa6251d"]}],"mendeley":{"formattedCitation":"&lt;sup&gt;[175]&lt;/sup&gt;","plainTextFormattedCitation":"[175]","previouslyFormattedCitation":"&lt;sup&gt;[175]&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[175]</w:t>
            </w:r>
            <w:r w:rsidRPr="00F06EA4">
              <w:rPr>
                <w:rFonts w:eastAsia="Calibri"/>
                <w:lang w:val="en-US"/>
              </w:rPr>
              <w:fldChar w:fldCharType="end"/>
            </w:r>
          </w:p>
        </w:tc>
      </w:tr>
      <w:tr w:rsidR="003E199B" w:rsidRPr="00F06EA4" w14:paraId="75F66F2D" w14:textId="77777777" w:rsidTr="00D411BC">
        <w:trPr>
          <w:trHeight w:val="20"/>
        </w:trPr>
        <w:tc>
          <w:tcPr>
            <w:tcW w:w="2700" w:type="dxa"/>
          </w:tcPr>
          <w:p w14:paraId="1D6DF01D" w14:textId="77777777" w:rsidR="003E199B" w:rsidRPr="00F06EA4" w:rsidRDefault="003E199B" w:rsidP="00F67ED8">
            <w:pPr>
              <w:spacing w:after="0"/>
              <w:contextualSpacing/>
              <w:rPr>
                <w:rFonts w:eastAsia="Calibri"/>
                <w:b/>
                <w:lang w:val="en-US"/>
              </w:rPr>
            </w:pPr>
            <w:r w:rsidRPr="00F06EA4">
              <w:rPr>
                <w:rFonts w:eastAsia="Calibri"/>
                <w:b/>
                <w:lang w:val="en-US"/>
              </w:rPr>
              <w:t xml:space="preserve">Other signaling molecules </w:t>
            </w:r>
          </w:p>
        </w:tc>
        <w:tc>
          <w:tcPr>
            <w:tcW w:w="332" w:type="dxa"/>
          </w:tcPr>
          <w:p w14:paraId="1DA1387E" w14:textId="77777777" w:rsidR="003E199B" w:rsidRPr="00F06EA4" w:rsidRDefault="003E199B" w:rsidP="00F67ED8">
            <w:pPr>
              <w:spacing w:after="0"/>
              <w:contextualSpacing/>
              <w:rPr>
                <w:rFonts w:eastAsia="Calibri"/>
                <w:lang w:val="en-US"/>
              </w:rPr>
            </w:pPr>
          </w:p>
        </w:tc>
        <w:tc>
          <w:tcPr>
            <w:tcW w:w="2162" w:type="dxa"/>
          </w:tcPr>
          <w:p w14:paraId="4D00F6D7" w14:textId="77777777" w:rsidR="003E199B" w:rsidRPr="00F06EA4" w:rsidRDefault="003E199B" w:rsidP="00F67ED8">
            <w:pPr>
              <w:spacing w:after="0"/>
              <w:contextualSpacing/>
              <w:rPr>
                <w:rFonts w:eastAsia="Calibri"/>
                <w:lang w:val="en-US"/>
              </w:rPr>
            </w:pPr>
          </w:p>
        </w:tc>
        <w:tc>
          <w:tcPr>
            <w:tcW w:w="2384" w:type="dxa"/>
          </w:tcPr>
          <w:p w14:paraId="390A715E" w14:textId="77777777" w:rsidR="003E199B" w:rsidRPr="00F06EA4" w:rsidRDefault="003E199B" w:rsidP="00F67ED8">
            <w:pPr>
              <w:spacing w:after="0"/>
              <w:contextualSpacing/>
              <w:rPr>
                <w:rFonts w:eastAsia="Calibri"/>
                <w:lang w:val="en-US"/>
              </w:rPr>
            </w:pPr>
          </w:p>
        </w:tc>
        <w:tc>
          <w:tcPr>
            <w:tcW w:w="1121" w:type="dxa"/>
          </w:tcPr>
          <w:p w14:paraId="60AC0621" w14:textId="77777777" w:rsidR="003E199B" w:rsidRPr="00F06EA4" w:rsidRDefault="003E199B" w:rsidP="00F67ED8">
            <w:pPr>
              <w:spacing w:after="0"/>
              <w:contextualSpacing/>
              <w:rPr>
                <w:rFonts w:eastAsia="Calibri"/>
                <w:lang w:val="en-US"/>
              </w:rPr>
            </w:pPr>
          </w:p>
        </w:tc>
        <w:tc>
          <w:tcPr>
            <w:tcW w:w="1365" w:type="dxa"/>
          </w:tcPr>
          <w:p w14:paraId="4273F7CE" w14:textId="77777777" w:rsidR="003E199B" w:rsidRPr="00F06EA4" w:rsidRDefault="003E199B" w:rsidP="00F67ED8">
            <w:pPr>
              <w:spacing w:after="0"/>
              <w:contextualSpacing/>
              <w:rPr>
                <w:rFonts w:eastAsia="Calibri"/>
                <w:lang w:val="en-US"/>
              </w:rPr>
            </w:pPr>
          </w:p>
        </w:tc>
      </w:tr>
      <w:tr w:rsidR="003E199B" w:rsidRPr="00F06EA4" w14:paraId="197A0C07" w14:textId="77777777" w:rsidTr="00D411BC">
        <w:trPr>
          <w:trHeight w:val="20"/>
        </w:trPr>
        <w:tc>
          <w:tcPr>
            <w:tcW w:w="2700" w:type="dxa"/>
          </w:tcPr>
          <w:p w14:paraId="0A140D48" w14:textId="77777777" w:rsidR="003E199B" w:rsidRPr="00F06EA4" w:rsidRDefault="003E199B" w:rsidP="00F67ED8">
            <w:pPr>
              <w:spacing w:after="0"/>
              <w:contextualSpacing/>
              <w:rPr>
                <w:rFonts w:eastAsia="Calibri"/>
                <w:lang w:val="en-US"/>
              </w:rPr>
            </w:pPr>
            <w:r w:rsidRPr="00F06EA4">
              <w:rPr>
                <w:rFonts w:eastAsia="Calibri"/>
                <w:lang w:val="en-US"/>
              </w:rPr>
              <w:t>DAND5</w:t>
            </w:r>
          </w:p>
        </w:tc>
        <w:tc>
          <w:tcPr>
            <w:tcW w:w="332" w:type="dxa"/>
          </w:tcPr>
          <w:p w14:paraId="3E4E476B"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5C16998E" w14:textId="77777777" w:rsidR="003E199B" w:rsidRPr="00F06EA4" w:rsidRDefault="003E199B" w:rsidP="00F67ED8">
            <w:pPr>
              <w:spacing w:after="0"/>
              <w:contextualSpacing/>
              <w:rPr>
                <w:rFonts w:eastAsia="Calibri"/>
                <w:lang w:val="en-US"/>
              </w:rPr>
            </w:pPr>
            <w:r w:rsidRPr="00F06EA4">
              <w:rPr>
                <w:rFonts w:eastAsia="Calibri"/>
                <w:lang w:val="en-US"/>
              </w:rPr>
              <w:t>BMP inhibitor</w:t>
            </w:r>
          </w:p>
        </w:tc>
        <w:tc>
          <w:tcPr>
            <w:tcW w:w="2384" w:type="dxa"/>
          </w:tcPr>
          <w:p w14:paraId="6A0DB393"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2AAF0A2F" w14:textId="77777777" w:rsidR="003E199B" w:rsidRPr="00F06EA4" w:rsidRDefault="003E199B" w:rsidP="00F67ED8">
            <w:pPr>
              <w:spacing w:after="0"/>
              <w:contextualSpacing/>
              <w:rPr>
                <w:rFonts w:eastAsia="Calibri"/>
                <w:lang w:val="en-US"/>
              </w:rPr>
            </w:pPr>
            <w:r w:rsidRPr="00F06EA4">
              <w:rPr>
                <w:rFonts w:eastAsia="Calibri"/>
                <w:lang w:val="en-US"/>
              </w:rPr>
              <w:t>serum</w:t>
            </w:r>
          </w:p>
        </w:tc>
        <w:tc>
          <w:tcPr>
            <w:tcW w:w="1365" w:type="dxa"/>
          </w:tcPr>
          <w:p w14:paraId="1826899D" w14:textId="5A00D4EB" w:rsidR="003E199B" w:rsidRPr="00F06EA4" w:rsidRDefault="003E199B" w:rsidP="00F67ED8">
            <w:pPr>
              <w:spacing w:after="0"/>
              <w:contextualSpacing/>
              <w:rPr>
                <w:rFonts w:eastAsia="Calibri"/>
                <w:lang w:val="en-US"/>
              </w:rPr>
            </w:pPr>
            <w:r w:rsidRPr="00F06EA4">
              <w:rPr>
                <w:rFonts w:eastAsia="Calibri"/>
                <w:lang w:val="en-US"/>
              </w:rPr>
              <w:t xml:space="preserve">Miao </w:t>
            </w:r>
            <w:r w:rsidR="0046007C" w:rsidRPr="00F06EA4">
              <w:rPr>
                <w:rFonts w:eastAsia="Calibri"/>
                <w:i/>
                <w:iCs/>
                <w:lang w:val="en-US"/>
              </w:rPr>
              <w:t>et al</w:t>
            </w:r>
            <w:r w:rsidRPr="00F06EA4">
              <w:rPr>
                <w:rFonts w:eastAsia="Calibri"/>
                <w:lang w:val="en-US"/>
              </w:rPr>
              <w:fldChar w:fldCharType="begin" w:fldLock="1"/>
            </w:r>
            <w:r w:rsidR="000A0431" w:rsidRPr="00F06EA4">
              <w:rPr>
                <w:rFonts w:eastAsia="Calibri"/>
                <w:lang w:val="en-US"/>
              </w:rPr>
              <w:instrText>ADDIN CSL_CITATION {"citationItems":[{"id":"ITEM-1","itemData":{"DOI":"10.1177/2050640616674838","ISSN":"2050-6406","PMID":"28815037","abstract":"BACKGROUND The biologic and clinical significance of DAND5 remains unknown in colorectal cancer (CRC). OBJECTIVE Herein, we investigated the function of DAND5 and evaluated its clinical significance in both serum and matched primary tumors in patients with CRC. METHODS The role of DAND5 was explored in CRC cells and clinical significance of DAND5 was investigated in CRC patients (n = 217) and healthy controls (n = 63). RESULTS Knockdown of DAND5 significantly decreased CRC cell proliferation, migration and invasion partly associated with epithelial-mesenchymal transition phenotype. Serum DAND5 levels in CRC were significantly higher than in normal controls and accurately distinguished CRC from healthy subjects. High serum DAND5 levels were significantly correlated with tumor differentiation, large tumor size, advanced Tumor Node Metastasis (TNM) stage, lymph node and liver metastasis, high carcinoembryonic antigen level, recurrence, poor overall and disease-free survival. Serum DAND5 level, together with lymph node metastasis, were independent prognostic factors for CRC patients. High DAND5 protein expression in CRC tissues was increased according to TNM stage. A significant positive correlation existed between serum DAND5 levels and matched DAND5 expression in CRC tissues. CONCLUSION Our data provide novel evidence for the clinical significance of DAND5 as a potential biomarker for CRC prognosis.","author":[{"dropping-particle":"","family":"Miao","given":"Xiaofei","non-dropping-particle":"","parse-names":false,"suffix":""},{"dropping-particle":"","family":"Zhang","given":"Ye","non-dropping-particle":"","parse-names":false,"suffix":""},{"dropping-particle":"","family":"Sun","given":"Jialin","non-dropping-particle":"","parse-names":false,"suffix":""},{"dropping-particle":"","family":"Cui","given":"Songkui","non-dropping-particle":"","parse-names":false,"suffix":""},{"dropping-particle":"","family":"Meng","given":"Qingyang","non-dropping-particle":"","parse-names":false,"suffix":""},{"dropping-particle":"","family":"Zhu","given":"Kuiyu","non-dropping-particle":"","parse-names":false,"suffix":""},{"dropping-particle":"","family":"Hu","given":"Xingqian","non-dropping-particle":"","parse-names":false,"suffix":""},{"dropping-particle":"","family":"Wang","given":"Tong","non-dropping-particle":"","parse-names":false,"suffix":""}],"container-title":"United European Gastroenterology Journal","id":"ITEM-1","issue":"5","issued":{"date-parts":[["2017"]]},"page":"725-734","title":"Elevated serum DAND5 is associated with metastasis and predicts poor prognosis in colorectal cancer","type":"article-journal","volume":"5"},"uris":["http://www.mendeley.com/documents/?uuid=ec00e451-2c03-3874-bfbd-9bf646c34e7e","http://www.mendeley.com/documents/?uuid=0a2aad26-307d-4fb1-bc8d-66822b37b388"]}],"mendeley":{"formattedCitation":"&lt;sup&gt;[176]&lt;/sup&gt;","plainTextFormattedCitation":"[176]","previouslyFormattedCitation":"&lt;sup&gt;[176]&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[176]</w:t>
            </w:r>
            <w:r w:rsidRPr="00F06EA4">
              <w:rPr>
                <w:rFonts w:eastAsia="Calibri"/>
                <w:lang w:val="en-US"/>
              </w:rPr>
              <w:fldChar w:fldCharType="end"/>
            </w:r>
          </w:p>
        </w:tc>
      </w:tr>
      <w:tr w:rsidR="003E199B" w:rsidRPr="00F06EA4" w14:paraId="4A855E4F" w14:textId="77777777" w:rsidTr="00D411BC">
        <w:trPr>
          <w:trHeight w:val="20"/>
        </w:trPr>
        <w:tc>
          <w:tcPr>
            <w:tcW w:w="2700" w:type="dxa"/>
          </w:tcPr>
          <w:p w14:paraId="7A2C20A9" w14:textId="77777777" w:rsidR="003E199B" w:rsidRPr="00F06EA4" w:rsidRDefault="003E199B" w:rsidP="00F67ED8">
            <w:pPr>
              <w:spacing w:after="0"/>
              <w:contextualSpacing/>
              <w:rPr>
                <w:rFonts w:eastAsia="Calibri"/>
                <w:lang w:val="en-US"/>
              </w:rPr>
            </w:pPr>
            <w:r w:rsidRPr="00F06EA4">
              <w:rPr>
                <w:rFonts w:eastAsia="Calibri"/>
                <w:lang w:val="en-US"/>
              </w:rPr>
              <w:t>LRP (leptin)</w:t>
            </w:r>
          </w:p>
        </w:tc>
        <w:tc>
          <w:tcPr>
            <w:tcW w:w="332" w:type="dxa"/>
          </w:tcPr>
          <w:p w14:paraId="09EDF579"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8EEE306" w14:textId="77777777" w:rsidR="003E199B" w:rsidRPr="00F06EA4" w:rsidRDefault="003E199B" w:rsidP="00F67ED8">
            <w:pPr>
              <w:spacing w:after="0"/>
              <w:contextualSpacing/>
              <w:rPr>
                <w:rFonts w:eastAsia="Calibri"/>
                <w:lang w:val="en-US"/>
              </w:rPr>
            </w:pPr>
            <w:r w:rsidRPr="00F06EA4">
              <w:rPr>
                <w:rFonts w:eastAsia="Calibri"/>
                <w:lang w:val="en-US"/>
              </w:rPr>
              <w:t>Regulator of metabolism</w:t>
            </w:r>
          </w:p>
        </w:tc>
        <w:tc>
          <w:tcPr>
            <w:tcW w:w="2384" w:type="dxa"/>
          </w:tcPr>
          <w:p w14:paraId="4F881C45"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33B15AA9" w14:textId="77777777" w:rsidR="003E199B" w:rsidRPr="00F06EA4" w:rsidRDefault="003E199B" w:rsidP="00F67ED8">
            <w:pPr>
              <w:spacing w:after="0"/>
              <w:contextualSpacing/>
              <w:rPr>
                <w:rFonts w:eastAsia="Calibri"/>
                <w:lang w:val="en-US"/>
              </w:rPr>
            </w:pPr>
            <w:r w:rsidRPr="00F06EA4">
              <w:rPr>
                <w:rFonts w:eastAsia="Calibri"/>
                <w:lang w:val="en-US"/>
              </w:rPr>
              <w:t xml:space="preserve">serum </w:t>
            </w:r>
          </w:p>
        </w:tc>
        <w:tc>
          <w:tcPr>
            <w:tcW w:w="1365" w:type="dxa"/>
          </w:tcPr>
          <w:p w14:paraId="35EFC5D5" w14:textId="6CF51967" w:rsidR="003E199B" w:rsidRPr="00F06EA4" w:rsidRDefault="003E199B" w:rsidP="00F67ED8">
            <w:pPr>
              <w:spacing w:after="0"/>
              <w:contextualSpacing/>
              <w:rPr>
                <w:rFonts w:eastAsia="Calibri"/>
                <w:lang w:val="en-US"/>
              </w:rPr>
            </w:pPr>
            <w:r w:rsidRPr="00F06EA4">
              <w:rPr>
                <w:rFonts w:eastAsia="Calibri"/>
                <w:lang w:val="en-US"/>
              </w:rPr>
              <w:t xml:space="preserve">Kumor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{"citationItems":[{"id":"ITEM-1","itemData":{"DOI":"10.1007/s00384-008-0605-y","ISSN":"1432-1262","PMID":"18979105","abstract":"INTRODUCTION Leptin, adiponectin, and resistin are the proteins secreted by adipocytes, which affects the metabolism. While the role of leptin in colon carcinogenesis is documented, the effect of adiponectin and resistin remains unclear. It has been indicated that while leptin may potentiate the cancer cells growth, adiponectin and resistin may act oppositely. AIM The aim of this study is to determine the concentration of leptin, adiponectin, and resistin in patients with adenomatous polyps and colorectal cancer. METHODS The serum concentration investigated adipohormones had been measured with ELISA in 37 patients with colorectal adenomas, 36 with colorectal cancer (CC) and in 25 controls with no colorectal pathology. Endoscopically removed polyps and CC biopsies had been evaluated with histopathology. Mean BMI value was calculated for all patients. RESULTS Among 37 adenomas, 25 revealed high-grade dysplasia (HGD) and 12 low-grade dysplasia (LGD). All cases of CC were adenocarcinomas. No difference in the level of investigated adipohormones in serum between patients with HGD and LGD polyps was observed. The serum concentration of leptin and adiponectin in CC patients was lower than in patients with adenomas (p &lt; 0.05; p &lt; 0.05, respectively) as well as in controls (p &lt; 0.01; p &lt; 0.05, respectively). The concentration of resistin in CC was not significantly different in the adenoma group (p &gt; 0.05) but higher than in controls (p &lt; 0.05). There was a correlation between adiponectin and leptin serum concentration (r = 0.61). CONCLUSION We conclude that serum concentration of adiponectin and resistin may play an important role in colon carcinogenesis. We also assume that leptin may possibly have the prognostic value useful in clinical practice and its concentration is independent of BMI value.","author":[{"dropping-particle":"","family":"Kumor","given":"Anna","non-dropping-particle":"","parse-names":false,"suffix":""},{"dropping-particle":"","family":"Daniel","given":"Piotr","non-dropping-particle":"","parse-names":false,"suffix":""},{"dropping-particle":"","family":"Pietruczuk","given":"Mirosława","non-dropping-particle":"","parse-names":false,"suffix":""},{"dropping-particle":"","family":"Małecka-Panas","given":"Ewa","non-dropping-particle":"","parse-names":false,"suffix":""}],"container-title":"International journal of colorectal disease","id":"ITEM-1","issue":"3","issued":{"date-parts":[["2009","3"]]},"page":"275-81","title":"Serum leptin, adiponectin, and resistin concentration in colorectal adenoma and carcinoma (CC) patients.","type":"article-journal","volume":"24"},"uris":["http://www.mendeley.com/documents/?uuid=9c2e0c98-02f1-3f0e-ba47-414e03834f24","http://www.mendeley.com/documents/?uuid=68b18810-a083-40a5-a082-4f54fee43898"]}],"mendeley":{"formattedCitation":"&lt;sup&gt;[177]&lt;/sup&gt;","plainTextFormattedCitation":"[177]","previouslyFormattedCitation":"&lt;sup&gt;[177]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[177]</w:t>
            </w:r>
            <w:r w:rsidRPr="00F06EA4">
              <w:rPr>
                <w:rFonts w:eastAsia="Calibri"/>
                <w:lang w:val="en-US"/>
              </w:rPr>
              <w:fldChar w:fldCharType="end"/>
            </w:r>
          </w:p>
        </w:tc>
      </w:tr>
      <w:tr w:rsidR="003E199B" w:rsidRPr="00F06EA4" w14:paraId="61B95310" w14:textId="77777777" w:rsidTr="00D411BC">
        <w:trPr>
          <w:trHeight w:val="20"/>
        </w:trPr>
        <w:tc>
          <w:tcPr>
            <w:tcW w:w="2700" w:type="dxa"/>
          </w:tcPr>
          <w:p w14:paraId="797FE60C" w14:textId="77777777" w:rsidR="003E199B" w:rsidRPr="00F06EA4" w:rsidRDefault="003E199B" w:rsidP="00F67ED8">
            <w:pPr>
              <w:spacing w:after="0"/>
              <w:contextualSpacing/>
              <w:rPr>
                <w:rFonts w:eastAsia="Calibri"/>
                <w:lang w:val="en-US"/>
              </w:rPr>
            </w:pPr>
            <w:r w:rsidRPr="00F06EA4">
              <w:rPr>
                <w:rFonts w:eastAsia="Calibri"/>
                <w:lang w:val="en-US"/>
              </w:rPr>
              <w:t>Resistin</w:t>
            </w:r>
          </w:p>
        </w:tc>
        <w:tc>
          <w:tcPr>
            <w:tcW w:w="332" w:type="dxa"/>
          </w:tcPr>
          <w:p w14:paraId="3AA94309" w14:textId="77777777" w:rsidR="003E199B" w:rsidRPr="00F06EA4" w:rsidRDefault="003E199B" w:rsidP="00F67ED8">
            <w:pPr>
              <w:spacing w:after="0"/>
              <w:contextualSpacing/>
              <w:rPr>
                <w:rFonts w:eastAsia="Calibri"/>
                <w:lang w:val="en-US"/>
              </w:rPr>
            </w:pPr>
            <w:r w:rsidRPr="00F06EA4">
              <w:rPr>
                <w:rFonts w:eastAsia="Calibri"/>
                <w:lang w:val="en-US"/>
              </w:rPr>
              <w:t>↑</w:t>
            </w:r>
          </w:p>
        </w:tc>
        <w:tc>
          <w:tcPr>
            <w:tcW w:w="2162" w:type="dxa"/>
          </w:tcPr>
          <w:p w14:paraId="0A7D80AC" w14:textId="77777777" w:rsidR="003E199B" w:rsidRPr="00F06EA4" w:rsidRDefault="003E199B" w:rsidP="00F67ED8">
            <w:pPr>
              <w:spacing w:after="0"/>
              <w:contextualSpacing/>
              <w:rPr>
                <w:rFonts w:eastAsia="Calibri"/>
                <w:lang w:val="en-US"/>
              </w:rPr>
            </w:pPr>
            <w:r w:rsidRPr="00F06EA4">
              <w:rPr>
                <w:rFonts w:eastAsia="Calibri"/>
                <w:lang w:val="en-US"/>
              </w:rPr>
              <w:t>Regulator of metabolism</w:t>
            </w:r>
          </w:p>
        </w:tc>
        <w:tc>
          <w:tcPr>
            <w:tcW w:w="2384" w:type="dxa"/>
          </w:tcPr>
          <w:p w14:paraId="0BBDF624"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121" w:type="dxa"/>
          </w:tcPr>
          <w:p w14:paraId="11988AA3" w14:textId="77777777" w:rsidR="003E199B" w:rsidRPr="00F06EA4" w:rsidRDefault="003E199B" w:rsidP="00F67ED8">
            <w:pPr>
              <w:spacing w:after="0"/>
              <w:contextualSpacing/>
              <w:rPr>
                <w:rFonts w:eastAsia="Calibri"/>
                <w:lang w:val="en-US"/>
              </w:rPr>
            </w:pPr>
            <w:r w:rsidRPr="00F06EA4">
              <w:rPr>
                <w:rFonts w:eastAsia="Calibri"/>
                <w:lang w:val="en-US"/>
              </w:rPr>
              <w:t xml:space="preserve">serum </w:t>
            </w:r>
          </w:p>
        </w:tc>
        <w:tc>
          <w:tcPr>
            <w:tcW w:w="1365" w:type="dxa"/>
          </w:tcPr>
          <w:p w14:paraId="240B549A" w14:textId="11DC830D" w:rsidR="003E199B" w:rsidRPr="00F06EA4" w:rsidRDefault="003E199B" w:rsidP="00F67ED8">
            <w:pPr>
              <w:spacing w:after="0"/>
              <w:contextualSpacing/>
              <w:rPr>
                <w:rFonts w:eastAsia="Calibri"/>
                <w:lang w:val="en-US"/>
              </w:rPr>
            </w:pPr>
            <w:r w:rsidRPr="00F06EA4">
              <w:rPr>
                <w:rFonts w:eastAsia="Calibri"/>
                <w:lang w:val="en-US"/>
              </w:rPr>
              <w:t xml:space="preserve">Kumor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{"citationItems":[{"id":"ITEM-1","itemData":{"DOI":"10.1007/s00384-008-0605-y","ISSN":"1432-1262","PMID":"18979105","abstract":"INTRODUCTION Leptin, adiponectin, and resistin are the proteins secreted by adipocytes, which affects the metabolism. While the role of leptin in colon carcinogenesis is documented, the effect of adiponectin and resistin remains unclear. It has been indicated that while leptin may potentiate the cancer cells growth, adiponectin and resistin may act oppositely. AIM The aim of this study is to determine the concentration of leptin, adiponectin, and resistin in patients with adenomatous polyps and colorectal cancer. METHODS The serum concentration investigated adipohormones had been measured with ELISA in 37 patients with colorectal adenomas, 36 with colorectal cancer (CC) and in 25 controls with no colorectal pathology. Endoscopically removed polyps and CC biopsies had been evaluated with histopathology. Mean BMI value was calculated for all patients. RESULTS Among 37 adenomas, 25 revealed high-grade dysplasia (HGD) and 12 low-grade dysplasia (LGD). All cases of CC were adenocarcinomas. No difference in the level of investigated adipohormones in serum between patients with HGD and LGD polyps was observed. The serum concentration of leptin and adiponectin in CC patients was lower than in patients with adenomas (p &lt; 0.05; p &lt; 0.05, respectively) as well as in controls (p &lt; 0.01; p &lt; 0.05, respectively). The concentration of resistin in CC was not significantly different in the adenoma group (p &gt; 0.05) but higher than in controls (p &lt; 0.05). There was a correlation between adiponectin and leptin serum concentration (r = 0.61). CONCLUSION We conclude that serum concentration of adiponectin and resistin may play an important role in colon carcinogenesis. We also assume that leptin may possibly have the prognostic value useful in clinical practice and its concentration is independent of BMI value.","author":[{"dropping-particle":"","family":"Kumor","given":"Anna","non-dropping-particle":"","parse-names":false,"suffix":""},{"dropping-particle":"","family":"Daniel","given":"Piotr","non-dropping-particle":"","parse-names":false,"suffix":""},{"dropping-particle":"","family":"Pietruczuk","given":"Mirosława","non-dropping-particle":"","parse-names":false,"suffix":""},{"dropping-particle":"","family":"Małecka-Panas","given":"Ewa","non-dropping-particle":"","parse-names":false,"suffix":""}],"container-title":"International journal of colorectal disease","id":"ITEM-1","issue":"3","issued":{"date-parts":[["2009","3"]]},"page":"275-81","title":"Serum leptin, adiponectin, and resistin concentration in colorectal adenoma and carcinoma (CC) patients.","type":"article-journal","volume":"24"},"uris":["http://www.mendeley.com/documents/?uuid=68b18810-a083-40a5-a082-4f54fee43898","http://www.mendeley.com/documents/?uuid=9c2e0c98-02f1-3f0e-ba47-414e03834f24"]}],"mendeley":{"formattedCitation":"&lt;sup&gt;[177]&lt;/sup&gt;","plainTextFormattedCitation":"[177]","previouslyFormattedCitation":"&lt;sup&gt;[177]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[177]</w:t>
            </w:r>
            <w:r w:rsidRPr="00F06EA4">
              <w:rPr>
                <w:rFonts w:eastAsia="Calibri"/>
                <w:lang w:val="en-US"/>
              </w:rPr>
              <w:fldChar w:fldCharType="end"/>
            </w:r>
          </w:p>
        </w:tc>
      </w:tr>
      <w:tr w:rsidR="003E199B" w:rsidRPr="00F06EA4" w14:paraId="76A8977E" w14:textId="77777777" w:rsidTr="00D411BC">
        <w:trPr>
          <w:trHeight w:val="20"/>
        </w:trPr>
        <w:tc>
          <w:tcPr>
            <w:tcW w:w="2700" w:type="dxa"/>
            <w:tcBorders>
              <w:bottom w:val="single" w:sz="4" w:space="0" w:color="auto"/>
            </w:tcBorders>
          </w:tcPr>
          <w:p w14:paraId="1DB472B8" w14:textId="77777777" w:rsidR="003E199B" w:rsidRPr="00F06EA4" w:rsidRDefault="003E199B" w:rsidP="00F67ED8">
            <w:pPr>
              <w:spacing w:after="0"/>
              <w:contextualSpacing/>
              <w:rPr>
                <w:rFonts w:eastAsia="Calibri"/>
                <w:lang w:val="en-US"/>
              </w:rPr>
            </w:pPr>
          </w:p>
        </w:tc>
        <w:tc>
          <w:tcPr>
            <w:tcW w:w="332" w:type="dxa"/>
            <w:tcBorders>
              <w:bottom w:val="single" w:sz="4" w:space="0" w:color="auto"/>
            </w:tcBorders>
          </w:tcPr>
          <w:p w14:paraId="2EA1B185" w14:textId="77777777" w:rsidR="003E199B" w:rsidRPr="00F06EA4" w:rsidRDefault="003E199B" w:rsidP="00F67ED8">
            <w:pPr>
              <w:spacing w:after="0"/>
              <w:contextualSpacing/>
              <w:rPr>
                <w:rFonts w:eastAsia="Calibri"/>
                <w:lang w:val="en-US"/>
              </w:rPr>
            </w:pPr>
          </w:p>
        </w:tc>
        <w:tc>
          <w:tcPr>
            <w:tcW w:w="2162" w:type="dxa"/>
            <w:tcBorders>
              <w:bottom w:val="single" w:sz="4" w:space="0" w:color="auto"/>
            </w:tcBorders>
          </w:tcPr>
          <w:p w14:paraId="0C240965" w14:textId="77777777" w:rsidR="003E199B" w:rsidRPr="00F06EA4" w:rsidRDefault="003E199B" w:rsidP="00F67ED8">
            <w:pPr>
              <w:spacing w:after="0"/>
              <w:contextualSpacing/>
              <w:rPr>
                <w:rFonts w:eastAsia="Calibri"/>
                <w:lang w:val="en-US"/>
              </w:rPr>
            </w:pPr>
          </w:p>
        </w:tc>
        <w:tc>
          <w:tcPr>
            <w:tcW w:w="2384" w:type="dxa"/>
            <w:tcBorders>
              <w:bottom w:val="single" w:sz="4" w:space="0" w:color="auto"/>
            </w:tcBorders>
          </w:tcPr>
          <w:p w14:paraId="5D892581" w14:textId="77777777" w:rsidR="003E199B" w:rsidRPr="00F06EA4" w:rsidRDefault="003E199B" w:rsidP="00F67ED8">
            <w:pPr>
              <w:spacing w:after="0"/>
              <w:contextualSpacing/>
              <w:rPr>
                <w:rFonts w:eastAsia="Calibri"/>
                <w:lang w:val="en-US"/>
              </w:rPr>
            </w:pPr>
          </w:p>
        </w:tc>
        <w:tc>
          <w:tcPr>
            <w:tcW w:w="1121" w:type="dxa"/>
            <w:tcBorders>
              <w:bottom w:val="single" w:sz="4" w:space="0" w:color="auto"/>
            </w:tcBorders>
          </w:tcPr>
          <w:p w14:paraId="7170C071" w14:textId="77777777" w:rsidR="003E199B" w:rsidRPr="00F06EA4" w:rsidRDefault="003E199B" w:rsidP="00F67ED8">
            <w:pPr>
              <w:spacing w:after="0"/>
              <w:contextualSpacing/>
              <w:rPr>
                <w:rFonts w:eastAsia="Calibri"/>
                <w:lang w:val="en-US"/>
              </w:rPr>
            </w:pPr>
          </w:p>
        </w:tc>
        <w:tc>
          <w:tcPr>
            <w:tcW w:w="1365" w:type="dxa"/>
            <w:tcBorders>
              <w:bottom w:val="single" w:sz="4" w:space="0" w:color="auto"/>
            </w:tcBorders>
          </w:tcPr>
          <w:p w14:paraId="0D93B58D" w14:textId="77777777" w:rsidR="003E199B" w:rsidRPr="00F06EA4" w:rsidRDefault="003E199B" w:rsidP="00F67ED8">
            <w:pPr>
              <w:spacing w:after="0"/>
              <w:contextualSpacing/>
              <w:rPr>
                <w:rFonts w:eastAsia="Calibri"/>
                <w:lang w:val="en-US"/>
              </w:rPr>
            </w:pPr>
          </w:p>
        </w:tc>
      </w:tr>
    </w:tbl>
    <w:p w14:paraId="7CDE2AF0" w14:textId="7C4C4DD3" w:rsidR="003E199B" w:rsidRPr="00D411BC" w:rsidRDefault="003E199B" w:rsidP="00F67ED8">
      <w:pPr>
        <w:spacing w:after="0"/>
        <w:rPr>
          <w:rFonts w:eastAsia="Calibri"/>
          <w:lang w:val="en-US"/>
        </w:rPr>
      </w:pPr>
      <w:r w:rsidRPr="00F06EA4">
        <w:rPr>
          <w:rFonts w:eastAsia="Calibri"/>
          <w:lang w:val="en-US"/>
        </w:rPr>
        <w:lastRenderedPageBreak/>
        <w:t xml:space="preserve">ECM: </w:t>
      </w:r>
      <w:r w:rsidR="008D7C73" w:rsidRPr="00F06EA4">
        <w:rPr>
          <w:rFonts w:eastAsia="Calibri"/>
          <w:lang w:val="en-US"/>
        </w:rPr>
        <w:t xml:space="preserve">Extracellular </w:t>
      </w:r>
      <w:r w:rsidRPr="00F06EA4">
        <w:rPr>
          <w:rFonts w:eastAsia="Calibri"/>
          <w:lang w:val="en-US"/>
        </w:rPr>
        <w:t>matrix</w:t>
      </w:r>
      <w:r w:rsidR="008D7C73">
        <w:rPr>
          <w:rFonts w:eastAsia="Calibri"/>
          <w:lang w:val="en-US"/>
        </w:rPr>
        <w:t xml:space="preserve">; </w:t>
      </w:r>
      <w:r w:rsidRPr="00F06EA4">
        <w:rPr>
          <w:rFonts w:eastAsia="Calibri"/>
          <w:lang w:val="en-US"/>
        </w:rPr>
        <w:t xml:space="preserve">G6PD: </w:t>
      </w:r>
      <w:r w:rsidR="008D7C73" w:rsidRPr="00F06EA4">
        <w:rPr>
          <w:rFonts w:eastAsia="Calibri"/>
          <w:lang w:val="en-US"/>
        </w:rPr>
        <w:t>Hexokinase</w:t>
      </w:r>
      <w:r w:rsidRPr="00F06EA4">
        <w:rPr>
          <w:rFonts w:eastAsia="Calibri"/>
          <w:lang w:val="en-US"/>
        </w:rPr>
        <w:t>/glucose-6-phosphate dehydrogenase</w:t>
      </w:r>
      <w:r w:rsidR="008D7C73">
        <w:rPr>
          <w:rFonts w:eastAsia="Calibri"/>
          <w:lang w:val="en-US"/>
        </w:rPr>
        <w:t>.</w:t>
      </w:r>
    </w:p>
    <w:p w14:paraId="722244B4" w14:textId="77777777" w:rsidR="003E199B" w:rsidRPr="00F06EA4" w:rsidRDefault="003E199B" w:rsidP="00F67ED8">
      <w:pPr>
        <w:spacing w:after="0"/>
      </w:pPr>
      <w:r w:rsidRPr="00F06EA4">
        <w:br w:type="page"/>
      </w:r>
    </w:p>
    <w:p w14:paraId="083CA5B3" w14:textId="648B528D" w:rsidR="003E199B" w:rsidRPr="008D7C73" w:rsidRDefault="003E199B" w:rsidP="00F67ED8">
      <w:pPr>
        <w:spacing w:after="0"/>
        <w:rPr>
          <w:rFonts w:eastAsia="Calibri"/>
          <w:b/>
          <w:bCs/>
          <w:lang w:val="en-US"/>
        </w:rPr>
      </w:pPr>
      <w:r w:rsidRPr="00F06EA4">
        <w:rPr>
          <w:rFonts w:eastAsia="Calibri"/>
          <w:b/>
          <w:bCs/>
          <w:lang w:val="en-US"/>
        </w:rPr>
        <w:lastRenderedPageBreak/>
        <w:t>Table 2</w:t>
      </w:r>
      <w:r w:rsidRPr="00F06EA4">
        <w:rPr>
          <w:rFonts w:eastAsia="Calibri"/>
          <w:lang w:val="en-US"/>
        </w:rPr>
        <w:t xml:space="preserve"> </w:t>
      </w:r>
      <w:r w:rsidRPr="008D7C73">
        <w:rPr>
          <w:rFonts w:eastAsia="Calibri"/>
          <w:b/>
          <w:bCs/>
          <w:lang w:val="en-US"/>
        </w:rPr>
        <w:t>Examples of inflammatory mediators reported to be expressed by colorectal cancer cells</w:t>
      </w:r>
    </w:p>
    <w:tbl>
      <w:tblPr>
        <w:tblStyle w:val="ac"/>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405"/>
        <w:gridCol w:w="1283"/>
        <w:gridCol w:w="2150"/>
        <w:gridCol w:w="1794"/>
      </w:tblGrid>
      <w:tr w:rsidR="003E199B" w:rsidRPr="008D7C73" w14:paraId="15C0E1CA" w14:textId="77777777" w:rsidTr="00F56B77">
        <w:trPr>
          <w:trHeight w:val="20"/>
        </w:trPr>
        <w:tc>
          <w:tcPr>
            <w:tcW w:w="1910" w:type="dxa"/>
            <w:tcBorders>
              <w:top w:val="single" w:sz="4" w:space="0" w:color="auto"/>
              <w:bottom w:val="single" w:sz="4" w:space="0" w:color="auto"/>
            </w:tcBorders>
          </w:tcPr>
          <w:p w14:paraId="19AD7CD3" w14:textId="77777777" w:rsidR="003E199B" w:rsidRPr="008D7C73" w:rsidRDefault="003E199B" w:rsidP="00F67ED8">
            <w:pPr>
              <w:spacing w:after="0"/>
              <w:contextualSpacing/>
              <w:rPr>
                <w:rFonts w:eastAsia="Calibri"/>
                <w:b/>
                <w:bCs/>
                <w:lang w:val="en-US"/>
              </w:rPr>
            </w:pPr>
            <w:r w:rsidRPr="008D7C73">
              <w:rPr>
                <w:rFonts w:eastAsia="Calibri"/>
                <w:b/>
                <w:bCs/>
                <w:lang w:val="en-US"/>
              </w:rPr>
              <w:t>Inflammatory mediator</w:t>
            </w:r>
          </w:p>
        </w:tc>
        <w:tc>
          <w:tcPr>
            <w:tcW w:w="2410" w:type="dxa"/>
            <w:tcBorders>
              <w:top w:val="single" w:sz="4" w:space="0" w:color="auto"/>
              <w:bottom w:val="single" w:sz="4" w:space="0" w:color="auto"/>
            </w:tcBorders>
          </w:tcPr>
          <w:p w14:paraId="2F9A785B" w14:textId="77777777" w:rsidR="003E199B" w:rsidRPr="008D7C73" w:rsidRDefault="003E199B" w:rsidP="00F67ED8">
            <w:pPr>
              <w:spacing w:after="0"/>
              <w:contextualSpacing/>
              <w:rPr>
                <w:rFonts w:eastAsia="Calibri"/>
                <w:b/>
                <w:bCs/>
                <w:lang w:val="en-US"/>
              </w:rPr>
            </w:pPr>
            <w:r w:rsidRPr="008D7C73">
              <w:rPr>
                <w:rFonts w:eastAsia="Calibri"/>
                <w:b/>
                <w:bCs/>
                <w:lang w:val="en-US"/>
              </w:rPr>
              <w:t>Function</w:t>
            </w:r>
          </w:p>
        </w:tc>
        <w:tc>
          <w:tcPr>
            <w:tcW w:w="1260" w:type="dxa"/>
            <w:tcBorders>
              <w:top w:val="single" w:sz="4" w:space="0" w:color="auto"/>
              <w:bottom w:val="single" w:sz="4" w:space="0" w:color="auto"/>
            </w:tcBorders>
          </w:tcPr>
          <w:p w14:paraId="5407FC65" w14:textId="77777777" w:rsidR="003E199B" w:rsidRPr="008D7C73" w:rsidRDefault="003E199B" w:rsidP="00F67ED8">
            <w:pPr>
              <w:spacing w:after="0"/>
              <w:contextualSpacing/>
              <w:rPr>
                <w:rFonts w:eastAsia="Calibri"/>
                <w:b/>
                <w:bCs/>
                <w:lang w:val="en-US"/>
              </w:rPr>
            </w:pPr>
            <w:r w:rsidRPr="008D7C73">
              <w:rPr>
                <w:rFonts w:eastAsia="Calibri"/>
                <w:b/>
                <w:bCs/>
                <w:lang w:val="en-US"/>
              </w:rPr>
              <w:t>Detection method</w:t>
            </w:r>
          </w:p>
        </w:tc>
        <w:tc>
          <w:tcPr>
            <w:tcW w:w="2160" w:type="dxa"/>
            <w:tcBorders>
              <w:top w:val="single" w:sz="4" w:space="0" w:color="auto"/>
              <w:bottom w:val="single" w:sz="4" w:space="0" w:color="auto"/>
            </w:tcBorders>
          </w:tcPr>
          <w:p w14:paraId="516A9784" w14:textId="77777777" w:rsidR="003E199B" w:rsidRPr="008D7C73" w:rsidRDefault="003E199B" w:rsidP="00F67ED8">
            <w:pPr>
              <w:spacing w:after="0"/>
              <w:contextualSpacing/>
              <w:rPr>
                <w:rFonts w:eastAsia="Calibri"/>
                <w:b/>
                <w:bCs/>
                <w:lang w:val="en-US"/>
              </w:rPr>
            </w:pPr>
            <w:r w:rsidRPr="008D7C73">
              <w:rPr>
                <w:rFonts w:eastAsia="Calibri"/>
                <w:b/>
                <w:bCs/>
                <w:lang w:val="en-US"/>
              </w:rPr>
              <w:t>Samples</w:t>
            </w:r>
          </w:p>
        </w:tc>
        <w:tc>
          <w:tcPr>
            <w:tcW w:w="1800" w:type="dxa"/>
            <w:tcBorders>
              <w:top w:val="single" w:sz="4" w:space="0" w:color="auto"/>
              <w:bottom w:val="single" w:sz="4" w:space="0" w:color="auto"/>
            </w:tcBorders>
          </w:tcPr>
          <w:p w14:paraId="01438138" w14:textId="01878F96" w:rsidR="003E199B" w:rsidRPr="008D7C73" w:rsidRDefault="003E199B" w:rsidP="00F67ED8">
            <w:pPr>
              <w:spacing w:after="0"/>
              <w:contextualSpacing/>
              <w:rPr>
                <w:rFonts w:eastAsia="Calibri"/>
                <w:b/>
                <w:bCs/>
                <w:lang w:val="en-US"/>
              </w:rPr>
            </w:pPr>
            <w:r w:rsidRPr="008D7C73">
              <w:rPr>
                <w:rFonts w:eastAsia="Calibri"/>
                <w:b/>
                <w:bCs/>
                <w:lang w:val="en-US"/>
              </w:rPr>
              <w:t>Ref</w:t>
            </w:r>
            <w:r w:rsidR="008D7C73">
              <w:rPr>
                <w:rFonts w:eastAsia="Calibri"/>
                <w:b/>
                <w:bCs/>
                <w:lang w:val="en-US"/>
              </w:rPr>
              <w:t>.</w:t>
            </w:r>
          </w:p>
        </w:tc>
      </w:tr>
      <w:tr w:rsidR="003E199B" w:rsidRPr="00F06EA4" w14:paraId="3F66D7B8" w14:textId="77777777" w:rsidTr="00F56B77">
        <w:trPr>
          <w:trHeight w:val="20"/>
        </w:trPr>
        <w:tc>
          <w:tcPr>
            <w:tcW w:w="1910" w:type="dxa"/>
          </w:tcPr>
          <w:p w14:paraId="23A2CED0" w14:textId="77777777" w:rsidR="003E199B" w:rsidRPr="00F06EA4" w:rsidRDefault="003E199B" w:rsidP="00F67ED8">
            <w:pPr>
              <w:spacing w:after="0"/>
              <w:contextualSpacing/>
              <w:rPr>
                <w:rFonts w:eastAsia="Calibri"/>
                <w:lang w:val="en-US"/>
              </w:rPr>
            </w:pPr>
            <w:r w:rsidRPr="00F06EA4">
              <w:rPr>
                <w:rFonts w:eastAsia="Calibri"/>
                <w:lang w:val="en-US"/>
              </w:rPr>
              <w:t>IL6</w:t>
            </w:r>
          </w:p>
        </w:tc>
        <w:tc>
          <w:tcPr>
            <w:tcW w:w="2410" w:type="dxa"/>
          </w:tcPr>
          <w:p w14:paraId="37E4CB08" w14:textId="77777777" w:rsidR="003E199B" w:rsidRPr="00F06EA4" w:rsidRDefault="003E199B" w:rsidP="00F67ED8">
            <w:pPr>
              <w:spacing w:after="0"/>
              <w:contextualSpacing/>
              <w:rPr>
                <w:rFonts w:eastAsia="Calibri"/>
                <w:lang w:val="en-US"/>
              </w:rPr>
            </w:pPr>
            <w:r w:rsidRPr="00F06EA4">
              <w:rPr>
                <w:rFonts w:eastAsia="Calibri"/>
                <w:lang w:val="en-US"/>
              </w:rPr>
              <w:t>Proinflammatory cytokine</w:t>
            </w:r>
          </w:p>
        </w:tc>
        <w:tc>
          <w:tcPr>
            <w:tcW w:w="1260" w:type="dxa"/>
          </w:tcPr>
          <w:p w14:paraId="5F4DBC59" w14:textId="77777777" w:rsidR="003E199B" w:rsidRPr="00F06EA4" w:rsidRDefault="003E199B" w:rsidP="00F67ED8">
            <w:pPr>
              <w:spacing w:after="0"/>
              <w:contextualSpacing/>
              <w:rPr>
                <w:rFonts w:eastAsia="Calibri"/>
                <w:lang w:val="en-US"/>
              </w:rPr>
            </w:pPr>
            <w:r w:rsidRPr="00F06EA4">
              <w:rPr>
                <w:rFonts w:eastAsia="Calibri"/>
                <w:lang w:val="en-US"/>
              </w:rPr>
              <w:t>IHC, RT-PCR</w:t>
            </w:r>
          </w:p>
        </w:tc>
        <w:tc>
          <w:tcPr>
            <w:tcW w:w="2160" w:type="dxa"/>
          </w:tcPr>
          <w:p w14:paraId="443F7A99"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800" w:type="dxa"/>
          </w:tcPr>
          <w:p w14:paraId="524F185F" w14:textId="5BB2C9B1" w:rsidR="003E199B" w:rsidRPr="00F06EA4" w:rsidRDefault="003E199B" w:rsidP="00F67ED8">
            <w:pPr>
              <w:spacing w:after="0"/>
              <w:contextualSpacing/>
              <w:rPr>
                <w:rFonts w:eastAsia="Calibri"/>
                <w:lang w:val="en-US"/>
              </w:rPr>
            </w:pPr>
            <w:r w:rsidRPr="00F06EA4">
              <w:rPr>
                <w:rFonts w:eastAsia="Calibri"/>
                <w:lang w:val="en-US"/>
              </w:rPr>
              <w:t xml:space="preserve">Zeng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{"citationItems":[{"id":"ITEM-1","itemData":{"DOI":"10.3748/wjg.v23.i10.1780","ISSN":"2219-2840","PMID":"28348483","abstract":"AIM To compare the expression levels of interleukin (IL)-6 in colorectal cancer (CRC) tissues and adjacent non-cancerous tissues, and analyse the correlation of IL-6 expression with the clinicopathological parameters of CRC. METHODS Fifty CRC tissue specimens and 50 matched adjacent mucosa specimens were collected. The expression of IL-6 in these clinical samples was examined by immunohistochemical staining. The correlation between IL-6 expression and clinicopathological parameters was assessed by statistical analysis. RESULTS IL-6 expression was significantly elevated in CRC tissues compared with noncancerous tissues (P &lt; 0.001). IL-6 expression was positively correlated with tumour TNM stage (P &lt; 0.001), but a negative correlation was detected between IL-6 expression and tumor histological differentiation in CRC (P &lt; 0.05). Furthermore, IL-6 expression was associated with invasion depth and lymph node metastasis in CRC. CONCLUSION IL-6 might be a useful marker for predicting a poor prognosis in patients with CRC and might be used as a potential therapeutic target in CRC.","author":[{"dropping-particle":"","family":"Zeng","given":"Jun","non-dropping-particle":"","parse-names":false,"suffix":""},{"dropping-particle":"","family":"Tang","given":"Zhong-Hua","non-dropping-particle":"","parse-names":false,"suffix":""},{"dropping-particle":"","family":"Liu","given":"Shuang","non-dropping-particle":"","parse-names":false,"suffix":""},{"dropping-particle":"","family":"Guo","given":"Shan-Shan","non-dropping-particle":"","parse-names":false,"suffix":""}],"container-title":"World journal of gastroenterology","id":"ITEM-1","issue":"10","issued":{"date-parts":[["2017"]]},"page":"1780-1786","title":"Clinicopathological significance of overexpression of interleukin-6 in colorectal cancer.","type":"article-journal","volume":"23"},"uris":["http://www.mendeley.com/documents/?uuid=c64eefd7-7df1-4146-9cd9-eee0c689c528"]}],"mendeley":{"formattedCitation":"&lt;sup&gt;[178]&lt;/sup&gt;","plainTextFormattedCitation":"[178]","previouslyFormattedCitation":"&lt;sup&gt;[178]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[178]</w:t>
            </w:r>
            <w:r w:rsidRPr="00F06EA4">
              <w:rPr>
                <w:rFonts w:eastAsia="Calibri"/>
                <w:lang w:val="en-US"/>
              </w:rPr>
              <w:fldChar w:fldCharType="end"/>
            </w:r>
          </w:p>
        </w:tc>
      </w:tr>
      <w:tr w:rsidR="003E199B" w:rsidRPr="00F06EA4" w14:paraId="6A6A2257" w14:textId="77777777" w:rsidTr="00F56B77">
        <w:trPr>
          <w:trHeight w:val="20"/>
        </w:trPr>
        <w:tc>
          <w:tcPr>
            <w:tcW w:w="1910" w:type="dxa"/>
          </w:tcPr>
          <w:p w14:paraId="676E7433" w14:textId="77777777" w:rsidR="003E199B" w:rsidRPr="00F06EA4" w:rsidRDefault="003E199B" w:rsidP="00F67ED8">
            <w:pPr>
              <w:spacing w:after="0"/>
              <w:contextualSpacing/>
              <w:rPr>
                <w:rFonts w:eastAsia="Calibri"/>
                <w:lang w:val="en-US"/>
              </w:rPr>
            </w:pPr>
            <w:r w:rsidRPr="00F06EA4">
              <w:rPr>
                <w:rFonts w:eastAsia="Calibri"/>
                <w:lang w:val="en-US"/>
              </w:rPr>
              <w:t>CSF1</w:t>
            </w:r>
          </w:p>
        </w:tc>
        <w:tc>
          <w:tcPr>
            <w:tcW w:w="2410" w:type="dxa"/>
          </w:tcPr>
          <w:p w14:paraId="136CB7E0" w14:textId="77777777" w:rsidR="003E199B" w:rsidRPr="00F06EA4" w:rsidRDefault="003E199B" w:rsidP="00F67ED8">
            <w:pPr>
              <w:spacing w:after="0"/>
              <w:contextualSpacing/>
              <w:rPr>
                <w:rFonts w:eastAsia="Calibri"/>
                <w:lang w:val="en-US"/>
              </w:rPr>
            </w:pPr>
            <w:r w:rsidRPr="00F06EA4">
              <w:rPr>
                <w:rFonts w:eastAsia="Calibri"/>
                <w:lang w:val="en-US"/>
              </w:rPr>
              <w:t>Proliferation, differentiation, and survival of monocytes, macrophages, and bone marrow progenitor cells; polarization of pro-tumor M2 macrophages</w:t>
            </w:r>
          </w:p>
        </w:tc>
        <w:tc>
          <w:tcPr>
            <w:tcW w:w="1260" w:type="dxa"/>
          </w:tcPr>
          <w:p w14:paraId="4CD6BCB4" w14:textId="77777777" w:rsidR="003E199B" w:rsidRPr="00F06EA4" w:rsidRDefault="003E199B" w:rsidP="00F67ED8">
            <w:pPr>
              <w:spacing w:after="0"/>
              <w:contextualSpacing/>
              <w:rPr>
                <w:rFonts w:eastAsia="Calibri"/>
                <w:lang w:val="en-US"/>
              </w:rPr>
            </w:pPr>
            <w:r w:rsidRPr="00F06EA4">
              <w:rPr>
                <w:rFonts w:eastAsia="Calibri"/>
                <w:lang w:val="en-US"/>
              </w:rPr>
              <w:t>IHC</w:t>
            </w:r>
          </w:p>
        </w:tc>
        <w:tc>
          <w:tcPr>
            <w:tcW w:w="2160" w:type="dxa"/>
          </w:tcPr>
          <w:p w14:paraId="6512254C"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800" w:type="dxa"/>
          </w:tcPr>
          <w:p w14:paraId="042DC1A2" w14:textId="479B2E46" w:rsidR="003E199B" w:rsidRPr="00F06EA4" w:rsidRDefault="003E199B" w:rsidP="00F67ED8">
            <w:pPr>
              <w:spacing w:after="0"/>
              <w:contextualSpacing/>
              <w:rPr>
                <w:rFonts w:eastAsia="Calibri"/>
                <w:lang w:val="en-US"/>
              </w:rPr>
            </w:pPr>
            <w:r w:rsidRPr="00F06EA4">
              <w:rPr>
                <w:rFonts w:eastAsia="Calibri"/>
                <w:lang w:val="en-US"/>
              </w:rPr>
              <w:t xml:space="preserve">Nebiker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{"citationItems":[{"id":"ITEM-1","itemData":{"DOI":"10.1158/1078-0432.CCR-13-2774","ISSN":"1078-0432","PMID":"24737547","abstract":"PURPOSE Colorectal cancer infiltration by CD16(+) myeloid cells correlates with improved prognosis. We addressed mechanistic clues and gene and protein expression of cytokines potentially associated with macrophage polarization. EXPERIMENTAL DESIGN GM-CSF or M-CSF-stimulated peripheral blood CD14(+) cells from healthy donors were cocultured with colorectal cancer cells. Tumor cell proliferation was assessed by (3)H-thymidine incorporation. Expression of cytokine genes in colorectal cancer and autologous healthy mucosa was tested by quantitative, real-time PCR. A tumor microarray (TMA) including &gt;1,200 colorectal cancer specimens was stained with GM-CSF- and M-CSF-specific antibodies. Clinicopathological features and overall survival were analyzed. RESULTS GM-CSF induced CD16 expression in 66% ± 8% of monocytes, as compared with 28% ± 1% in cells stimulated by M-CSF (P = 0.011). GM-CSF but not M-CSF-stimulated macrophages significantly (P &lt; 0.02) inhibited colorectal cancer cell proliferation. GM-CSF gene was expressed to significantly (n = 45, P &lt; 0.0001) higher extents in colorectal cancer than in healthy mucosa, whereas M-CSF gene expression was similar in healthy mucosa and colorectal cancer. Accordingly, IL1β and IL23 genes, typically expressed by M1 macrophages, were expressed to significantly (P &lt; 0.001) higher extents in colorectal cancer than in healthy mucosa. TMA staining revealed that GM-CSF production by tumor cells is associated with lower T stage (P = 0.02), \"pushing\" growth pattern (P = 0.004) and significantly (P = 0.0002) longer survival in mismatch-repair proficient colorectal cancer. Favorable prognostic effect of GM-CSF production by colorectal cancer cells was confirmed by multivariate analysis and was independent from CD16(+) and CD8(+) cell colorectal cancer infiltration. M-CSF expression had no significant prognostic relevance. CONCLUSIONS GM-CSF production by tumor cells is an independent favorable prognostic factor in colorectal cancer.","author":[{"dropping-particle":"","family":"Nebiker","given":"Christian A.","non-dropping-particle":"","parse-names":false,"suffix":""},{"dropping-particle":"","family":"Han","given":"Junyi","non-dropping-particle":"","parse-names":false,"suffix":""},{"dropping-particle":"","family":"Eppenberger-Castori","given":"Serenella","non-dropping-particle":"","parse-names":false,"suffix":""},{"dropping-particle":"","family":"Iezzi","given":"Giandomenica","non-dropping-particle":"","parse-names":false,"suffix":""},{"dropping-particle":"","family":"Hirt","given":"Christian","non-dropping-particle":"","parse-names":false,"suffix":""},{"dropping-particle":"","family":"Amicarella","given":"Francesca","non-dropping-particle":"","parse-names":false,"suffix":""},{"dropping-particle":"","family":"Cremonesi","given":"Eleonora","non-dropping-particle":"","parse-names":false,"suffix":""},{"dropping-particle":"","family":"Huber","given":"Xaver","non-dropping-particle":"","parse-names":false,"suffix":""},{"dropping-particle":"","family":"Padovan","given":"Elisabetta","non-dropping-particle":"","parse-names":false,"suffix":""},{"dropping-particle":"","family":"Angrisani","given":"Basilio","non-dropping-particle":"","parse-names":false,"suffix":""},{"dropping-particle":"","family":"Droeser","given":"Raoul A.","non-dropping-particle":"","parse-names":false,"suffix":""},{"dropping-particle":"","family":"Rosso","given":"Raffaele","non-dropping-particle":"","parse-names":false,"suffix":""},{"dropping-particle":"","family":"Bolli","given":"Martin","non-dropping-particle":"","parse-names":false,"suffix":""},{"dropping-particle":"","family":"Oertli","given":"Daniel","non-dropping-particle":"","parse-names":false,"suffix":""},{"dropping-particle":"","family":"Holzen","given":"Urs","non-dropping-particle":"von","parse-names":false,"suffix":""},{"dropping-particle":"","family":"Adamina","given":"Michel","non-dropping-particle":"","parse-names":false,"suffix":""},{"dropping-particle":"","family":"Muraro","given":"Manuele G.","non-dropping-particle":"","parse-names":false,"suffix":""},{"dropping-particle":"","family":"Mengus","given":"Chantal","non-dropping-particle":"","parse-names":false,"suffix":""},{"dropping-particle":"","family":"Zajac","given":"Paul","non-dropping-particle":"","parse-names":false,"suffix":""},{"dropping-particle":"","family":"Sconocchia","given":"Giuseppe","non-dropping-particle":"","parse-names":false,"suffix":""},{"dropping-particle":"","family":"Zuber","given":"Markus","non-dropping-particle":"","parse-names":false,"suffix":""},{"dropping-particle":"","family":"Tornillo","given":"Luigi","non-dropping-particle":"","parse-names":false,"suffix":""},{"dropping-particle":"","family":"Terracciano","given":"Luigi","non-dropping-particle":"","parse-names":false,"suffix":""},{"dropping-particle":"","family":"Spagnoli","given":"Giulio C.","non-dropping-particle":"","parse-names":false,"suffix":""}],"container-title":"Clinical cancer research : an official journal of the American Association for Cancer Research","id":"ITEM-1","issue":"12","issued":{"date-parts":[["2014"]]},"page":"3094-106","title":"GM-CSF Production by Tumor Cells Is Associated with Improved Survival in Colorectal Cancer.","type":"article-journal","volume":"20"},"uris":["http://www.mendeley.com/documents/?uuid=a74acf49-46e3-4e22-a714-729cc8d3b423"]}],"mendeley":{"formattedCitation":"&lt;sup&gt;[179]&lt;/sup&gt;","plainTextFormattedCitation":"[179]","previouslyFormattedCitation":"&lt;sup&gt;[179]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[179]</w:t>
            </w:r>
            <w:r w:rsidRPr="00F06EA4">
              <w:rPr>
                <w:rFonts w:eastAsia="Calibri"/>
                <w:lang w:val="en-US"/>
              </w:rPr>
              <w:fldChar w:fldCharType="end"/>
            </w:r>
          </w:p>
        </w:tc>
      </w:tr>
      <w:tr w:rsidR="003E199B" w:rsidRPr="00F06EA4" w14:paraId="7EB1E63A" w14:textId="77777777" w:rsidTr="00F56B77">
        <w:trPr>
          <w:trHeight w:val="20"/>
        </w:trPr>
        <w:tc>
          <w:tcPr>
            <w:tcW w:w="1910" w:type="dxa"/>
          </w:tcPr>
          <w:p w14:paraId="04B4502E" w14:textId="77777777" w:rsidR="003E199B" w:rsidRPr="00F06EA4" w:rsidRDefault="003E199B" w:rsidP="00F67ED8">
            <w:pPr>
              <w:spacing w:after="0"/>
              <w:contextualSpacing/>
              <w:rPr>
                <w:rFonts w:eastAsia="Calibri"/>
                <w:lang w:val="en-US"/>
              </w:rPr>
            </w:pPr>
            <w:r w:rsidRPr="00F06EA4">
              <w:rPr>
                <w:rFonts w:eastAsia="Calibri"/>
                <w:lang w:val="en-US"/>
              </w:rPr>
              <w:t>CSF2</w:t>
            </w:r>
          </w:p>
        </w:tc>
        <w:tc>
          <w:tcPr>
            <w:tcW w:w="2410" w:type="dxa"/>
          </w:tcPr>
          <w:p w14:paraId="1474AFC2" w14:textId="77777777" w:rsidR="003E199B" w:rsidRPr="00F06EA4" w:rsidRDefault="003E199B" w:rsidP="00F67ED8">
            <w:pPr>
              <w:spacing w:after="0"/>
              <w:contextualSpacing/>
              <w:rPr>
                <w:rFonts w:eastAsia="Calibri"/>
                <w:lang w:val="en-US"/>
              </w:rPr>
            </w:pPr>
            <w:r w:rsidRPr="00F06EA4">
              <w:rPr>
                <w:rFonts w:eastAsia="Calibri"/>
                <w:lang w:val="en-US"/>
              </w:rPr>
              <w:t>Proliferation, differentiation, and survival of monocytes, macrophages, granulocytes and bone marrow progenitor cells, polarization of anti-tumor M1 macrophages</w:t>
            </w:r>
          </w:p>
        </w:tc>
        <w:tc>
          <w:tcPr>
            <w:tcW w:w="1260" w:type="dxa"/>
          </w:tcPr>
          <w:p w14:paraId="5B875E0C" w14:textId="77777777" w:rsidR="003E199B" w:rsidRPr="00F06EA4" w:rsidRDefault="003E199B" w:rsidP="00F67ED8">
            <w:pPr>
              <w:spacing w:after="0"/>
              <w:contextualSpacing/>
              <w:rPr>
                <w:rFonts w:eastAsia="Calibri"/>
                <w:lang w:val="en-US"/>
              </w:rPr>
            </w:pPr>
            <w:r w:rsidRPr="00F06EA4">
              <w:rPr>
                <w:rFonts w:eastAsia="Calibri"/>
                <w:lang w:val="en-US"/>
              </w:rPr>
              <w:t>IHC</w:t>
            </w:r>
          </w:p>
        </w:tc>
        <w:tc>
          <w:tcPr>
            <w:tcW w:w="2160" w:type="dxa"/>
          </w:tcPr>
          <w:p w14:paraId="732FD184"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800" w:type="dxa"/>
          </w:tcPr>
          <w:p w14:paraId="0C85A905" w14:textId="044BED1F" w:rsidR="003E199B" w:rsidRPr="00F06EA4" w:rsidRDefault="003E199B" w:rsidP="00F67ED8">
            <w:pPr>
              <w:spacing w:after="0"/>
              <w:contextualSpacing/>
              <w:rPr>
                <w:rFonts w:eastAsia="Calibri"/>
                <w:lang w:val="en-US"/>
              </w:rPr>
            </w:pPr>
            <w:r w:rsidRPr="00F06EA4">
              <w:rPr>
                <w:rFonts w:eastAsia="Calibri"/>
                <w:lang w:val="en-US"/>
              </w:rPr>
              <w:t xml:space="preserve">Nebiker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{"citationItems":[{"id":"ITEM-1","itemData":{"DOI":"10.1158/1078-0432.CCR-13-2774","ISSN":"1078-0432","PMID":"24737547","abstract":"PURPOSE Colorectal cancer infiltration by CD16(+) myeloid cells correlates with improved prognosis. We addressed mechanistic clues and gene and protein expression of cytokines potentially associated with macrophage polarization. EXPERIMENTAL DESIGN GM-CSF or M-CSF-stimulated peripheral blood CD14(+) cells from healthy donors were cocultured with colorectal cancer cells. Tumor cell proliferation was assessed by (3)H-thymidine incorporation. Expression of cytokine genes in colorectal cancer and autologous healthy mucosa was tested by quantitative, real-time PCR. A tumor microarray (TMA) including &gt;1,200 colorectal cancer specimens was stained with GM-CSF- and M-CSF-specific antibodies. Clinicopathological features and overall survival were analyzed. RESULTS GM-CSF induced CD16 expression in 66% ± 8% of monocytes, as compared with 28% ± 1% in cells stimulated by M-CSF (P = 0.011). GM-CSF but not M-CSF-stimulated macrophages significantly (P &lt; 0.02) inhibited colorectal cancer cell proliferation. GM-CSF gene was expressed to significantly (n = 45, P &lt; 0.0001) higher extents in colorectal cancer than in healthy mucosa, whereas M-CSF gene expression was similar in healthy mucosa and colorectal cancer. Accordingly, IL1β and IL23 genes, typically expressed by M1 macrophages, were expressed to significantly (P &lt; 0.001) higher extents in colorectal cancer than in healthy mucosa. TMA staining revealed that GM-CSF production by tumor cells is associated with lower T stage (P = 0.02), \"pushing\" growth pattern (P = 0.004) and significantly (P = 0.0002) longer survival in mismatch-repair proficient colorectal cancer. Favorable prognostic effect of GM-CSF production by colorectal cancer cells was confirmed by multivariate analysis and was independent from CD16(+) and CD8(+) cell colorectal cancer infiltration. M-CSF expression had no significant prognostic relevance. CONCLUSIONS GM-CSF production by tumor cells is an independent favorable prognostic factor in colorectal cancer.","author":[{"dropping-particle":"","family":"Nebiker","given":"Christian A.","non-dropping-particle":"","parse-names":false,"suffix":""},{"dropping-particle":"","family":"Han","given":"Junyi","non-dropping-particle":"","parse-names":false,"suffix":""},{"dropping-particle":"","family":"Eppenberger-Castori","given":"Serenella","non-dropping-particle":"","parse-names":false,"suffix":""},{"dropping-particle":"","family":"Iezzi","given":"Giandomenica","non-dropping-particle":"","parse-names":false,"suffix":""},{"dropping-particle":"","family":"Hirt","given":"Christian","non-dropping-particle":"","parse-names":false,"suffix":""},{"dropping-particle":"","family":"Amicarella","given":"Francesca","non-dropping-particle":"","parse-names":false,"suffix":""},{"dropping-particle":"","family":"Cremonesi","given":"Eleonora","non-dropping-particle":"","parse-names":false,"suffix":""},{"dropping-particle":"","family":"Huber","given":"Xaver","non-dropping-particle":"","parse-names":false,"suffix":""},{"dropping-particle":"","family":"Padovan","given":"Elisabetta","non-dropping-particle":"","parse-names":false,"suffix":""},{"dropping-particle":"","family":"Angrisani","given":"Basilio","non-dropping-particle":"","parse-names":false,"suffix":""},{"dropping-particle":"","family":"Droeser","given":"Raoul A.","non-dropping-particle":"","parse-names":false,"suffix":""},{"dropping-particle":"","family":"Rosso","given":"Raffaele","non-dropping-particle":"","parse-names":false,"suffix":""},{"dropping-particle":"","family":"Bolli","given":"Martin","non-dropping-particle":"","parse-names":false,"suffix":""},{"dropping-particle":"","family":"Oertli","given":"Daniel","non-dropping-particle":"","parse-names":false,"suffix":""},{"dropping-particle":"","family":"Holzen","given":"Urs","non-dropping-particle":"von","parse-names":false,"suffix":""},{"dropping-particle":"","family":"Adamina","given":"Michel","non-dropping-particle":"","parse-names":false,"suffix":""},{"dropping-particle":"","family":"Muraro","given":"Manuele G.","non-dropping-particle":"","parse-names":false,"suffix":""},{"dropping-particle":"","family":"Mengus","given":"Chantal","non-dropping-particle":"","parse-names":false,"suffix":""},{"dropping-particle":"","family":"Zajac","given":"Paul","non-dropping-particle":"","parse-names":false,"suffix":""},{"dropping-particle":"","family":"Sconocchia","given":"Giuseppe","non-dropping-particle":"","parse-names":false,"suffix":""},{"dropping-particle":"","family":"Zuber","given":"Markus","non-dropping-particle":"","parse-names":false,"suffix":""},{"dropping-particle":"","family":"Tornillo","given":"Luigi","non-dropping-particle":"","parse-names":false,"suffix":""},{"dropping-particle":"","family":"Terracciano","given":"Luigi","non-dropping-particle":"","parse-names":false,"suffix":""},{"dropping-particle":"","family":"Spagnoli","given":"Giulio C.","non-dropping-particle":"","parse-names":false,"suffix":""}],"container-title":"Clinical cancer research : an official journal of the American Association for Cancer Research","id":"ITEM-1","issue":"12","issued":{"date-parts":[["2014"]]},"page":"3094-106","title":"GM-CSF Production by Tumor Cells Is Associated with Improved Survival in Colorectal Cancer.","type":"article-journal","volume":"20"},"uris":["http://www.mendeley.com/documents/?uuid=a74acf49-46e3-4e22-a714-729cc8d3b423"]}],"mendeley":{"formattedCitation":"&lt;sup&gt;[179]&lt;/sup&gt;","plainTextFormattedCitation":"[179]","previouslyFormattedCitation":"&lt;sup&gt;[179]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[179]</w:t>
            </w:r>
            <w:r w:rsidRPr="00F06EA4">
              <w:rPr>
                <w:rFonts w:eastAsia="Calibri"/>
                <w:lang w:val="en-US"/>
              </w:rPr>
              <w:fldChar w:fldCharType="end"/>
            </w:r>
          </w:p>
        </w:tc>
      </w:tr>
      <w:tr w:rsidR="003E199B" w:rsidRPr="00F06EA4" w14:paraId="1AFB942C" w14:textId="77777777" w:rsidTr="00F56B77">
        <w:trPr>
          <w:trHeight w:val="20"/>
        </w:trPr>
        <w:tc>
          <w:tcPr>
            <w:tcW w:w="1910" w:type="dxa"/>
          </w:tcPr>
          <w:p w14:paraId="09DA2EDE" w14:textId="77777777" w:rsidR="003E199B" w:rsidRPr="00F06EA4" w:rsidRDefault="003E199B" w:rsidP="00F67ED8">
            <w:pPr>
              <w:spacing w:after="0"/>
              <w:contextualSpacing/>
              <w:rPr>
                <w:rFonts w:eastAsia="Calibri"/>
                <w:lang w:val="en-US"/>
              </w:rPr>
            </w:pPr>
            <w:r w:rsidRPr="00F06EA4">
              <w:rPr>
                <w:rFonts w:eastAsia="Calibri"/>
                <w:lang w:val="en-US"/>
              </w:rPr>
              <w:t>CCL2</w:t>
            </w:r>
          </w:p>
        </w:tc>
        <w:tc>
          <w:tcPr>
            <w:tcW w:w="2410" w:type="dxa"/>
          </w:tcPr>
          <w:p w14:paraId="1244AE6D" w14:textId="77777777" w:rsidR="003E199B" w:rsidRPr="00F06EA4" w:rsidRDefault="003E199B" w:rsidP="00F67ED8">
            <w:pPr>
              <w:spacing w:after="0"/>
              <w:contextualSpacing/>
              <w:rPr>
                <w:rFonts w:eastAsia="Calibri"/>
                <w:lang w:val="en-US"/>
              </w:rPr>
            </w:pPr>
            <w:r w:rsidRPr="00F06EA4">
              <w:rPr>
                <w:rFonts w:eastAsia="Calibri"/>
                <w:lang w:val="en-US"/>
              </w:rPr>
              <w:t>Recruitment of monocytes and macrophages</w:t>
            </w:r>
          </w:p>
        </w:tc>
        <w:tc>
          <w:tcPr>
            <w:tcW w:w="1260" w:type="dxa"/>
          </w:tcPr>
          <w:p w14:paraId="6FE452C7" w14:textId="77777777" w:rsidR="003E199B" w:rsidRPr="00F06EA4" w:rsidRDefault="003E199B" w:rsidP="00F67ED8">
            <w:pPr>
              <w:spacing w:after="0"/>
              <w:contextualSpacing/>
              <w:rPr>
                <w:rFonts w:eastAsia="Calibri"/>
                <w:lang w:val="en-US"/>
              </w:rPr>
            </w:pPr>
            <w:r w:rsidRPr="00F06EA4">
              <w:rPr>
                <w:rFonts w:eastAsia="Calibri"/>
                <w:lang w:val="en-US"/>
              </w:rPr>
              <w:t>IHC, WB</w:t>
            </w:r>
          </w:p>
        </w:tc>
        <w:tc>
          <w:tcPr>
            <w:tcW w:w="2160" w:type="dxa"/>
          </w:tcPr>
          <w:p w14:paraId="25488B90" w14:textId="77777777" w:rsidR="003E199B" w:rsidRPr="00F06EA4" w:rsidRDefault="003E199B" w:rsidP="00F67ED8">
            <w:pPr>
              <w:spacing w:after="0"/>
              <w:contextualSpacing/>
              <w:rPr>
                <w:rFonts w:eastAsia="Calibri"/>
                <w:lang w:val="en-US"/>
              </w:rPr>
            </w:pPr>
            <w:r w:rsidRPr="00F06EA4">
              <w:rPr>
                <w:rFonts w:eastAsia="Calibri"/>
                <w:lang w:val="en-US"/>
              </w:rPr>
              <w:t>CRC cell lines, FFPE CRC specimens</w:t>
            </w:r>
          </w:p>
        </w:tc>
        <w:tc>
          <w:tcPr>
            <w:tcW w:w="1800" w:type="dxa"/>
          </w:tcPr>
          <w:p w14:paraId="6B1EE31C" w14:textId="46A5D41B" w:rsidR="003E199B" w:rsidRPr="00F06EA4" w:rsidRDefault="003E199B" w:rsidP="00F67ED8">
            <w:pPr>
              <w:spacing w:after="0"/>
              <w:contextualSpacing/>
              <w:rPr>
                <w:rFonts w:eastAsia="Calibri"/>
                <w:lang w:val="en-US"/>
              </w:rPr>
            </w:pPr>
            <w:r w:rsidRPr="00F06EA4">
              <w:rPr>
                <w:rFonts w:eastAsia="Calibri"/>
                <w:lang w:val="en-US"/>
              </w:rPr>
              <w:t xml:space="preserve">Hu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{"citationItems":[{"id":"ITEM-1","itemData":{"DOI":"10.1158/1078-0432.CCR-08-2491","ISSN":"1078-0432; 1078-0432","PMID":"19706805","abstract":"PURPOSE: This study aimed to identify novel biological markers for the prediction of colorectal cancer liver metastasis. EXPERIMENTAL DESIGN: We established two models that mimicked the interactions between colorectal tumor cells and the liver microenvironment. From these models we established subcell lines that had an enhanced ability to metastasize to the liver. Genes that related to hepatic metastasis were screened by microarray. The candidate markers were tested by immunohistochemistry, and their predictive accuracy was assessed by the cross-validation method and an independent test set. RESULTS: Highly metastatic colon cancer cell sublines SW1116p21 and SW1116v3 were established from the tumor cell-microenvironment interaction models. Seven of the up-regulated genes in the sublines were selected as candidate markers for predicting metastatic potential. A total of 245 colorectal cancer samples were divided into a training set containing 117 cases and a test set containing 128 cases. In the training set, immunohistochemical analysis showed CCL2 and SNCG expression was higher in the hepatic metastasis group than in the nonmetastasis group, and was correlated with poor survival. Logistic regression analysis revealed that CCL2 and SNCG levels in primary tumors, serum carcinoembryonic antigen level, and lymph node metastasis status were the only significant (P &lt; 0.05) parameters for detecting liver metastasis. In leave-one-out-cross-validation, the two markers, when combined with clinicopathologic features, resulted in 90.5% sensitivity and 90.7% specificity for hepatic metastasis detection. In an independent test set, the combination achieved 87.5% sensitivity and 82% specificity for predicting the future hepatic metastasis of colorectal cancer. CONCLUSION: Our results suggest that these models are able to mimic the interactions between colorectal cancer cells and the liver microenvironment, and may represent a promising strategy to identify metastasis-related genes. CCL2 and SNCG, combined with clinicopathologic features, may be used as accurate predictors of liver metastasis in colorectal cancer.","author":[{"dropping-particle":"","family":"Hu","given":"Hai","non-dropping-particle":"","parse-names":false,"suffix":""},{"dropping-particle":"","family":"Sun","given":"Lichao","non-dropping-particle":"","parse-names":false,"suffix":""},{"dropping-particle":"","family":"Guo","given":"Chunguang","non-dropping-particle":"","parse-names":false,"suffix":""},{"dropping-particle":"","family":"Liu","given":"Qian","non-dropping-particle":"","parse-names":false,"suffix":""},{"dropping-particle":"","family":"Zhou","given":"Zhuan","non-dropping-particle":"","parse-names":false,"suffix":""},{"dropping-particle":"","family":"Peng","given":"Liang","non-dropping-particle":"","parse-names":false,"suffix":""},{"dropping-particle":"","family":"Pan","given":"Jian","non-dropping-particle":"","parse-names":false,"suffix":""},{"dropping-particle":"","family":"Yu","given":"Long","non-dropping-particle":"","parse-names":false,"suffix":""},{"dropping-particle":"","family":"Lou","given":"Jinning","non-dropping-particle":"","parse-names":false,"suffix":""},{"dropping-particle":"","family":"Yang","given":"Zhihua","non-dropping-particle":"","parse-names":false,"suffix":""},{"dropping-particle":"","family":"Zhao","given":"Ping","non-dropping-particle":"","parse-names":false,"suffix":""},{"dropping-particle":"","family":"Ran","given":"Yuliang","non-dropping-particle":"","parse-names":false,"suffix":""}],"container-title":"Clinical cancer research : an official journal of the American Association for Cancer Research","id":"ITEM-1","issue":"17","issued":{"date-parts":[["2009","9"]]},"page":"5485-5493","publisher-place":"State Key Laboratory of Molecular Oncology, Cancer Institute (Hospital), Chinese Academy of Medical Sciences, Peking Union Medical College, Beijing, People's Republic of China.","title":"Tumor cell-microenvironment interaction models coupled with clinical validation reveal CCL2 and SNCG as two predictors of colorectal cancer hepatic metastasis","type":"article-journal","volume":"15"},"uris":["http://www.mendeley.com/documents/?uuid=4c7d6b88-2045-416a-9348-a801e3c21a09"]}],"mendeley":{"formattedCitation":"&lt;sup&gt;[180]&lt;/sup&gt;","plainTextFormattedCitation":"[180]","previouslyFormattedCitation":"&lt;sup&gt;[180]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[180]</w:t>
            </w:r>
            <w:r w:rsidRPr="00F06EA4">
              <w:rPr>
                <w:rFonts w:eastAsia="Calibri"/>
                <w:lang w:val="en-US"/>
              </w:rPr>
              <w:fldChar w:fldCharType="end"/>
            </w:r>
          </w:p>
        </w:tc>
      </w:tr>
      <w:tr w:rsidR="003E199B" w:rsidRPr="00F06EA4" w14:paraId="36F426FC" w14:textId="77777777" w:rsidTr="00F56B77">
        <w:trPr>
          <w:trHeight w:val="20"/>
        </w:trPr>
        <w:tc>
          <w:tcPr>
            <w:tcW w:w="1910" w:type="dxa"/>
          </w:tcPr>
          <w:p w14:paraId="40701E25" w14:textId="77777777" w:rsidR="003E199B" w:rsidRPr="00F06EA4" w:rsidRDefault="003E199B" w:rsidP="00F67ED8">
            <w:pPr>
              <w:spacing w:after="0"/>
              <w:contextualSpacing/>
              <w:rPr>
                <w:rFonts w:eastAsia="Calibri"/>
                <w:lang w:val="en-US"/>
              </w:rPr>
            </w:pPr>
            <w:r w:rsidRPr="00F06EA4">
              <w:rPr>
                <w:rFonts w:eastAsia="Calibri"/>
                <w:lang w:val="en-US"/>
              </w:rPr>
              <w:lastRenderedPageBreak/>
              <w:t>CXCL1</w:t>
            </w:r>
          </w:p>
        </w:tc>
        <w:tc>
          <w:tcPr>
            <w:tcW w:w="2410" w:type="dxa"/>
          </w:tcPr>
          <w:p w14:paraId="28415A31" w14:textId="77777777" w:rsidR="003E199B" w:rsidRPr="00F06EA4" w:rsidRDefault="003E199B" w:rsidP="00F67ED8">
            <w:pPr>
              <w:spacing w:after="0"/>
              <w:contextualSpacing/>
              <w:rPr>
                <w:rFonts w:eastAsia="Calibri"/>
                <w:lang w:val="en-US"/>
              </w:rPr>
            </w:pPr>
            <w:r w:rsidRPr="00F06EA4">
              <w:rPr>
                <w:rFonts w:eastAsia="Calibri"/>
                <w:lang w:val="en-US"/>
              </w:rPr>
              <w:t>Recruitment of neutrophils</w:t>
            </w:r>
          </w:p>
        </w:tc>
        <w:tc>
          <w:tcPr>
            <w:tcW w:w="1260" w:type="dxa"/>
          </w:tcPr>
          <w:p w14:paraId="6E2DE117" w14:textId="77777777" w:rsidR="003E199B" w:rsidRPr="00F06EA4" w:rsidRDefault="003E199B" w:rsidP="00F67ED8">
            <w:pPr>
              <w:spacing w:after="0"/>
              <w:contextualSpacing/>
              <w:rPr>
                <w:rFonts w:eastAsia="Calibri"/>
                <w:lang w:val="en-US"/>
              </w:rPr>
            </w:pPr>
            <w:r w:rsidRPr="00F06EA4">
              <w:rPr>
                <w:rFonts w:eastAsia="Calibri"/>
                <w:lang w:val="en-US"/>
              </w:rPr>
              <w:t>IHC</w:t>
            </w:r>
          </w:p>
        </w:tc>
        <w:tc>
          <w:tcPr>
            <w:tcW w:w="2160" w:type="dxa"/>
          </w:tcPr>
          <w:p w14:paraId="712120A5"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800" w:type="dxa"/>
          </w:tcPr>
          <w:p w14:paraId="1EEE4C5C" w14:textId="0254EA1F" w:rsidR="003E199B" w:rsidRPr="00F06EA4" w:rsidRDefault="003E199B" w:rsidP="00F67ED8">
            <w:pPr>
              <w:spacing w:after="0"/>
              <w:contextualSpacing/>
              <w:rPr>
                <w:rFonts w:eastAsia="Calibri"/>
                <w:lang w:val="en-US"/>
              </w:rPr>
            </w:pPr>
            <w:r w:rsidRPr="00F06EA4">
              <w:rPr>
                <w:rFonts w:eastAsia="Calibri"/>
                <w:lang w:val="en-US"/>
              </w:rPr>
              <w:t xml:space="preserve">Oladipo </w:t>
            </w:r>
            <w:r w:rsidR="0046007C" w:rsidRPr="00F06EA4">
              <w:rPr>
                <w:rFonts w:eastAsia="Calibri"/>
                <w:i/>
                <w:iCs/>
                <w:lang w:val="en-US"/>
              </w:rPr>
              <w:t>et al</w:t>
            </w:r>
            <w:r w:rsidRPr="00F06EA4">
              <w:rPr>
                <w:rFonts w:eastAsia="Calibri"/>
                <w:lang w:val="en-US"/>
              </w:rPr>
              <w:fldChar w:fldCharType="begin" w:fldLock="1"/>
            </w:r>
            <w:r w:rsidR="002E66FA" w:rsidRPr="00F06EA4">
              <w:rPr>
                <w:rFonts w:eastAsia="Calibri"/>
                <w:lang w:val="en-US"/>
              </w:rPr>
              <w:instrText>ADDIN CSL_CITATION {"citationItems":[{"id":"ITEM-1","itemData":{"DOI":"10.1038/sj.bjc.6606055","ISSN":"1532-1827","PMID":"21285972","abstract":"BACKGROUND The CXC-chemokine expression is linked with colorectal cancer (CRC) progression but their significance in resected CRC is unclear. We explored the prognostic impact of such expression in stage II and III CRC. METHODS Tissue microarrays were constructed from stage II and III CRC biopsies (n=254), and the expression of CXCL1 and CXCL8, and their receptors CXCR1 and CXCR2, in malignant and adjacent normal tissue was graded by immunohistochemistry and was correlated with prognostic factors. RESULTS Expression of CXCL1, CXCR1 and CXCR2 was elevated in tumour epithelium relative to normal adjacent tissue (P&lt;0.001). CXCL8 expression was detectable in the peritumoural inflammatory infiltrate. There was no overall association between CXCL1, CXCR1 or CXCR2 expression and prognostic endpoints; however, univariate subgroup survival analysis demonstrated an inverse association between CXCL1 and recurrence-free survival (RFS) in stage III patients (P=0.041). The CXCL8 positivity in the tumour infiltrate, however, correlated with earlier disease stage (P&lt;0.001) and improved relapse-free survival across the cohort (P&lt;0.001). Disease stage (P&lt;0.001) and tumour infiltrate CXCL8 positivity (P=0.007) were associated with enhanced RFS in multivariate Cox regression analysis. CONCLUSION Autocrine CXC-chemokine signalling may have adverse prognostic effects in early CRC. Conversely, CXCL8 positivity within the immune infiltrate may have good prognostic significance.","author":[{"dropping-particle":"","family":"Oladipo","given":"O","non-dropping-particle":"","parse-names":false,"suffix":""},{"dropping-particle":"","family":"Conlon","given":"S","non-dropping-particle":"","parse-names":false,"suffix":""},{"dropping-particle":"","family":"O'Grady","given":"A","non-dropping-particle":"","parse-names":false,"suffix":""},{"dropping-particle":"","family":"Purcell","given":"C","non-dropping-particle":"","parse-names":false,"suffix":""},{"dropping-particle":"","family":"Wilson","given":"C","non-dropping-particle":"","parse-names":false,"suffix":""},{"dropping-particle":"","family":"Maxwell","given":"P J","non-dropping-particle":"","parse-names":false,"suffix":""},{"dropping-particle":"","family":"Johnston","given":"P G","non-dropping-particle":"","parse-names":false,"suffix":""},{"dropping-particle":"","family":"Stevenson","given":"M","non-dropping-particle":"","parse-names":false,"suffix":""},{"dropping-particle":"","family":"Kay","given":"E W","non-dropping-particle":"","parse-names":false,"suffix":""},{"dropping-particle":"","family":"Wilson","given":"R H","non-dropping-particle":"","parse-names":false,"suffix":""},{"dropping-particle":"","family":"Waugh","given":"D J J","non-dropping-particle":"","parse-names":false,"suffix":""}],"container-title":"British journal of cancer","id":"ITEM-1","issue":"3","issued":{"date-parts":[["2011"]]},"page":"480-7","title":"The expression and prognostic impact of CXC-chemokines in stage II and III colorectal cancer epithelial and stromal tissue.","type":"article-journal","volume":"104"},"uris":["http://www.mendeley.com/documents/?uuid=c865774b-e06f-3b05-a3ab-c0941080c136"]}],"mendeley":{"formattedCitation":"&lt;sup&gt;[181]&lt;/sup&gt;","plainTextFormattedCitation":"[181]","previouslyFormattedCitation":"&lt;sup&gt;[181]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[181]</w:t>
            </w:r>
            <w:r w:rsidRPr="00F06EA4">
              <w:rPr>
                <w:rFonts w:eastAsia="Calibri"/>
                <w:lang w:val="en-US"/>
              </w:rPr>
              <w:fldChar w:fldCharType="end"/>
            </w:r>
          </w:p>
        </w:tc>
      </w:tr>
      <w:tr w:rsidR="003E199B" w:rsidRPr="00F06EA4" w14:paraId="789F73BE" w14:textId="77777777" w:rsidTr="00F56B77">
        <w:trPr>
          <w:trHeight w:val="20"/>
        </w:trPr>
        <w:tc>
          <w:tcPr>
            <w:tcW w:w="1910" w:type="dxa"/>
          </w:tcPr>
          <w:p w14:paraId="4F8868EA" w14:textId="77777777" w:rsidR="003E199B" w:rsidRPr="00F06EA4" w:rsidRDefault="003E199B" w:rsidP="00F67ED8">
            <w:pPr>
              <w:spacing w:after="0"/>
              <w:contextualSpacing/>
              <w:rPr>
                <w:rFonts w:eastAsia="Calibri"/>
                <w:lang w:val="en-US"/>
              </w:rPr>
            </w:pPr>
            <w:r w:rsidRPr="00F06EA4">
              <w:rPr>
                <w:rFonts w:eastAsia="Calibri"/>
                <w:lang w:val="en-US"/>
              </w:rPr>
              <w:t>CXCL8</w:t>
            </w:r>
          </w:p>
        </w:tc>
        <w:tc>
          <w:tcPr>
            <w:tcW w:w="2410" w:type="dxa"/>
          </w:tcPr>
          <w:p w14:paraId="3F2DAAE8" w14:textId="77777777" w:rsidR="003E199B" w:rsidRPr="00F06EA4" w:rsidRDefault="003E199B" w:rsidP="00F67ED8">
            <w:pPr>
              <w:spacing w:after="0"/>
              <w:contextualSpacing/>
              <w:rPr>
                <w:rFonts w:eastAsia="Calibri"/>
                <w:lang w:val="en-US"/>
              </w:rPr>
            </w:pPr>
            <w:r w:rsidRPr="00F06EA4">
              <w:rPr>
                <w:rFonts w:eastAsia="Calibri"/>
                <w:lang w:val="en-US"/>
              </w:rPr>
              <w:t>Recruitment of neutrophils</w:t>
            </w:r>
          </w:p>
        </w:tc>
        <w:tc>
          <w:tcPr>
            <w:tcW w:w="1260" w:type="dxa"/>
          </w:tcPr>
          <w:p w14:paraId="56024E36" w14:textId="77777777" w:rsidR="003E199B" w:rsidRPr="00F06EA4" w:rsidRDefault="003E199B" w:rsidP="00F67ED8">
            <w:pPr>
              <w:spacing w:after="0"/>
              <w:contextualSpacing/>
              <w:rPr>
                <w:rFonts w:eastAsia="Calibri"/>
                <w:lang w:val="en-US"/>
              </w:rPr>
            </w:pPr>
            <w:r w:rsidRPr="00F06EA4">
              <w:rPr>
                <w:rFonts w:eastAsia="Calibri"/>
                <w:lang w:val="en-US"/>
              </w:rPr>
              <w:t>IHC, IF, WB</w:t>
            </w:r>
          </w:p>
        </w:tc>
        <w:tc>
          <w:tcPr>
            <w:tcW w:w="2160" w:type="dxa"/>
          </w:tcPr>
          <w:p w14:paraId="317F55D8" w14:textId="77777777" w:rsidR="003E199B" w:rsidRPr="00F06EA4" w:rsidRDefault="003E199B" w:rsidP="00F67ED8">
            <w:pPr>
              <w:spacing w:after="0"/>
              <w:contextualSpacing/>
              <w:rPr>
                <w:rFonts w:eastAsia="Calibri"/>
                <w:lang w:val="en-US"/>
              </w:rPr>
            </w:pPr>
            <w:r w:rsidRPr="00F06EA4">
              <w:rPr>
                <w:rFonts w:eastAsia="Calibri"/>
                <w:lang w:val="en-US"/>
              </w:rPr>
              <w:t>CRC cell lines, FFPE CRC specimens</w:t>
            </w:r>
          </w:p>
        </w:tc>
        <w:tc>
          <w:tcPr>
            <w:tcW w:w="1800" w:type="dxa"/>
          </w:tcPr>
          <w:p w14:paraId="7D0D0C57" w14:textId="1E4D1DD6" w:rsidR="003E199B" w:rsidRPr="00F06EA4" w:rsidRDefault="003E199B" w:rsidP="00F67ED8">
            <w:pPr>
              <w:spacing w:after="0"/>
              <w:contextualSpacing/>
              <w:rPr>
                <w:rFonts w:eastAsia="Calibri"/>
                <w:lang w:val="en-US"/>
              </w:rPr>
            </w:pPr>
            <w:r w:rsidRPr="00F06EA4">
              <w:rPr>
                <w:rFonts w:eastAsia="Calibri"/>
                <w:lang w:val="en-US"/>
              </w:rPr>
              <w:t xml:space="preserve">Xiao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{"citationItems":[{"id":"ITEM-1","itemData":{"DOI":"10.1016/j.canlet.2015.02.021","ISSN":"1872-7980","PMID":"25687885","abstract":"Anoikis is a form of apoptosis which occurs when anchorage-dependent cells either show loss of adhesion or inappropriate adhesion. Only a few cancer cells that detach from the primary site of the tumor acquire the ability to resist anoikis and form metastasis. The mechanism underlying the resistance of colorectal cancer (CRC) cells to anoikis remains unclear. Interleukin-8 (alternatively known as CXCL8) is associated with CRC angiogenesis and progression. Here, we found that a high abundance of CXCL8 or TOPK strongly correlated with poor overall and disease-free survival of 186 patients with CRC. A combination of high CXCL8 and high TOPK expressions had the worst prognosis. We showed that CXCL8 expression was negatively correlated with anoikis in CRC cells. CXCL8 treatment enhanced the resistance of CRC cells to apoptosis, which was accompanied by the increase of TOPK, and the activation of AKT and ERK. Moreover, we demonstrated that the inhibition of either ERK or AKT by specific chemical inhibitors attenuated the CXCL8-mediated resistance to anoikis. Treatment with AKT inhibitor abolished the effects of CXCL8 on TOPK expression, suggesting that TOPK was downstream of AKT in the process of anoikis. Taken together, we demonstrated that CXCL8 is strongly implicated in the resistance of CRC cells to anoikis, and that the AKT, TOPK and ERK pathway may be a potential therapeutic target for CRC.","author":[{"dropping-particle":"","family":"Xiao","given":"You-Chuan","non-dropping-particle":"","parse-names":false,"suffix":""},{"dropping-particle":"","family":"Yang","given":"Zhi-Bin","non-dropping-particle":"","parse-names":false,"suffix":""},{"dropping-particle":"","family":"Cheng","given":"Xian-Shuo","non-dropping-particle":"","parse-names":false,"suffix":""},{"dropping-particle":"","family":"Fang","given":"Xing-Bao","non-dropping-particle":"","parse-names":false,"suffix":""},{"dropping-particle":"","family":"Shen","given":"Tao","non-dropping-particle":"","parse-names":false,"suffix":""},{"dropping-particle":"","family":"Xia","given":"Cui-Feng","non-dropping-particle":"","parse-names":false,"suffix":""},{"dropping-particle":"","family":"Liu","given":"Ping","non-dropping-particle":"","parse-names":false,"suffix":""},{"dropping-particle":"","family":"Qian","given":"Hai-Hua","non-dropping-particle":"","parse-names":false,"suffix":""},{"dropping-particle":"","family":"Sun","given":"Bin","non-dropping-particle":"","parse-names":false,"suffix":""},{"dropping-particle":"","family":"Yin","given":"Zheng-Feng","non-dropping-particle":"","parse-names":false,"suffix":""},{"dropping-particle":"","family":"Li","given":"Yun-Feng","non-dropping-particle":"","parse-names":false,"suffix":""}],"container-title":"Cancer letters","id":"ITEM-1","issue":"1","issued":{"date-parts":[["2015","5"]]},"page":"22-32","title":"CXCL8, overexpressed in colorectal cancer, enhances the resistance of colorectal cancer cells to anoikis.","type":"article-journal","volume":"361"},"uris":["http://www.mendeley.com/documents/?uuid=78a08d2b-7509-4b3a-8f2e-c24bc9bb9fe7"]}],"mendeley":{"formattedCitation":"&lt;sup&gt;[30]&lt;/sup&gt;","plainTextFormattedCitation":"[30]","previouslyFormattedCitation":"&lt;sup&gt;[30]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[30]</w:t>
            </w:r>
            <w:r w:rsidRPr="00F06EA4">
              <w:rPr>
                <w:rFonts w:eastAsia="Calibri"/>
                <w:lang w:val="en-US"/>
              </w:rPr>
              <w:fldChar w:fldCharType="end"/>
            </w:r>
          </w:p>
        </w:tc>
      </w:tr>
      <w:tr w:rsidR="003E199B" w:rsidRPr="00F06EA4" w14:paraId="0AC1E078" w14:textId="77777777" w:rsidTr="00F56B77">
        <w:trPr>
          <w:trHeight w:val="20"/>
        </w:trPr>
        <w:tc>
          <w:tcPr>
            <w:tcW w:w="1910" w:type="dxa"/>
          </w:tcPr>
          <w:p w14:paraId="18282FE5" w14:textId="77777777" w:rsidR="003E199B" w:rsidRPr="00F06EA4" w:rsidRDefault="003E199B" w:rsidP="00F67ED8">
            <w:pPr>
              <w:spacing w:after="0"/>
              <w:contextualSpacing/>
              <w:rPr>
                <w:rFonts w:eastAsia="Calibri"/>
                <w:lang w:val="en-US"/>
              </w:rPr>
            </w:pPr>
            <w:r w:rsidRPr="00F06EA4">
              <w:rPr>
                <w:rFonts w:eastAsia="Calibri"/>
                <w:lang w:val="en-US"/>
              </w:rPr>
              <w:t>CXCL8</w:t>
            </w:r>
          </w:p>
        </w:tc>
        <w:tc>
          <w:tcPr>
            <w:tcW w:w="2410" w:type="dxa"/>
          </w:tcPr>
          <w:p w14:paraId="58C21F02" w14:textId="77777777" w:rsidR="003E199B" w:rsidRPr="00F06EA4" w:rsidRDefault="003E199B" w:rsidP="00F67ED8">
            <w:pPr>
              <w:spacing w:after="0"/>
              <w:contextualSpacing/>
              <w:rPr>
                <w:rFonts w:eastAsia="Calibri"/>
                <w:lang w:val="en-US"/>
              </w:rPr>
            </w:pPr>
            <w:r w:rsidRPr="00F06EA4">
              <w:rPr>
                <w:rFonts w:eastAsia="Calibri"/>
                <w:lang w:val="en-US"/>
              </w:rPr>
              <w:t>Recruitment of neutrophils</w:t>
            </w:r>
          </w:p>
        </w:tc>
        <w:tc>
          <w:tcPr>
            <w:tcW w:w="1260" w:type="dxa"/>
          </w:tcPr>
          <w:p w14:paraId="2A2C801F" w14:textId="77777777" w:rsidR="003E199B" w:rsidRPr="00F06EA4" w:rsidRDefault="003E199B" w:rsidP="00F67ED8">
            <w:pPr>
              <w:spacing w:after="0"/>
              <w:contextualSpacing/>
              <w:rPr>
                <w:rFonts w:eastAsia="Calibri"/>
                <w:lang w:val="en-US"/>
              </w:rPr>
            </w:pPr>
            <w:r w:rsidRPr="00F06EA4">
              <w:rPr>
                <w:rFonts w:eastAsia="Calibri"/>
                <w:lang w:val="en-US"/>
              </w:rPr>
              <w:t>IHC</w:t>
            </w:r>
          </w:p>
        </w:tc>
        <w:tc>
          <w:tcPr>
            <w:tcW w:w="2160" w:type="dxa"/>
          </w:tcPr>
          <w:p w14:paraId="083BEA6D"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800" w:type="dxa"/>
          </w:tcPr>
          <w:p w14:paraId="7D9CFDCF" w14:textId="003FF5D5" w:rsidR="003E199B" w:rsidRPr="00F06EA4" w:rsidRDefault="003E199B" w:rsidP="00F67ED8">
            <w:pPr>
              <w:spacing w:after="0"/>
              <w:contextualSpacing/>
              <w:rPr>
                <w:rFonts w:eastAsia="Calibri"/>
                <w:lang w:val="en-US"/>
              </w:rPr>
            </w:pPr>
            <w:r w:rsidRPr="00F06EA4">
              <w:rPr>
                <w:rFonts w:eastAsia="Calibri"/>
                <w:lang w:val="en-US"/>
              </w:rPr>
              <w:t xml:space="preserve">Oladipo </w:t>
            </w:r>
            <w:r w:rsidR="0046007C" w:rsidRPr="00F06EA4">
              <w:rPr>
                <w:rFonts w:eastAsia="Calibri"/>
                <w:i/>
                <w:iCs/>
                <w:lang w:val="en-US"/>
              </w:rPr>
              <w:t>et al</w:t>
            </w:r>
            <w:r w:rsidRPr="00F06EA4">
              <w:rPr>
                <w:rFonts w:eastAsia="Calibri"/>
                <w:lang w:val="en-US"/>
              </w:rPr>
              <w:fldChar w:fldCharType="begin" w:fldLock="1"/>
            </w:r>
            <w:r w:rsidR="002E66FA" w:rsidRPr="00F06EA4">
              <w:rPr>
                <w:rFonts w:eastAsia="Calibri"/>
                <w:lang w:val="en-US"/>
              </w:rPr>
              <w:instrText>ADDIN CSL_CITATION {"citationItems":[{"id":"ITEM-1","itemData":{"DOI":"10.1038/sj.bjc.6606055","ISSN":"1532-1827","PMID":"21285972","abstract":"BACKGROUND The CXC-chemokine expression is linked with colorectal cancer (CRC) progression but their significance in resected CRC is unclear. We explored the prognostic impact of such expression in stage II and III CRC. METHODS Tissue microarrays were constructed from stage II and III CRC biopsies (n=254), and the expression of CXCL1 and CXCL8, and their receptors CXCR1 and CXCR2, in malignant and adjacent normal tissue was graded by immunohistochemistry and was correlated with prognostic factors. RESULTS Expression of CXCL1, CXCR1 and CXCR2 was elevated in tumour epithelium relative to normal adjacent tissue (P&lt;0.001). CXCL8 expression was detectable in the peritumoural inflammatory infiltrate. There was no overall association between CXCL1, CXCR1 or CXCR2 expression and prognostic endpoints; however, univariate subgroup survival analysis demonstrated an inverse association between CXCL1 and recurrence-free survival (RFS) in stage III patients (P=0.041). The CXCL8 positivity in the tumour infiltrate, however, correlated with earlier disease stage (P&lt;0.001) and improved relapse-free survival across the cohort (P&lt;0.001). Disease stage (P&lt;0.001) and tumour infiltrate CXCL8 positivity (P=0.007) were associated with enhanced RFS in multivariate Cox regression analysis. CONCLUSION Autocrine CXC-chemokine signalling may have adverse prognostic effects in early CRC. Conversely, CXCL8 positivity within the immune infiltrate may have good prognostic significance.","author":[{"dropping-particle":"","family":"Oladipo","given":"O","non-dropping-particle":"","parse-names":false,"suffix":""},{"dropping-particle":"","family":"Conlon","given":"S","non-dropping-particle":"","parse-names":false,"suffix":""},{"dropping-particle":"","family":"O'Grady","given":"A","non-dropping-particle":"","parse-names":false,"suffix":""},{"dropping-particle":"","family":"Purcell","given":"C","non-dropping-particle":"","parse-names":false,"suffix":""},{"dropping-particle":"","family":"Wilson","given":"C","non-dropping-particle":"","parse-names":false,"suffix":""},{"dropping-particle":"","family":"Maxwell","given":"P J","non-dropping-particle":"","parse-names":false,"suffix":""},{"dropping-particle":"","family":"Johnston","given":"P G","non-dropping-particle":"","parse-names":false,"suffix":""},{"dropping-particle":"","family":"Stevenson","given":"M","non-dropping-particle":"","parse-names":false,"suffix":""},{"dropping-particle":"","family":"Kay","given":"E W","non-dropping-particle":"","parse-names":false,"suffix":""},{"dropping-particle":"","family":"Wilson","given":"R H","non-dropping-particle":"","parse-names":false,"suffix":""},{"dropping-particle":"","family":"Waugh","given":"D J J","non-dropping-particle":"","parse-names":false,"suffix":""}],"container-title":"British journal of cancer","id":"ITEM-1","issue":"3","issued":{"date-parts":[["2011"]]},"page":"480-7","title":"The expression and prognostic impact of CXC-chemokines in stage II and III colorectal cancer epithelial and stromal tissue.","type":"article-journal","volume":"104"},"uris":["http://www.mendeley.com/documents/?uuid=c865774b-e06f-3b05-a3ab-c0941080c136"]}],"mendeley":{"formattedCitation":"&lt;sup&gt;[181]&lt;/sup&gt;","plainTextFormattedCitation":"[181]","previouslyFormattedCitation":"&lt;sup&gt;[181]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[181]</w:t>
            </w:r>
            <w:r w:rsidRPr="00F06EA4">
              <w:rPr>
                <w:rFonts w:eastAsia="Calibri"/>
                <w:lang w:val="en-US"/>
              </w:rPr>
              <w:fldChar w:fldCharType="end"/>
            </w:r>
          </w:p>
        </w:tc>
      </w:tr>
      <w:tr w:rsidR="003E199B" w:rsidRPr="00F06EA4" w14:paraId="154CA67C" w14:textId="77777777" w:rsidTr="00F56B77">
        <w:trPr>
          <w:trHeight w:val="20"/>
        </w:trPr>
        <w:tc>
          <w:tcPr>
            <w:tcW w:w="1910" w:type="dxa"/>
          </w:tcPr>
          <w:p w14:paraId="4ACD0F38" w14:textId="77777777" w:rsidR="003E199B" w:rsidRPr="00F06EA4" w:rsidRDefault="003E199B" w:rsidP="00F67ED8">
            <w:pPr>
              <w:spacing w:after="0"/>
              <w:contextualSpacing/>
              <w:rPr>
                <w:rFonts w:eastAsia="Calibri"/>
                <w:lang w:val="en-US"/>
              </w:rPr>
            </w:pPr>
            <w:r w:rsidRPr="00F06EA4">
              <w:rPr>
                <w:rFonts w:eastAsia="Calibri"/>
                <w:lang w:val="en-US"/>
              </w:rPr>
              <w:t>CXCL10</w:t>
            </w:r>
          </w:p>
        </w:tc>
        <w:tc>
          <w:tcPr>
            <w:tcW w:w="2410" w:type="dxa"/>
          </w:tcPr>
          <w:p w14:paraId="37CDB6F4" w14:textId="77777777" w:rsidR="003E199B" w:rsidRPr="00F06EA4" w:rsidRDefault="003E199B" w:rsidP="00F67ED8">
            <w:pPr>
              <w:spacing w:after="0"/>
              <w:contextualSpacing/>
              <w:rPr>
                <w:rFonts w:eastAsia="Calibri"/>
                <w:lang w:val="en-US"/>
              </w:rPr>
            </w:pPr>
            <w:r w:rsidRPr="00F06EA4">
              <w:rPr>
                <w:rFonts w:eastAsia="Calibri"/>
                <w:lang w:val="en-US"/>
              </w:rPr>
              <w:t>Recruitment of T cells and NK cells</w:t>
            </w:r>
          </w:p>
        </w:tc>
        <w:tc>
          <w:tcPr>
            <w:tcW w:w="1260" w:type="dxa"/>
          </w:tcPr>
          <w:p w14:paraId="69F07FC9" w14:textId="77777777" w:rsidR="003E199B" w:rsidRPr="00F06EA4" w:rsidRDefault="003E199B" w:rsidP="00F67ED8">
            <w:pPr>
              <w:spacing w:after="0"/>
              <w:contextualSpacing/>
              <w:rPr>
                <w:rFonts w:eastAsia="Calibri"/>
                <w:lang w:val="en-US"/>
              </w:rPr>
            </w:pPr>
            <w:r w:rsidRPr="00F06EA4">
              <w:rPr>
                <w:rFonts w:eastAsia="Calibri"/>
                <w:lang w:val="en-US"/>
              </w:rPr>
              <w:t>IHC, RT-PCR</w:t>
            </w:r>
          </w:p>
        </w:tc>
        <w:tc>
          <w:tcPr>
            <w:tcW w:w="2160" w:type="dxa"/>
          </w:tcPr>
          <w:p w14:paraId="4A63375B" w14:textId="77777777" w:rsidR="003E199B" w:rsidRPr="00F06EA4" w:rsidRDefault="003E199B" w:rsidP="00F67ED8">
            <w:pPr>
              <w:spacing w:after="0"/>
              <w:contextualSpacing/>
              <w:rPr>
                <w:rFonts w:eastAsia="Calibri"/>
                <w:lang w:val="en-US"/>
              </w:rPr>
            </w:pPr>
            <w:r w:rsidRPr="00F06EA4">
              <w:rPr>
                <w:rFonts w:eastAsia="Calibri"/>
                <w:lang w:val="en-US"/>
              </w:rPr>
              <w:t>CRC cell lines, FFPE CRC specimens</w:t>
            </w:r>
          </w:p>
        </w:tc>
        <w:tc>
          <w:tcPr>
            <w:tcW w:w="1800" w:type="dxa"/>
          </w:tcPr>
          <w:p w14:paraId="5B4F8921" w14:textId="4ECFC7A7" w:rsidR="003E199B" w:rsidRPr="00F06EA4" w:rsidRDefault="003E199B" w:rsidP="00F67ED8">
            <w:pPr>
              <w:spacing w:after="0"/>
              <w:contextualSpacing/>
              <w:rPr>
                <w:rFonts w:eastAsia="Calibri"/>
                <w:lang w:val="en-US"/>
              </w:rPr>
            </w:pPr>
            <w:r w:rsidRPr="00F06EA4">
              <w:rPr>
                <w:rFonts w:eastAsia="Calibri"/>
                <w:lang w:val="en-US"/>
              </w:rPr>
              <w:t xml:space="preserve">Jiang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{"citationItems":[{"id":"ITEM-1","itemData":{"DOI":"10.1007/s11033-009-9873-z","ISSN":"1573-4978; 0301-4851","PMID":"19821051","abstract":"CXC Chemokine Ligand 10 (CXCL10), an interferon-inducible protein, has been demonstrated to inhibit the proliferation and metastasis in many tumors. In this study, we focus on the expression of CXCL10 in stage II and III colorectal cancer (CRC) and its correlation with metastasis. Real-time reverse-transcription polymerase chain reaction (real-time RT-PCR) and RT-PCR were performed in 36 snap-frozen CRC tissues with recurrence and 28 CRC tissues without recurrence to examine CXCL10 expression. For further examination in mRNA level, three CRC-metastasis-derived cell lines (SW620, Lovo, Colo205) and three primary-CRC-derived ones (SW480, Caco-2, HCT116) were also subjected to real-time RT-PCR. Analysis showed that CXCL10 down-regulated in CRC with recurrence both in tissues and cells (P &lt; 005). Immunohistochemistry was also performed in 118 paraffin-embedded specimens. CRC were scored as strong and low CXCL10 expressers (-/+ and ++/+++, respectively). The correlation between clinicopathological or molecular variables and survival was analyzed. Lowly expressed CXCL10 mRNA were detected in snap-frozen tissues with recurrence (P &lt; 0.05) and in cell lines derived from CRC metastases (SW620, Lovo, Colo205). No significant correlation was found between CXCL10 level detected by immunostaining and tumor location, size, histological type, lymphvascular invasion, perineural invasion or TNM stage. However, patients with lower levels of CXCL10 expression showed the poorer prognosis [low expression 70% (57/81) versus strong expression 27% (10/37); P &lt; 0.05]. Kaplan-Meier curves comparing different CXCL10 expression levels with survival showed highly significant separation (P &lt; 0.05, log-rank test). The Cox proportional hazards regression model also showed that low CXCL10 expression was an independent adverse prognosticator in stage II and III CRC (P &lt; 0.05). We concluded that detection of CXCL10, as a prognostic marker for stage II and III CRC patients, may contribute to predicting clinical outcome.","author":[{"dropping-particle":"","family":"Jiang","given":"Zheng","non-dropping-particle":"","parse-names":false,"suffix":""},{"dropping-particle":"","family":"Xu","given":"Ye","non-dropping-particle":"","parse-names":false,"suffix":""},{"dropping-particle":"","family":"Cai","given":"Sanjun","non-dropping-particle":"","parse-names":false,"suffix":""}],"container-title":"Molecular biology reports","id":"ITEM-1","issue":"6","issued":{"date-parts":[["2010"]]},"page":"3029-3036","publisher-place":"Department of Colorectal Surgery, Cancer Hospital, Fudan University, 270 Dong An Road, Shanghai 200032, China.","title":"CXCL10 expression and prognostic significance in stage II and III colorectal cancer","type":"article-journal","volume":"37"},"uris":["http://www.mendeley.com/documents/?uuid=93ab1567-e6e3-47e0-a5f4-a26b4eb0fd49"]}],"mendeley":{"formattedCitation":"&lt;sup&gt;[182]&lt;/sup&gt;","plainTextFormattedCitation":"[182]","previouslyFormattedCitation":"&lt;sup&gt;[182]&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[182]</w:t>
            </w:r>
            <w:r w:rsidRPr="00F06EA4">
              <w:rPr>
                <w:rFonts w:eastAsia="Calibri"/>
                <w:lang w:val="en-US"/>
              </w:rPr>
              <w:fldChar w:fldCharType="end"/>
            </w:r>
          </w:p>
        </w:tc>
      </w:tr>
      <w:tr w:rsidR="003E199B" w:rsidRPr="00F06EA4" w14:paraId="168A5997" w14:textId="77777777" w:rsidTr="00F56B77">
        <w:trPr>
          <w:trHeight w:val="20"/>
        </w:trPr>
        <w:tc>
          <w:tcPr>
            <w:tcW w:w="1910" w:type="dxa"/>
          </w:tcPr>
          <w:p w14:paraId="389BA150" w14:textId="77777777" w:rsidR="003E199B" w:rsidRPr="00F06EA4" w:rsidRDefault="003E199B" w:rsidP="00F67ED8">
            <w:pPr>
              <w:spacing w:after="0"/>
              <w:contextualSpacing/>
              <w:rPr>
                <w:rFonts w:eastAsia="Calibri"/>
                <w:lang w:val="en-US"/>
              </w:rPr>
            </w:pPr>
            <w:r w:rsidRPr="00F06EA4">
              <w:rPr>
                <w:rFonts w:eastAsia="Calibri"/>
                <w:lang w:val="en-US"/>
              </w:rPr>
              <w:t>CXCL12</w:t>
            </w:r>
          </w:p>
        </w:tc>
        <w:tc>
          <w:tcPr>
            <w:tcW w:w="2410" w:type="dxa"/>
          </w:tcPr>
          <w:p w14:paraId="458851BB" w14:textId="77777777" w:rsidR="003E199B" w:rsidRPr="00F06EA4" w:rsidRDefault="003E199B" w:rsidP="00F67ED8">
            <w:pPr>
              <w:spacing w:after="0"/>
              <w:contextualSpacing/>
              <w:rPr>
                <w:rFonts w:eastAsia="Calibri"/>
                <w:lang w:val="en-US"/>
              </w:rPr>
            </w:pPr>
            <w:r w:rsidRPr="00F06EA4">
              <w:rPr>
                <w:rFonts w:eastAsia="Calibri"/>
                <w:lang w:val="en-US"/>
              </w:rPr>
              <w:t>Recruitment of lymphocytes and endothelial progenitor cells</w:t>
            </w:r>
          </w:p>
        </w:tc>
        <w:tc>
          <w:tcPr>
            <w:tcW w:w="1260" w:type="dxa"/>
          </w:tcPr>
          <w:p w14:paraId="19B43A58" w14:textId="77777777" w:rsidR="003E199B" w:rsidRPr="00F06EA4" w:rsidRDefault="003E199B" w:rsidP="00F67ED8">
            <w:pPr>
              <w:spacing w:after="0"/>
              <w:contextualSpacing/>
              <w:rPr>
                <w:rFonts w:eastAsia="Calibri"/>
                <w:lang w:val="en-US"/>
              </w:rPr>
            </w:pPr>
            <w:r w:rsidRPr="00F06EA4">
              <w:rPr>
                <w:rFonts w:eastAsia="Calibri"/>
                <w:lang w:val="en-US"/>
              </w:rPr>
              <w:t>IHC</w:t>
            </w:r>
          </w:p>
        </w:tc>
        <w:tc>
          <w:tcPr>
            <w:tcW w:w="2160" w:type="dxa"/>
          </w:tcPr>
          <w:p w14:paraId="322EF96B"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800" w:type="dxa"/>
          </w:tcPr>
          <w:p w14:paraId="4F23413B" w14:textId="5A52E7D1" w:rsidR="003E199B" w:rsidRPr="00F06EA4" w:rsidRDefault="003E199B" w:rsidP="00F67ED8">
            <w:pPr>
              <w:spacing w:after="0"/>
              <w:contextualSpacing/>
              <w:rPr>
                <w:rFonts w:eastAsia="Calibri"/>
                <w:lang w:val="en-US"/>
              </w:rPr>
            </w:pPr>
            <w:r w:rsidRPr="00F06EA4">
              <w:rPr>
                <w:rFonts w:eastAsia="Calibri"/>
                <w:lang w:val="en-US"/>
              </w:rPr>
              <w:t xml:space="preserve">Akishima-Fukasawa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{"citationItems":[{"id":"ITEM-1","itemData":{"DOI":"10.1309/AJCPK35VZJEWCUTL","ISSN":"00029173","PMID":"19605814","abstract":"The present study investigated the protein expression level of CXCL12 in colorectal cancer and aimed to elucidate its association with prognosis. CXCL12 positivity in 50% or more of tumor cells was defined as high expression and that in less than 50% of the tumor cells as low expression. CXCL12+ tumor budding at the invasive front was divided into 2 grades: high with 10 or more budding foci per x200 field of view and low grade with fewer than 10 budding foci. Patients with high expression (72.7%) and high grade CXCL12+ tumor budding (43.0%) had significantly shorter survival than patients with low expression (P = .014) and low grade (P = .003), respectively. Patients with a combination of high expression and high grade had the worst outcome (P &lt; .001). Our study demonstrated that CXCL12 expression in colorectal cancer cells and at sites of budding were significant prognostic factors. Furthermore, together with lymph node metastasis, a combination of both expression patterns was a more powerful independent prognostic factor.","author":[{"dropping-particle":"","family":"Akishima-Fukasawa","given":"Yuri","non-dropping-particle":"","parse-names":false,"suffix":""},{"dropping-particle":"","family":"Nakanishi","given":"Yukihiro","non-dropping-particle":"","parse-names":false,"suffix":""},{"dropping-particle":"","family":"Ino","given":"Yoshinori","non-dropping-particle":"","parse-names":false,"suffix":""},{"dropping-particle":"","family":"Moriya","given":"Yoshihiro","non-dropping-particle":"","parse-names":false,"suffix":""},{"dropping-particle":"","family":"Kanai","given":"Yae","non-dropping-particle":"","parse-names":false,"suffix":""},{"dropping-particle":"","family":"Hirohashi","given":"Setsuo","non-dropping-particle":"","parse-names":false,"suffix":""}],"container-title":"American Journal of Clinical Pathology","id":"ITEM-1","issue":"2","issued":{"date-parts":[["2009"]]},"page":"202-210","publisher-place":"Pathology Division, National Cancer Center Research Institute, 5-1-1 Tsukiji, Chuo-ku, Tokyo 104-0045, Japan.","title":"Prognostic significance of CXCL12 expression in patients with colorectal carcinoma","type":"article-journal","volume":"132"},"uris":["http://www.mendeley.com/documents/?uuid=0443ce90-5c6d-4d28-a551-7e3fb44c80ed"]}],"mendeley":{"formattedCitation":"&lt;sup&gt;[183]&lt;/sup&gt;","plainTextFormattedCitation":"[183]","previouslyFormattedCitation":"&lt;sup&gt;[183]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[183]</w:t>
            </w:r>
            <w:r w:rsidRPr="00F06EA4">
              <w:rPr>
                <w:rFonts w:eastAsia="Calibri"/>
                <w:lang w:val="en-US"/>
              </w:rPr>
              <w:fldChar w:fldCharType="end"/>
            </w:r>
          </w:p>
        </w:tc>
      </w:tr>
      <w:tr w:rsidR="003E199B" w:rsidRPr="00F06EA4" w14:paraId="38CF4E4C" w14:textId="77777777" w:rsidTr="00F56B77">
        <w:trPr>
          <w:trHeight w:val="20"/>
        </w:trPr>
        <w:tc>
          <w:tcPr>
            <w:tcW w:w="1910" w:type="dxa"/>
            <w:tcBorders>
              <w:bottom w:val="single" w:sz="4" w:space="0" w:color="auto"/>
            </w:tcBorders>
          </w:tcPr>
          <w:p w14:paraId="549BB193" w14:textId="77777777" w:rsidR="003E199B" w:rsidRPr="00F06EA4" w:rsidRDefault="003E199B" w:rsidP="00F67ED8">
            <w:pPr>
              <w:spacing w:after="0"/>
              <w:contextualSpacing/>
              <w:rPr>
                <w:rFonts w:eastAsia="Calibri"/>
                <w:lang w:val="en-US"/>
              </w:rPr>
            </w:pPr>
            <w:r w:rsidRPr="00F06EA4">
              <w:rPr>
                <w:rFonts w:eastAsia="Calibri"/>
                <w:lang w:val="en-US"/>
              </w:rPr>
              <w:t>VEGFA</w:t>
            </w:r>
          </w:p>
        </w:tc>
        <w:tc>
          <w:tcPr>
            <w:tcW w:w="2410" w:type="dxa"/>
            <w:tcBorders>
              <w:bottom w:val="single" w:sz="4" w:space="0" w:color="auto"/>
            </w:tcBorders>
          </w:tcPr>
          <w:p w14:paraId="73F82552" w14:textId="77777777" w:rsidR="003E199B" w:rsidRPr="00F06EA4" w:rsidRDefault="003E199B" w:rsidP="00F67ED8">
            <w:pPr>
              <w:spacing w:after="0"/>
              <w:contextualSpacing/>
              <w:rPr>
                <w:rFonts w:eastAsia="Calibri"/>
                <w:lang w:val="en-US"/>
              </w:rPr>
            </w:pPr>
            <w:r w:rsidRPr="00F06EA4">
              <w:rPr>
                <w:rFonts w:eastAsia="Calibri"/>
                <w:lang w:val="en-US"/>
              </w:rPr>
              <w:t>Angiogenesis</w:t>
            </w:r>
          </w:p>
        </w:tc>
        <w:tc>
          <w:tcPr>
            <w:tcW w:w="1260" w:type="dxa"/>
            <w:tcBorders>
              <w:bottom w:val="single" w:sz="4" w:space="0" w:color="auto"/>
            </w:tcBorders>
          </w:tcPr>
          <w:p w14:paraId="11BCC197" w14:textId="77777777" w:rsidR="003E199B" w:rsidRPr="00F06EA4" w:rsidRDefault="003E199B" w:rsidP="00F67ED8">
            <w:pPr>
              <w:spacing w:after="0"/>
              <w:contextualSpacing/>
              <w:rPr>
                <w:rFonts w:eastAsia="Calibri"/>
                <w:lang w:val="en-US"/>
              </w:rPr>
            </w:pPr>
            <w:r w:rsidRPr="00F06EA4">
              <w:rPr>
                <w:rFonts w:eastAsia="Calibri"/>
                <w:lang w:val="en-US"/>
              </w:rPr>
              <w:t>IHC</w:t>
            </w:r>
          </w:p>
        </w:tc>
        <w:tc>
          <w:tcPr>
            <w:tcW w:w="2160" w:type="dxa"/>
            <w:tcBorders>
              <w:bottom w:val="single" w:sz="4" w:space="0" w:color="auto"/>
            </w:tcBorders>
          </w:tcPr>
          <w:p w14:paraId="115B68A5"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800" w:type="dxa"/>
            <w:tcBorders>
              <w:bottom w:val="single" w:sz="4" w:space="0" w:color="auto"/>
            </w:tcBorders>
          </w:tcPr>
          <w:p w14:paraId="7ACA2A8D" w14:textId="01540DB7" w:rsidR="003E199B" w:rsidRPr="00F06EA4" w:rsidRDefault="003E199B" w:rsidP="00F67ED8">
            <w:pPr>
              <w:spacing w:after="0"/>
              <w:contextualSpacing/>
              <w:rPr>
                <w:rFonts w:eastAsia="Calibri"/>
                <w:lang w:val="fi-FI"/>
              </w:rPr>
            </w:pPr>
            <w:r w:rsidRPr="00F06EA4">
              <w:rPr>
                <w:rFonts w:eastAsia="Calibri"/>
                <w:lang w:val="fi-FI"/>
              </w:rPr>
              <w:t xml:space="preserve">Tuomisto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{"citationItems":[{"id":"ITEM-1","itemData":{"DOI":"10.1007/s00428-016-1988-8","ISSN":"1432-2307","PMID":"27421843","abstract":"Serrated colorectal adenocarcinoma (SAC) is a morphologically distinct subtype of colorectal cancer (CRC), in which increased HIF-1α mRNA expression and HIF-1α protein stabilization are typical features. Here we aimed to further elucidate HIF-1α protein expression in serrated and non-serrated colorectal carcinomas (CRCs) and their precursor lesions and its association with vascular endothelial growth factor (VEGF) and microvascular density (MVD). HIF-1α and VEGF expressions were determined immunohistochemically in 134 serrated polyps (SPs), 104 non-serrated adenomas (NSAs), 81 SACs, and 74 matched conventional adenocarcinomas (CCs) and were correlated with morphology, clinicopathological features, and MVD. In premalignant lesions, both HIF-1α and VEGF were expressed in the vast majority of SPs and NSAs. In CRCs, HIF-1α protein was also present in 77.8 % of SACs, while only 20.3 % of CCs were HIF-1α proficient. MVD was significantly higher in SACs, but the serrated morphology was the only significant predictor of MVD in CRC in multivariate analyses. HIF-1α protein is often stabilized in well-vascularized SACs, suggesting hypoxia-independent stabilization of HIF-1α. Moreover, HIF-1α stabilization did not associate with oncogenic activation of BRAF or KRAS or Von Hippel-Lindau (VHL) mutation. Prevalent HIF-1α expression in SAC and its precursors support the importance of HIF-1α-mediated pathways for the serrated route of colorectal carcinogenesis.","author":[{"dropping-particle":"","family":"Tuomisto","given":"Anne","non-dropping-particle":"","parse-names":false,"suffix":""},{"dropping-particle":"","family":"García-Solano","given":"José","non-dropping-particle":"","parse-names":false,"suffix":""},{"dropping-particle":"","family":"Sirniö","given":"Päivi","non-dropping-particle":"","parse-names":false,"suffix":""},{"dropping-particle":"","family":"Väyrynen","given":"Juha","non-dropping-particle":"","parse-names":false,"suffix":""},{"dropping-particle":"","family":"Pérez-Guillermo","given":"Miguel","non-dropping-particle":"","parse-names":false,"suffix":""},{"dropping-particle":"","family":"Mäkinen","given":"Markus J","non-dropping-particle":"","parse-names":false,"suffix":""},{"dropping-particle":"","family":"Conesa-Zamora","given":"Pablo","non-dropping-particle":"","parse-names":false,"suffix":""}],"container-title":"Virchows Archiv : an international journal of pathology","id":"ITEM-1","issue":"4","issued":{"date-parts":[["2016"]]},"page":"395-404","title":"HIF-1α expression and high microvessel density are characteristic features in serrated colorectal cancer.","type":"article-journal","volume":"469"},"uris":["http://www.mendeley.com/documents/?uuid=15cd3f5c-eadb-4a98-9118-89c8a3cc7e78"]}],"mendeley":{"formattedCitation":"&lt;sup&gt;[184]&lt;/sup&gt;","plainTextFormattedCitation":"[184]","previouslyFormattedCitation":"&lt;sup&gt;[184]&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[184]</w:t>
            </w:r>
            <w:r w:rsidRPr="00F06EA4">
              <w:rPr>
                <w:rFonts w:eastAsia="Calibri"/>
                <w:lang w:val="en-US"/>
              </w:rPr>
              <w:fldChar w:fldCharType="end"/>
            </w:r>
          </w:p>
        </w:tc>
      </w:tr>
    </w:tbl>
    <w:p w14:paraId="62D65128" w14:textId="7C42676E" w:rsidR="003E199B" w:rsidRPr="006C7126" w:rsidRDefault="003E199B" w:rsidP="00F67ED8">
      <w:pPr>
        <w:spacing w:after="0"/>
        <w:rPr>
          <w:rFonts w:eastAsia="Calibri"/>
          <w:lang w:val="en-US"/>
        </w:rPr>
      </w:pPr>
      <w:r w:rsidRPr="00F06EA4">
        <w:rPr>
          <w:rFonts w:eastAsia="Calibri"/>
          <w:lang w:val="en-US"/>
        </w:rPr>
        <w:t xml:space="preserve">CRC: </w:t>
      </w:r>
      <w:r w:rsidR="008D7C73" w:rsidRPr="00F06EA4">
        <w:rPr>
          <w:rFonts w:eastAsia="Calibri"/>
          <w:lang w:val="en-US"/>
        </w:rPr>
        <w:t xml:space="preserve">Colorectal </w:t>
      </w:r>
      <w:r w:rsidRPr="00F06EA4">
        <w:rPr>
          <w:rFonts w:eastAsia="Calibri"/>
          <w:lang w:val="en-US"/>
        </w:rPr>
        <w:t xml:space="preserve">cancer; FFPE: </w:t>
      </w:r>
      <w:r w:rsidR="008D7C73" w:rsidRPr="00F06EA4">
        <w:rPr>
          <w:rFonts w:eastAsia="Calibri"/>
          <w:lang w:val="en-US"/>
        </w:rPr>
        <w:t>Formalin</w:t>
      </w:r>
      <w:r w:rsidRPr="00F06EA4">
        <w:rPr>
          <w:rFonts w:eastAsia="Calibri"/>
          <w:lang w:val="en-US"/>
        </w:rPr>
        <w:t xml:space="preserve">-fixed paraffin-embedded; IHC: </w:t>
      </w:r>
      <w:r w:rsidR="008D7C73" w:rsidRPr="00F06EA4">
        <w:rPr>
          <w:rFonts w:eastAsia="Calibri"/>
          <w:lang w:val="en-US"/>
        </w:rPr>
        <w:t>Immunohistochemistry</w:t>
      </w:r>
      <w:r w:rsidR="008D7C73">
        <w:rPr>
          <w:rFonts w:eastAsia="Calibri"/>
          <w:lang w:val="en-US"/>
        </w:rPr>
        <w:t>;</w:t>
      </w:r>
      <w:r w:rsidRPr="00F06EA4">
        <w:rPr>
          <w:rFonts w:eastAsia="Calibri"/>
          <w:lang w:val="en-US"/>
        </w:rPr>
        <w:t xml:space="preserve"> IF: </w:t>
      </w:r>
      <w:r w:rsidR="008D7C73" w:rsidRPr="00F06EA4">
        <w:rPr>
          <w:rFonts w:eastAsia="Calibri"/>
          <w:lang w:val="en-US"/>
        </w:rPr>
        <w:t>Immunofluorescence</w:t>
      </w:r>
      <w:r w:rsidR="008D7C73">
        <w:rPr>
          <w:rFonts w:eastAsia="Calibri"/>
          <w:lang w:val="en-US"/>
        </w:rPr>
        <w:t>;</w:t>
      </w:r>
      <w:r w:rsidRPr="00F06EA4">
        <w:rPr>
          <w:rFonts w:eastAsia="Calibri"/>
          <w:lang w:val="en-US"/>
        </w:rPr>
        <w:t xml:space="preserve"> RT-PCR: </w:t>
      </w:r>
      <w:r w:rsidR="008D7C73" w:rsidRPr="00F06EA4">
        <w:rPr>
          <w:rFonts w:eastAsia="Calibri"/>
          <w:lang w:val="en-US"/>
        </w:rPr>
        <w:t>Real</w:t>
      </w:r>
      <w:r w:rsidRPr="00F06EA4">
        <w:rPr>
          <w:rFonts w:eastAsia="Calibri"/>
          <w:lang w:val="en-US"/>
        </w:rPr>
        <w:t xml:space="preserve">-time polymerase chain reaction; WB: </w:t>
      </w:r>
      <w:r w:rsidR="008D7C73" w:rsidRPr="00F06EA4">
        <w:rPr>
          <w:rFonts w:eastAsia="Calibri"/>
          <w:lang w:val="en-US"/>
        </w:rPr>
        <w:t xml:space="preserve">Western </w:t>
      </w:r>
      <w:r w:rsidRPr="00F06EA4">
        <w:rPr>
          <w:rFonts w:eastAsia="Calibri"/>
          <w:lang w:val="en-US"/>
        </w:rPr>
        <w:t>blot</w:t>
      </w:r>
      <w:r w:rsidR="008D7C73">
        <w:rPr>
          <w:rFonts w:eastAsia="Calibri"/>
          <w:lang w:val="en-US"/>
        </w:rPr>
        <w:t>.</w:t>
      </w:r>
    </w:p>
    <w:p w14:paraId="52F46570" w14:textId="77777777" w:rsidR="003E199B" w:rsidRPr="00F06EA4" w:rsidRDefault="003E199B" w:rsidP="00F67ED8">
      <w:pPr>
        <w:spacing w:after="0"/>
      </w:pPr>
      <w:r w:rsidRPr="00F06EA4">
        <w:br w:type="page"/>
      </w:r>
    </w:p>
    <w:p w14:paraId="497030AB" w14:textId="099E5613" w:rsidR="003E199B" w:rsidRPr="00F06EA4" w:rsidRDefault="003E199B" w:rsidP="00F67ED8">
      <w:pPr>
        <w:spacing w:after="0"/>
        <w:rPr>
          <w:rFonts w:eastAsia="Calibri"/>
          <w:lang w:val="en-US"/>
        </w:rPr>
      </w:pPr>
      <w:r w:rsidRPr="00F06EA4">
        <w:rPr>
          <w:rFonts w:eastAsia="Calibri"/>
          <w:b/>
          <w:bCs/>
          <w:lang w:val="en-US"/>
        </w:rPr>
        <w:lastRenderedPageBreak/>
        <w:t>Table 3</w:t>
      </w:r>
      <w:r w:rsidRPr="00F06EA4">
        <w:rPr>
          <w:rFonts w:eastAsia="Calibri"/>
          <w:lang w:val="en-US"/>
        </w:rPr>
        <w:t xml:space="preserve"> </w:t>
      </w:r>
      <w:r w:rsidRPr="008D7C73">
        <w:rPr>
          <w:rFonts w:eastAsia="Calibri"/>
          <w:b/>
          <w:bCs/>
          <w:lang w:val="en-US"/>
        </w:rPr>
        <w:t>Examples of inflammatory mediators produced by different inflammatory cells</w:t>
      </w:r>
    </w:p>
    <w:tbl>
      <w:tblPr>
        <w:tblStyle w:val="ac"/>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3260"/>
        <w:gridCol w:w="2835"/>
        <w:gridCol w:w="1843"/>
      </w:tblGrid>
      <w:tr w:rsidR="003E199B" w:rsidRPr="00F06EA4" w14:paraId="5C60940C" w14:textId="77777777" w:rsidTr="00FB4A35">
        <w:trPr>
          <w:trHeight w:val="20"/>
        </w:trPr>
        <w:tc>
          <w:tcPr>
            <w:tcW w:w="2269" w:type="dxa"/>
            <w:tcBorders>
              <w:top w:val="single" w:sz="4" w:space="0" w:color="auto"/>
              <w:bottom w:val="single" w:sz="4" w:space="0" w:color="auto"/>
            </w:tcBorders>
          </w:tcPr>
          <w:p w14:paraId="7007E53D" w14:textId="77777777" w:rsidR="003E199B" w:rsidRPr="006E365F" w:rsidRDefault="003E199B" w:rsidP="00F67ED8">
            <w:pPr>
              <w:spacing w:after="0"/>
              <w:contextualSpacing/>
              <w:rPr>
                <w:rFonts w:eastAsia="Calibri"/>
                <w:b/>
                <w:bCs/>
                <w:lang w:val="en-US"/>
              </w:rPr>
            </w:pPr>
            <w:r w:rsidRPr="006E365F">
              <w:rPr>
                <w:rFonts w:eastAsia="Calibri"/>
                <w:b/>
                <w:bCs/>
                <w:lang w:val="en-US"/>
              </w:rPr>
              <w:t>Cell type</w:t>
            </w:r>
          </w:p>
        </w:tc>
        <w:tc>
          <w:tcPr>
            <w:tcW w:w="3260" w:type="dxa"/>
            <w:tcBorders>
              <w:top w:val="single" w:sz="4" w:space="0" w:color="auto"/>
              <w:bottom w:val="single" w:sz="4" w:space="0" w:color="auto"/>
            </w:tcBorders>
          </w:tcPr>
          <w:p w14:paraId="79F23C2F" w14:textId="77777777" w:rsidR="003E199B" w:rsidRPr="006E365F" w:rsidRDefault="003E199B" w:rsidP="00FB4A35">
            <w:pPr>
              <w:spacing w:after="0"/>
              <w:contextualSpacing/>
              <w:jc w:val="center"/>
              <w:rPr>
                <w:rFonts w:eastAsia="Calibri"/>
                <w:b/>
                <w:bCs/>
                <w:lang w:val="en-US"/>
              </w:rPr>
            </w:pPr>
            <w:r w:rsidRPr="006E365F">
              <w:rPr>
                <w:rFonts w:eastAsia="Calibri"/>
                <w:b/>
                <w:bCs/>
                <w:lang w:val="en-US"/>
              </w:rPr>
              <w:t>Inflammatory mediators</w:t>
            </w:r>
          </w:p>
        </w:tc>
        <w:tc>
          <w:tcPr>
            <w:tcW w:w="2835" w:type="dxa"/>
            <w:tcBorders>
              <w:top w:val="single" w:sz="4" w:space="0" w:color="auto"/>
              <w:bottom w:val="single" w:sz="4" w:space="0" w:color="auto"/>
            </w:tcBorders>
          </w:tcPr>
          <w:p w14:paraId="5CFBCDFC" w14:textId="77777777" w:rsidR="003E199B" w:rsidRPr="006E365F" w:rsidRDefault="003E199B" w:rsidP="00FB4A35">
            <w:pPr>
              <w:spacing w:after="0"/>
              <w:contextualSpacing/>
              <w:jc w:val="center"/>
              <w:rPr>
                <w:rFonts w:eastAsia="Calibri"/>
                <w:b/>
                <w:bCs/>
                <w:lang w:val="en-US"/>
              </w:rPr>
            </w:pPr>
            <w:r w:rsidRPr="006E365F">
              <w:rPr>
                <w:rFonts w:eastAsia="Calibri"/>
                <w:b/>
                <w:bCs/>
                <w:lang w:val="en-US"/>
              </w:rPr>
              <w:t>Functions</w:t>
            </w:r>
          </w:p>
        </w:tc>
        <w:tc>
          <w:tcPr>
            <w:tcW w:w="1843" w:type="dxa"/>
            <w:tcBorders>
              <w:top w:val="single" w:sz="4" w:space="0" w:color="auto"/>
              <w:bottom w:val="single" w:sz="4" w:space="0" w:color="auto"/>
            </w:tcBorders>
          </w:tcPr>
          <w:p w14:paraId="431A2094" w14:textId="5B3BFE34" w:rsidR="003E199B" w:rsidRPr="006E365F" w:rsidRDefault="003E199B" w:rsidP="00FB4A35">
            <w:pPr>
              <w:spacing w:after="0"/>
              <w:contextualSpacing/>
              <w:jc w:val="center"/>
              <w:rPr>
                <w:rFonts w:eastAsia="Calibri"/>
                <w:b/>
                <w:bCs/>
                <w:lang w:val="en-US"/>
              </w:rPr>
            </w:pPr>
            <w:r w:rsidRPr="006E365F">
              <w:rPr>
                <w:rFonts w:eastAsia="Calibri"/>
                <w:b/>
                <w:bCs/>
                <w:lang w:val="en-US"/>
              </w:rPr>
              <w:t>Ref</w:t>
            </w:r>
            <w:r w:rsidR="008D7C73" w:rsidRPr="006E365F">
              <w:rPr>
                <w:rFonts w:eastAsia="Calibri"/>
                <w:b/>
                <w:bCs/>
                <w:lang w:val="en-US"/>
              </w:rPr>
              <w:t>.</w:t>
            </w:r>
          </w:p>
        </w:tc>
      </w:tr>
      <w:tr w:rsidR="003E199B" w:rsidRPr="00F06EA4" w14:paraId="562CA417" w14:textId="77777777" w:rsidTr="00FB4A35">
        <w:trPr>
          <w:trHeight w:val="20"/>
        </w:trPr>
        <w:tc>
          <w:tcPr>
            <w:tcW w:w="2269" w:type="dxa"/>
          </w:tcPr>
          <w:p w14:paraId="001C78BD" w14:textId="77777777" w:rsidR="003E199B" w:rsidRPr="00F06EA4" w:rsidRDefault="003E199B" w:rsidP="00F67ED8">
            <w:pPr>
              <w:spacing w:after="0"/>
              <w:contextualSpacing/>
              <w:rPr>
                <w:rFonts w:eastAsia="Calibri"/>
                <w:lang w:val="en-US"/>
              </w:rPr>
            </w:pPr>
            <w:r w:rsidRPr="00F06EA4">
              <w:rPr>
                <w:rFonts w:eastAsia="Calibri"/>
                <w:lang w:val="en-US"/>
              </w:rPr>
              <w:t>M1 macrophage</w:t>
            </w:r>
          </w:p>
        </w:tc>
        <w:tc>
          <w:tcPr>
            <w:tcW w:w="3260" w:type="dxa"/>
          </w:tcPr>
          <w:p w14:paraId="5F509F1C" w14:textId="77777777" w:rsidR="003E199B" w:rsidRPr="00F06EA4" w:rsidRDefault="003E199B" w:rsidP="00FB4A35">
            <w:pPr>
              <w:spacing w:after="0"/>
              <w:contextualSpacing/>
              <w:jc w:val="center"/>
              <w:rPr>
                <w:rFonts w:eastAsia="Calibri"/>
                <w:lang w:val="en-US"/>
              </w:rPr>
            </w:pPr>
            <w:r w:rsidRPr="00F06EA4">
              <w:rPr>
                <w:rFonts w:eastAsia="Calibri"/>
                <w:lang w:val="en-US"/>
              </w:rPr>
              <w:t>IL6, TNF, IL12A, IL12B, IL23A, CXCL5, CXCL9, CXCL10, CXCL11,</w:t>
            </w:r>
          </w:p>
        </w:tc>
        <w:tc>
          <w:tcPr>
            <w:tcW w:w="2835" w:type="dxa"/>
          </w:tcPr>
          <w:p w14:paraId="32F4D4B5" w14:textId="77777777" w:rsidR="003E199B" w:rsidRPr="00F06EA4" w:rsidRDefault="003E199B" w:rsidP="00FB4A35">
            <w:pPr>
              <w:spacing w:after="0"/>
              <w:contextualSpacing/>
              <w:jc w:val="center"/>
              <w:rPr>
                <w:rFonts w:eastAsia="Calibri"/>
                <w:lang w:val="en-US"/>
              </w:rPr>
            </w:pPr>
            <w:r w:rsidRPr="00F06EA4">
              <w:rPr>
                <w:rFonts w:eastAsia="Calibri"/>
                <w:lang w:val="en-US"/>
              </w:rPr>
              <w:t>Activation of inflammation</w:t>
            </w:r>
          </w:p>
        </w:tc>
        <w:tc>
          <w:tcPr>
            <w:tcW w:w="1843" w:type="dxa"/>
          </w:tcPr>
          <w:p w14:paraId="7590FC51" w14:textId="39159F41" w:rsidR="003E199B" w:rsidRPr="00F06EA4" w:rsidRDefault="003E199B" w:rsidP="00FB4A35">
            <w:pPr>
              <w:spacing w:after="0"/>
              <w:contextualSpacing/>
              <w:jc w:val="center"/>
              <w:rPr>
                <w:rFonts w:eastAsia="Calibri"/>
                <w:lang w:val="en-US"/>
              </w:rPr>
            </w:pPr>
            <w:r w:rsidRPr="00F06EA4">
              <w:rPr>
                <w:rFonts w:eastAsia="Calibri"/>
                <w:lang w:val="en-US"/>
              </w:rPr>
              <w:t xml:space="preserve">Murray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{"citationItems":[{"id":"ITEM-1","itemData":{"DOI":"10.3748/wjg.v23.i10.1780","ISSN":"2219-2840","PMID":"28348483","abstract":"AIM To compare the expression levels of interleukin (IL)-6 in colorectal cancer (CRC) tissues and adjacent non-cancerous tissues, and analyse the correlation of IL-6 expression with the clinicopathological parameters of CRC. METHODS Fifty CRC tissue specimens and 50 matched adjacent mucosa specimens were collected. The expression of IL-6 in these clinical samples was examined by immunohistochemical staining. The correlation between IL-6 expression and clinicopathological parameters was assessed by statistical analysis. RESULTS IL-6 expression was significantly elevated in CRC tissues compared with noncancerous tissues (P &lt; 0.001). IL-6 expression was positively correlated with tumour TNM stage (P &lt; 0.001), but a negative correlation was detected between IL-6 expression and tumor histological differentiation in CRC (P &lt; 0.05). Furthermore, IL-6 expression was associated with invasion depth and lymph node metastasis in CRC. CONCLUSION IL-6 might be a useful marker for predicting a poor prognosis in patients with CRC and might be used as a potential therapeutic target in CRC.","author":[{"dropping-particle":"","family":"Zeng","given":"Jun","non-dropping-particle":"","parse-names":false,"suffix":""},{"dropping-particle":"","family":"Tang","given":"Zhong-Hua","non-dropping-particle":"","parse-names":false,"suffix":""},{"dropping-particle":"","family":"Liu","given":"Shuang","non-dropping-particle":"","parse-names":false,"suffix":""},{"dropping-particle":"","family":"Guo","given":"Shan-Shan","non-dropping-particle":"","parse-names":false,"suffix":""}],"container-title":"World journal of gastroenterology","id":"ITEM-1","issue":"10","issued":{"date-parts":[["2017"]]},"page":"1780-1786","title":"Clinicopathological significance of overexpression of interleukin-6 in colorectal cancer.","type":"article-journal","volume":"23"},"uris":["http://www.mendeley.com/documents/?uuid=c64eefd7-7df1-4146-9cd9-eee0c689c528"]}],"mendeley":{"formattedCitation":"&lt;sup&gt;[178]&lt;/sup&gt;","plainTextFormattedCitation":"[178]","previouslyFormattedCitation":"&lt;sup&gt;[178]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[178]</w:t>
            </w:r>
            <w:r w:rsidRPr="00F06EA4">
              <w:rPr>
                <w:rFonts w:eastAsia="Calibri"/>
                <w:lang w:val="en-US"/>
              </w:rPr>
              <w:fldChar w:fldCharType="end"/>
            </w:r>
          </w:p>
        </w:tc>
      </w:tr>
      <w:tr w:rsidR="003E199B" w:rsidRPr="00F06EA4" w14:paraId="2F3F60D5" w14:textId="77777777" w:rsidTr="00FB4A35">
        <w:trPr>
          <w:trHeight w:val="20"/>
        </w:trPr>
        <w:tc>
          <w:tcPr>
            <w:tcW w:w="2269" w:type="dxa"/>
          </w:tcPr>
          <w:p w14:paraId="099FD928" w14:textId="77777777" w:rsidR="003E199B" w:rsidRPr="00F06EA4" w:rsidRDefault="003E199B" w:rsidP="00F67ED8">
            <w:pPr>
              <w:spacing w:after="0"/>
              <w:contextualSpacing/>
              <w:rPr>
                <w:rFonts w:eastAsia="Calibri"/>
                <w:lang w:val="en-US"/>
              </w:rPr>
            </w:pPr>
            <w:r w:rsidRPr="00F06EA4">
              <w:rPr>
                <w:rFonts w:eastAsia="Calibri"/>
                <w:lang w:val="en-US"/>
              </w:rPr>
              <w:t>M2 macrophage</w:t>
            </w:r>
          </w:p>
        </w:tc>
        <w:tc>
          <w:tcPr>
            <w:tcW w:w="3260" w:type="dxa"/>
          </w:tcPr>
          <w:p w14:paraId="545A7BFE" w14:textId="77777777" w:rsidR="003E199B" w:rsidRPr="00F06EA4" w:rsidRDefault="003E199B" w:rsidP="00FB4A35">
            <w:pPr>
              <w:spacing w:after="0"/>
              <w:contextualSpacing/>
              <w:jc w:val="center"/>
              <w:rPr>
                <w:rFonts w:eastAsia="Calibri"/>
                <w:lang w:val="en-US"/>
              </w:rPr>
            </w:pPr>
            <w:r w:rsidRPr="00F06EA4">
              <w:rPr>
                <w:rFonts w:eastAsia="Calibri"/>
                <w:lang w:val="en-US"/>
              </w:rPr>
              <w:t>IL10, CCL4, CCL13, CCL17, CCL18, MMP1, TGFB1</w:t>
            </w:r>
          </w:p>
        </w:tc>
        <w:tc>
          <w:tcPr>
            <w:tcW w:w="2835" w:type="dxa"/>
          </w:tcPr>
          <w:p w14:paraId="2E539C69" w14:textId="77777777" w:rsidR="003E199B" w:rsidRPr="00F06EA4" w:rsidRDefault="003E199B" w:rsidP="00FB4A35">
            <w:pPr>
              <w:spacing w:after="0"/>
              <w:contextualSpacing/>
              <w:jc w:val="center"/>
              <w:rPr>
                <w:rFonts w:eastAsia="Calibri"/>
                <w:lang w:val="en-US"/>
              </w:rPr>
            </w:pPr>
            <w:r w:rsidRPr="00F06EA4">
              <w:rPr>
                <w:rFonts w:eastAsia="Calibri"/>
                <w:lang w:val="en-US"/>
              </w:rPr>
              <w:t>Resolution of inflammation</w:t>
            </w:r>
          </w:p>
        </w:tc>
        <w:tc>
          <w:tcPr>
            <w:tcW w:w="1843" w:type="dxa"/>
          </w:tcPr>
          <w:p w14:paraId="58A43984" w14:textId="36B68EBA" w:rsidR="003E199B" w:rsidRPr="00F06EA4" w:rsidRDefault="003E199B" w:rsidP="00FB4A35">
            <w:pPr>
              <w:spacing w:after="0"/>
              <w:contextualSpacing/>
              <w:jc w:val="center"/>
              <w:rPr>
                <w:rFonts w:eastAsia="Calibri"/>
                <w:lang w:val="en-US"/>
              </w:rPr>
            </w:pPr>
            <w:r w:rsidRPr="00F06EA4">
              <w:rPr>
                <w:rFonts w:eastAsia="Calibri"/>
                <w:lang w:val="en-US"/>
              </w:rPr>
              <w:t xml:space="preserve">Murray </w:t>
            </w:r>
            <w:r w:rsidR="0046007C" w:rsidRPr="00F06EA4">
              <w:rPr>
                <w:rFonts w:eastAsia="Calibri"/>
                <w:i/>
                <w:iCs/>
                <w:lang w:val="en-US"/>
              </w:rPr>
              <w:t>et al</w:t>
            </w:r>
            <w:r w:rsidRPr="00F06EA4">
              <w:rPr>
                <w:rFonts w:eastAsia="Calibri"/>
                <w:noProof/>
                <w:vertAlign w:val="superscript"/>
                <w:lang w:val="en-US"/>
              </w:rPr>
              <w:t>[47]</w:t>
            </w:r>
          </w:p>
        </w:tc>
      </w:tr>
      <w:tr w:rsidR="003E199B" w:rsidRPr="00F06EA4" w14:paraId="0D3D6868" w14:textId="77777777" w:rsidTr="00FB4A35">
        <w:trPr>
          <w:trHeight w:val="20"/>
        </w:trPr>
        <w:tc>
          <w:tcPr>
            <w:tcW w:w="2269" w:type="dxa"/>
          </w:tcPr>
          <w:p w14:paraId="2D72AA17" w14:textId="77777777" w:rsidR="003E199B" w:rsidRPr="00F06EA4" w:rsidRDefault="003E199B" w:rsidP="00F67ED8">
            <w:pPr>
              <w:spacing w:after="0"/>
              <w:contextualSpacing/>
              <w:rPr>
                <w:rFonts w:eastAsia="Calibri"/>
                <w:lang w:val="en-US"/>
              </w:rPr>
            </w:pPr>
            <w:r w:rsidRPr="00F06EA4">
              <w:rPr>
                <w:rFonts w:eastAsia="Calibri"/>
                <w:lang w:val="en-US"/>
              </w:rPr>
              <w:t>Th1 lymphocyte</w:t>
            </w:r>
          </w:p>
        </w:tc>
        <w:tc>
          <w:tcPr>
            <w:tcW w:w="3260" w:type="dxa"/>
          </w:tcPr>
          <w:p w14:paraId="22F3FE9D" w14:textId="77777777" w:rsidR="003E199B" w:rsidRPr="00F06EA4" w:rsidRDefault="003E199B" w:rsidP="00FB4A35">
            <w:pPr>
              <w:spacing w:after="0"/>
              <w:contextualSpacing/>
              <w:jc w:val="center"/>
              <w:rPr>
                <w:rFonts w:eastAsia="Calibri"/>
                <w:lang w:val="en-US"/>
              </w:rPr>
            </w:pPr>
            <w:r w:rsidRPr="00F06EA4">
              <w:rPr>
                <w:rFonts w:eastAsia="Calibri"/>
                <w:lang w:val="en-US"/>
              </w:rPr>
              <w:t>IFNG, IL2</w:t>
            </w:r>
          </w:p>
        </w:tc>
        <w:tc>
          <w:tcPr>
            <w:tcW w:w="2835" w:type="dxa"/>
          </w:tcPr>
          <w:p w14:paraId="057B80BD" w14:textId="77777777" w:rsidR="003E199B" w:rsidRPr="00F06EA4" w:rsidRDefault="003E199B" w:rsidP="00FB4A35">
            <w:pPr>
              <w:spacing w:after="0"/>
              <w:contextualSpacing/>
              <w:jc w:val="center"/>
              <w:rPr>
                <w:rFonts w:eastAsia="Calibri"/>
                <w:lang w:val="en-US"/>
              </w:rPr>
            </w:pPr>
            <w:r w:rsidRPr="00F06EA4">
              <w:rPr>
                <w:rFonts w:eastAsia="Calibri"/>
                <w:lang w:val="en-US"/>
              </w:rPr>
              <w:t>Activation of cytotoxic immune response</w:t>
            </w:r>
          </w:p>
        </w:tc>
        <w:tc>
          <w:tcPr>
            <w:tcW w:w="1843" w:type="dxa"/>
          </w:tcPr>
          <w:p w14:paraId="6E0692DF" w14:textId="50D8D48E" w:rsidR="003E199B" w:rsidRPr="00F06EA4" w:rsidRDefault="00FB4A35" w:rsidP="00FB4A35">
            <w:pPr>
              <w:spacing w:after="0"/>
              <w:contextualSpacing/>
              <w:jc w:val="center"/>
              <w:rPr>
                <w:rFonts w:eastAsia="Calibri"/>
                <w:lang w:val="en-US"/>
              </w:rPr>
            </w:pPr>
            <w:r w:rsidRPr="00F06EA4">
              <w:rPr>
                <w:rFonts w:eastAsia="Calibri"/>
                <w:lang w:val="en-US"/>
              </w:rPr>
              <w:t>Zhu</w:t>
            </w:r>
            <w:r>
              <w:rPr>
                <w:rFonts w:eastAsia="Calibri"/>
                <w:i/>
                <w:iCs/>
                <w:lang w:val="en-US"/>
              </w:rPr>
              <w:t xml:space="preserve"> </w:t>
            </w:r>
            <w:r w:rsidRPr="00F06EA4">
              <w:rPr>
                <w:rFonts w:eastAsia="Calibri"/>
                <w:i/>
                <w:iCs/>
                <w:lang w:val="en-US"/>
              </w:rPr>
              <w:t>et al</w:t>
            </w:r>
            <w:r w:rsidRPr="00F06EA4">
              <w:rPr>
                <w:rFonts w:eastAsia="Calibri"/>
                <w:lang w:val="en-US"/>
              </w:rPr>
              <w:fldChar w:fldCharType="begin" w:fldLock="1"/>
            </w:r>
            <w:r w:rsidRPr="00F06EA4">
              <w:rPr>
                <w:rFonts w:eastAsia="Calibri"/>
                <w:lang w:val="en-US"/>
              </w:rPr>
              <w:instrText>ADDIN CSL_CITATION {"citationItems":[{"id":"ITEM-1","itemData":{"DOI":"10.1038/cr.2009.138","ISSN":"1001-0602","PMID":"20010916","abstract":"CD4 T helper (Th) cells play critical roles in adaptive immune responses. They recruit and activate other immune cells including B cells, CD8 T cells, macrophages, mast cells, neutrophils, eosinophils and basophils. Based on their functions, their pattern of cytokine secretion and their expression of specific transcription factors, Th cells, differentiated from naïve CD4 T cells, are classified into four major lineages, Th1, Th2, Th17 and T regulatory (Treg) cells, although other Th lineages may exist. Subsets of the same lineage may express different effector cytokines, reside at different locations or give rise to cells with different fates, whereas cells from different lineages may secrete common cytokines, such as IL-2, IL-9 and IL-10, resulting in massive heterogeneity of the Th cell population. In addition, the pattern of cytokine secretion may switch from that of one lineage toward another under certain circumstances, suggesting that Th cells are plastic. Tregs are also more heterogeneous and plastic than were originally thought. In this review, we summarize recent reports on heterogeneity and plasticity of Th cells, and discuss potential mechanisms and implications of such features that Th cells display.","author":[{"dropping-particle":"","family":"Zhu","given":"Jinfang","non-dropping-particle":"","parse-names":false,"suffix":""},{"dropping-particle":"","family":"Paul","given":"William E","non-dropping-particle":"","parse-names":false,"suffix":""}],"container-title":"Cell Research","id":"ITEM-1","issue":"1","issued":{"date-parts":[["2010"]]},"page":"4-12","title":"Heterogeneity and plasticity of T helper cells","type":"article-journal","volume":"20"},"uris":["http://www.mendeley.com/documents/?uuid=c92eea6a-d266-3826-bae3-6dda048ea733"]}],"mendeley":{"formattedCitation":"&lt;sup&gt;[55]&lt;/sup&gt;","plainTextFormattedCitation":"[55]","previouslyFormattedCitation":"&lt;sup&gt;[55]&lt;/sup&gt;"},"properties":{"noteIndex":0},"schema":"https://github.com/citation-style-language/schema/raw/master/csl-citation.json"}</w:instrText>
            </w:r>
            <w:r w:rsidRPr="00F06EA4">
              <w:rPr>
                <w:rFonts w:eastAsia="Calibri"/>
                <w:lang w:val="en-US"/>
              </w:rPr>
              <w:fldChar w:fldCharType="separate"/>
            </w:r>
            <w:r w:rsidRPr="00F06EA4">
              <w:rPr>
                <w:rFonts w:eastAsia="Calibri"/>
                <w:noProof/>
                <w:vertAlign w:val="superscript"/>
                <w:lang w:val="en-US"/>
              </w:rPr>
              <w:t>[55]</w:t>
            </w:r>
            <w:r w:rsidRPr="00F06EA4">
              <w:rPr>
                <w:rFonts w:eastAsia="Calibri"/>
                <w:lang w:val="en-US"/>
              </w:rPr>
              <w:fldChar w:fldCharType="end"/>
            </w:r>
          </w:p>
        </w:tc>
      </w:tr>
      <w:tr w:rsidR="003E199B" w:rsidRPr="00F06EA4" w14:paraId="076C0BCC" w14:textId="77777777" w:rsidTr="00FB4A35">
        <w:trPr>
          <w:trHeight w:val="20"/>
        </w:trPr>
        <w:tc>
          <w:tcPr>
            <w:tcW w:w="2269" w:type="dxa"/>
          </w:tcPr>
          <w:p w14:paraId="07DB06C5" w14:textId="77777777" w:rsidR="003E199B" w:rsidRPr="00F06EA4" w:rsidRDefault="003E199B" w:rsidP="00F67ED8">
            <w:pPr>
              <w:spacing w:after="0"/>
              <w:contextualSpacing/>
              <w:rPr>
                <w:rFonts w:eastAsia="Calibri"/>
                <w:lang w:val="en-US"/>
              </w:rPr>
            </w:pPr>
            <w:r w:rsidRPr="00F06EA4">
              <w:rPr>
                <w:rFonts w:eastAsia="Calibri"/>
                <w:lang w:val="en-US"/>
              </w:rPr>
              <w:t>Th2 lymphocyte</w:t>
            </w:r>
          </w:p>
        </w:tc>
        <w:tc>
          <w:tcPr>
            <w:tcW w:w="3260" w:type="dxa"/>
          </w:tcPr>
          <w:p w14:paraId="789F74C0" w14:textId="77777777" w:rsidR="003E199B" w:rsidRPr="00F06EA4" w:rsidRDefault="003E199B" w:rsidP="00FB4A35">
            <w:pPr>
              <w:spacing w:after="0"/>
              <w:contextualSpacing/>
              <w:jc w:val="center"/>
              <w:rPr>
                <w:rFonts w:eastAsia="Calibri"/>
                <w:lang w:val="en-US"/>
              </w:rPr>
            </w:pPr>
            <w:r w:rsidRPr="00F06EA4">
              <w:rPr>
                <w:rFonts w:eastAsia="Calibri"/>
                <w:lang w:val="en-US"/>
              </w:rPr>
              <w:t>IL4, IL5, IL10, IL13</w:t>
            </w:r>
          </w:p>
        </w:tc>
        <w:tc>
          <w:tcPr>
            <w:tcW w:w="2835" w:type="dxa"/>
          </w:tcPr>
          <w:p w14:paraId="184EEB01" w14:textId="77777777" w:rsidR="003E199B" w:rsidRPr="00F06EA4" w:rsidRDefault="003E199B" w:rsidP="00FB4A35">
            <w:pPr>
              <w:spacing w:after="0"/>
              <w:contextualSpacing/>
              <w:jc w:val="center"/>
              <w:rPr>
                <w:rFonts w:eastAsia="Calibri"/>
                <w:lang w:val="en-US"/>
              </w:rPr>
            </w:pPr>
            <w:r w:rsidRPr="00F06EA4">
              <w:rPr>
                <w:rFonts w:eastAsia="Calibri"/>
                <w:lang w:val="en-US"/>
              </w:rPr>
              <w:t>Activation of humoral immune response</w:t>
            </w:r>
          </w:p>
        </w:tc>
        <w:tc>
          <w:tcPr>
            <w:tcW w:w="1843" w:type="dxa"/>
          </w:tcPr>
          <w:p w14:paraId="269A4594" w14:textId="60D358D4" w:rsidR="003E199B" w:rsidRPr="00F06EA4" w:rsidRDefault="00FB4A35" w:rsidP="00FB4A35">
            <w:pPr>
              <w:spacing w:after="0"/>
              <w:contextualSpacing/>
              <w:jc w:val="center"/>
              <w:rPr>
                <w:rFonts w:eastAsia="Calibri"/>
                <w:lang w:val="en-US"/>
              </w:rPr>
            </w:pPr>
            <w:r w:rsidRPr="00F06EA4">
              <w:rPr>
                <w:rFonts w:eastAsia="Calibri"/>
                <w:lang w:val="en-US"/>
              </w:rPr>
              <w:t>Zhu</w:t>
            </w:r>
            <w:r>
              <w:rPr>
                <w:rFonts w:eastAsia="Calibri"/>
                <w:i/>
                <w:iCs/>
                <w:lang w:val="en-US"/>
              </w:rPr>
              <w:t xml:space="preserve"> </w:t>
            </w:r>
            <w:r w:rsidRPr="00F06EA4">
              <w:rPr>
                <w:rFonts w:eastAsia="Calibri"/>
                <w:i/>
                <w:iCs/>
                <w:lang w:val="en-US"/>
              </w:rPr>
              <w:t>et al</w:t>
            </w:r>
            <w:r w:rsidRPr="00F06EA4">
              <w:rPr>
                <w:rFonts w:eastAsia="Calibri"/>
                <w:lang w:val="en-US"/>
              </w:rPr>
              <w:fldChar w:fldCharType="begin" w:fldLock="1"/>
            </w:r>
            <w:r w:rsidRPr="00F06EA4">
              <w:rPr>
                <w:rFonts w:eastAsia="Calibri"/>
                <w:lang w:val="en-US"/>
              </w:rPr>
              <w:instrText>ADDIN CSL_CITATION {"citationItems":[{"id":"ITEM-1","itemData":{"DOI":"10.1038/cr.2009.138","ISSN":"1001-0602","PMID":"20010916","abstract":"CD4 T helper (Th) cells play critical roles in adaptive immune responses. They recruit and activate other immune cells including B cells, CD8 T cells, macrophages, mast cells, neutrophils, eosinophils and basophils. Based on their functions, their pattern of cytokine secretion and their expression of specific transcription factors, Th cells, differentiated from naïve CD4 T cells, are classified into four major lineages, Th1, Th2, Th17 and T regulatory (Treg) cells, although other Th lineages may exist. Subsets of the same lineage may express different effector cytokines, reside at different locations or give rise to cells with different fates, whereas cells from different lineages may secrete common cytokines, such as IL-2, IL-9 and IL-10, resulting in massive heterogeneity of the Th cell population. In addition, the pattern of cytokine secretion may switch from that of one lineage toward another under certain circumstances, suggesting that Th cells are plastic. Tregs are also more heterogeneous and plastic than were originally thought. In this review, we summarize recent reports on heterogeneity and plasticity of Th cells, and discuss potential mechanisms and implications of such features that Th cells display.","author":[{"dropping-particle":"","family":"Zhu","given":"Jinfang","non-dropping-particle":"","parse-names":false,"suffix":""},{"dropping-particle":"","family":"Paul","given":"William E","non-dropping-particle":"","parse-names":false,"suffix":""}],"container-title":"Cell Research","id":"ITEM-1","issue":"1","issued":{"date-parts":[["2010"]]},"page":"4-12","title":"Heterogeneity and plasticity of T helper cells","type":"article-journal","volume":"20"},"uris":["http://www.mendeley.com/documents/?uuid=c92eea6a-d266-3826-bae3-6dda048ea733"]}],"mendeley":{"formattedCitation":"&lt;sup&gt;[55]&lt;/sup&gt;","plainTextFormattedCitation":"[55]","previouslyFormattedCitation":"&lt;sup&gt;[55]&lt;/sup&gt;"},"properties":{"noteIndex":0},"schema":"https://github.com/citation-style-language/schema/raw/master/csl-citation.json"}</w:instrText>
            </w:r>
            <w:r w:rsidRPr="00F06EA4">
              <w:rPr>
                <w:rFonts w:eastAsia="Calibri"/>
                <w:lang w:val="en-US"/>
              </w:rPr>
              <w:fldChar w:fldCharType="separate"/>
            </w:r>
            <w:r w:rsidRPr="00F06EA4">
              <w:rPr>
                <w:rFonts w:eastAsia="Calibri"/>
                <w:noProof/>
                <w:vertAlign w:val="superscript"/>
                <w:lang w:val="en-US"/>
              </w:rPr>
              <w:t>[55]</w:t>
            </w:r>
            <w:r w:rsidRPr="00F06EA4">
              <w:rPr>
                <w:rFonts w:eastAsia="Calibri"/>
                <w:lang w:val="en-US"/>
              </w:rPr>
              <w:fldChar w:fldCharType="end"/>
            </w:r>
          </w:p>
        </w:tc>
      </w:tr>
      <w:tr w:rsidR="003E199B" w:rsidRPr="00F06EA4" w14:paraId="568BDF80" w14:textId="77777777" w:rsidTr="00FB4A35">
        <w:trPr>
          <w:trHeight w:val="20"/>
        </w:trPr>
        <w:tc>
          <w:tcPr>
            <w:tcW w:w="2269" w:type="dxa"/>
          </w:tcPr>
          <w:p w14:paraId="570D3A18" w14:textId="77777777" w:rsidR="003E199B" w:rsidRPr="00F06EA4" w:rsidRDefault="003E199B" w:rsidP="00F67ED8">
            <w:pPr>
              <w:spacing w:after="0"/>
              <w:contextualSpacing/>
              <w:rPr>
                <w:rFonts w:eastAsia="Calibri"/>
                <w:lang w:val="en-US"/>
              </w:rPr>
            </w:pPr>
            <w:r w:rsidRPr="00F06EA4">
              <w:rPr>
                <w:rFonts w:eastAsia="Calibri"/>
                <w:lang w:val="en-US"/>
              </w:rPr>
              <w:t>Th17 lymphocyte</w:t>
            </w:r>
          </w:p>
        </w:tc>
        <w:tc>
          <w:tcPr>
            <w:tcW w:w="3260" w:type="dxa"/>
          </w:tcPr>
          <w:p w14:paraId="317A9245" w14:textId="77777777" w:rsidR="003E199B" w:rsidRPr="00F06EA4" w:rsidRDefault="003E199B" w:rsidP="00FB4A35">
            <w:pPr>
              <w:spacing w:after="0"/>
              <w:contextualSpacing/>
              <w:jc w:val="center"/>
              <w:rPr>
                <w:rFonts w:eastAsia="Calibri"/>
                <w:lang w:val="en-US"/>
              </w:rPr>
            </w:pPr>
            <w:r w:rsidRPr="00F06EA4">
              <w:rPr>
                <w:rFonts w:eastAsia="Calibri"/>
                <w:lang w:val="en-US"/>
              </w:rPr>
              <w:t>IL17A, IL17F, IL21, IL22</w:t>
            </w:r>
          </w:p>
        </w:tc>
        <w:tc>
          <w:tcPr>
            <w:tcW w:w="2835" w:type="dxa"/>
          </w:tcPr>
          <w:p w14:paraId="464A3BF4" w14:textId="77777777" w:rsidR="003E199B" w:rsidRPr="00F06EA4" w:rsidRDefault="003E199B" w:rsidP="00FB4A35">
            <w:pPr>
              <w:spacing w:after="0"/>
              <w:contextualSpacing/>
              <w:jc w:val="center"/>
              <w:rPr>
                <w:rFonts w:eastAsia="Calibri"/>
                <w:lang w:val="en-US"/>
              </w:rPr>
            </w:pPr>
            <w:r w:rsidRPr="00F06EA4">
              <w:rPr>
                <w:rFonts w:eastAsia="Calibri"/>
                <w:lang w:val="en-US"/>
              </w:rPr>
              <w:t>Activation of neutrophils</w:t>
            </w:r>
          </w:p>
        </w:tc>
        <w:tc>
          <w:tcPr>
            <w:tcW w:w="1843" w:type="dxa"/>
          </w:tcPr>
          <w:p w14:paraId="28EAE625" w14:textId="1B20020B" w:rsidR="003E199B" w:rsidRPr="00F06EA4" w:rsidRDefault="00FB4A35" w:rsidP="00FB4A35">
            <w:pPr>
              <w:spacing w:after="0"/>
              <w:contextualSpacing/>
              <w:jc w:val="center"/>
              <w:rPr>
                <w:rFonts w:eastAsia="Calibri"/>
                <w:lang w:val="en-US"/>
              </w:rPr>
            </w:pPr>
            <w:r w:rsidRPr="00F06EA4">
              <w:rPr>
                <w:rFonts w:eastAsia="Calibri"/>
                <w:lang w:val="en-US"/>
              </w:rPr>
              <w:t>Zhu</w:t>
            </w:r>
            <w:r>
              <w:rPr>
                <w:rFonts w:eastAsia="Calibri"/>
                <w:i/>
                <w:iCs/>
                <w:lang w:val="en-US"/>
              </w:rPr>
              <w:t xml:space="preserve"> </w:t>
            </w:r>
            <w:r w:rsidRPr="00F06EA4">
              <w:rPr>
                <w:rFonts w:eastAsia="Calibri"/>
                <w:i/>
                <w:iCs/>
                <w:lang w:val="en-US"/>
              </w:rPr>
              <w:t>et al</w:t>
            </w:r>
            <w:r w:rsidRPr="00F06EA4">
              <w:rPr>
                <w:rFonts w:eastAsia="Calibri"/>
                <w:lang w:val="en-US"/>
              </w:rPr>
              <w:fldChar w:fldCharType="begin" w:fldLock="1"/>
            </w:r>
            <w:r w:rsidRPr="00F06EA4">
              <w:rPr>
                <w:rFonts w:eastAsia="Calibri"/>
                <w:lang w:val="en-US"/>
              </w:rPr>
              <w:instrText>ADDIN CSL_CITATION {"citationItems":[{"id":"ITEM-1","itemData":{"DOI":"10.1038/cr.2009.138","ISSN":"1001-0602","PMID":"20010916","abstract":"CD4 T helper (Th) cells play critical roles in adaptive immune responses. They recruit and activate other immune cells including B cells, CD8 T cells, macrophages, mast cells, neutrophils, eosinophils and basophils. Based on their functions, their pattern of cytokine secretion and their expression of specific transcription factors, Th cells, differentiated from naïve CD4 T cells, are classified into four major lineages, Th1, Th2, Th17 and T regulatory (Treg) cells, although other Th lineages may exist. Subsets of the same lineage may express different effector cytokines, reside at different locations or give rise to cells with different fates, whereas cells from different lineages may secrete common cytokines, such as IL-2, IL-9 and IL-10, resulting in massive heterogeneity of the Th cell population. In addition, the pattern of cytokine secretion may switch from that of one lineage toward another under certain circumstances, suggesting that Th cells are plastic. Tregs are also more heterogeneous and plastic than were originally thought. In this review, we summarize recent reports on heterogeneity and plasticity of Th cells, and discuss potential mechanisms and implications of such features that Th cells display.","author":[{"dropping-particle":"","family":"Zhu","given":"Jinfang","non-dropping-particle":"","parse-names":false,"suffix":""},{"dropping-particle":"","family":"Paul","given":"William E","non-dropping-particle":"","parse-names":false,"suffix":""}],"container-title":"Cell Research","id":"ITEM-1","issue":"1","issued":{"date-parts":[["2010"]]},"page":"4-12","title":"Heterogeneity and plasticity of T helper cells","type":"article-journal","volume":"20"},"uris":["http://www.mendeley.com/documents/?uuid=c92eea6a-d266-3826-bae3-6dda048ea733"]}],"mendeley":{"formattedCitation":"&lt;sup&gt;[55]&lt;/sup&gt;","plainTextFormattedCitation":"[55]","previouslyFormattedCitation":"&lt;sup&gt;[55]&lt;/sup&gt;"},"properties":{"noteIndex":0},"schema":"https://github.com/citation-style-language/schema/raw/master/csl-citation.json"}</w:instrText>
            </w:r>
            <w:r w:rsidRPr="00F06EA4">
              <w:rPr>
                <w:rFonts w:eastAsia="Calibri"/>
                <w:lang w:val="en-US"/>
              </w:rPr>
              <w:fldChar w:fldCharType="separate"/>
            </w:r>
            <w:r w:rsidRPr="00F06EA4">
              <w:rPr>
                <w:rFonts w:eastAsia="Calibri"/>
                <w:noProof/>
                <w:vertAlign w:val="superscript"/>
                <w:lang w:val="en-US"/>
              </w:rPr>
              <w:t>[55]</w:t>
            </w:r>
            <w:r w:rsidRPr="00F06EA4">
              <w:rPr>
                <w:rFonts w:eastAsia="Calibri"/>
                <w:lang w:val="en-US"/>
              </w:rPr>
              <w:fldChar w:fldCharType="end"/>
            </w:r>
          </w:p>
        </w:tc>
      </w:tr>
      <w:tr w:rsidR="003E199B" w:rsidRPr="00F06EA4" w14:paraId="3D100F5C" w14:textId="77777777" w:rsidTr="00FB4A35">
        <w:trPr>
          <w:trHeight w:val="20"/>
        </w:trPr>
        <w:tc>
          <w:tcPr>
            <w:tcW w:w="2269" w:type="dxa"/>
          </w:tcPr>
          <w:p w14:paraId="4F0A04F8" w14:textId="77777777" w:rsidR="003E199B" w:rsidRPr="00F06EA4" w:rsidRDefault="003E199B" w:rsidP="00F67ED8">
            <w:pPr>
              <w:spacing w:after="0"/>
              <w:contextualSpacing/>
              <w:rPr>
                <w:rFonts w:eastAsia="Calibri"/>
                <w:lang w:val="en-US"/>
              </w:rPr>
            </w:pPr>
            <w:r w:rsidRPr="00F06EA4">
              <w:rPr>
                <w:rFonts w:eastAsia="Calibri"/>
                <w:lang w:val="en-US"/>
              </w:rPr>
              <w:t>Treg lymphocyte</w:t>
            </w:r>
          </w:p>
        </w:tc>
        <w:tc>
          <w:tcPr>
            <w:tcW w:w="3260" w:type="dxa"/>
          </w:tcPr>
          <w:p w14:paraId="4E6D8545" w14:textId="77777777" w:rsidR="003E199B" w:rsidRPr="00F06EA4" w:rsidRDefault="003E199B" w:rsidP="00FB4A35">
            <w:pPr>
              <w:spacing w:after="0"/>
              <w:contextualSpacing/>
              <w:jc w:val="center"/>
              <w:rPr>
                <w:rFonts w:eastAsia="Calibri"/>
                <w:lang w:val="en-US"/>
              </w:rPr>
            </w:pPr>
            <w:r w:rsidRPr="00F06EA4">
              <w:rPr>
                <w:rFonts w:eastAsia="Calibri"/>
                <w:lang w:val="en-US"/>
              </w:rPr>
              <w:t>TGFB</w:t>
            </w:r>
          </w:p>
        </w:tc>
        <w:tc>
          <w:tcPr>
            <w:tcW w:w="2835" w:type="dxa"/>
          </w:tcPr>
          <w:p w14:paraId="5A9E867A" w14:textId="77777777" w:rsidR="003E199B" w:rsidRPr="00F06EA4" w:rsidRDefault="003E199B" w:rsidP="00FB4A35">
            <w:pPr>
              <w:spacing w:after="0"/>
              <w:contextualSpacing/>
              <w:jc w:val="center"/>
              <w:rPr>
                <w:rFonts w:eastAsia="Calibri"/>
                <w:lang w:val="en-US"/>
              </w:rPr>
            </w:pPr>
            <w:r w:rsidRPr="00F06EA4">
              <w:rPr>
                <w:rFonts w:eastAsia="Calibri"/>
                <w:lang w:val="en-US"/>
              </w:rPr>
              <w:t>Immunosuppression</w:t>
            </w:r>
          </w:p>
        </w:tc>
        <w:tc>
          <w:tcPr>
            <w:tcW w:w="1843" w:type="dxa"/>
          </w:tcPr>
          <w:p w14:paraId="0E99CB11" w14:textId="7AF08782" w:rsidR="003E199B" w:rsidRPr="00F06EA4" w:rsidRDefault="003E199B" w:rsidP="00FB4A35">
            <w:pPr>
              <w:spacing w:after="0"/>
              <w:contextualSpacing/>
              <w:jc w:val="center"/>
              <w:rPr>
                <w:rFonts w:eastAsia="Calibri"/>
                <w:lang w:val="en-US"/>
              </w:rPr>
            </w:pPr>
            <w:r w:rsidRPr="00F06EA4">
              <w:rPr>
                <w:rFonts w:eastAsia="Calibri"/>
                <w:lang w:val="en-US"/>
              </w:rPr>
              <w:t>Zhu</w:t>
            </w:r>
            <w:r w:rsidR="00FB4A35">
              <w:rPr>
                <w:rFonts w:eastAsia="Calibri"/>
                <w:i/>
                <w:iCs/>
                <w:lang w:val="en-US"/>
              </w:rPr>
              <w:t xml:space="preserve"> </w:t>
            </w:r>
            <w:r w:rsidR="00FB4A35" w:rsidRPr="00F06EA4">
              <w:rPr>
                <w:rFonts w:eastAsia="Calibri"/>
                <w:i/>
                <w:iCs/>
                <w:lang w:val="en-US"/>
              </w:rPr>
              <w:t>et al</w:t>
            </w:r>
            <w:r w:rsidRPr="00F06EA4">
              <w:rPr>
                <w:rFonts w:eastAsia="Calibri"/>
                <w:lang w:val="en-US"/>
              </w:rPr>
              <w:fldChar w:fldCharType="begin" w:fldLock="1"/>
            </w:r>
            <w:r w:rsidR="00107AAC" w:rsidRPr="00F06EA4">
              <w:rPr>
                <w:rFonts w:eastAsia="Calibri"/>
                <w:lang w:val="en-US"/>
              </w:rPr>
              <w:instrText>ADDIN CSL_CITATION {"citationItems":[{"id":"ITEM-1","itemData":{"DOI":"10.1038/cr.2009.138","ISSN":"1001-0602","PMID":"20010916","abstract":"CD4 T helper (Th) cells play critical roles in adaptive immune responses. They recruit and activate other immune cells including B cells, CD8 T cells, macrophages, mast cells, neutrophils, eosinophils and basophils. Based on their functions, their pattern of cytokine secretion and their expression of specific transcription factors, Th cells, differentiated from naïve CD4 T cells, are classified into four major lineages, Th1, Th2, Th17 and T regulatory (Treg) cells, although other Th lineages may exist. Subsets of the same lineage may express different effector cytokines, reside at different locations or give rise to cells with different fates, whereas cells from different lineages may secrete common cytokines, such as IL-2, IL-9 and IL-10, resulting in massive heterogeneity of the Th cell population. In addition, the pattern of cytokine secretion may switch from that of one lineage toward another under certain circumstances, suggesting that Th cells are plastic. Tregs are also more heterogeneous and plastic than were originally thought. In this review, we summarize recent reports on heterogeneity and plasticity of Th cells, and discuss potential mechanisms and implications of such features that Th cells display.","author":[{"dropping-particle":"","family":"Zhu","given":"Jinfang","non-dropping-particle":"","parse-names":false,"suffix":""},{"dropping-particle":"","family":"Paul","given":"William E","non-dropping-particle":"","parse-names":false,"suffix":""}],"container-title":"Cell Research","id":"ITEM-1","issue":"1","issued":{"date-parts":[["2010"]]},"page":"4-12","title":"Heterogeneity and plasticity of T helper cells","type":"article-journal","volume":"20"},"uris":["http://www.mendeley.com/documents/?uuid=c92eea6a-d266-3826-bae3-6dda048ea733"]}],"mendeley":{"formattedCitation":"&lt;sup&gt;[55]&lt;/sup&gt;","plainTextFormattedCitation":"[55]","previouslyFormattedCitation":"&lt;sup&gt;[55]&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[55]</w:t>
            </w:r>
            <w:r w:rsidRPr="00F06EA4">
              <w:rPr>
                <w:rFonts w:eastAsia="Calibri"/>
                <w:lang w:val="en-US"/>
              </w:rPr>
              <w:fldChar w:fldCharType="end"/>
            </w:r>
          </w:p>
        </w:tc>
      </w:tr>
      <w:tr w:rsidR="003E199B" w:rsidRPr="00F06EA4" w14:paraId="31C3A1BF" w14:textId="77777777" w:rsidTr="00FB4A35">
        <w:trPr>
          <w:trHeight w:val="20"/>
        </w:trPr>
        <w:tc>
          <w:tcPr>
            <w:tcW w:w="2269" w:type="dxa"/>
          </w:tcPr>
          <w:p w14:paraId="2C2A2180" w14:textId="77777777" w:rsidR="003E199B" w:rsidRPr="00F06EA4" w:rsidRDefault="003E199B" w:rsidP="00F67ED8">
            <w:pPr>
              <w:spacing w:after="0"/>
              <w:contextualSpacing/>
              <w:rPr>
                <w:rFonts w:eastAsia="Calibri"/>
                <w:lang w:val="en-US"/>
              </w:rPr>
            </w:pPr>
            <w:r w:rsidRPr="00F06EA4">
              <w:rPr>
                <w:rFonts w:eastAsia="Calibri"/>
                <w:lang w:val="en-US"/>
              </w:rPr>
              <w:t>Plasma cell</w:t>
            </w:r>
          </w:p>
        </w:tc>
        <w:tc>
          <w:tcPr>
            <w:tcW w:w="3260" w:type="dxa"/>
          </w:tcPr>
          <w:p w14:paraId="6754069C" w14:textId="77777777" w:rsidR="003E199B" w:rsidRPr="00F06EA4" w:rsidRDefault="003E199B" w:rsidP="00FB4A35">
            <w:pPr>
              <w:spacing w:after="0"/>
              <w:contextualSpacing/>
              <w:jc w:val="center"/>
              <w:rPr>
                <w:rFonts w:eastAsia="Calibri"/>
                <w:lang w:val="en-US"/>
              </w:rPr>
            </w:pPr>
            <w:r w:rsidRPr="00F06EA4">
              <w:rPr>
                <w:rFonts w:eastAsia="Calibri"/>
                <w:lang w:val="en-US"/>
              </w:rPr>
              <w:t>IL10, IL35. TNF, IL17A, CSF2</w:t>
            </w:r>
          </w:p>
        </w:tc>
        <w:tc>
          <w:tcPr>
            <w:tcW w:w="2835" w:type="dxa"/>
          </w:tcPr>
          <w:p w14:paraId="1D8E8A15" w14:textId="77777777" w:rsidR="003E199B" w:rsidRPr="00F06EA4" w:rsidRDefault="003E199B" w:rsidP="00FB4A35">
            <w:pPr>
              <w:spacing w:after="0"/>
              <w:contextualSpacing/>
              <w:jc w:val="center"/>
              <w:rPr>
                <w:rFonts w:eastAsia="Calibri"/>
                <w:lang w:val="en-US"/>
              </w:rPr>
            </w:pPr>
            <w:r w:rsidRPr="00F06EA4">
              <w:rPr>
                <w:rFonts w:eastAsia="Calibri"/>
                <w:lang w:val="en-US"/>
              </w:rPr>
              <w:t>Both pro- and anti-inflammatory mediators</w:t>
            </w:r>
          </w:p>
        </w:tc>
        <w:tc>
          <w:tcPr>
            <w:tcW w:w="1843" w:type="dxa"/>
          </w:tcPr>
          <w:p w14:paraId="00540154" w14:textId="32C87DF9" w:rsidR="003E199B" w:rsidRPr="00F06EA4" w:rsidRDefault="003E199B" w:rsidP="00FB4A35">
            <w:pPr>
              <w:spacing w:after="0"/>
              <w:contextualSpacing/>
              <w:jc w:val="center"/>
              <w:rPr>
                <w:rFonts w:eastAsia="Calibri"/>
                <w:lang w:val="en-US"/>
              </w:rPr>
            </w:pPr>
            <w:r w:rsidRPr="00F06EA4">
              <w:rPr>
                <w:rFonts w:eastAsia="Calibri"/>
                <w:lang w:val="en-US"/>
              </w:rPr>
              <w:t xml:space="preserve">Dang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{"citationItems":[{"id":"ITEM-1","itemData":{"DOI":"10.1016/j.coi.2014.02.009","ISBN":"1879-0372 (Electronic)\\r0952-7915 (Linking)","ISSN":"1879-0372","PMID":"24637161","abstract":"B lymphocytes have a unique role as antibody-producing cells. Antibodies are key mediators of humoral immunity against infections, and are thought to account for the protection afforded by successful vaccines. B cells can also secrete cytokines and subsequently regulate immune responses mediated by T and innate cells. Remarkably, recent studies identified plasma blasts/plasma cells as the main types of activated B cells producing the cytokines interleukin (IL)-10, IL-35, tumor necrosis factor (TNF)-α, IL-17, and GM-CSF in various contexts in mice. Here, we discuss these observations, which suggest the existence of various subsets of plasma blast/plasma cells distinguishable through their cytokine expression pattern.","author":[{"dropping-particle":"","family":"Dang","given":"Van Duc","non-dropping-particle":"","parse-names":false,"suffix":""},{"dropping-particle":"","family":"Hilgenberg","given":"Ellen","non-dropping-particle":"","parse-names":false,"suffix":""},{"dropping-particle":"","family":"Ries","given":"Stefanie","non-dropping-particle":"","parse-names":false,"suffix":""},{"dropping-particle":"","family":"Shen","given":"Ping","non-dropping-particle":"","parse-names":false,"suffix":""},{"dropping-particle":"","family":"Fillatreau","given":"Simon","non-dropping-particle":"","parse-names":false,"suffix":""}],"container-title":"Current opinion in immunology","id":"ITEM-1","issue":"1","issued":{"date-parts":[["2014","6"]]},"page":"77-83","title":"From the regulatory functions of B cells to the identification of cytokine-producing plasma cell subsets.","type":"article-journal","volume":"28"},"uris":["http://www.mendeley.com/documents/?uuid=1589e850-32d8-48e7-a770-3f5e51151aa9"]}],"mendeley":{"formattedCitation":"&lt;sup&gt;[156]&lt;/sup&gt;","plainTextFormattedCitation":"[156]","previouslyFormattedCitation":"&lt;sup&gt;[156]&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[156]</w:t>
            </w:r>
            <w:r w:rsidRPr="00F06EA4">
              <w:rPr>
                <w:rFonts w:eastAsia="Calibri"/>
                <w:lang w:val="en-US"/>
              </w:rPr>
              <w:fldChar w:fldCharType="end"/>
            </w:r>
          </w:p>
        </w:tc>
      </w:tr>
      <w:tr w:rsidR="003E199B" w:rsidRPr="00F06EA4" w14:paraId="7A87B315" w14:textId="77777777" w:rsidTr="00FB4A35">
        <w:trPr>
          <w:trHeight w:val="20"/>
        </w:trPr>
        <w:tc>
          <w:tcPr>
            <w:tcW w:w="2269" w:type="dxa"/>
          </w:tcPr>
          <w:p w14:paraId="3920F900" w14:textId="77777777" w:rsidR="003E199B" w:rsidRPr="00F06EA4" w:rsidRDefault="003E199B" w:rsidP="00F67ED8">
            <w:pPr>
              <w:spacing w:after="0"/>
              <w:contextualSpacing/>
              <w:rPr>
                <w:rFonts w:eastAsia="Calibri"/>
                <w:lang w:val="en-US"/>
              </w:rPr>
            </w:pPr>
            <w:r w:rsidRPr="00F06EA4">
              <w:rPr>
                <w:rFonts w:eastAsia="Calibri"/>
                <w:lang w:val="en-US"/>
              </w:rPr>
              <w:t>Neutrophil</w:t>
            </w:r>
          </w:p>
        </w:tc>
        <w:tc>
          <w:tcPr>
            <w:tcW w:w="3260" w:type="dxa"/>
          </w:tcPr>
          <w:p w14:paraId="40FD4A58" w14:textId="77777777" w:rsidR="003E199B" w:rsidRPr="00F06EA4" w:rsidRDefault="003E199B" w:rsidP="00FB4A35">
            <w:pPr>
              <w:spacing w:after="0"/>
              <w:contextualSpacing/>
              <w:jc w:val="center"/>
              <w:rPr>
                <w:rFonts w:eastAsia="Calibri"/>
                <w:lang w:val="en-US"/>
              </w:rPr>
            </w:pPr>
            <w:r w:rsidRPr="00F06EA4">
              <w:rPr>
                <w:rFonts w:eastAsia="Calibri"/>
                <w:lang w:val="en-US"/>
              </w:rPr>
              <w:t>IL1A, IL1B, IL1RA, IL6, IL12 CXCL8, CXCL9, CXCL10, CXCL11, CCL2, CCL3, CCL4, TGFB1, VEGFA</w:t>
            </w:r>
          </w:p>
        </w:tc>
        <w:tc>
          <w:tcPr>
            <w:tcW w:w="2835" w:type="dxa"/>
          </w:tcPr>
          <w:p w14:paraId="5019E789" w14:textId="77777777" w:rsidR="003E199B" w:rsidRPr="00F06EA4" w:rsidRDefault="003E199B" w:rsidP="00FB4A35">
            <w:pPr>
              <w:spacing w:after="0"/>
              <w:contextualSpacing/>
              <w:jc w:val="center"/>
              <w:rPr>
                <w:rFonts w:eastAsia="Calibri"/>
                <w:lang w:val="en-US"/>
              </w:rPr>
            </w:pPr>
            <w:r w:rsidRPr="00F06EA4">
              <w:rPr>
                <w:rFonts w:eastAsia="Calibri"/>
                <w:lang w:val="en-US"/>
              </w:rPr>
              <w:t>Activation of inflammation; depending on the type of polarization, also anti-inflammatory mediators are secreted</w:t>
            </w:r>
          </w:p>
          <w:p w14:paraId="0CD45D3F" w14:textId="77777777" w:rsidR="003E199B" w:rsidRPr="00F06EA4" w:rsidRDefault="003E199B" w:rsidP="00FB4A35">
            <w:pPr>
              <w:spacing w:after="0"/>
              <w:contextualSpacing/>
              <w:jc w:val="center"/>
              <w:rPr>
                <w:rFonts w:eastAsia="Calibri"/>
                <w:lang w:val="en-US"/>
              </w:rPr>
            </w:pPr>
          </w:p>
        </w:tc>
        <w:tc>
          <w:tcPr>
            <w:tcW w:w="1843" w:type="dxa"/>
          </w:tcPr>
          <w:p w14:paraId="4A09F1A2" w14:textId="1318B51D" w:rsidR="003E199B" w:rsidRPr="00F06EA4" w:rsidRDefault="003E199B" w:rsidP="00FB4A35">
            <w:pPr>
              <w:spacing w:after="0"/>
              <w:contextualSpacing/>
              <w:jc w:val="center"/>
              <w:rPr>
                <w:rFonts w:eastAsia="Calibri"/>
                <w:lang w:val="fi-FI"/>
              </w:rPr>
            </w:pPr>
            <w:r w:rsidRPr="00F06EA4">
              <w:rPr>
                <w:rFonts w:eastAsia="Calibri"/>
                <w:lang w:val="fi-FI"/>
              </w:rPr>
              <w:t xml:space="preserve">Tecchio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{"citationItems":[{"id":"ITEM-1","itemData":{"DOI":"10.3389/fimmu.2014.00508","ISBN":"1664-3224 (Electronic)\\r1664-3224 (Linking)","ISSN":"1664-3224","PMID":"25374568","abstract":"Polymorphonuclear neutrophils, besides their involvement in primary defense against infections - mainly through phagocytosis, generation of toxic molecules, release of enzymes, and formation of extracellular traps - are also becoming increasingly important for their contribution to the fine regulation in development of inflammatory and immune responses. These latter functions of neutrophils occur, in part, via their de novo production and release of a large variety of cytokines, including chemotactic cytokines (chemokines). Accordingly, the improvement in technologies for molecular and functional cell analysis, along with concomitant advances in cell purification techniques, have allowed the identification of a continuously growing list of neutrophil-derived cytokines, as well as the characterization of their biological implications in vitro and/or in vivo. This short review summarizes crucial concepts regarding the modalities of expression, release, and regulation of neutrophil-derived cytokines. It also highlights examples illustrating the potential implications of neutrophil-derived cytokines according to recent observations made in humans and/or in experimental animal models.","author":[{"dropping-particle":"","family":"Tecchio","given":"Cristina","non-dropping-particle":"","parse-names":false,"suffix":""},{"dropping-particle":"","family":"Micheletti","given":"Alessandra","non-dropping-particle":"","parse-names":false,"suffix":""},{"dropping-particle":"","family":"Cassatella","given":"Marco A.","non-dropping-particle":"","parse-names":false,"suffix":""}],"container-title":"Frontiers in immunology","id":"ITEM-1","issue":"OCT","issued":{"date-parts":[["2014"]]},"page":"508","title":"Neutrophil-derived cytokines: facts beyond expression.","type":"article-journal","volume":"5"},"uris":["http://www.mendeley.com/documents/?uuid=a26761b8-ff79-4023-8cff-f3753e24ab92"]}],"mendeley":{"formattedCitation":"&lt;sup&gt;[58]&lt;/sup&gt;","plainTextFormattedCitation":"[58]","previouslyFormattedCitation":"&lt;sup&gt;[58]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[58]</w:t>
            </w:r>
            <w:r w:rsidRPr="00F06EA4">
              <w:rPr>
                <w:rFonts w:eastAsia="Calibri"/>
                <w:lang w:val="en-US"/>
              </w:rPr>
              <w:fldChar w:fldCharType="end"/>
            </w:r>
          </w:p>
        </w:tc>
      </w:tr>
      <w:tr w:rsidR="003E199B" w:rsidRPr="00F06EA4" w14:paraId="532F2F89" w14:textId="77777777" w:rsidTr="00FB4A35">
        <w:trPr>
          <w:trHeight w:val="20"/>
        </w:trPr>
        <w:tc>
          <w:tcPr>
            <w:tcW w:w="2269" w:type="dxa"/>
          </w:tcPr>
          <w:p w14:paraId="42EE27A9" w14:textId="77777777" w:rsidR="003E199B" w:rsidRPr="00F06EA4" w:rsidRDefault="003E199B" w:rsidP="00F67ED8">
            <w:pPr>
              <w:spacing w:after="0"/>
              <w:contextualSpacing/>
              <w:rPr>
                <w:rFonts w:eastAsia="Calibri"/>
                <w:lang w:val="en-US"/>
              </w:rPr>
            </w:pPr>
            <w:r w:rsidRPr="00F06EA4">
              <w:rPr>
                <w:rFonts w:eastAsia="Calibri"/>
                <w:lang w:val="en-US"/>
              </w:rPr>
              <w:t>Eosinophil</w:t>
            </w:r>
          </w:p>
        </w:tc>
        <w:tc>
          <w:tcPr>
            <w:tcW w:w="3260" w:type="dxa"/>
          </w:tcPr>
          <w:p w14:paraId="45746220" w14:textId="77777777" w:rsidR="003E199B" w:rsidRPr="00F06EA4" w:rsidRDefault="003E199B" w:rsidP="00FB4A35">
            <w:pPr>
              <w:spacing w:after="0"/>
              <w:contextualSpacing/>
              <w:jc w:val="center"/>
              <w:rPr>
                <w:rFonts w:eastAsia="Calibri"/>
                <w:lang w:val="en-US"/>
              </w:rPr>
            </w:pPr>
            <w:r w:rsidRPr="00F06EA4">
              <w:rPr>
                <w:rFonts w:eastAsia="Calibri"/>
                <w:lang w:val="en-US"/>
              </w:rPr>
              <w:t>IL1A, IL2, IL4, IL6, IL12, CXCL1, CXCL8, CXCL10, CCL3, CCL5, CCL11</w:t>
            </w:r>
          </w:p>
        </w:tc>
        <w:tc>
          <w:tcPr>
            <w:tcW w:w="2835" w:type="dxa"/>
          </w:tcPr>
          <w:p w14:paraId="1CE53666" w14:textId="77777777" w:rsidR="003E199B" w:rsidRPr="00F06EA4" w:rsidRDefault="003E199B" w:rsidP="00FB4A35">
            <w:pPr>
              <w:spacing w:after="0"/>
              <w:contextualSpacing/>
              <w:jc w:val="center"/>
              <w:rPr>
                <w:rFonts w:eastAsia="Calibri"/>
                <w:lang w:val="en-US"/>
              </w:rPr>
            </w:pPr>
            <w:r w:rsidRPr="00F06EA4">
              <w:rPr>
                <w:rFonts w:eastAsia="Calibri"/>
                <w:lang w:val="en-US"/>
              </w:rPr>
              <w:t>Th2 type immune responses</w:t>
            </w:r>
          </w:p>
        </w:tc>
        <w:tc>
          <w:tcPr>
            <w:tcW w:w="1843" w:type="dxa"/>
          </w:tcPr>
          <w:p w14:paraId="2064B98E" w14:textId="25FA92B3" w:rsidR="003E199B" w:rsidRPr="00F06EA4" w:rsidRDefault="003E199B" w:rsidP="00FB4A35">
            <w:pPr>
              <w:spacing w:after="0"/>
              <w:contextualSpacing/>
              <w:jc w:val="center"/>
              <w:rPr>
                <w:rFonts w:eastAsia="Calibri"/>
                <w:lang w:val="en-US"/>
              </w:rPr>
            </w:pPr>
            <w:r w:rsidRPr="00F06EA4">
              <w:rPr>
                <w:rFonts w:eastAsia="Calibri"/>
                <w:lang w:val="en-US"/>
              </w:rPr>
              <w:t xml:space="preserve">Davoine </w:t>
            </w:r>
            <w:r w:rsidR="00A43BAD"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{"citationItems":[{"id":"ITEM-1","itemData":{"DOI":"10.3389/fimmu.2014.00570","ISBN":"1664-3224","ISSN":"1664-3224","PMID":"25426119","abstract":"Eosinophils derive from the bone marrow and circulate at low levels in the blood in healthy individuals. These granulated cells preferentially leave the circulation and marginate to tissues, where they are implicated in the regulation of innate and adaptive immunity. In diseases such as allergic inflammation, eosinophil numbers escalate markedly in the blood and tissues where inflammatory foci are located. Eosinophils possess a range of immunomodulatory factors that are released upon cell activation, including over 35 cytokines, growth factors, and chemokines. Unlike T and B cells, eosinophils can rapidly release cytokines within minutes in response to stimulation. While some cytokines are stored as pre-formed mediators in crystalloid granules and secretory vesicles, eosinophils are also capable of undergoing de novo synthesis and secretion of these immunological factors. Some of the molecular mechanisms that coordinate the final steps of cytokine secretion are hypothesized to involve binding of membrane fusion complexes comprised of soluble N-ethylmaleimide sensitive factor attachment protein receptors (SNAREs). These intracellular receptors regulate the release of granules and vesicles containing a range of secreted proteins, among which are cytokines and chemokines. Emerging evidence from both human and animal model-based research has suggested an active participation of eosinophils in several physiological/pathological processes such as immunomodulation and tissue remodeling. The observed eosinophil effector functions in health and disease implicate eosinophil cytokine secretion as a fundamental immunoregulatory process. The focus of this review is to describe the cytokines, growth factors, and chemokines that are elaborated by eosinophils, and to illustrate some of the intracellular events leading to the release of eosinophil-derived cytokines.","author":[{"dropping-particle":"","family":"Davoine","given":"Francis","non-dropping-particle":"","parse-names":false,"suffix":""},{"dropping-particle":"","family":"Lacy","given":"Paige","non-dropping-particle":"","parse-names":false,"suffix":""}],"container-title":"Frontiers in immunology","id":"ITEM-1","issue":"NOV","issued":{"date-parts":[["2014"]]},"page":"570","title":"Eosinophil cytokines, chemokines, and growth factors: emerging roles in immunity.","type":"article-journal","volume":"5"},"uris":["http://www.mendeley.com/documents/?uuid=7dac7976-25fb-48e2-840a-f5df06d1275a"]}],"mendeley":{"formattedCitation":"&lt;sup&gt;[185]&lt;/sup&gt;","plainTextFormattedCitation":"[185]","previouslyFormattedCitation":"&lt;sup&gt;[185]&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[185]</w:t>
            </w:r>
            <w:r w:rsidRPr="00F06EA4">
              <w:rPr>
                <w:rFonts w:eastAsia="Calibri"/>
                <w:lang w:val="en-US"/>
              </w:rPr>
              <w:fldChar w:fldCharType="end"/>
            </w:r>
          </w:p>
        </w:tc>
      </w:tr>
      <w:tr w:rsidR="003E199B" w:rsidRPr="00F06EA4" w14:paraId="476B5F79" w14:textId="77777777" w:rsidTr="00FB4A35">
        <w:trPr>
          <w:trHeight w:val="20"/>
        </w:trPr>
        <w:tc>
          <w:tcPr>
            <w:tcW w:w="2269" w:type="dxa"/>
          </w:tcPr>
          <w:p w14:paraId="543F8864" w14:textId="77777777" w:rsidR="003E199B" w:rsidRPr="00F06EA4" w:rsidRDefault="003E199B" w:rsidP="00F67ED8">
            <w:pPr>
              <w:spacing w:after="0"/>
              <w:contextualSpacing/>
              <w:rPr>
                <w:rFonts w:eastAsia="Calibri"/>
                <w:lang w:val="en-US"/>
              </w:rPr>
            </w:pPr>
            <w:r w:rsidRPr="00F06EA4">
              <w:rPr>
                <w:rFonts w:eastAsia="Calibri"/>
                <w:lang w:val="en-US"/>
              </w:rPr>
              <w:t xml:space="preserve">Myeloid derived suppressor cell </w:t>
            </w:r>
          </w:p>
        </w:tc>
        <w:tc>
          <w:tcPr>
            <w:tcW w:w="3260" w:type="dxa"/>
          </w:tcPr>
          <w:p w14:paraId="24603434" w14:textId="77777777" w:rsidR="003E199B" w:rsidRPr="00F06EA4" w:rsidRDefault="003E199B" w:rsidP="00FB4A35">
            <w:pPr>
              <w:spacing w:after="0"/>
              <w:contextualSpacing/>
              <w:jc w:val="center"/>
              <w:rPr>
                <w:rFonts w:eastAsia="Calibri"/>
                <w:lang w:val="en-US"/>
              </w:rPr>
            </w:pPr>
            <w:r w:rsidRPr="00F06EA4">
              <w:rPr>
                <w:rFonts w:eastAsia="Calibri"/>
                <w:lang w:val="en-US"/>
              </w:rPr>
              <w:t>IL10, TGFB</w:t>
            </w:r>
          </w:p>
        </w:tc>
        <w:tc>
          <w:tcPr>
            <w:tcW w:w="2835" w:type="dxa"/>
          </w:tcPr>
          <w:p w14:paraId="19BF7A7F" w14:textId="77777777" w:rsidR="003E199B" w:rsidRPr="00F06EA4" w:rsidRDefault="003E199B" w:rsidP="00FB4A35">
            <w:pPr>
              <w:spacing w:after="0"/>
              <w:contextualSpacing/>
              <w:jc w:val="center"/>
              <w:rPr>
                <w:rFonts w:eastAsia="Calibri"/>
                <w:lang w:val="en-US"/>
              </w:rPr>
            </w:pPr>
            <w:r w:rsidRPr="00F06EA4">
              <w:rPr>
                <w:rFonts w:eastAsia="Calibri"/>
                <w:lang w:val="en-US"/>
              </w:rPr>
              <w:t>Immunosuppression</w:t>
            </w:r>
          </w:p>
        </w:tc>
        <w:tc>
          <w:tcPr>
            <w:tcW w:w="1843" w:type="dxa"/>
          </w:tcPr>
          <w:p w14:paraId="61CB182D" w14:textId="42945527" w:rsidR="003E199B" w:rsidRPr="00F06EA4" w:rsidRDefault="003E199B" w:rsidP="00FB4A35">
            <w:pPr>
              <w:spacing w:after="0"/>
              <w:contextualSpacing/>
              <w:jc w:val="center"/>
              <w:rPr>
                <w:rFonts w:eastAsia="Calibri"/>
                <w:lang w:val="en-US"/>
              </w:rPr>
            </w:pPr>
            <w:r w:rsidRPr="00F06EA4">
              <w:rPr>
                <w:rFonts w:eastAsia="Calibri"/>
                <w:lang w:val="en-US"/>
              </w:rPr>
              <w:t xml:space="preserve">Bronte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{"citationItems":[{"id":"ITEM-1","itemData":{"DOI":"10.1038/ncomms12150","ISBN":"2041-1723 (Electronic)\\r2041-1723 (Linking)","ISSN":"2041-1723","PMID":"27381735","abstract":"Myeloid-derived suppressor cells (MDSCs) have emerged as major regulators of immune responses in cancer and other pathological conditions. In recent years, ample evidence supports key contributions of MDSC to tumour progression through both immune-mediated mechanisms and those not directly associated with immune suppression. MDSC are the subject of intensive research with &gt;500 papers published in 2015 alone. However, the phenotypic, morphological and functional heterogeneity of these cells generates confusion in investigation and analysis of their roles in inflammatory responses. The purpose of this communication is to suggest characterization standards in the burgeoning field of MDSC research.","author":[{"dropping-particle":"","family":"Bronte","given":"Vincenzo","non-dropping-particle":"","parse-names":false,"suffix":""},{"dropping-particle":"","family":"Brandau","given":"Sven","non-dropping-particle":"","parse-names":false,"suffix":""},{"dropping-particle":"","family":"Chen","given":"Shu-Hsia","non-dropping-particle":"","parse-names":false,"suffix":""},{"dropping-particle":"","family":"Colombo","given":"Mario P.","non-dropping-particle":"","parse-names":false,"suffix":""},{"dropping-particle":"","family":"Frey","given":"Alan B.","non-dropping-particle":"","parse-names":false,"suffix":""},{"dropping-particle":"","family":"Greten","given":"Tim F.","non-dropping-particle":"","parse-names":false,"suffix":""},{"dropping-particle":"","family":"Mandruzzato","given":"Susanna","non-dropping-particle":"","parse-names":false,"suffix":""},{"dropping-particle":"","family":"Murray","given":"Peter J.","non-dropping-particle":"","parse-names":false,"suffix":""},{"dropping-particle":"","family":"Ochoa","given":"Augusto","non-dropping-particle":"","parse-names":false,"suffix":""},{"dropping-particle":"","family":"Ostrand-Rosenberg","given":"Suzanne","non-dropping-particle":"","parse-names":false,"suffix":""},{"dropping-particle":"","family":"Rodriguez","given":"Paulo C.","non-dropping-particle":"","parse-names":false,"suffix":""},{"dropping-particle":"","family":"Sica","given":"Antonio","non-dropping-particle":"","parse-names":false,"suffix":""},{"dropping-particle":"","family":"Umansky","given":"Viktor","non-dropping-particle":"","parse-names":false,"suffix":""},{"dropping-particle":"","family":"Vonderheide","given":"Robert H.","non-dropping-particle":"","parse-names":false,"suffix":""},{"dropping-particle":"","family":"Gabrilovich","given":"Dmitry I.","non-dropping-particle":"","parse-names":false,"suffix":""}],"container-title":"Nature communications","id":"ITEM-1","issued":{"date-parts":[["2016"]]},"page":"12150","title":"Recommendations for myeloid-derived suppressor cell nomenclature and characterization standards.","type":"article-journal","volume":"7"},"uris":["http://www.mendeley.com/documents/?uuid=c4e1b871-8b46-4ff5-ab48-d68d14e31813"]}],"mendeley":{"formattedCitation":"&lt;sup&gt;[87]&lt;/sup&gt;","plainTextFormattedCitation":"[87]","previouslyFormattedCitation":"&lt;sup&gt;[87]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[87]</w:t>
            </w:r>
            <w:r w:rsidRPr="00F06EA4">
              <w:rPr>
                <w:rFonts w:eastAsia="Calibri"/>
                <w:lang w:val="en-US"/>
              </w:rPr>
              <w:fldChar w:fldCharType="end"/>
            </w:r>
          </w:p>
        </w:tc>
      </w:tr>
      <w:tr w:rsidR="003E199B" w:rsidRPr="00F06EA4" w14:paraId="1AFC2C40" w14:textId="77777777" w:rsidTr="00FB4A35">
        <w:trPr>
          <w:trHeight w:val="20"/>
        </w:trPr>
        <w:tc>
          <w:tcPr>
            <w:tcW w:w="2269" w:type="dxa"/>
            <w:tcBorders>
              <w:bottom w:val="single" w:sz="4" w:space="0" w:color="auto"/>
            </w:tcBorders>
          </w:tcPr>
          <w:p w14:paraId="7D3A78B9" w14:textId="77777777" w:rsidR="003E199B" w:rsidRPr="00F06EA4" w:rsidRDefault="003E199B" w:rsidP="00F67ED8">
            <w:pPr>
              <w:spacing w:after="0"/>
              <w:contextualSpacing/>
              <w:rPr>
                <w:rFonts w:eastAsia="Calibri"/>
                <w:lang w:val="en-US"/>
              </w:rPr>
            </w:pPr>
            <w:r w:rsidRPr="00F06EA4">
              <w:rPr>
                <w:rFonts w:eastAsia="Calibri"/>
                <w:lang w:val="en-US"/>
              </w:rPr>
              <w:t>Mast cell</w:t>
            </w:r>
          </w:p>
        </w:tc>
        <w:tc>
          <w:tcPr>
            <w:tcW w:w="3260" w:type="dxa"/>
            <w:tcBorders>
              <w:bottom w:val="single" w:sz="4" w:space="0" w:color="auto"/>
            </w:tcBorders>
          </w:tcPr>
          <w:p w14:paraId="47365442" w14:textId="77777777" w:rsidR="003E199B" w:rsidRPr="00F06EA4" w:rsidRDefault="003E199B" w:rsidP="00FB4A35">
            <w:pPr>
              <w:spacing w:after="0"/>
              <w:contextualSpacing/>
              <w:jc w:val="center"/>
              <w:rPr>
                <w:rFonts w:eastAsia="Calibri"/>
                <w:lang w:val="en-US"/>
              </w:rPr>
            </w:pPr>
            <w:r w:rsidRPr="00F06EA4">
              <w:rPr>
                <w:rFonts w:eastAsia="Calibri"/>
                <w:lang w:val="en-US"/>
              </w:rPr>
              <w:t>IL4, IL5, IL6, TNF, CSF2</w:t>
            </w:r>
          </w:p>
        </w:tc>
        <w:tc>
          <w:tcPr>
            <w:tcW w:w="2835" w:type="dxa"/>
            <w:tcBorders>
              <w:bottom w:val="single" w:sz="4" w:space="0" w:color="auto"/>
            </w:tcBorders>
          </w:tcPr>
          <w:p w14:paraId="0A4B35FB" w14:textId="77777777" w:rsidR="003E199B" w:rsidRPr="00F06EA4" w:rsidRDefault="003E199B" w:rsidP="00FB4A35">
            <w:pPr>
              <w:spacing w:after="0"/>
              <w:contextualSpacing/>
              <w:jc w:val="center"/>
              <w:rPr>
                <w:rFonts w:eastAsia="Calibri"/>
                <w:lang w:val="en-US"/>
              </w:rPr>
            </w:pPr>
            <w:r w:rsidRPr="00F06EA4">
              <w:rPr>
                <w:rFonts w:eastAsia="Calibri"/>
                <w:lang w:val="en-US"/>
              </w:rPr>
              <w:t>Th2 type immune responses</w:t>
            </w:r>
          </w:p>
        </w:tc>
        <w:tc>
          <w:tcPr>
            <w:tcW w:w="1843" w:type="dxa"/>
            <w:tcBorders>
              <w:bottom w:val="single" w:sz="4" w:space="0" w:color="auto"/>
            </w:tcBorders>
          </w:tcPr>
          <w:p w14:paraId="02629509" w14:textId="6CF6F453" w:rsidR="003E199B" w:rsidRPr="00F06EA4" w:rsidRDefault="003E199B" w:rsidP="00FB4A35">
            <w:pPr>
              <w:spacing w:after="0"/>
              <w:contextualSpacing/>
              <w:jc w:val="center"/>
              <w:rPr>
                <w:rFonts w:eastAsia="Calibri"/>
                <w:lang w:val="en-US"/>
              </w:rPr>
            </w:pPr>
            <w:r w:rsidRPr="00F06EA4">
              <w:rPr>
                <w:rFonts w:eastAsia="Calibri"/>
                <w:lang w:val="en-US"/>
              </w:rPr>
              <w:t xml:space="preserve">Amin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{"citationItems":[{"id":"ITEM-1","itemData":{"DOI":"10.1016/j.rmed.2011.09.007","ISBN":"0954-6111","ISSN":"09546111","PMID":"22112783","abstract":"The histochemical characteristics of human basophils and tissue mast cells were described over a century ago by Paul Ehrlich. When mast cells are activated by an allergen that binds to serum IgE attached to their FcεRI receptors, they release cytokines, eicosanoids and their secretory granules. Mast cells are now thought to exert critical proinflammatory functions, as well as potential immunoregulatory roles, in various immune disorders through the release of mediators such as histamine, leukotrienes, cytokines chemokines, and neutral proteases (chymase and tryptase). The aim of this review is to describe the role of mast cells in allergic inflammation. Mast cells interact directly with bacteria and appear to play a vital role in host defense against pathogens. Drugs, such as glucocorticoids, cyclosporine and cromolyn have been shown to have inhibitory effects on mast cell degranulation and mediator release. This review shows that mast cells play an active role in such diverse diseases as asthma, rhinitis, middle ear infection, and pulmonary fibrosis. In conclusion, mast cells may not only contribute to the chronic airway inflammatory response, remodeling and symptomatology, but they may also have a central role in the initiation of the allergic immune response, that is providing signals inducing IgE synthesis by B-lymphocytes and inducing Th2 lymphocyte differentiation. © 2011 Elsevier Ltd. All rights reserved.","author":[{"dropping-particle":"","family":"Amin","given":"Kawa","non-dropping-particle":"","parse-names":false,"suffix":""}],"container-title":"Respiratory Medicine","id":"ITEM-1","issue":"1","issued":{"date-parts":[["2012"]]},"page":"9-14","title":"The role of mast cells in allergic inflammation","type":"article-journal","volume":"106"},"uris":["http://www.mendeley.com/documents/?uuid=6edb4ae3-03e6-468d-aef9-1f67cc09e89e"]}],"mendeley":{"formattedCitation":"&lt;sup&gt;[186]&lt;/sup&gt;","plainTextFormattedCitation":"[186]","previouslyFormattedCitation":"&lt;sup&gt;[186]&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[186]</w:t>
            </w:r>
            <w:r w:rsidRPr="00F06EA4">
              <w:rPr>
                <w:rFonts w:eastAsia="Calibri"/>
                <w:lang w:val="en-US"/>
              </w:rPr>
              <w:fldChar w:fldCharType="end"/>
            </w:r>
          </w:p>
        </w:tc>
      </w:tr>
    </w:tbl>
    <w:p w14:paraId="57DDA9C2" w14:textId="2793ED21" w:rsidR="003E199B" w:rsidRPr="00F06EA4" w:rsidRDefault="003E199B" w:rsidP="00F67ED8">
      <w:pPr>
        <w:spacing w:after="0"/>
        <w:rPr>
          <w:rFonts w:eastAsia="Calibri"/>
          <w:lang w:val="en-US"/>
        </w:rPr>
      </w:pPr>
      <w:r w:rsidRPr="00F06EA4">
        <w:rPr>
          <w:rFonts w:eastAsia="Calibri"/>
          <w:b/>
          <w:bCs/>
          <w:lang w:val="en-US"/>
        </w:rPr>
        <w:lastRenderedPageBreak/>
        <w:t>Table 4</w:t>
      </w:r>
      <w:r w:rsidRPr="00F06EA4">
        <w:rPr>
          <w:rFonts w:eastAsia="Calibri"/>
          <w:lang w:val="en-US"/>
        </w:rPr>
        <w:t xml:space="preserve"> </w:t>
      </w:r>
      <w:r w:rsidRPr="008D7C73">
        <w:rPr>
          <w:rFonts w:eastAsia="Calibri"/>
          <w:b/>
          <w:bCs/>
          <w:lang w:val="en-US"/>
        </w:rPr>
        <w:t>Examples of inflammatory mediators reported to be expressed by colorectal cancer associated fibroblasts</w:t>
      </w:r>
    </w:p>
    <w:tbl>
      <w:tblPr>
        <w:tblStyle w:val="ac"/>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9"/>
        <w:gridCol w:w="2862"/>
        <w:gridCol w:w="1662"/>
        <w:gridCol w:w="1700"/>
        <w:gridCol w:w="1960"/>
      </w:tblGrid>
      <w:tr w:rsidR="003E199B" w:rsidRPr="00F06EA4" w14:paraId="13F2753D" w14:textId="77777777" w:rsidTr="006A0A62">
        <w:trPr>
          <w:trHeight w:val="20"/>
        </w:trPr>
        <w:tc>
          <w:tcPr>
            <w:tcW w:w="1739" w:type="dxa"/>
            <w:tcBorders>
              <w:top w:val="single" w:sz="4" w:space="0" w:color="auto"/>
              <w:bottom w:val="single" w:sz="4" w:space="0" w:color="auto"/>
            </w:tcBorders>
          </w:tcPr>
          <w:p w14:paraId="6DC666D1" w14:textId="77777777" w:rsidR="003E199B" w:rsidRPr="00457295" w:rsidRDefault="003E199B" w:rsidP="00F67ED8">
            <w:pPr>
              <w:spacing w:after="0"/>
              <w:contextualSpacing/>
              <w:rPr>
                <w:rFonts w:eastAsia="Calibri"/>
                <w:b/>
                <w:bCs/>
                <w:lang w:val="en-US"/>
              </w:rPr>
            </w:pPr>
            <w:r w:rsidRPr="00457295">
              <w:rPr>
                <w:rFonts w:eastAsia="Calibri"/>
                <w:b/>
                <w:bCs/>
                <w:lang w:val="en-US"/>
              </w:rPr>
              <w:t>Inflammatory mediator</w:t>
            </w:r>
          </w:p>
        </w:tc>
        <w:tc>
          <w:tcPr>
            <w:tcW w:w="2862" w:type="dxa"/>
            <w:tcBorders>
              <w:top w:val="single" w:sz="4" w:space="0" w:color="auto"/>
              <w:bottom w:val="single" w:sz="4" w:space="0" w:color="auto"/>
            </w:tcBorders>
          </w:tcPr>
          <w:p w14:paraId="6F635CFB" w14:textId="77777777" w:rsidR="003E199B" w:rsidRPr="00457295" w:rsidRDefault="003E199B" w:rsidP="00F67ED8">
            <w:pPr>
              <w:spacing w:after="0"/>
              <w:contextualSpacing/>
              <w:rPr>
                <w:rFonts w:eastAsia="Calibri"/>
                <w:b/>
                <w:bCs/>
                <w:lang w:val="en-US"/>
              </w:rPr>
            </w:pPr>
            <w:r w:rsidRPr="00457295">
              <w:rPr>
                <w:rFonts w:eastAsia="Calibri"/>
                <w:b/>
                <w:bCs/>
                <w:lang w:val="en-US"/>
              </w:rPr>
              <w:t>Function</w:t>
            </w:r>
          </w:p>
        </w:tc>
        <w:tc>
          <w:tcPr>
            <w:tcW w:w="1662" w:type="dxa"/>
            <w:tcBorders>
              <w:top w:val="single" w:sz="4" w:space="0" w:color="auto"/>
              <w:bottom w:val="single" w:sz="4" w:space="0" w:color="auto"/>
            </w:tcBorders>
          </w:tcPr>
          <w:p w14:paraId="51F2E92A" w14:textId="77777777" w:rsidR="003E199B" w:rsidRPr="00457295" w:rsidRDefault="003E199B" w:rsidP="00F67ED8">
            <w:pPr>
              <w:spacing w:after="0"/>
              <w:contextualSpacing/>
              <w:rPr>
                <w:rFonts w:eastAsia="Calibri"/>
                <w:b/>
                <w:bCs/>
                <w:lang w:val="en-US"/>
              </w:rPr>
            </w:pPr>
            <w:r w:rsidRPr="00457295">
              <w:rPr>
                <w:rFonts w:eastAsia="Calibri"/>
                <w:b/>
                <w:bCs/>
                <w:lang w:val="en-US"/>
              </w:rPr>
              <w:t>Detection method</w:t>
            </w:r>
          </w:p>
        </w:tc>
        <w:tc>
          <w:tcPr>
            <w:tcW w:w="1700" w:type="dxa"/>
            <w:tcBorders>
              <w:top w:val="single" w:sz="4" w:space="0" w:color="auto"/>
              <w:bottom w:val="single" w:sz="4" w:space="0" w:color="auto"/>
            </w:tcBorders>
          </w:tcPr>
          <w:p w14:paraId="6EE7E452" w14:textId="77777777" w:rsidR="003E199B" w:rsidRPr="00457295" w:rsidRDefault="003E199B" w:rsidP="00F67ED8">
            <w:pPr>
              <w:spacing w:after="0"/>
              <w:contextualSpacing/>
              <w:rPr>
                <w:rFonts w:eastAsia="Calibri"/>
                <w:b/>
                <w:bCs/>
                <w:lang w:val="en-US"/>
              </w:rPr>
            </w:pPr>
            <w:r w:rsidRPr="00457295">
              <w:rPr>
                <w:rFonts w:eastAsia="Calibri"/>
                <w:b/>
                <w:bCs/>
                <w:lang w:val="en-US"/>
              </w:rPr>
              <w:t>Samples</w:t>
            </w:r>
          </w:p>
        </w:tc>
        <w:tc>
          <w:tcPr>
            <w:tcW w:w="1960" w:type="dxa"/>
            <w:tcBorders>
              <w:top w:val="single" w:sz="4" w:space="0" w:color="auto"/>
              <w:bottom w:val="single" w:sz="4" w:space="0" w:color="auto"/>
            </w:tcBorders>
          </w:tcPr>
          <w:p w14:paraId="512F057D" w14:textId="34F4A81E" w:rsidR="003E199B" w:rsidRPr="00457295" w:rsidRDefault="003E199B" w:rsidP="00F67ED8">
            <w:pPr>
              <w:spacing w:after="0"/>
              <w:contextualSpacing/>
              <w:rPr>
                <w:rFonts w:eastAsia="Calibri"/>
                <w:b/>
                <w:bCs/>
                <w:lang w:val="en-US"/>
              </w:rPr>
            </w:pPr>
            <w:r w:rsidRPr="00457295">
              <w:rPr>
                <w:rFonts w:eastAsia="Calibri"/>
                <w:b/>
                <w:bCs/>
                <w:lang w:val="en-US"/>
              </w:rPr>
              <w:t>Ref</w:t>
            </w:r>
            <w:r w:rsidR="00457295" w:rsidRPr="00457295">
              <w:rPr>
                <w:rFonts w:eastAsia="Calibri"/>
                <w:b/>
                <w:bCs/>
                <w:lang w:val="en-US"/>
              </w:rPr>
              <w:t>.</w:t>
            </w:r>
          </w:p>
        </w:tc>
      </w:tr>
      <w:tr w:rsidR="003E199B" w:rsidRPr="00F06EA4" w14:paraId="590C0342" w14:textId="77777777" w:rsidTr="006A0A62">
        <w:trPr>
          <w:trHeight w:val="20"/>
        </w:trPr>
        <w:tc>
          <w:tcPr>
            <w:tcW w:w="1739" w:type="dxa"/>
          </w:tcPr>
          <w:p w14:paraId="57885D0E" w14:textId="77777777" w:rsidR="003E199B" w:rsidRPr="00F06EA4" w:rsidRDefault="003E199B" w:rsidP="00F67ED8">
            <w:pPr>
              <w:spacing w:after="0"/>
              <w:contextualSpacing/>
              <w:rPr>
                <w:rFonts w:eastAsia="Calibri"/>
                <w:lang w:val="en-US"/>
              </w:rPr>
            </w:pPr>
            <w:r w:rsidRPr="00F06EA4">
              <w:rPr>
                <w:rFonts w:eastAsia="Calibri"/>
                <w:lang w:val="en-US"/>
              </w:rPr>
              <w:t>IL6</w:t>
            </w:r>
          </w:p>
        </w:tc>
        <w:tc>
          <w:tcPr>
            <w:tcW w:w="2862" w:type="dxa"/>
          </w:tcPr>
          <w:p w14:paraId="2566CF42" w14:textId="77777777" w:rsidR="003E199B" w:rsidRPr="00F06EA4" w:rsidRDefault="003E199B" w:rsidP="00F67ED8">
            <w:pPr>
              <w:spacing w:after="0"/>
              <w:contextualSpacing/>
              <w:rPr>
                <w:rFonts w:eastAsia="Calibri"/>
                <w:lang w:val="en-US"/>
              </w:rPr>
            </w:pPr>
            <w:r w:rsidRPr="00F06EA4">
              <w:rPr>
                <w:rFonts w:eastAsia="Calibri"/>
                <w:lang w:val="en-US"/>
              </w:rPr>
              <w:t>Proinflammatory cytokine</w:t>
            </w:r>
          </w:p>
        </w:tc>
        <w:tc>
          <w:tcPr>
            <w:tcW w:w="1662" w:type="dxa"/>
          </w:tcPr>
          <w:p w14:paraId="7429E367" w14:textId="77777777" w:rsidR="003E199B" w:rsidRPr="00F06EA4" w:rsidRDefault="003E199B" w:rsidP="00F67ED8">
            <w:pPr>
              <w:spacing w:after="0"/>
              <w:contextualSpacing/>
              <w:rPr>
                <w:rFonts w:eastAsia="Calibri"/>
                <w:lang w:val="en-US"/>
              </w:rPr>
            </w:pPr>
            <w:r w:rsidRPr="00F06EA4">
              <w:rPr>
                <w:rFonts w:eastAsia="Calibri"/>
                <w:lang w:val="en-US"/>
              </w:rPr>
              <w:t>IF</w:t>
            </w:r>
          </w:p>
        </w:tc>
        <w:tc>
          <w:tcPr>
            <w:tcW w:w="1700" w:type="dxa"/>
          </w:tcPr>
          <w:p w14:paraId="0605CAC0"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960" w:type="dxa"/>
          </w:tcPr>
          <w:p w14:paraId="273FE39F" w14:textId="24E8057B" w:rsidR="003E199B" w:rsidRPr="00F06EA4" w:rsidRDefault="003E199B" w:rsidP="00F67ED8">
            <w:pPr>
              <w:spacing w:after="0"/>
              <w:contextualSpacing/>
              <w:rPr>
                <w:rFonts w:eastAsia="Calibri"/>
                <w:lang w:val="fi-FI"/>
              </w:rPr>
            </w:pPr>
            <w:r w:rsidRPr="00F06EA4">
              <w:rPr>
                <w:rFonts w:eastAsia="Calibri"/>
                <w:lang w:val="fi-FI"/>
              </w:rPr>
              <w:t xml:space="preserve">Nagasaki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{"citationItems":[{"id":"ITEM-1","itemData":{"DOI":"10.1038/bjc.2013.748","ISSN":"0007-0920","PMID":"24346288","abstract":"BACKGROUND Interleukin-6 (IL-6) has an important role in cancer progression, and high levels of plasma IL-6 are correlated with a poor prognosis in a variety of cancers. It has also been reported that tumour stromal fibroblasts are necessary for steps in cancer progression, such as angiogenesis. There have been few reports of a correlation between fibroblast actions and IL-6 levels. In this study, we examined the correlation between cancer stromal fibroblasts and IL-6 and the utility of IL-6 as a therapeutic target in human colon cancer. METHODS The expression levels of IL-6 and VEGF of fibroblasts and cancer cell lines were evaluated using real-time PCR and ELISA. The anti-angiogenic effect of inhibiting IL-6 signalling was measured in an angiogenesis model and animal experiment. RESULTS We demonstrate that stromal fibroblasts isolated from colon cancer produced significant amounts of IL-6 and that colon cancer cells enhanced IL-6 production by stromal fibroblasts. Moreover, IL-6 enhanced VEGF production by fibroblasts, thereby inducing angiogenesis. In vivo, anti-IL6 receptor antibody targeting stromal tissue showed greater anti-tumour activity than did anti-IL6 receptor antibody targeting xenografted cancer cells. CONCLUSION Cancer stromal fibroblasts were an important source of IL-6 in colon cancer. IL-6 produced by activated fibroblasts induced tumour angiogenesis by stimulating adjacent stromal fibroblasts. The relationship between IL-6 and stromal fibroblasts offers new approaches to cancer therapy.","author":[{"dropping-particle":"","family":"Nagasaki","given":"T","non-dropping-particle":"","parse-names":false,"suffix":""},{"dropping-particle":"","family":"Hara","given":"M","non-dropping-particle":"","parse-names":false,"suffix":""},{"dropping-particle":"","family":"Nakanishi","given":"H","non-dropping-particle":"","parse-names":false,"suffix":""},{"dropping-particle":"","family":"Takahashi","given":"H","non-dropping-particle":"","parse-names":false,"suffix":""},{"dropping-particle":"","family":"Sato","given":"M","non-dropping-particle":"","parse-names":false,"suffix":""},{"dropping-particle":"","family":"Takeyama","given":"H","non-dropping-particle":"","parse-names":false,"suffix":""}],"container-title":"British Journal of Cancer","id":"ITEM-1","issue":"2","issued":{"date-parts":[["2014"]]},"page":"469-478","title":"Interleukin-6 released by colon cancer-associated fibroblasts is critical for tumour angiogenesis: anti-interleukin-6 receptor antibody suppressed angiogenesis and inhibited tumour–stroma interaction","type":"article-journal","volume":"110"},"uris":["http://www.mendeley.com/documents/?uuid=430a7d46-63a6-3eda-9e02-b214bf57d770"]}],"mendeley":{"formattedCitation":"&lt;sup&gt;[29]&lt;/sup&gt;","plainTextFormattedCitation":"[29]","previouslyFormattedCitation":"&lt;sup&gt;[29]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[29]</w:t>
            </w:r>
            <w:r w:rsidRPr="00F06EA4">
              <w:rPr>
                <w:rFonts w:eastAsia="Calibri"/>
                <w:lang w:val="en-US"/>
              </w:rPr>
              <w:fldChar w:fldCharType="end"/>
            </w:r>
          </w:p>
        </w:tc>
      </w:tr>
      <w:tr w:rsidR="003E199B" w:rsidRPr="00F06EA4" w14:paraId="04AFB68E" w14:textId="77777777" w:rsidTr="006A0A62">
        <w:trPr>
          <w:trHeight w:val="20"/>
        </w:trPr>
        <w:tc>
          <w:tcPr>
            <w:tcW w:w="1739" w:type="dxa"/>
          </w:tcPr>
          <w:p w14:paraId="3CE5D32B" w14:textId="77777777" w:rsidR="003E199B" w:rsidRPr="00F06EA4" w:rsidRDefault="003E199B" w:rsidP="00F67ED8">
            <w:pPr>
              <w:spacing w:after="0"/>
              <w:contextualSpacing/>
              <w:rPr>
                <w:rFonts w:eastAsia="Calibri"/>
                <w:lang w:val="en-US"/>
              </w:rPr>
            </w:pPr>
            <w:r w:rsidRPr="00F06EA4">
              <w:rPr>
                <w:rFonts w:eastAsia="Calibri"/>
                <w:lang w:val="en-US"/>
              </w:rPr>
              <w:t>IL6</w:t>
            </w:r>
          </w:p>
        </w:tc>
        <w:tc>
          <w:tcPr>
            <w:tcW w:w="2862" w:type="dxa"/>
          </w:tcPr>
          <w:p w14:paraId="57E2EA71" w14:textId="77777777" w:rsidR="003E199B" w:rsidRPr="00F06EA4" w:rsidRDefault="003E199B" w:rsidP="00F67ED8">
            <w:pPr>
              <w:spacing w:after="0"/>
              <w:contextualSpacing/>
              <w:rPr>
                <w:rFonts w:eastAsia="Calibri"/>
                <w:lang w:val="en-US"/>
              </w:rPr>
            </w:pPr>
            <w:r w:rsidRPr="00F06EA4">
              <w:rPr>
                <w:rFonts w:eastAsia="Calibri"/>
                <w:lang w:val="en-US"/>
              </w:rPr>
              <w:t>Proinflammatory cytokine</w:t>
            </w:r>
          </w:p>
        </w:tc>
        <w:tc>
          <w:tcPr>
            <w:tcW w:w="1662" w:type="dxa"/>
          </w:tcPr>
          <w:p w14:paraId="3748D861"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00A1C73A"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5964A235" w14:textId="194D6F66"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07968844" w14:textId="77777777" w:rsidTr="006A0A62">
        <w:trPr>
          <w:trHeight w:val="20"/>
        </w:trPr>
        <w:tc>
          <w:tcPr>
            <w:tcW w:w="1739" w:type="dxa"/>
          </w:tcPr>
          <w:p w14:paraId="63FB28B8" w14:textId="77777777" w:rsidR="003E199B" w:rsidRPr="00F06EA4" w:rsidRDefault="003E199B" w:rsidP="00F67ED8">
            <w:pPr>
              <w:spacing w:after="0"/>
              <w:contextualSpacing/>
              <w:rPr>
                <w:rFonts w:eastAsia="Calibri"/>
                <w:lang w:val="en-US"/>
              </w:rPr>
            </w:pPr>
            <w:r w:rsidRPr="00F06EA4">
              <w:rPr>
                <w:rFonts w:eastAsia="Calibri"/>
                <w:lang w:val="en-US"/>
              </w:rPr>
              <w:t>IL6</w:t>
            </w:r>
          </w:p>
        </w:tc>
        <w:tc>
          <w:tcPr>
            <w:tcW w:w="2862" w:type="dxa"/>
          </w:tcPr>
          <w:p w14:paraId="35561175" w14:textId="77777777" w:rsidR="003E199B" w:rsidRPr="00F06EA4" w:rsidDel="00FB267F" w:rsidRDefault="003E199B" w:rsidP="00F67ED8">
            <w:pPr>
              <w:spacing w:after="0"/>
              <w:contextualSpacing/>
              <w:rPr>
                <w:rFonts w:eastAsia="Calibri"/>
                <w:lang w:val="en-US"/>
              </w:rPr>
            </w:pPr>
            <w:r w:rsidRPr="00F06EA4">
              <w:rPr>
                <w:rFonts w:eastAsia="Calibri"/>
                <w:lang w:val="en-US"/>
              </w:rPr>
              <w:t>Proinflammatory cytokine</w:t>
            </w:r>
          </w:p>
        </w:tc>
        <w:tc>
          <w:tcPr>
            <w:tcW w:w="1662" w:type="dxa"/>
          </w:tcPr>
          <w:p w14:paraId="41E87D96"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700" w:type="dxa"/>
          </w:tcPr>
          <w:p w14:paraId="0F26B34B" w14:textId="77777777" w:rsidR="003E199B" w:rsidRPr="00F06EA4" w:rsidRDefault="003E199B" w:rsidP="00F67ED8">
            <w:pPr>
              <w:spacing w:after="0"/>
              <w:contextualSpacing/>
              <w:rPr>
                <w:rFonts w:eastAsia="Calibri"/>
                <w:lang w:val="en-US"/>
              </w:rPr>
            </w:pPr>
            <w:r w:rsidRPr="00F06EA4">
              <w:rPr>
                <w:rFonts w:eastAsia="Calibri"/>
                <w:lang w:val="en-US"/>
              </w:rPr>
              <w:t>CAFs isolated from human CRC tissue</w:t>
            </w:r>
          </w:p>
        </w:tc>
        <w:tc>
          <w:tcPr>
            <w:tcW w:w="1960" w:type="dxa"/>
          </w:tcPr>
          <w:p w14:paraId="5AB908E1" w14:textId="1CFA806A" w:rsidR="003E199B" w:rsidRPr="00F06EA4" w:rsidRDefault="003E199B" w:rsidP="00F67ED8">
            <w:pPr>
              <w:spacing w:after="0"/>
              <w:contextualSpacing/>
              <w:rPr>
                <w:rFonts w:eastAsia="Calibri"/>
                <w:lang w:val="en-US"/>
              </w:rPr>
            </w:pPr>
            <w:r w:rsidRPr="00F06EA4">
              <w:rPr>
                <w:rFonts w:eastAsia="Calibri"/>
                <w:lang w:val="en-US"/>
              </w:rPr>
              <w:t xml:space="preserve">Zhang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{"citationItems":[{"id":"ITEM-1","itemData":{"DOI":"10.1038/s41419-019-1435-2","ISSN":"2041-4889","PMID":"30894509","abstract":"Cancer-associated fibroblasts (CAFs) and tumor-associated macrophages (TAMs) are important components of the tumor microenvironment, which have been reported to localize in colorectal carcinomas where they promote tumor progression. One of the crucial effects they exerted is immune-suppression, which was reported recently, however, the overall mechanism has not been fully addressed. In this study, it was shown that TAMs were enriched in colorectal cancer, and their infiltration was associated with VCAM-1 expression. Human colorectal cancer-derived CAFs can promote the adhesion of monocytes by up-regulating VCAM-1 expression in colorectal cancer cells. Furthermore, CAFs can attract monocytes by secreting IL-8 rather than SDF-1 and subsequently promote M2 polarization of macrophages, which synergize with CAFs in suppressing the functioning of natural killer (NK) cells. It was also found that CAFs promoted M2 macrophages recruitment in tumor tissue in vivo, and after VCAM-1 knocking-down in tumor cells or depletion of macrophages, the pro-tumor effect of CAFs was partly abolished, but no change was observed in NK cells infiltration. Collectively, the findings in this work show that TAMs and CAFs function synergistically in the tumor microenvironment and have the capacity to regulate NK cells in colorectal cancer and this presents a novel mechanism.","author":[{"dropping-particle":"","family":"Zhang","given":"Rongsheng","non-dropping-particle":"","parse-names":false,"suffix":""},{"dropping-particle":"","family":"Qi","given":"Fan","non-dropping-particle":"","parse-names":false,"suffix":""},{"dropping-particle":"","family":"Zhao","given":"Fei","non-dropping-particle":"","parse-names":false,"suffix":""},{"dropping-particle":"","family":"Li","given":"Geng","non-dropping-particle":"","parse-names":false,"suffix":""},{"dropping-particle":"","family":"Shao","given":"Shengli","non-dropping-particle":"","parse-names":false,"suffix":""},{"dropping-particle":"","family":"Zhang","given":"Xiaochao","non-dropping-particle":"","parse-names":false,"suffix":""},{"dropping-particle":"","family":"Yuan","given":"Lifei","non-dropping-particle":"","parse-names":false,"suffix":""},{"dropping-particle":"","family":"Feng","given":"Yongdong","non-dropping-particle":"","parse-names":false,"suffix":""}],"container-title":"Cell death &amp; disease","id":"ITEM-1","issue":"4","issued":{"date-parts":[["2019","3"]]},"page":"273","title":"Cancer-associated fibroblasts enhance tumor-associated macrophages enrichment and suppress NK cells function in colorectal cancer.","type":"article-journal","volume":"10"},"uris":["http://www.mendeley.com/documents/?uuid=add96ca7-36a7-32c7-bf0d-3107e264625a"]}],"mendeley":{"formattedCitation":"&lt;sup&gt;[187]&lt;/sup&gt;","plainTextFormattedCitation":"[187]","previouslyFormattedCitation":"&lt;sup&gt;[187]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[187]</w:t>
            </w:r>
            <w:r w:rsidRPr="00F06EA4">
              <w:rPr>
                <w:rFonts w:eastAsia="Calibri"/>
                <w:lang w:val="en-US"/>
              </w:rPr>
              <w:fldChar w:fldCharType="end"/>
            </w:r>
          </w:p>
        </w:tc>
      </w:tr>
      <w:tr w:rsidR="003E199B" w:rsidRPr="00F06EA4" w14:paraId="021445FA" w14:textId="77777777" w:rsidTr="006A0A62">
        <w:trPr>
          <w:trHeight w:val="20"/>
        </w:trPr>
        <w:tc>
          <w:tcPr>
            <w:tcW w:w="1739" w:type="dxa"/>
          </w:tcPr>
          <w:p w14:paraId="34F65B17" w14:textId="77777777" w:rsidR="003E199B" w:rsidRPr="00F06EA4" w:rsidRDefault="003E199B" w:rsidP="00F67ED8">
            <w:pPr>
              <w:spacing w:after="0"/>
              <w:contextualSpacing/>
              <w:rPr>
                <w:rFonts w:eastAsia="Calibri"/>
                <w:lang w:val="en-US"/>
              </w:rPr>
            </w:pPr>
            <w:r w:rsidRPr="00F06EA4">
              <w:rPr>
                <w:rFonts w:eastAsia="Calibri"/>
                <w:lang w:val="en-US"/>
              </w:rPr>
              <w:t>IL8</w:t>
            </w:r>
          </w:p>
        </w:tc>
        <w:tc>
          <w:tcPr>
            <w:tcW w:w="2862" w:type="dxa"/>
          </w:tcPr>
          <w:p w14:paraId="6A1158A5" w14:textId="77777777" w:rsidR="003E199B" w:rsidRPr="00F06EA4" w:rsidDel="00FB267F" w:rsidRDefault="003E199B" w:rsidP="00F67ED8">
            <w:pPr>
              <w:spacing w:after="0"/>
              <w:contextualSpacing/>
              <w:rPr>
                <w:rFonts w:eastAsia="Calibri"/>
                <w:lang w:val="en-US"/>
              </w:rPr>
            </w:pPr>
            <w:r w:rsidRPr="00F06EA4">
              <w:rPr>
                <w:rFonts w:eastAsia="Calibri"/>
                <w:lang w:val="en-US"/>
              </w:rPr>
              <w:t>Proinflammatory cytokine</w:t>
            </w:r>
          </w:p>
        </w:tc>
        <w:tc>
          <w:tcPr>
            <w:tcW w:w="1662" w:type="dxa"/>
          </w:tcPr>
          <w:p w14:paraId="3682A33C" w14:textId="77777777" w:rsidR="003E199B" w:rsidRPr="00F06EA4" w:rsidRDefault="003E199B" w:rsidP="00F67ED8">
            <w:pPr>
              <w:spacing w:after="0"/>
              <w:contextualSpacing/>
              <w:rPr>
                <w:rFonts w:eastAsia="Calibri"/>
                <w:lang w:val="en-US"/>
              </w:rPr>
            </w:pPr>
            <w:r w:rsidRPr="00F06EA4">
              <w:rPr>
                <w:rFonts w:eastAsia="Calibri"/>
                <w:lang w:val="en-US"/>
              </w:rPr>
              <w:t>ELISA</w:t>
            </w:r>
          </w:p>
        </w:tc>
        <w:tc>
          <w:tcPr>
            <w:tcW w:w="1700" w:type="dxa"/>
          </w:tcPr>
          <w:p w14:paraId="4CBD00D9" w14:textId="77777777" w:rsidR="003E199B" w:rsidRPr="00F06EA4" w:rsidRDefault="003E199B" w:rsidP="00F67ED8">
            <w:pPr>
              <w:spacing w:after="0"/>
              <w:contextualSpacing/>
              <w:rPr>
                <w:rFonts w:eastAsia="Calibri"/>
                <w:lang w:val="en-US"/>
              </w:rPr>
            </w:pPr>
            <w:r w:rsidRPr="00F06EA4">
              <w:rPr>
                <w:rFonts w:eastAsia="Calibri"/>
                <w:lang w:val="en-US"/>
              </w:rPr>
              <w:t>CAFs isolated from human CRC tissue</w:t>
            </w:r>
          </w:p>
        </w:tc>
        <w:tc>
          <w:tcPr>
            <w:tcW w:w="1960" w:type="dxa"/>
          </w:tcPr>
          <w:p w14:paraId="09D66CB0" w14:textId="6839A42B" w:rsidR="003E199B" w:rsidRPr="00F06EA4" w:rsidRDefault="003E199B" w:rsidP="00F67ED8">
            <w:pPr>
              <w:spacing w:after="0"/>
              <w:contextualSpacing/>
              <w:rPr>
                <w:rFonts w:eastAsia="Calibri"/>
                <w:lang w:val="en-US"/>
              </w:rPr>
            </w:pPr>
            <w:r w:rsidRPr="00F06EA4">
              <w:rPr>
                <w:rFonts w:eastAsia="Calibri"/>
                <w:lang w:val="en-US"/>
              </w:rPr>
              <w:t xml:space="preserve">Zhang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{"citationItems":[{"id":"ITEM-1","itemData":{"DOI":"10.1038/s41419-019-1435-2","ISSN":"2041-4889","PMID":"30894509","abstract":"Cancer-associated fibroblasts (CAFs) and tumor-associated macrophages (TAMs) are important components of the tumor microenvironment, which have been reported to localize in colorectal carcinomas where they promote tumor progression. One of the crucial effects they exerted is immune-suppression, which was reported recently, however, the overall mechanism has not been fully addressed. In this study, it was shown that TAMs were enriched in colorectal cancer, and their infiltration was associated with VCAM-1 expression. Human colorectal cancer-derived CAFs can promote the adhesion of monocytes by up-regulating VCAM-1 expression in colorectal cancer cells. Furthermore, CAFs can attract monocytes by secreting IL-8 rather than SDF-1 and subsequently promote M2 polarization of macrophages, which synergize with CAFs in suppressing the functioning of natural killer (NK) cells. It was also found that CAFs promoted M2 macrophages recruitment in tumor tissue in vivo, and after VCAM-1 knocking-down in tumor cells or depletion of macrophages, the pro-tumor effect of CAFs was partly abolished, but no change was observed in NK cells infiltration. Collectively, the findings in this work show that TAMs and CAFs function synergistically in the tumor microenvironment and have the capacity to regulate NK cells in colorectal cancer and this presents a novel mechanism.","author":[{"dropping-particle":"","family":"Zhang","given":"Rongsheng","non-dropping-particle":"","parse-names":false,"suffix":""},{"dropping-particle":"","family":"Qi","given":"Fan","non-dropping-particle":"","parse-names":false,"suffix":""},{"dropping-particle":"","family":"Zhao","given":"Fei","non-dropping-particle":"","parse-names":false,"suffix":""},{"dropping-particle":"","family":"Li","given":"Geng","non-dropping-particle":"","parse-names":false,"suffix":""},{"dropping-particle":"","family":"Shao","given":"Shengli","non-dropping-particle":"","parse-names":false,"suffix":""},{"dropping-particle":"","family":"Zhang","given":"Xiaochao","non-dropping-particle":"","parse-names":false,"suffix":""},{"dropping-particle":"","family":"Yuan","given":"Lifei","non-dropping-particle":"","parse-names":false,"suffix":""},{"dropping-particle":"","family":"Feng","given":"Yongdong","non-dropping-particle":"","parse-names":false,"suffix":""}],"container-title":"Cell death &amp; disease","id":"ITEM-1","issue":"4","issued":{"date-parts":[["2019","3"]]},"page":"273","title":"Cancer-associated fibroblasts enhance tumor-associated macrophages enrichment and suppress NK cells function in colorectal cancer.","type":"article-journal","volume":"10"},"uris":["http://www.mendeley.com/documents/?uuid=add96ca7-36a7-32c7-bf0d-3107e264625a"]}],"mendeley":{"formattedCitation":"&lt;sup&gt;[187]&lt;/sup&gt;","plainTextFormattedCitation":"[187]","previouslyFormattedCitation":"&lt;sup&gt;[187]&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[187]</w:t>
            </w:r>
            <w:r w:rsidRPr="00F06EA4">
              <w:rPr>
                <w:rFonts w:eastAsia="Calibri"/>
                <w:lang w:val="en-US"/>
              </w:rPr>
              <w:fldChar w:fldCharType="end"/>
            </w:r>
          </w:p>
        </w:tc>
      </w:tr>
      <w:tr w:rsidR="003E199B" w:rsidRPr="00F06EA4" w14:paraId="7E26A0AB" w14:textId="77777777" w:rsidTr="006A0A62">
        <w:trPr>
          <w:trHeight w:val="20"/>
        </w:trPr>
        <w:tc>
          <w:tcPr>
            <w:tcW w:w="1739" w:type="dxa"/>
          </w:tcPr>
          <w:p w14:paraId="5ECD3779" w14:textId="77777777" w:rsidR="003E199B" w:rsidRPr="00F06EA4" w:rsidRDefault="003E199B" w:rsidP="00F67ED8">
            <w:pPr>
              <w:spacing w:after="0"/>
              <w:contextualSpacing/>
              <w:rPr>
                <w:rFonts w:eastAsia="Calibri"/>
                <w:lang w:val="en-US"/>
              </w:rPr>
            </w:pPr>
            <w:r w:rsidRPr="00F06EA4">
              <w:rPr>
                <w:rFonts w:eastAsia="Calibri"/>
                <w:lang w:val="en-US"/>
              </w:rPr>
              <w:t>IL11</w:t>
            </w:r>
          </w:p>
        </w:tc>
        <w:tc>
          <w:tcPr>
            <w:tcW w:w="2862" w:type="dxa"/>
          </w:tcPr>
          <w:p w14:paraId="01D60AE2" w14:textId="77777777" w:rsidR="003E199B" w:rsidRPr="00F06EA4" w:rsidDel="00FB267F" w:rsidRDefault="003E199B" w:rsidP="00F67ED8">
            <w:pPr>
              <w:spacing w:after="0"/>
              <w:contextualSpacing/>
              <w:rPr>
                <w:rFonts w:eastAsia="Calibri"/>
                <w:lang w:val="en-US"/>
              </w:rPr>
            </w:pPr>
            <w:r w:rsidRPr="00F06EA4">
              <w:rPr>
                <w:rFonts w:eastAsia="Calibri"/>
                <w:lang w:val="en-US"/>
              </w:rPr>
              <w:t>Anti-inflammatory cytokine</w:t>
            </w:r>
          </w:p>
        </w:tc>
        <w:tc>
          <w:tcPr>
            <w:tcW w:w="1662" w:type="dxa"/>
          </w:tcPr>
          <w:p w14:paraId="0B6C3621" w14:textId="77777777" w:rsidR="003E199B" w:rsidRPr="00F06EA4" w:rsidRDefault="003E199B" w:rsidP="00F67ED8">
            <w:pPr>
              <w:spacing w:after="0"/>
              <w:contextualSpacing/>
              <w:rPr>
                <w:rFonts w:eastAsia="Calibri"/>
                <w:lang w:val="en-US"/>
              </w:rPr>
            </w:pPr>
            <w:r w:rsidRPr="00F06EA4">
              <w:rPr>
                <w:rFonts w:eastAsia="Calibri"/>
                <w:lang w:val="en-US"/>
              </w:rPr>
              <w:t>qRT-PCR</w:t>
            </w:r>
          </w:p>
        </w:tc>
        <w:tc>
          <w:tcPr>
            <w:tcW w:w="1700" w:type="dxa"/>
          </w:tcPr>
          <w:p w14:paraId="5165420B" w14:textId="77777777" w:rsidR="003E199B" w:rsidRPr="00F06EA4" w:rsidRDefault="003E199B" w:rsidP="00F67ED8">
            <w:pPr>
              <w:spacing w:after="0"/>
              <w:contextualSpacing/>
              <w:rPr>
                <w:rFonts w:eastAsia="Calibri"/>
                <w:lang w:val="en-US"/>
              </w:rPr>
            </w:pPr>
            <w:r w:rsidRPr="00F06EA4">
              <w:rPr>
                <w:rFonts w:eastAsia="Calibri"/>
                <w:lang w:val="en-US"/>
              </w:rPr>
              <w:t>CAFs isolated from human CRC tissue</w:t>
            </w:r>
          </w:p>
        </w:tc>
        <w:tc>
          <w:tcPr>
            <w:tcW w:w="1960" w:type="dxa"/>
          </w:tcPr>
          <w:p w14:paraId="34A3775B" w14:textId="6F34991D" w:rsidR="003E199B" w:rsidRPr="00F06EA4" w:rsidRDefault="003E199B" w:rsidP="00F67ED8">
            <w:pPr>
              <w:spacing w:after="0"/>
              <w:contextualSpacing/>
              <w:rPr>
                <w:rFonts w:eastAsia="Calibri"/>
                <w:lang w:val="en-US"/>
              </w:rPr>
            </w:pPr>
            <w:r w:rsidRPr="00F06EA4">
              <w:rPr>
                <w:rFonts w:eastAsia="Calibri"/>
                <w:lang w:val="en-US"/>
              </w:rPr>
              <w:t xml:space="preserve">Calon </w:t>
            </w:r>
            <w:r w:rsidR="0046007C" w:rsidRPr="00F06EA4">
              <w:rPr>
                <w:rFonts w:eastAsia="Calibri"/>
                <w:i/>
                <w:iCs/>
                <w:lang w:val="en-US"/>
              </w:rPr>
              <w:t>et al</w:t>
            </w:r>
            <w:r w:rsidRPr="00F06EA4">
              <w:rPr>
                <w:rFonts w:eastAsia="Calibri"/>
                <w:lang w:val="en-US"/>
              </w:rPr>
              <w:fldChar w:fldCharType="begin" w:fldLock="1"/>
            </w:r>
            <w:r w:rsidR="002E66FA" w:rsidRPr="00F06EA4">
              <w:rPr>
                <w:rFonts w:eastAsia="Calibri"/>
                <w:lang w:val="en-US"/>
              </w:rPr>
              <w:instrText>ADDIN CSL_CITATION {"citationItems":[{"id":"ITEM-1","itemData":{"DOI":"10.1016/j.ccr.2012.08.013","ISSN":"15356108","PMID":"23153532","abstract":"A large proportion of colorectal cancers (CRCs) display mutational inactivation of the TGF-β pathway, yet, paradoxically, they are characterized by elevated TGF-β production. Here, we unveil a prometastatic program induced by TGF-β in the microenvironment that associates with a high risk of CRC relapse upon treatment. The activity of TGF-β on stromal cells increases the efficiency of organ colonization by CRC cells, whereas mice treated with a pharmacological inhibitor of TGFBR1 are resilient to metastasis formation. Secretion of IL11 by TGF-β-stimulated cancer-associated fibroblasts (CAFs) triggers GP130/STAT3 signaling in tumor cells. This crosstalk confers a survival advantage to metastatic cells. The dependency on the TGF-β stromal program for metastasis initiation could be exploited to improve the diagnosis and treatment of CRC.","author":[{"dropping-particle":"","family":"Calon","given":"Alexandre","non-dropping-particle":"","parse-names":false,"suffix":""},{"dropping-particle":"","family":"Espinet","given":"Elisa","non-dropping-particle":"","parse-names":false,"suffix":""},{"dropping-particle":"","family":"Palomo-Ponce","given":"Sergio","non-dropping-particle":"","parse-names":false,"suffix":""},{"dropping-particle":"","family":"Tauriello","given":"Daniele V.F.","non-dropping-particle":"","parse-names":false,"suffix":""},{"dropping-particle":"","family":"Iglesias","given":"Mar","non-dropping-particle":"","parse-names":false,"suffix":""},{"dropping-particle":"","family":"Céspedes","given":"María Virtudes","non-dropping-particle":"","parse-names":false,"suffix":""},{"dropping-particle":"","family":"Sevillano","given":"Marta","non-dropping-particle":"","parse-names":false,"suffix":""},{"dropping-particle":"","family":"Nadal","given":"Cristina","non-dropping-particle":"","parse-names":false,"suffix":""},{"dropping-particle":"","family":"Jung","given":"Peter","non-dropping-particle":"","parse-names":false,"suffix":""},{"dropping-particle":"","family":"Zhang","given":"Xiang H.-F.","non-dropping-particle":"","parse-names":false,"suffix":""},{"dropping-particle":"","family":"Byrom","given":"Daniel","non-dropping-particle":"","parse-names":false,"suffix":""},{"dropping-particle":"","family":"Riera","given":"Antoni","non-dropping-particle":"","parse-names":false,"suffix":""},{"dropping-particle":"","family":"Rossell","given":"David","non-dropping-particle":"","parse-names":false,"suffix":""},{"dropping-particle":"","family":"Mangues","given":"Ramón","non-dropping-particle":"","parse-names":false,"suffix":""},{"dropping-particle":"","family":"Massagué","given":"Joan","non-dropping-particle":"","parse-names":false,"suffix":""},{"dropping-particle":"","family":"Sancho","given":"Elena","non-dropping-particle":"","parse-names":false,"suffix":""},{"dropping-particle":"","family":"Batlle","given":"Eduard","non-dropping-particle":"","parse-names":false,"suffix":""}],"container-title":"Cancer Cell","id":"ITEM-1","issue":"5","issued":{"date-parts":[["2012"]]},"page":"571-584","title":"Dependency of Colorectal Cancer on a TGF-β-Driven Program in Stromal Cells for Metastasis Initiation","type":"article-journal","volume":"22"},"uris":["http://www.mendeley.com/documents/?uuid=8aee1a63-5501-341f-95e3-c59ab6b1e5bd"]}],"mendeley":{"formattedCitation":"&lt;sup&gt;[188]&lt;/sup&gt;","plainTextFormattedCitation":"[188]","previouslyFormattedCitation":"&lt;sup&gt;[188]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[188]</w:t>
            </w:r>
            <w:r w:rsidRPr="00F06EA4">
              <w:rPr>
                <w:rFonts w:eastAsia="Calibri"/>
                <w:lang w:val="en-US"/>
              </w:rPr>
              <w:fldChar w:fldCharType="end"/>
            </w:r>
          </w:p>
        </w:tc>
      </w:tr>
      <w:tr w:rsidR="003E199B" w:rsidRPr="00F06EA4" w14:paraId="09E1D71D" w14:textId="77777777" w:rsidTr="006A0A62">
        <w:trPr>
          <w:trHeight w:val="20"/>
        </w:trPr>
        <w:tc>
          <w:tcPr>
            <w:tcW w:w="1739" w:type="dxa"/>
          </w:tcPr>
          <w:p w14:paraId="2AEEAC52" w14:textId="77777777" w:rsidR="003E199B" w:rsidRPr="00F06EA4" w:rsidRDefault="003E199B" w:rsidP="00F67ED8">
            <w:pPr>
              <w:spacing w:after="0"/>
              <w:contextualSpacing/>
              <w:rPr>
                <w:rFonts w:eastAsia="Calibri"/>
                <w:lang w:val="en-US"/>
              </w:rPr>
            </w:pPr>
            <w:r w:rsidRPr="00F06EA4">
              <w:rPr>
                <w:rFonts w:eastAsia="Calibri"/>
                <w:lang w:val="en-US"/>
              </w:rPr>
              <w:t>TGFB</w:t>
            </w:r>
          </w:p>
        </w:tc>
        <w:tc>
          <w:tcPr>
            <w:tcW w:w="2862" w:type="dxa"/>
          </w:tcPr>
          <w:p w14:paraId="2155845B" w14:textId="77777777" w:rsidR="003E199B" w:rsidRPr="00F06EA4" w:rsidRDefault="003E199B" w:rsidP="00F67ED8">
            <w:pPr>
              <w:spacing w:after="0"/>
              <w:contextualSpacing/>
              <w:rPr>
                <w:rFonts w:eastAsia="Calibri"/>
                <w:lang w:val="en-US"/>
              </w:rPr>
            </w:pPr>
            <w:r w:rsidRPr="00F06EA4">
              <w:rPr>
                <w:rFonts w:eastAsia="Calibri"/>
                <w:lang w:val="en-US"/>
              </w:rPr>
              <w:t>Immunosuppression, inhibition of cytotoxic T cells and Th1 cells</w:t>
            </w:r>
          </w:p>
        </w:tc>
        <w:tc>
          <w:tcPr>
            <w:tcW w:w="1662" w:type="dxa"/>
          </w:tcPr>
          <w:p w14:paraId="68C3643C" w14:textId="77777777" w:rsidR="003E199B" w:rsidRPr="00F06EA4" w:rsidRDefault="003E199B" w:rsidP="00F67ED8">
            <w:pPr>
              <w:spacing w:after="0"/>
              <w:contextualSpacing/>
              <w:rPr>
                <w:rFonts w:eastAsia="Calibri"/>
                <w:lang w:val="en-US"/>
              </w:rPr>
            </w:pPr>
            <w:r w:rsidRPr="00F06EA4">
              <w:rPr>
                <w:rFonts w:eastAsia="Calibri"/>
                <w:lang w:val="en-US"/>
              </w:rPr>
              <w:t>IHC, WB</w:t>
            </w:r>
          </w:p>
        </w:tc>
        <w:tc>
          <w:tcPr>
            <w:tcW w:w="1700" w:type="dxa"/>
          </w:tcPr>
          <w:p w14:paraId="2AE92F16" w14:textId="77777777" w:rsidR="003E199B" w:rsidRPr="00F06EA4" w:rsidRDefault="003E199B" w:rsidP="00F67ED8">
            <w:pPr>
              <w:spacing w:after="0"/>
              <w:contextualSpacing/>
              <w:rPr>
                <w:rFonts w:eastAsia="Calibri"/>
                <w:lang w:val="en-US"/>
              </w:rPr>
            </w:pPr>
            <w:r w:rsidRPr="00F06EA4">
              <w:rPr>
                <w:rFonts w:eastAsia="Calibri"/>
                <w:lang w:val="en-US"/>
              </w:rPr>
              <w:t>Cell culture (CRC cells, fibroblasts)</w:t>
            </w:r>
          </w:p>
        </w:tc>
        <w:tc>
          <w:tcPr>
            <w:tcW w:w="1960" w:type="dxa"/>
          </w:tcPr>
          <w:p w14:paraId="4EC017F0" w14:textId="4B3B11DC" w:rsidR="003E199B" w:rsidRPr="00F06EA4" w:rsidRDefault="003E199B" w:rsidP="00F67ED8">
            <w:pPr>
              <w:spacing w:after="0"/>
              <w:contextualSpacing/>
              <w:rPr>
                <w:rFonts w:eastAsia="Calibri"/>
                <w:lang w:val="en-US"/>
              </w:rPr>
            </w:pPr>
            <w:r w:rsidRPr="00F06EA4">
              <w:rPr>
                <w:rFonts w:eastAsia="Calibri"/>
                <w:lang w:val="en-US"/>
              </w:rPr>
              <w:t xml:space="preserve">Hawingkels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{"citationItems":[{"id":"ITEM-1","itemData":{"DOI":"10.1038/onc.2012.536","ISSN":"1476-5594","PMID":"23208491","abstract":"The interaction between epithelial cancer cells and cancer-associated fibroblasts (CAFs) has a major role in cancer progression and eventually in metastasis. In colorectal cancer (CRC), CAFs are present in high abundance, but their origin and functional interaction with epithelial tumor cells has not been elucidated. In this study we observed strong activation of the transforming growth factor-</w:instrText>
            </w:r>
            <w:r w:rsidR="00F45F97" w:rsidRPr="00F06EA4">
              <w:rPr>
                <w:rFonts w:eastAsia="Calibri"/>
                <w:lang w:val="fi-FI"/>
              </w:rPr>
              <w:instrText>β</w:instrText>
            </w:r>
            <w:r w:rsidR="00F45F97" w:rsidRPr="00F06EA4">
              <w:rPr>
                <w:rFonts w:eastAsia="Calibri"/>
                <w:lang w:val="en-US"/>
              </w:rPr>
              <w:instrText xml:space="preserve"> (TGF-</w:instrText>
            </w:r>
            <w:r w:rsidR="00F45F97" w:rsidRPr="00F06EA4">
              <w:rPr>
                <w:rFonts w:eastAsia="Calibri"/>
                <w:lang w:val="fi-FI"/>
              </w:rPr>
              <w:instrText>β</w:instrText>
            </w:r>
            <w:r w:rsidR="00F45F97" w:rsidRPr="00F06EA4">
              <w:rPr>
                <w:rFonts w:eastAsia="Calibri"/>
                <w:lang w:val="en-US"/>
              </w:rPr>
              <w:instrText>)/Smad signaling pathway in CRC CAFs, accompanied by decreased signaling in epithelial tumor cells. We evaluated the TGF-</w:instrText>
            </w:r>
            <w:r w:rsidR="00F45F97" w:rsidRPr="00F06EA4">
              <w:rPr>
                <w:rFonts w:eastAsia="Calibri"/>
                <w:lang w:val="fi-FI"/>
              </w:rPr>
              <w:instrText>β</w:instrText>
            </w:r>
            <w:r w:rsidR="00F45F97" w:rsidRPr="00F06EA4">
              <w:rPr>
                <w:rFonts w:eastAsia="Calibri"/>
                <w:lang w:val="en-US"/>
              </w:rPr>
              <w:instrText>1 response and the expression of target genes including matrix metalloproteinases (MMPs) and plasminogen activator inhibitor (PAI)-1 of various epithelial CRC cell lines and primary CAFs in vitro. TGF-</w:instrText>
            </w:r>
            <w:r w:rsidR="00F45F97" w:rsidRPr="00F06EA4">
              <w:rPr>
                <w:rFonts w:eastAsia="Calibri"/>
                <w:lang w:val="fi-FI"/>
              </w:rPr>
              <w:instrText>β</w:instrText>
            </w:r>
            <w:r w:rsidR="00F45F97" w:rsidRPr="00F06EA4">
              <w:rPr>
                <w:rFonts w:eastAsia="Calibri"/>
                <w:lang w:val="en-US"/>
              </w:rPr>
              <w:instrText>1 stimulation caused high upregulation of MMPs, PAI-1 and TGF-</w:instrText>
            </w:r>
            <w:r w:rsidR="00F45F97" w:rsidRPr="00F06EA4">
              <w:rPr>
                <w:rFonts w:eastAsia="Calibri"/>
                <w:lang w:val="fi-FI"/>
              </w:rPr>
              <w:instrText>β</w:instrText>
            </w:r>
            <w:r w:rsidR="00F45F97" w:rsidRPr="00F06EA4">
              <w:rPr>
                <w:rFonts w:eastAsia="Calibri"/>
                <w:lang w:val="en-US"/>
              </w:rPr>
              <w:instrText>1 itself. Next we showed that incubation of CAFs with conditioned medium (CM) from epithelial cancer cells led to hyperactivation of the TGF-</w:instrText>
            </w:r>
            <w:r w:rsidR="00F45F97" w:rsidRPr="00F06EA4">
              <w:rPr>
                <w:rFonts w:eastAsia="Calibri"/>
                <w:lang w:val="fi-FI"/>
              </w:rPr>
              <w:instrText>β</w:instrText>
            </w:r>
            <w:r w:rsidR="00F45F97" w:rsidRPr="00F06EA4">
              <w:rPr>
                <w:rFonts w:eastAsia="Calibri"/>
                <w:lang w:val="en-US"/>
              </w:rPr>
              <w:instrText xml:space="preserve"> signaling pathway, enhanced expression of target genes like PAI-1, and the expression of </w:instrText>
            </w:r>
            <w:r w:rsidR="00F45F97" w:rsidRPr="00F06EA4">
              <w:rPr>
                <w:rFonts w:eastAsia="Calibri"/>
                <w:lang w:val="fi-FI"/>
              </w:rPr>
              <w:instrText>α</w:instrText>
            </w:r>
            <w:r w:rsidR="00F45F97" w:rsidRPr="00F06EA4">
              <w:rPr>
                <w:rFonts w:eastAsia="Calibri"/>
                <w:lang w:val="en-US"/>
              </w:rPr>
              <w:instrText>-smooth muscle actin (</w:instrText>
            </w:r>
            <w:r w:rsidR="00F45F97" w:rsidRPr="00F06EA4">
              <w:rPr>
                <w:rFonts w:eastAsia="Calibri"/>
                <w:lang w:val="fi-FI"/>
              </w:rPr>
              <w:instrText>α</w:instrText>
            </w:r>
            <w:r w:rsidR="00F45F97" w:rsidRPr="00F06EA4">
              <w:rPr>
                <w:rFonts w:eastAsia="Calibri"/>
                <w:lang w:val="en-US"/>
              </w:rPr>
              <w:instrText>-SMA). We propose that the interaction of tumor cells with resident fibroblasts results in hyperactivated TGF-</w:instrText>
            </w:r>
            <w:r w:rsidR="00F45F97" w:rsidRPr="00F06EA4">
              <w:rPr>
                <w:rFonts w:eastAsia="Calibri"/>
                <w:lang w:val="fi-FI"/>
              </w:rPr>
              <w:instrText>β</w:instrText>
            </w:r>
            <w:r w:rsidR="00F45F97" w:rsidRPr="00F06EA4">
              <w:rPr>
                <w:rFonts w:eastAsia="Calibri"/>
                <w:lang w:val="en-US"/>
              </w:rPr>
              <w:instrText>1 signaling and subsequent transdifferentiation of the fi</w:instrText>
            </w:r>
            <w:r w:rsidR="00F45F97" w:rsidRPr="00F06EA4">
              <w:rPr>
                <w:rFonts w:eastAsia="Calibri"/>
                <w:lang w:val="fi-FI"/>
              </w:rPr>
              <w:instrText>broblasts into α-SMA-positive CAFs. In turn this leads to cumulative production of TGF-β and proteinases within the tumor microenvironment, creating a cancer-promoting feedback loop.","author":[{"dropping-particle":"","family":"Hawinkels","given":"L. J A C","non-dropping-particle":"","parse-names":false,"suffix":""},{"dropping-particle":"","family":"Paauwe","given":"M.","non-dropping-particle":"","parse-names":false,"suffix":""},{"dropping-particle":"","family":"Verspaget","given":"H. W.","non-dropping-particle":"","parse-names":false,"suffix":""},{"dropping-particle":"","family":"Wiercinska","given":</w:instrText>
            </w:r>
            <w:r w:rsidR="00F45F97" w:rsidRPr="00F06EA4">
              <w:rPr>
                <w:rFonts w:eastAsia="Calibri"/>
                <w:lang w:val="en-US"/>
              </w:rPr>
              <w:instrText>"E.","non-dropping-particle":"","parse-names":false,"suffix":""},{"dropping-particle":"","family":"Zon","given":"J M","non-dropping-particle":"van der","parse-names":false,"suffix":""},{"dropping-particle":"","family":"Ploeg","given":"K","non-dropping-particle":"van der","parse-names":false,"suffix":""},{"dropping-particle":"","family":"Koelink","given":"P. J.","non-dropping-particle":"","parse-names":false,"suffix":""},{"dropping-particle":"","family":"Lindeman","given":"J. H N","non-dropping-particle":"","parse-names":false,"suffix":""},{"dropping-particle":"","family":"Mesker","given":"W.","non-dropping-particle":"","parse-names":false,"suffix":""},{"dropping-particle":"","family":"Dijke","given":"P","non-dropping-particle":"ten","parse-names":false,"suffix":""},{"dropping-particle":"","family":"Sier","given":"C. F M","non-dropping-particle":"","parse-names":false,"suffix":""}],"container-title":"Oncogene","id":"ITEM-1","issue":"1","issued":{"date-parts":[["2014","1"]]},"page":"97-107","title":"Interaction with colon cancer cells hyperactivates TGF-</w:instrText>
            </w:r>
            <w:r w:rsidR="00F45F97" w:rsidRPr="00F06EA4">
              <w:rPr>
                <w:rFonts w:eastAsia="Calibri"/>
                <w:lang w:val="fi-FI"/>
              </w:rPr>
              <w:instrText>β</w:instrText>
            </w:r>
            <w:r w:rsidR="00F45F97" w:rsidRPr="00F06EA4">
              <w:rPr>
                <w:rFonts w:eastAsia="Calibri"/>
                <w:lang w:val="en-US"/>
              </w:rPr>
              <w:instrText xml:space="preserve"> signaling in cancer-associated fibroblasts.","type":"article-journal","volume":"33"},"uris":["http://www.mendeley.com/documents/?uuid=3d5407a0-2a46-4d7b-a93e-51de6375bd07"]}],"mendeley":{"formattedCitation":"&lt;sup&gt;[68]&lt;/sup&gt;","plainTextFormattedCitation":"[68]","previouslyFormattedCitation":"&lt;sup&gt;[68]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[68]</w:t>
            </w:r>
            <w:r w:rsidRPr="00F06EA4">
              <w:rPr>
                <w:rFonts w:eastAsia="Calibri"/>
                <w:lang w:val="en-US"/>
              </w:rPr>
              <w:fldChar w:fldCharType="end"/>
            </w:r>
          </w:p>
          <w:p w14:paraId="3A632DD3" w14:textId="77777777" w:rsidR="003E199B" w:rsidRPr="00F06EA4" w:rsidRDefault="003E199B" w:rsidP="00F67ED8">
            <w:pPr>
              <w:spacing w:after="0"/>
              <w:contextualSpacing/>
              <w:rPr>
                <w:rFonts w:eastAsia="Calibri"/>
                <w:lang w:val="en-US"/>
              </w:rPr>
            </w:pPr>
          </w:p>
        </w:tc>
      </w:tr>
      <w:tr w:rsidR="003E199B" w:rsidRPr="00F06EA4" w14:paraId="6AA6E8E0" w14:textId="77777777" w:rsidTr="006A0A62">
        <w:trPr>
          <w:trHeight w:val="20"/>
        </w:trPr>
        <w:tc>
          <w:tcPr>
            <w:tcW w:w="1739" w:type="dxa"/>
          </w:tcPr>
          <w:p w14:paraId="380636BF" w14:textId="77777777" w:rsidR="003E199B" w:rsidRPr="00F06EA4" w:rsidRDefault="003E199B" w:rsidP="00F67ED8">
            <w:pPr>
              <w:spacing w:after="0"/>
              <w:contextualSpacing/>
              <w:rPr>
                <w:rFonts w:eastAsia="Calibri"/>
                <w:lang w:val="en-US"/>
              </w:rPr>
            </w:pPr>
            <w:r w:rsidRPr="00F06EA4">
              <w:rPr>
                <w:rFonts w:eastAsia="Calibri"/>
                <w:lang w:val="en-US"/>
              </w:rPr>
              <w:t>CXCL5</w:t>
            </w:r>
          </w:p>
        </w:tc>
        <w:tc>
          <w:tcPr>
            <w:tcW w:w="2862" w:type="dxa"/>
          </w:tcPr>
          <w:p w14:paraId="616F149A" w14:textId="77777777" w:rsidR="003E199B" w:rsidRPr="00F06EA4" w:rsidRDefault="003E199B" w:rsidP="00F67ED8">
            <w:pPr>
              <w:spacing w:after="0"/>
              <w:contextualSpacing/>
              <w:rPr>
                <w:rFonts w:eastAsia="Calibri"/>
                <w:lang w:val="en-US"/>
              </w:rPr>
            </w:pPr>
            <w:r w:rsidRPr="00F06EA4">
              <w:rPr>
                <w:rFonts w:eastAsia="Calibri"/>
                <w:lang w:val="en-US"/>
              </w:rPr>
              <w:t>Recruitment of neutrophils</w:t>
            </w:r>
          </w:p>
        </w:tc>
        <w:tc>
          <w:tcPr>
            <w:tcW w:w="1662" w:type="dxa"/>
          </w:tcPr>
          <w:p w14:paraId="7D764244" w14:textId="77777777" w:rsidR="003E199B" w:rsidRPr="00F06EA4" w:rsidRDefault="003E199B" w:rsidP="00F67ED8">
            <w:pPr>
              <w:spacing w:after="0"/>
              <w:contextualSpacing/>
              <w:rPr>
                <w:rFonts w:eastAsia="Calibri"/>
                <w:lang w:val="en-US"/>
              </w:rPr>
            </w:pPr>
            <w:r w:rsidRPr="00F06EA4">
              <w:rPr>
                <w:rFonts w:eastAsia="Calibri"/>
                <w:lang w:val="en-US"/>
              </w:rPr>
              <w:t>IHC, In situ hybridization</w:t>
            </w:r>
          </w:p>
        </w:tc>
        <w:tc>
          <w:tcPr>
            <w:tcW w:w="1700" w:type="dxa"/>
          </w:tcPr>
          <w:p w14:paraId="3CD9213D"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960" w:type="dxa"/>
          </w:tcPr>
          <w:p w14:paraId="70DD08C9" w14:textId="0FFCC7FF" w:rsidR="003E199B" w:rsidRPr="00F06EA4" w:rsidRDefault="003E199B" w:rsidP="00F67ED8">
            <w:pPr>
              <w:spacing w:after="0"/>
              <w:contextualSpacing/>
              <w:rPr>
                <w:rFonts w:eastAsia="Calibri"/>
                <w:lang w:val="en-US"/>
              </w:rPr>
            </w:pPr>
            <w:r w:rsidRPr="00F06EA4">
              <w:rPr>
                <w:rFonts w:eastAsia="Calibri"/>
                <w:lang w:val="en-US"/>
              </w:rPr>
              <w:t xml:space="preserve">Li </w:t>
            </w:r>
            <w:r w:rsidR="0020070C" w:rsidRPr="0020070C">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{"citationItems":[{"id":"ITEM-1","itemData":{"DOI":"10.1002/ijc.32278","ISSN":"0020-7136","PMID":"30873585","abstract":"Cancer-associated fibroblasts (CAFs) play a key role in orchestrating the tumor malignant biological properties within tumor microenvironment and evidences demonstrate that CAFs are a critical regulator of tumoral immunosuppression of the T cell response. However, the functions and regulation of CAFs in the expression of programmed death-ligand 1 (PD-L1) in melanoma and colorectal carcinoma (CRC) are not completely understood. Herein, by scrutinizing the expression of α-SMA and PD-L1 in melanoma and CRC tissues, we found that CAFs was positive correlated with PD-L1 expression. Further analyses showed that CAFs promoted PD-L1 expression in mice tumor cells. By detecting a majority of cytokines expression in normal mice fibroblasts and CAFs, we determined that CXCL5 was abnormal high expression in CAFs and the immunohistochemistry and in situ hybridization confirmed that were CAFs which were expressing CXCL5. In addition, CXCL5 promoted PD-L1 expression in B16, CT26, A375 and HCT116. The silencing of CXCR2, the receptor of CXCL5, inhibited the PD-L1 expression induced by CAFs in turn. Functionally, CXCL5 derived by CAFs promoted PD-L1 expression in mice tumor cells through activating PI3K/AKT signaling. LY294002, the inhibitor of PI3K, confirmed that CXCL5 forested an immunosuppression microenvironment by promoting PD-L1 expression via PI3K/AKT signaling. Meanwhile, the B16/CT26 xenograft tumor models were used and both CXCR2 and p-AKT were found to be positively correlated with PD-L1 in the xenograft tumor tissues. The immunosuppressive action of CAFs on tumor cells is probably reflective of them being a potential therapeutic biomarker for melanoma and CRC.","author":[{"dropping-particle":"","family":"Li","given":"Ziqian","non-dropping-particle":"","parse-names":false,"suffix":""},{"dropping-particle":"","family":"Zhou","given":"Jiawang","non-dropping-particle":"","parse-names":false,"suffix":""},{"dropping-particle":"","family":"Zhang","given":"Junjie","non-dropping-particle":"","parse-names":false,"suffix":""},{"dropping-particle":"","family":"Li","given":"Shiying","non-dropping-particle":"","parse-names":false,"suffix":""},{"dropping-particle":"","family":"Wang","given":"Hongsheng","non-dropping-particle":"","parse-names":false,"suffix":""},{"dropping-particle":"","family":"Du","given":"Jun","non-dropping-particle":"","parse-names":false,"suffix":""}],"container-title":"International Journal of Cancer","id":"ITEM-1","issued":{"date-parts":[["2019"]]},"page":"ijc.32278","title":"Cancer</w:instrText>
            </w:r>
            <w:r w:rsidR="00F45F97" w:rsidRPr="00F06EA4">
              <w:rPr>
                <w:rFonts w:ascii="宋体" w:hAnsi="宋体" w:cs="宋体" w:hint="eastAsia"/>
                <w:lang w:val="en-US"/>
              </w:rPr>
              <w:instrText>‐</w:instrText>
            </w:r>
            <w:r w:rsidR="00F45F97" w:rsidRPr="00F06EA4">
              <w:rPr>
                <w:rFonts w:eastAsia="Calibri"/>
                <w:lang w:val="en-US"/>
              </w:rPr>
              <w:instrText>associated fibroblasts promote PD</w:instrText>
            </w:r>
            <w:r w:rsidR="00F45F97" w:rsidRPr="00F06EA4">
              <w:rPr>
                <w:rFonts w:ascii="宋体" w:hAnsi="宋体" w:cs="宋体" w:hint="eastAsia"/>
                <w:lang w:val="en-US"/>
              </w:rPr>
              <w:instrText>‐</w:instrText>
            </w:r>
            <w:r w:rsidR="00F45F97" w:rsidRPr="00F06EA4">
              <w:rPr>
                <w:rFonts w:eastAsia="Calibri"/>
                <w:lang w:val="en-US"/>
              </w:rPr>
              <w:instrText>L1 expression in mice cancer cells via secreting CXCL5","type":"article-journal"},"uris":["http://www.mendeley.com/documents/?uuid=c0bae70a-30a2-3af5-a46d-cc1bfd45189b"]}],"mendeley":{"formattedCitation":"&lt;sup&gt;[189]&lt;/sup&gt;","plainTextFormattedCitation":"[189]","previouslyFormattedCitation":"&lt;sup&gt;[189]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[189]</w:t>
            </w:r>
            <w:r w:rsidRPr="00F06EA4">
              <w:rPr>
                <w:rFonts w:eastAsia="Calibri"/>
                <w:lang w:val="en-US"/>
              </w:rPr>
              <w:fldChar w:fldCharType="end"/>
            </w:r>
          </w:p>
        </w:tc>
      </w:tr>
      <w:tr w:rsidR="003E199B" w:rsidRPr="00F06EA4" w14:paraId="3FDCFDF6" w14:textId="77777777" w:rsidTr="006A0A62">
        <w:trPr>
          <w:trHeight w:val="20"/>
        </w:trPr>
        <w:tc>
          <w:tcPr>
            <w:tcW w:w="1739" w:type="dxa"/>
          </w:tcPr>
          <w:p w14:paraId="2040BBE8" w14:textId="77777777" w:rsidR="003E199B" w:rsidRPr="00F06EA4" w:rsidRDefault="003E199B" w:rsidP="00F67ED8">
            <w:pPr>
              <w:spacing w:after="0"/>
              <w:contextualSpacing/>
              <w:rPr>
                <w:rFonts w:eastAsia="Calibri"/>
                <w:lang w:val="en-US"/>
              </w:rPr>
            </w:pPr>
            <w:r w:rsidRPr="00F06EA4">
              <w:rPr>
                <w:rFonts w:eastAsia="Calibri"/>
                <w:lang w:val="en-US"/>
              </w:rPr>
              <w:t>CXCL8</w:t>
            </w:r>
          </w:p>
        </w:tc>
        <w:tc>
          <w:tcPr>
            <w:tcW w:w="2862" w:type="dxa"/>
          </w:tcPr>
          <w:p w14:paraId="6E7587A6" w14:textId="77777777" w:rsidR="003E199B" w:rsidRPr="00F06EA4" w:rsidRDefault="003E199B" w:rsidP="00F67ED8">
            <w:pPr>
              <w:spacing w:after="0"/>
              <w:contextualSpacing/>
              <w:rPr>
                <w:rFonts w:eastAsia="Calibri"/>
                <w:lang w:val="en-US"/>
              </w:rPr>
            </w:pPr>
            <w:r w:rsidRPr="00F06EA4">
              <w:rPr>
                <w:rFonts w:eastAsia="Calibri"/>
                <w:lang w:val="en-US"/>
              </w:rPr>
              <w:t>Recruitment of neutrophils</w:t>
            </w:r>
          </w:p>
        </w:tc>
        <w:tc>
          <w:tcPr>
            <w:tcW w:w="1662" w:type="dxa"/>
          </w:tcPr>
          <w:p w14:paraId="2DE1D960"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4C5D0B45"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28863647" w14:textId="0FF8AE9C"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1DEF1E0E" w14:textId="77777777" w:rsidTr="006A0A62">
        <w:trPr>
          <w:trHeight w:val="20"/>
        </w:trPr>
        <w:tc>
          <w:tcPr>
            <w:tcW w:w="1739" w:type="dxa"/>
          </w:tcPr>
          <w:p w14:paraId="1C079ABD" w14:textId="77777777" w:rsidR="003E199B" w:rsidRPr="00F06EA4" w:rsidRDefault="003E199B" w:rsidP="00F67ED8">
            <w:pPr>
              <w:spacing w:after="0"/>
              <w:contextualSpacing/>
              <w:rPr>
                <w:rFonts w:eastAsia="Calibri"/>
                <w:lang w:val="en-US"/>
              </w:rPr>
            </w:pPr>
            <w:r w:rsidRPr="00F06EA4">
              <w:rPr>
                <w:rFonts w:eastAsia="Calibri"/>
                <w:lang w:val="en-US"/>
              </w:rPr>
              <w:lastRenderedPageBreak/>
              <w:t>CCL5</w:t>
            </w:r>
          </w:p>
        </w:tc>
        <w:tc>
          <w:tcPr>
            <w:tcW w:w="2862" w:type="dxa"/>
          </w:tcPr>
          <w:p w14:paraId="6AC80C5D" w14:textId="77777777" w:rsidR="003E199B" w:rsidRPr="00F06EA4" w:rsidRDefault="003E199B" w:rsidP="00F67ED8">
            <w:pPr>
              <w:spacing w:after="0"/>
              <w:contextualSpacing/>
              <w:rPr>
                <w:rFonts w:eastAsia="Calibri"/>
                <w:lang w:val="en-US"/>
              </w:rPr>
            </w:pPr>
            <w:r w:rsidRPr="00F06EA4">
              <w:rPr>
                <w:rFonts w:eastAsia="Calibri"/>
                <w:lang w:val="en-US"/>
              </w:rPr>
              <w:t>Recruitment of T cells</w:t>
            </w:r>
          </w:p>
        </w:tc>
        <w:tc>
          <w:tcPr>
            <w:tcW w:w="1662" w:type="dxa"/>
          </w:tcPr>
          <w:p w14:paraId="178F4579"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6E68E5D5"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49460308" w14:textId="48CACF3B"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2496FA5D" w14:textId="77777777" w:rsidTr="006A0A62">
        <w:trPr>
          <w:trHeight w:val="20"/>
        </w:trPr>
        <w:tc>
          <w:tcPr>
            <w:tcW w:w="1739" w:type="dxa"/>
          </w:tcPr>
          <w:p w14:paraId="7960B1E2" w14:textId="77777777" w:rsidR="003E199B" w:rsidRPr="00F06EA4" w:rsidRDefault="003E199B" w:rsidP="00F67ED8">
            <w:pPr>
              <w:spacing w:after="0"/>
              <w:contextualSpacing/>
              <w:rPr>
                <w:rFonts w:eastAsia="Calibri"/>
                <w:lang w:val="en-US"/>
              </w:rPr>
            </w:pPr>
            <w:r w:rsidRPr="00F06EA4">
              <w:rPr>
                <w:rFonts w:eastAsia="Calibri"/>
                <w:lang w:val="en-US"/>
              </w:rPr>
              <w:t>MMP1</w:t>
            </w:r>
          </w:p>
        </w:tc>
        <w:tc>
          <w:tcPr>
            <w:tcW w:w="2862" w:type="dxa"/>
          </w:tcPr>
          <w:p w14:paraId="0D953127" w14:textId="77777777" w:rsidR="003E199B" w:rsidRPr="00F06EA4" w:rsidRDefault="003E199B" w:rsidP="00F67ED8">
            <w:pPr>
              <w:spacing w:after="0"/>
              <w:contextualSpacing/>
              <w:rPr>
                <w:rFonts w:eastAsia="Calibri"/>
                <w:lang w:val="en-US"/>
              </w:rPr>
            </w:pPr>
            <w:r w:rsidRPr="00F06EA4">
              <w:rPr>
                <w:rFonts w:eastAsia="Calibri"/>
                <w:lang w:val="en-US"/>
              </w:rPr>
              <w:t>ECM degradation</w:t>
            </w:r>
          </w:p>
        </w:tc>
        <w:tc>
          <w:tcPr>
            <w:tcW w:w="1662" w:type="dxa"/>
          </w:tcPr>
          <w:p w14:paraId="2F8B56FF"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0F954676"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6CBCDDD4" w14:textId="003F4139"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258A8899" w14:textId="77777777" w:rsidTr="006A0A62">
        <w:trPr>
          <w:trHeight w:val="20"/>
        </w:trPr>
        <w:tc>
          <w:tcPr>
            <w:tcW w:w="1739" w:type="dxa"/>
          </w:tcPr>
          <w:p w14:paraId="4F0F8E70" w14:textId="77777777" w:rsidR="003E199B" w:rsidRPr="00F06EA4" w:rsidRDefault="003E199B" w:rsidP="00F67ED8">
            <w:pPr>
              <w:spacing w:after="0"/>
              <w:contextualSpacing/>
              <w:rPr>
                <w:rFonts w:eastAsia="Calibri"/>
                <w:lang w:val="en-US"/>
              </w:rPr>
            </w:pPr>
            <w:r w:rsidRPr="00F06EA4">
              <w:rPr>
                <w:rFonts w:eastAsia="Calibri"/>
                <w:lang w:val="en-US"/>
              </w:rPr>
              <w:t>MMP2</w:t>
            </w:r>
          </w:p>
        </w:tc>
        <w:tc>
          <w:tcPr>
            <w:tcW w:w="2862" w:type="dxa"/>
          </w:tcPr>
          <w:p w14:paraId="22D8318F" w14:textId="77777777" w:rsidR="003E199B" w:rsidRPr="00F06EA4" w:rsidRDefault="003E199B" w:rsidP="00F67ED8">
            <w:pPr>
              <w:spacing w:after="0"/>
              <w:contextualSpacing/>
              <w:rPr>
                <w:rFonts w:eastAsia="Calibri"/>
                <w:lang w:val="en-US"/>
              </w:rPr>
            </w:pPr>
            <w:r w:rsidRPr="00F06EA4">
              <w:rPr>
                <w:rFonts w:eastAsia="Calibri"/>
                <w:lang w:val="en-US"/>
              </w:rPr>
              <w:t>ECM degradation</w:t>
            </w:r>
          </w:p>
        </w:tc>
        <w:tc>
          <w:tcPr>
            <w:tcW w:w="1662" w:type="dxa"/>
          </w:tcPr>
          <w:p w14:paraId="5AF210BE"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1379220B"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291BAB62" w14:textId="7BC07617"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26C1B3AE" w14:textId="77777777" w:rsidTr="006A0A62">
        <w:trPr>
          <w:trHeight w:val="20"/>
        </w:trPr>
        <w:tc>
          <w:tcPr>
            <w:tcW w:w="1739" w:type="dxa"/>
          </w:tcPr>
          <w:p w14:paraId="4EA71FAF" w14:textId="77777777" w:rsidR="003E199B" w:rsidRPr="00F06EA4" w:rsidRDefault="003E199B" w:rsidP="00F67ED8">
            <w:pPr>
              <w:spacing w:after="0"/>
              <w:contextualSpacing/>
              <w:rPr>
                <w:rFonts w:eastAsia="Calibri"/>
                <w:lang w:val="en-US"/>
              </w:rPr>
            </w:pPr>
            <w:r w:rsidRPr="00F06EA4">
              <w:rPr>
                <w:rFonts w:eastAsia="Calibri"/>
                <w:lang w:val="en-US"/>
              </w:rPr>
              <w:t>MMP3</w:t>
            </w:r>
          </w:p>
        </w:tc>
        <w:tc>
          <w:tcPr>
            <w:tcW w:w="2862" w:type="dxa"/>
          </w:tcPr>
          <w:p w14:paraId="7C776F10" w14:textId="77777777" w:rsidR="003E199B" w:rsidRPr="00F06EA4" w:rsidRDefault="003E199B" w:rsidP="00F67ED8">
            <w:pPr>
              <w:spacing w:after="0"/>
              <w:contextualSpacing/>
              <w:rPr>
                <w:rFonts w:eastAsia="Calibri"/>
                <w:lang w:val="en-US"/>
              </w:rPr>
            </w:pPr>
            <w:r w:rsidRPr="00F06EA4">
              <w:rPr>
                <w:rFonts w:eastAsia="Calibri"/>
                <w:lang w:val="en-US"/>
              </w:rPr>
              <w:t>ECM degradation</w:t>
            </w:r>
          </w:p>
        </w:tc>
        <w:tc>
          <w:tcPr>
            <w:tcW w:w="1662" w:type="dxa"/>
          </w:tcPr>
          <w:p w14:paraId="0CECA7A3"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6DE7BE33"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6E78AE40" w14:textId="2C025A85"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040F06C2" w14:textId="77777777" w:rsidTr="006A0A62">
        <w:trPr>
          <w:trHeight w:val="20"/>
        </w:trPr>
        <w:tc>
          <w:tcPr>
            <w:tcW w:w="1739" w:type="dxa"/>
          </w:tcPr>
          <w:p w14:paraId="7016D95F" w14:textId="77777777" w:rsidR="003E199B" w:rsidRPr="00F06EA4" w:rsidRDefault="003E199B" w:rsidP="00F67ED8">
            <w:pPr>
              <w:spacing w:after="0"/>
              <w:contextualSpacing/>
              <w:rPr>
                <w:rFonts w:eastAsia="Calibri"/>
                <w:lang w:val="en-US"/>
              </w:rPr>
            </w:pPr>
            <w:r w:rsidRPr="00F06EA4">
              <w:rPr>
                <w:rFonts w:eastAsia="Calibri"/>
                <w:lang w:val="en-US"/>
              </w:rPr>
              <w:t>MMP9</w:t>
            </w:r>
          </w:p>
        </w:tc>
        <w:tc>
          <w:tcPr>
            <w:tcW w:w="2862" w:type="dxa"/>
          </w:tcPr>
          <w:p w14:paraId="379E166F" w14:textId="77777777" w:rsidR="003E199B" w:rsidRPr="00F06EA4" w:rsidRDefault="003E199B" w:rsidP="00F67ED8">
            <w:pPr>
              <w:spacing w:after="0"/>
              <w:contextualSpacing/>
              <w:rPr>
                <w:rFonts w:eastAsia="Calibri"/>
                <w:lang w:val="en-US"/>
              </w:rPr>
            </w:pPr>
            <w:r w:rsidRPr="00F06EA4">
              <w:rPr>
                <w:rFonts w:eastAsia="Calibri"/>
                <w:lang w:val="en-US"/>
              </w:rPr>
              <w:t>ECM degradation</w:t>
            </w:r>
          </w:p>
        </w:tc>
        <w:tc>
          <w:tcPr>
            <w:tcW w:w="1662" w:type="dxa"/>
          </w:tcPr>
          <w:p w14:paraId="46CF8328"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21E75F6A"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44441CBB" w14:textId="40A6285B"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68922E1F" w14:textId="77777777" w:rsidTr="006A0A62">
        <w:trPr>
          <w:trHeight w:val="20"/>
        </w:trPr>
        <w:tc>
          <w:tcPr>
            <w:tcW w:w="1739" w:type="dxa"/>
          </w:tcPr>
          <w:p w14:paraId="4F82E544" w14:textId="77777777" w:rsidR="003E199B" w:rsidRPr="00F06EA4" w:rsidRDefault="003E199B" w:rsidP="00F67ED8">
            <w:pPr>
              <w:spacing w:after="0"/>
              <w:contextualSpacing/>
              <w:rPr>
                <w:rFonts w:eastAsia="Calibri"/>
                <w:lang w:val="en-US"/>
              </w:rPr>
            </w:pPr>
            <w:r w:rsidRPr="00F06EA4">
              <w:rPr>
                <w:rFonts w:eastAsia="Calibri"/>
                <w:lang w:val="en-US"/>
              </w:rPr>
              <w:t>TIMP1</w:t>
            </w:r>
          </w:p>
        </w:tc>
        <w:tc>
          <w:tcPr>
            <w:tcW w:w="2862" w:type="dxa"/>
          </w:tcPr>
          <w:p w14:paraId="6BA242A8" w14:textId="77777777" w:rsidR="003E199B" w:rsidRPr="00F06EA4" w:rsidRDefault="003E199B" w:rsidP="00F67ED8">
            <w:pPr>
              <w:spacing w:after="0"/>
              <w:contextualSpacing/>
              <w:rPr>
                <w:rFonts w:eastAsia="Calibri"/>
                <w:lang w:val="en-US"/>
              </w:rPr>
            </w:pPr>
            <w:r w:rsidRPr="00F06EA4">
              <w:rPr>
                <w:rFonts w:eastAsia="Calibri"/>
                <w:lang w:val="en-US"/>
              </w:rPr>
              <w:t>Inhibition of MMPs</w:t>
            </w:r>
          </w:p>
        </w:tc>
        <w:tc>
          <w:tcPr>
            <w:tcW w:w="1662" w:type="dxa"/>
          </w:tcPr>
          <w:p w14:paraId="4AE428E2"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2E0137B3"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7FC2A072" w14:textId="265C5270"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250BD823" w14:textId="77777777" w:rsidTr="006A0A62">
        <w:trPr>
          <w:trHeight w:val="20"/>
        </w:trPr>
        <w:tc>
          <w:tcPr>
            <w:tcW w:w="1739" w:type="dxa"/>
          </w:tcPr>
          <w:p w14:paraId="4B004D14" w14:textId="77777777" w:rsidR="003E199B" w:rsidRPr="00F06EA4" w:rsidRDefault="003E199B" w:rsidP="00F67ED8">
            <w:pPr>
              <w:spacing w:after="0"/>
              <w:contextualSpacing/>
              <w:rPr>
                <w:rFonts w:eastAsia="Calibri"/>
                <w:lang w:val="en-US"/>
              </w:rPr>
            </w:pPr>
            <w:r w:rsidRPr="00F06EA4">
              <w:rPr>
                <w:rFonts w:eastAsia="Calibri"/>
                <w:lang w:val="en-US"/>
              </w:rPr>
              <w:lastRenderedPageBreak/>
              <w:t>TIMP1</w:t>
            </w:r>
          </w:p>
        </w:tc>
        <w:tc>
          <w:tcPr>
            <w:tcW w:w="2862" w:type="dxa"/>
          </w:tcPr>
          <w:p w14:paraId="6599CEBB" w14:textId="77777777" w:rsidR="003E199B" w:rsidRPr="00F06EA4" w:rsidDel="00FB267F" w:rsidRDefault="003E199B" w:rsidP="00F67ED8">
            <w:pPr>
              <w:spacing w:after="0"/>
              <w:contextualSpacing/>
              <w:rPr>
                <w:rFonts w:eastAsia="Calibri"/>
                <w:lang w:val="en-US"/>
              </w:rPr>
            </w:pPr>
            <w:r w:rsidRPr="00F06EA4">
              <w:rPr>
                <w:rFonts w:eastAsia="Calibri"/>
                <w:lang w:val="en-US"/>
              </w:rPr>
              <w:t>Inhibition of MMPs</w:t>
            </w:r>
          </w:p>
        </w:tc>
        <w:tc>
          <w:tcPr>
            <w:tcW w:w="1662" w:type="dxa"/>
          </w:tcPr>
          <w:p w14:paraId="589CCD4D" w14:textId="77777777" w:rsidR="003E199B" w:rsidRPr="00F06EA4" w:rsidRDefault="003E199B" w:rsidP="00F67ED8">
            <w:pPr>
              <w:spacing w:after="0"/>
              <w:contextualSpacing/>
              <w:rPr>
                <w:rFonts w:eastAsia="Calibri"/>
                <w:lang w:val="en-US"/>
              </w:rPr>
            </w:pPr>
            <w:r w:rsidRPr="00F06EA4">
              <w:rPr>
                <w:rFonts w:eastAsia="Calibri"/>
                <w:lang w:val="en-US"/>
              </w:rPr>
              <w:t>IHC, in situ hybridization</w:t>
            </w:r>
          </w:p>
        </w:tc>
        <w:tc>
          <w:tcPr>
            <w:tcW w:w="1700" w:type="dxa"/>
          </w:tcPr>
          <w:p w14:paraId="127CD5FF"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960" w:type="dxa"/>
          </w:tcPr>
          <w:p w14:paraId="5A2A5500" w14:textId="314D8418" w:rsidR="003E199B" w:rsidRPr="00F06EA4" w:rsidRDefault="003E199B" w:rsidP="00F67ED8">
            <w:pPr>
              <w:spacing w:after="0"/>
              <w:contextualSpacing/>
              <w:rPr>
                <w:rFonts w:eastAsia="Calibri"/>
                <w:lang w:val="en-US"/>
              </w:rPr>
            </w:pPr>
            <w:r w:rsidRPr="00F06EA4">
              <w:rPr>
                <w:rFonts w:eastAsia="Calibri"/>
                <w:lang w:val="en-US"/>
              </w:rPr>
              <w:t xml:space="preserve">Joo </w:t>
            </w:r>
            <w:r w:rsidR="0020070C" w:rsidRPr="0020070C">
              <w:rPr>
                <w:rFonts w:eastAsia="Calibri"/>
                <w:i/>
                <w:iCs/>
                <w:lang w:val="en-US"/>
              </w:rPr>
              <w:t>et al</w:t>
            </w:r>
            <w:r w:rsidRPr="00F06EA4">
              <w:rPr>
                <w:rFonts w:eastAsia="Calibri"/>
                <w:lang w:val="en-US"/>
              </w:rPr>
              <w:fldChar w:fldCharType="begin" w:fldLock="1"/>
            </w:r>
            <w:r w:rsidR="002E66FA" w:rsidRPr="00F06EA4">
              <w:rPr>
                <w:rFonts w:eastAsia="Calibri"/>
                <w:lang w:val="en-US"/>
              </w:rPr>
              <w:instrText>ADDIN CSL_CITATION {"citationItems":[{"id":"ITEM-1","itemData":{"DOI":"10.3346/jkms.1999.14.4.417","ISSN":"1011-8934","PMID":"10485622","abstract":"Increased production of matrix metalloproteinases (MMPs) has been associated with increases in invasive and metastatic potential in many types of human carcinoma. Tissue inhibitors of metalloproteinase (TIMP)-1 inhibits most interstitial collagenases and MMP-9. TIMP-2 binds specifically and noncovalently to the pro-form of MMP-2 and inhibits its enzyme activity. In this study, we examined TIMP-1 and TIMP-2 expressions in relation to clinicopathological variables in colorectal carcinoma with in situ hybridization and immunohistochemistry. TIMP-1 and TIMP-2 expressions were localized overwhelmingly to pericancer stromal cells, while malignant and normal mucosal cells were weak or negative. Strong stromal TIMP-1 immunoreactivity correlated with Dukes' stage (p=0.022), status of lymph node metastasis (p=0.044) and poor survival (p= 0.005). The degree of immunohistochemical staining of TIMP-2 did not correlate with all clinicopathological variables. The correlation between enhanced TIMP-1 expression and advanced stage and poor survival suggest a growth promoting activity of TIMP-1 in colorectal carcinoma.","author":[{"dropping-particle":"","family":"Joo","given":"Y E","non-dropping-particle":"","parse-names":false,"suffix":""},{"dropping-particle":"","family":"Seo","given":"K S","non-dropping-particle":"","parse-names":false,"suffix":""},{"dropping-particle":"","family":"Kim","given":"J","non-dropping-particle":"","parse-names":false,"suffix":""},{"dropping-particle":"","family":"Kim","given":"H S","non-dropping-particle":"","parse-names":false,"suffix":""},{"dropping-particle":"","family":"Rew","given":"J S","non-dropping-particle":"","parse-names":false,"suffix":""},{"dropping-particle":"","family":"Park","given":"C S","non-dropping-particle":"","parse-names":false,"suffix":""},{"dropping-particle":"","family":"Kim","given":"S J","non-dropping-particle":"","parse-names":false,"suffix":""}],"container-title":"Journal of Korean medical science","id":"ITEM-1","issue":"4","issued":{"date-parts":[["1999"]]},"page":"417-23","title":"Role of tissue inhibitors of metalloproteinases (TIMPs) in colorectal carcinoma.","type":"article-journal","volume":"14"},"uris":["http://www.mendeley.com/documents/?uuid=915b2daa-a0dd-3718-9877-354198b3eed0"]}],"mendeley":{"formattedCitation":"&lt;sup&gt;[190]&lt;/sup&gt;","plainTextFormattedCitation":"[190]","previouslyFormattedCitation":"&lt;sup&gt;[190]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[190]</w:t>
            </w:r>
            <w:r w:rsidRPr="00F06EA4">
              <w:rPr>
                <w:rFonts w:eastAsia="Calibri"/>
                <w:lang w:val="en-US"/>
              </w:rPr>
              <w:fldChar w:fldCharType="end"/>
            </w:r>
          </w:p>
        </w:tc>
      </w:tr>
      <w:tr w:rsidR="003E199B" w:rsidRPr="00F06EA4" w14:paraId="342B73A3" w14:textId="77777777" w:rsidTr="006A0A62">
        <w:trPr>
          <w:trHeight w:val="20"/>
        </w:trPr>
        <w:tc>
          <w:tcPr>
            <w:tcW w:w="1739" w:type="dxa"/>
          </w:tcPr>
          <w:p w14:paraId="526F8936" w14:textId="77777777" w:rsidR="003E199B" w:rsidRPr="00F06EA4" w:rsidRDefault="003E199B" w:rsidP="00F67ED8">
            <w:pPr>
              <w:spacing w:after="0"/>
              <w:contextualSpacing/>
              <w:rPr>
                <w:rFonts w:eastAsia="Calibri"/>
                <w:lang w:val="en-US"/>
              </w:rPr>
            </w:pPr>
            <w:r w:rsidRPr="00F06EA4">
              <w:rPr>
                <w:rFonts w:eastAsia="Calibri"/>
                <w:lang w:val="en-US"/>
              </w:rPr>
              <w:t>TIMP2</w:t>
            </w:r>
          </w:p>
        </w:tc>
        <w:tc>
          <w:tcPr>
            <w:tcW w:w="2862" w:type="dxa"/>
          </w:tcPr>
          <w:p w14:paraId="1BEFB5EF" w14:textId="77777777" w:rsidR="003E199B" w:rsidRPr="00F06EA4" w:rsidRDefault="003E199B" w:rsidP="00F67ED8">
            <w:pPr>
              <w:spacing w:after="0"/>
              <w:contextualSpacing/>
              <w:rPr>
                <w:rFonts w:eastAsia="Calibri"/>
                <w:lang w:val="en-US"/>
              </w:rPr>
            </w:pPr>
            <w:r w:rsidRPr="00F06EA4">
              <w:rPr>
                <w:rFonts w:eastAsia="Calibri"/>
                <w:lang w:val="en-US"/>
              </w:rPr>
              <w:t>Inhibition of MMPs</w:t>
            </w:r>
          </w:p>
        </w:tc>
        <w:tc>
          <w:tcPr>
            <w:tcW w:w="1662" w:type="dxa"/>
          </w:tcPr>
          <w:p w14:paraId="56235914"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Pr>
          <w:p w14:paraId="251D4A81"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Pr>
          <w:p w14:paraId="6FC00277" w14:textId="6A258947"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r w:rsidR="003E199B" w:rsidRPr="00F06EA4" w14:paraId="00A7BD38" w14:textId="77777777" w:rsidTr="006A0A62">
        <w:trPr>
          <w:trHeight w:val="20"/>
        </w:trPr>
        <w:tc>
          <w:tcPr>
            <w:tcW w:w="1739" w:type="dxa"/>
          </w:tcPr>
          <w:p w14:paraId="01FFF6FB" w14:textId="77777777" w:rsidR="003E199B" w:rsidRPr="00F06EA4" w:rsidRDefault="003E199B" w:rsidP="00F67ED8">
            <w:pPr>
              <w:spacing w:after="0"/>
              <w:contextualSpacing/>
              <w:rPr>
                <w:rFonts w:eastAsia="Calibri"/>
                <w:lang w:val="en-US"/>
              </w:rPr>
            </w:pPr>
            <w:r w:rsidRPr="00F06EA4">
              <w:rPr>
                <w:rFonts w:eastAsia="Calibri"/>
                <w:lang w:val="en-US"/>
              </w:rPr>
              <w:t>TIMP2</w:t>
            </w:r>
          </w:p>
        </w:tc>
        <w:tc>
          <w:tcPr>
            <w:tcW w:w="2862" w:type="dxa"/>
          </w:tcPr>
          <w:p w14:paraId="53B2A897" w14:textId="77777777" w:rsidR="003E199B" w:rsidRPr="00F06EA4" w:rsidDel="00FB267F" w:rsidRDefault="003E199B" w:rsidP="00F67ED8">
            <w:pPr>
              <w:spacing w:after="0"/>
              <w:contextualSpacing/>
              <w:rPr>
                <w:rFonts w:eastAsia="Calibri"/>
                <w:lang w:val="en-US"/>
              </w:rPr>
            </w:pPr>
            <w:r w:rsidRPr="00F06EA4">
              <w:rPr>
                <w:rFonts w:eastAsia="Calibri"/>
                <w:lang w:val="en-US"/>
              </w:rPr>
              <w:t>Inhibition of MMPs</w:t>
            </w:r>
          </w:p>
        </w:tc>
        <w:tc>
          <w:tcPr>
            <w:tcW w:w="1662" w:type="dxa"/>
          </w:tcPr>
          <w:p w14:paraId="07FA858C" w14:textId="77777777" w:rsidR="003E199B" w:rsidRPr="00F06EA4" w:rsidRDefault="003E199B" w:rsidP="00F67ED8">
            <w:pPr>
              <w:spacing w:after="0"/>
              <w:contextualSpacing/>
              <w:rPr>
                <w:rFonts w:eastAsia="Calibri"/>
                <w:lang w:val="en-US"/>
              </w:rPr>
            </w:pPr>
            <w:r w:rsidRPr="00F06EA4">
              <w:rPr>
                <w:rFonts w:eastAsia="Calibri"/>
                <w:lang w:val="en-US"/>
              </w:rPr>
              <w:t>IHC, in situ hybridization</w:t>
            </w:r>
          </w:p>
        </w:tc>
        <w:tc>
          <w:tcPr>
            <w:tcW w:w="1700" w:type="dxa"/>
          </w:tcPr>
          <w:p w14:paraId="30E20A6D" w14:textId="77777777" w:rsidR="003E199B" w:rsidRPr="00F06EA4" w:rsidRDefault="003E199B" w:rsidP="00F67ED8">
            <w:pPr>
              <w:spacing w:after="0"/>
              <w:contextualSpacing/>
              <w:rPr>
                <w:rFonts w:eastAsia="Calibri"/>
                <w:lang w:val="en-US"/>
              </w:rPr>
            </w:pPr>
            <w:r w:rsidRPr="00F06EA4">
              <w:rPr>
                <w:rFonts w:eastAsia="Calibri"/>
                <w:lang w:val="en-US"/>
              </w:rPr>
              <w:t>FFPE CRC specimens</w:t>
            </w:r>
          </w:p>
        </w:tc>
        <w:tc>
          <w:tcPr>
            <w:tcW w:w="1960" w:type="dxa"/>
          </w:tcPr>
          <w:p w14:paraId="6AB6C4C6" w14:textId="4DD10830" w:rsidR="003E199B" w:rsidRPr="00F06EA4" w:rsidRDefault="003E199B" w:rsidP="00F67ED8">
            <w:pPr>
              <w:spacing w:after="0"/>
              <w:contextualSpacing/>
              <w:rPr>
                <w:rFonts w:eastAsia="Calibri"/>
                <w:lang w:val="en-US"/>
              </w:rPr>
            </w:pPr>
            <w:r w:rsidRPr="00F06EA4">
              <w:rPr>
                <w:rFonts w:eastAsia="Calibri"/>
                <w:lang w:val="en-US"/>
              </w:rPr>
              <w:t xml:space="preserve">Joo </w:t>
            </w:r>
            <w:r w:rsidR="0020070C" w:rsidRPr="0020070C">
              <w:rPr>
                <w:rFonts w:eastAsia="Calibri"/>
                <w:i/>
                <w:iCs/>
                <w:lang w:val="en-US"/>
              </w:rPr>
              <w:t>et al</w:t>
            </w:r>
            <w:r w:rsidRPr="00F06EA4">
              <w:rPr>
                <w:rFonts w:eastAsia="Calibri"/>
                <w:lang w:val="en-US"/>
              </w:rPr>
              <w:fldChar w:fldCharType="begin" w:fldLock="1"/>
            </w:r>
            <w:r w:rsidR="002E66FA" w:rsidRPr="00F06EA4">
              <w:rPr>
                <w:rFonts w:eastAsia="Calibri"/>
                <w:lang w:val="en-US"/>
              </w:rPr>
              <w:instrText>ADDIN CSL_CITATION {"citationItems":[{"id":"ITEM-1","itemData":{"DOI":"10.3346/jkms.1999.14.4.417","ISSN":"1011-8934","PMID":"10485622","abstract":"Increased production of matrix metalloproteinases (MMPs) has been associated with increases in invasive and metastatic potential in many types of human carcinoma. Tissue inhibitors of metalloproteinase (TIMP)-1 inhibits most interstitial collagenases and MMP-9. TIMP-2 binds specifically and noncovalently to the pro-form of MMP-2 and inhibits its enzyme activity. In this study, we examined TIMP-1 and TIMP-2 expressions in relation to clinicopathological variables in colorectal carcinoma with in situ hybridization and immunohistochemistry. TIMP-1 and TIMP-2 expressions were localized overwhelmingly to pericancer stromal cells, while malignant and normal mucosal cells were weak or negative. Strong stromal TIMP-1 immunoreactivity correlated with Dukes' stage (p=0.022), status of lymph node metastasis (p=0.044) and poor survival (p= 0.005). The degree of immunohistochemical staining of TIMP-2 did not correlate with all clinicopathological variables. The correlation between enhanced TIMP-1 expression and advanced stage and poor survival suggest a growth promoting activity of TIMP-1 in colorectal carcinoma.","author":[{"dropping-particle":"","family":"Joo","given":"Y E","non-dropping-particle":"","parse-names":false,"suffix":""},{"dropping-particle":"","family":"Seo","given":"K S","non-dropping-particle":"","parse-names":false,"suffix":""},{"dropping-particle":"","family":"Kim","given":"J","non-dropping-particle":"","parse-names":false,"suffix":""},{"dropping-particle":"","family":"Kim","given":"H S","non-dropping-particle":"","parse-names":false,"suffix":""},{"dropping-particle":"","family":"Rew","given":"J S","non-dropping-particle":"","parse-names":false,"suffix":""},{"dropping-particle":"","family":"Park","given":"C S","non-dropping-particle":"","parse-names":false,"suffix":""},{"dropping-particle":"","family":"Kim","given":"S J","non-dropping-particle":"","parse-names":false,"suffix":""}],"container-title":"Journal of Korean medical science","id":"ITEM-1","issue":"4","issued":{"date-parts":[["1999"]]},"page":"417-23","title":"Role of tissue inhibitors of metalloproteinases (TIMPs) in colorectal carcinoma.","type":"article-journal","volume":"14"},"uris":["http://www.mendeley.com/documents/?uuid=915b2daa-a0dd-3718-9877-354198b3eed0"]}],"mendeley":{"formattedCitation":"&lt;sup&gt;[190]&lt;/sup&gt;","plainTextFormattedCitation":"[190]","previouslyFormattedCitation":"&lt;sup&gt;[190]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[190]</w:t>
            </w:r>
            <w:r w:rsidRPr="00F06EA4">
              <w:rPr>
                <w:rFonts w:eastAsia="Calibri"/>
                <w:lang w:val="en-US"/>
              </w:rPr>
              <w:fldChar w:fldCharType="end"/>
            </w:r>
          </w:p>
        </w:tc>
      </w:tr>
      <w:tr w:rsidR="003E199B" w:rsidRPr="00F06EA4" w14:paraId="071A1C82" w14:textId="77777777" w:rsidTr="006A0A62">
        <w:trPr>
          <w:trHeight w:val="20"/>
        </w:trPr>
        <w:tc>
          <w:tcPr>
            <w:tcW w:w="1739" w:type="dxa"/>
            <w:tcBorders>
              <w:bottom w:val="single" w:sz="4" w:space="0" w:color="auto"/>
            </w:tcBorders>
          </w:tcPr>
          <w:p w14:paraId="3E12C64A" w14:textId="77777777" w:rsidR="003E199B" w:rsidRPr="00F06EA4" w:rsidRDefault="003E199B" w:rsidP="00F67ED8">
            <w:pPr>
              <w:spacing w:after="0"/>
              <w:contextualSpacing/>
              <w:rPr>
                <w:rFonts w:eastAsia="Calibri"/>
                <w:lang w:val="en-US"/>
              </w:rPr>
            </w:pPr>
            <w:r w:rsidRPr="00F06EA4">
              <w:rPr>
                <w:rFonts w:eastAsia="Calibri"/>
                <w:lang w:val="en-US"/>
              </w:rPr>
              <w:t>VEGFA</w:t>
            </w:r>
          </w:p>
        </w:tc>
        <w:tc>
          <w:tcPr>
            <w:tcW w:w="2862" w:type="dxa"/>
            <w:tcBorders>
              <w:bottom w:val="single" w:sz="4" w:space="0" w:color="auto"/>
            </w:tcBorders>
          </w:tcPr>
          <w:p w14:paraId="714DE085" w14:textId="77777777" w:rsidR="003E199B" w:rsidRPr="00F06EA4" w:rsidRDefault="003E199B" w:rsidP="00F67ED8">
            <w:pPr>
              <w:spacing w:after="0"/>
              <w:contextualSpacing/>
              <w:rPr>
                <w:rFonts w:eastAsia="Calibri"/>
                <w:lang w:val="en-US"/>
              </w:rPr>
            </w:pPr>
            <w:r w:rsidRPr="00F06EA4">
              <w:rPr>
                <w:rFonts w:eastAsia="Calibri"/>
                <w:lang w:val="en-US"/>
              </w:rPr>
              <w:t>Angiogenesis</w:t>
            </w:r>
          </w:p>
        </w:tc>
        <w:tc>
          <w:tcPr>
            <w:tcW w:w="1662" w:type="dxa"/>
            <w:tcBorders>
              <w:bottom w:val="single" w:sz="4" w:space="0" w:color="auto"/>
            </w:tcBorders>
          </w:tcPr>
          <w:p w14:paraId="53AB393D" w14:textId="77777777" w:rsidR="003E199B" w:rsidRPr="00F06EA4" w:rsidRDefault="003E199B" w:rsidP="00F67ED8">
            <w:pPr>
              <w:spacing w:after="0"/>
              <w:contextualSpacing/>
              <w:rPr>
                <w:rFonts w:eastAsia="Calibri"/>
                <w:lang w:val="en-US"/>
              </w:rPr>
            </w:pPr>
            <w:r w:rsidRPr="00F06EA4">
              <w:rPr>
                <w:rFonts w:eastAsia="Calibri"/>
                <w:lang w:val="en-US"/>
              </w:rPr>
              <w:t>LC-MS/MS</w:t>
            </w:r>
          </w:p>
        </w:tc>
        <w:tc>
          <w:tcPr>
            <w:tcW w:w="1700" w:type="dxa"/>
            <w:tcBorders>
              <w:bottom w:val="single" w:sz="4" w:space="0" w:color="auto"/>
            </w:tcBorders>
          </w:tcPr>
          <w:p w14:paraId="6ABFBACA" w14:textId="77777777" w:rsidR="003E199B" w:rsidRPr="00F06EA4" w:rsidRDefault="003E199B" w:rsidP="00F67ED8">
            <w:pPr>
              <w:spacing w:after="0"/>
              <w:contextualSpacing/>
              <w:rPr>
                <w:rFonts w:eastAsia="Calibri"/>
                <w:lang w:val="en-US"/>
              </w:rPr>
            </w:pPr>
            <w:r w:rsidRPr="00F06EA4">
              <w:rPr>
                <w:rFonts w:eastAsia="Calibri"/>
                <w:lang w:val="en-US"/>
              </w:rPr>
              <w:t>Cell culture (human cancer associated fibroblasts)</w:t>
            </w:r>
          </w:p>
        </w:tc>
        <w:tc>
          <w:tcPr>
            <w:tcW w:w="1960" w:type="dxa"/>
            <w:tcBorders>
              <w:bottom w:val="single" w:sz="4" w:space="0" w:color="auto"/>
            </w:tcBorders>
          </w:tcPr>
          <w:p w14:paraId="586DCB39" w14:textId="67E74B03" w:rsidR="003E199B" w:rsidRPr="00F06EA4" w:rsidRDefault="003E199B" w:rsidP="00F67ED8">
            <w:pPr>
              <w:spacing w:after="0"/>
              <w:contextualSpacing/>
              <w:rPr>
                <w:rFonts w:eastAsia="Calibri"/>
                <w:lang w:val="en-US"/>
              </w:rPr>
            </w:pPr>
            <w:r w:rsidRPr="00F06EA4">
              <w:rPr>
                <w:rFonts w:eastAsia="Calibri"/>
                <w:lang w:val="en-US"/>
              </w:rPr>
              <w:t xml:space="preserve">De Boeck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{"citationItems":[{"id":"ITEM-1","itemData":{"DOI":"10.1002/pmic.201200179","ISBN":"3293324991","ISSN":"1615-9861","PMID":"23175172","abstract":"The identification of cancer-associated fibroblast (CAF)-derived proteins that mediate interactions between the tumor stroma and cancer cells is a crucial step toward the discovery of new molecular targets for therapy or molecular signatures that improve tumor classification and predict clinical outcome. CAF are α-smooth muscle actin positive, representing a myofibroblast phenotype that may differentiate from multiple precursor cells, including bone marrow-derived mesenchymal stem cells (MSC). Transforming growth factor-β1 (TGF-β1) is a crucial inducer of α-smooth muscle actin positive CAFs. In this study, we aimed to identify CAF-derived regulators of colon cancer progression by performing a high-throughput differential secretome profiling between CAF compared to noncancer-activated bone marrow-derived MSC. In addition, we explored the effect of TGF-β1 on the secretion of proteins by bone marrow-derived MSC in comparison with the protein secretion profile of CAF. TGF-β1 induced de novo secretion of 84 proteins in MSC, of which 16 proteins, including stromal-derived factor-1α and Rantes, were also present in CAF secretome. Immunohistochemistry further validated the expression of selected candidates such as tenascin C, fibronectin ED-A domain and stromal-derived factor-1 in clinical colon cancer specimens. In conclusion, this differential secretome approach enabled us to identify a series of candidate biomarkers for colon cancer that are associated with a CAF-specific phenotype.","author":[{"dropping-particle":"","family":"Boeck","given":"Astrid","non-dropping-particle":"De","parse-names":false,"suffix":""},{"dropping-particle":"","family":"Hendrix","given":"An","non-dropping-particle":"","parse-names":false,"suffix":""},{"dropping-particle":"","family":"Maynard","given":"Dawn","non-dropping-particle":"","parse-names":false,"suffix":""},{"dropping-particle":"","family":"Bockstal","given":"Mieke","non-dropping-particle":"Van","parse-names":false,"suffix":""},{"dropping-particle":"","family":"Daniëls","given":"Annick","non-dropping-particle":"","parse-names":false,"suffix":""},{"dropping-particle":"","family":"Pauwels","given":"Patrick","non-dropping-particle":"","parse-names":false,"suffix":""},{"dropping-particle":"","family":"Gespach","given":"Christian","non-dropping-particle":"","parse-names":false,"suffix":""},{"dropping-particle":"","family":"Bracke","given":"Marc","non-dropping-particle":"","parse-names":false,"suffix":""},{"dropping-particle":"","family":"Wever","given":"Olivier","non-dropping-particle":"De","parse-names":false,"suffix":""}],"container-title":"Proteomics","id":"ITEM-1","issue":"2","issued":{"date-parts":[["2013","1"]]},"page":"379-88","title":"Differential secretome analysis of cancer-associated fibroblasts and bone marrow-derived precursors to identify microenvironmental regulators of colon cancer progression.","type":"article-journal","volume":"13"},"uris":["http://www.mendeley.com/documents/?uuid=35342b19-86ed-4690-9220-961463727de0"]}],"mendeley":{"formattedCitation":"&lt;sup&gt;[63]&lt;/sup&gt;","plainTextFormattedCitation":"[63]","previouslyFormattedCitation":"&lt;sup&gt;[63]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[63]</w:t>
            </w:r>
            <w:r w:rsidRPr="00F06EA4">
              <w:rPr>
                <w:rFonts w:eastAsia="Calibri"/>
                <w:lang w:val="en-US"/>
              </w:rPr>
              <w:fldChar w:fldCharType="end"/>
            </w:r>
          </w:p>
        </w:tc>
      </w:tr>
    </w:tbl>
    <w:p w14:paraId="0BD3DA47" w14:textId="0795413E" w:rsidR="003E199B" w:rsidRPr="00D96683" w:rsidRDefault="003E199B" w:rsidP="00F67ED8">
      <w:pPr>
        <w:spacing w:after="0"/>
        <w:rPr>
          <w:rFonts w:eastAsia="Calibri"/>
          <w:lang w:val="en-US"/>
        </w:rPr>
      </w:pPr>
      <w:r w:rsidRPr="00F06EA4">
        <w:rPr>
          <w:rFonts w:eastAsia="Calibri"/>
          <w:lang w:val="en-US"/>
        </w:rPr>
        <w:t xml:space="preserve">CRC: </w:t>
      </w:r>
      <w:r w:rsidR="008D7C73" w:rsidRPr="00F06EA4">
        <w:rPr>
          <w:rFonts w:eastAsia="Calibri"/>
          <w:lang w:val="en-US"/>
        </w:rPr>
        <w:t xml:space="preserve">Colorectal </w:t>
      </w:r>
      <w:r w:rsidRPr="00F06EA4">
        <w:rPr>
          <w:rFonts w:eastAsia="Calibri"/>
          <w:lang w:val="en-US"/>
        </w:rPr>
        <w:t xml:space="preserve">cancer; ECM: </w:t>
      </w:r>
      <w:r w:rsidR="008D7C73" w:rsidRPr="00F06EA4">
        <w:rPr>
          <w:rFonts w:eastAsia="Calibri"/>
          <w:lang w:val="en-US"/>
        </w:rPr>
        <w:t xml:space="preserve">Extracellular </w:t>
      </w:r>
      <w:r w:rsidRPr="00F06EA4">
        <w:rPr>
          <w:rFonts w:eastAsia="Calibri"/>
          <w:lang w:val="en-US"/>
        </w:rPr>
        <w:t>matrix</w:t>
      </w:r>
      <w:r w:rsidR="008D7C73">
        <w:rPr>
          <w:rFonts w:eastAsia="Calibri"/>
          <w:lang w:val="en-US"/>
        </w:rPr>
        <w:t>;</w:t>
      </w:r>
      <w:r w:rsidRPr="00F06EA4">
        <w:rPr>
          <w:rFonts w:eastAsia="Calibri"/>
          <w:lang w:val="en-US"/>
        </w:rPr>
        <w:t xml:space="preserve"> FFPE: </w:t>
      </w:r>
      <w:r w:rsidR="008D7C73" w:rsidRPr="00F06EA4">
        <w:rPr>
          <w:rFonts w:eastAsia="Calibri"/>
          <w:lang w:val="en-US"/>
        </w:rPr>
        <w:t xml:space="preserve">Formalin </w:t>
      </w:r>
      <w:r w:rsidRPr="00F06EA4">
        <w:rPr>
          <w:rFonts w:eastAsia="Calibri"/>
          <w:lang w:val="en-US"/>
        </w:rPr>
        <w:t xml:space="preserve">fixed paraffin embedded; IHC: </w:t>
      </w:r>
      <w:r w:rsidR="008D7C73" w:rsidRPr="00F06EA4">
        <w:rPr>
          <w:rFonts w:eastAsia="Calibri"/>
          <w:lang w:val="en-US"/>
        </w:rPr>
        <w:t>Immunohistochemistry</w:t>
      </w:r>
      <w:r w:rsidR="008D7C73">
        <w:rPr>
          <w:rFonts w:eastAsia="Calibri"/>
          <w:lang w:val="en-US"/>
        </w:rPr>
        <w:t>;</w:t>
      </w:r>
      <w:r w:rsidRPr="00F06EA4">
        <w:rPr>
          <w:rFonts w:eastAsia="Calibri"/>
          <w:lang w:val="en-US"/>
        </w:rPr>
        <w:t xml:space="preserve"> IF: </w:t>
      </w:r>
      <w:r w:rsidR="008D7C73" w:rsidRPr="00F06EA4">
        <w:rPr>
          <w:rFonts w:eastAsia="Calibri"/>
          <w:lang w:val="en-US"/>
        </w:rPr>
        <w:t>Immunofluorescence</w:t>
      </w:r>
      <w:r w:rsidR="008D7C73">
        <w:rPr>
          <w:rFonts w:eastAsia="Calibri"/>
          <w:lang w:val="en-US"/>
        </w:rPr>
        <w:t>;</w:t>
      </w:r>
      <w:r w:rsidRPr="00F06EA4">
        <w:rPr>
          <w:rFonts w:eastAsia="Calibri"/>
          <w:lang w:val="en-US"/>
        </w:rPr>
        <w:t xml:space="preserve"> LC-MS/MS: </w:t>
      </w:r>
      <w:r w:rsidR="008D7C73" w:rsidRPr="00F06EA4">
        <w:rPr>
          <w:rFonts w:eastAsia="Calibri"/>
          <w:lang w:val="en-US"/>
        </w:rPr>
        <w:t>Liquid chr</w:t>
      </w:r>
      <w:r w:rsidRPr="00F06EA4">
        <w:rPr>
          <w:rFonts w:eastAsia="Calibri"/>
          <w:lang w:val="en-US"/>
        </w:rPr>
        <w:t>omatography with tandem mass spectrometry</w:t>
      </w:r>
      <w:r w:rsidR="008D7C73">
        <w:rPr>
          <w:rFonts w:eastAsia="Calibri"/>
          <w:lang w:val="en-US"/>
        </w:rPr>
        <w:t>;</w:t>
      </w:r>
      <w:r w:rsidRPr="00F06EA4">
        <w:rPr>
          <w:rFonts w:eastAsia="Calibri"/>
          <w:lang w:val="en-US"/>
        </w:rPr>
        <w:t xml:space="preserve"> MMP: </w:t>
      </w:r>
      <w:r w:rsidR="008D7C73" w:rsidRPr="00F06EA4">
        <w:rPr>
          <w:rFonts w:eastAsia="Calibri"/>
          <w:lang w:val="en-US"/>
        </w:rPr>
        <w:t xml:space="preserve">Matrix </w:t>
      </w:r>
      <w:r w:rsidRPr="00F06EA4">
        <w:rPr>
          <w:rFonts w:eastAsia="Calibri"/>
          <w:lang w:val="en-US"/>
        </w:rPr>
        <w:t xml:space="preserve">metalloproteinase; RT-PCR: </w:t>
      </w:r>
      <w:r w:rsidR="008D7C73" w:rsidRPr="00F06EA4">
        <w:rPr>
          <w:rFonts w:eastAsia="Calibri"/>
          <w:lang w:val="en-US"/>
        </w:rPr>
        <w:t>Real</w:t>
      </w:r>
      <w:r w:rsidRPr="00F06EA4">
        <w:rPr>
          <w:rFonts w:eastAsia="Calibri"/>
          <w:lang w:val="en-US"/>
        </w:rPr>
        <w:t xml:space="preserve">-time polymerase chain reaction; WB: </w:t>
      </w:r>
      <w:r w:rsidR="008D7C73" w:rsidRPr="00F06EA4">
        <w:rPr>
          <w:rFonts w:eastAsia="Calibri"/>
          <w:lang w:val="en-US"/>
        </w:rPr>
        <w:t xml:space="preserve">Western </w:t>
      </w:r>
      <w:r w:rsidRPr="00F06EA4">
        <w:rPr>
          <w:rFonts w:eastAsia="Calibri"/>
          <w:lang w:val="en-US"/>
        </w:rPr>
        <w:t>blot</w:t>
      </w:r>
      <w:r w:rsidR="008D7C73">
        <w:rPr>
          <w:rFonts w:eastAsia="Calibri"/>
          <w:lang w:val="en-US"/>
        </w:rPr>
        <w:t>.</w:t>
      </w:r>
    </w:p>
    <w:p w14:paraId="59699375" w14:textId="77777777" w:rsidR="003E199B" w:rsidRPr="00F06EA4" w:rsidRDefault="003E199B" w:rsidP="00F67ED8">
      <w:pPr>
        <w:spacing w:after="0"/>
      </w:pPr>
      <w:r w:rsidRPr="00F06EA4">
        <w:br w:type="page"/>
      </w:r>
    </w:p>
    <w:p w14:paraId="4CEC862E" w14:textId="2FA5B197" w:rsidR="003E199B" w:rsidRPr="00F06EA4" w:rsidRDefault="003E199B" w:rsidP="00F67ED8">
      <w:pPr>
        <w:spacing w:after="0"/>
        <w:rPr>
          <w:rFonts w:eastAsia="Calibri"/>
          <w:lang w:val="en-US"/>
        </w:rPr>
      </w:pPr>
      <w:r w:rsidRPr="00F06EA4">
        <w:rPr>
          <w:rFonts w:eastAsia="Calibri"/>
          <w:b/>
          <w:lang w:val="en-US"/>
        </w:rPr>
        <w:lastRenderedPageBreak/>
        <w:t xml:space="preserve">Table </w:t>
      </w:r>
      <w:r w:rsidRPr="00F06EA4">
        <w:rPr>
          <w:rFonts w:eastAsia="Calibri"/>
          <w:b/>
          <w:bCs/>
          <w:lang w:val="en-US"/>
        </w:rPr>
        <w:t>5</w:t>
      </w:r>
      <w:r w:rsidRPr="00F06EA4">
        <w:rPr>
          <w:rFonts w:eastAsia="Calibri"/>
          <w:lang w:val="en-US"/>
        </w:rPr>
        <w:t xml:space="preserve"> </w:t>
      </w:r>
      <w:r w:rsidRPr="004F02F5">
        <w:rPr>
          <w:rFonts w:eastAsia="Calibri"/>
          <w:b/>
          <w:bCs/>
          <w:lang w:val="en-US"/>
        </w:rPr>
        <w:t xml:space="preserve">Selected systemic inflammation based prognostic markers in </w:t>
      </w:r>
      <w:r w:rsidR="002618DE" w:rsidRPr="004F02F5">
        <w:rPr>
          <w:rFonts w:eastAsia="Calibri"/>
          <w:b/>
          <w:bCs/>
          <w:lang w:val="en-US"/>
        </w:rPr>
        <w:t>colorectal cancer</w:t>
      </w:r>
    </w:p>
    <w:tbl>
      <w:tblPr>
        <w:tblStyle w:val="ac"/>
        <w:tblW w:w="996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378"/>
        <w:gridCol w:w="1979"/>
        <w:gridCol w:w="1569"/>
        <w:gridCol w:w="2507"/>
      </w:tblGrid>
      <w:tr w:rsidR="003E199B" w:rsidRPr="00EE524F" w14:paraId="3A964532" w14:textId="77777777" w:rsidTr="0070496D">
        <w:trPr>
          <w:trHeight w:val="20"/>
        </w:trPr>
        <w:tc>
          <w:tcPr>
            <w:tcW w:w="2533" w:type="dxa"/>
            <w:tcBorders>
              <w:top w:val="single" w:sz="4" w:space="0" w:color="auto"/>
              <w:bottom w:val="single" w:sz="4" w:space="0" w:color="auto"/>
            </w:tcBorders>
          </w:tcPr>
          <w:p w14:paraId="28E46D87" w14:textId="77777777" w:rsidR="003E199B" w:rsidRPr="00EE524F" w:rsidRDefault="003E199B" w:rsidP="00F67ED8">
            <w:pPr>
              <w:spacing w:after="0"/>
              <w:contextualSpacing/>
              <w:rPr>
                <w:rFonts w:eastAsia="Calibri"/>
                <w:b/>
                <w:bCs/>
                <w:lang w:val="en-US"/>
              </w:rPr>
            </w:pPr>
            <w:r w:rsidRPr="00EE524F">
              <w:rPr>
                <w:rFonts w:eastAsia="Calibri"/>
                <w:b/>
                <w:bCs/>
                <w:lang w:val="en-US"/>
              </w:rPr>
              <w:t>Marker</w:t>
            </w:r>
          </w:p>
        </w:tc>
        <w:tc>
          <w:tcPr>
            <w:tcW w:w="1378" w:type="dxa"/>
            <w:tcBorders>
              <w:top w:val="single" w:sz="4" w:space="0" w:color="auto"/>
              <w:bottom w:val="single" w:sz="4" w:space="0" w:color="auto"/>
            </w:tcBorders>
          </w:tcPr>
          <w:p w14:paraId="5E4A8D36" w14:textId="191B9B43" w:rsidR="003E199B" w:rsidRPr="00EE524F" w:rsidRDefault="00EE524F" w:rsidP="00F67ED8">
            <w:pPr>
              <w:spacing w:after="0"/>
              <w:contextualSpacing/>
              <w:rPr>
                <w:b/>
                <w:bCs/>
                <w:lang w:val="en-US" w:eastAsia="zh-CN"/>
              </w:rPr>
            </w:pPr>
            <w:r w:rsidRPr="00EE524F">
              <w:rPr>
                <w:rFonts w:hint="eastAsia"/>
                <w:b/>
                <w:bCs/>
                <w:lang w:val="en-US" w:eastAsia="zh-CN"/>
              </w:rPr>
              <w:t>R</w:t>
            </w:r>
            <w:r w:rsidRPr="00EE524F">
              <w:rPr>
                <w:b/>
                <w:bCs/>
                <w:lang w:val="en-US" w:eastAsia="zh-CN"/>
              </w:rPr>
              <w:t>ef.</w:t>
            </w:r>
          </w:p>
        </w:tc>
        <w:tc>
          <w:tcPr>
            <w:tcW w:w="1979" w:type="dxa"/>
            <w:tcBorders>
              <w:top w:val="single" w:sz="4" w:space="0" w:color="auto"/>
              <w:bottom w:val="single" w:sz="4" w:space="0" w:color="auto"/>
            </w:tcBorders>
          </w:tcPr>
          <w:p w14:paraId="6D184128" w14:textId="77777777" w:rsidR="003E199B" w:rsidRPr="00EE524F" w:rsidRDefault="003E199B" w:rsidP="00F67ED8">
            <w:pPr>
              <w:spacing w:after="0"/>
              <w:contextualSpacing/>
              <w:rPr>
                <w:rFonts w:eastAsia="Calibri"/>
                <w:b/>
                <w:bCs/>
                <w:lang w:val="en-US"/>
              </w:rPr>
            </w:pPr>
            <w:r w:rsidRPr="00EE524F">
              <w:rPr>
                <w:rFonts w:eastAsia="Calibri"/>
                <w:b/>
                <w:bCs/>
                <w:lang w:val="en-US"/>
              </w:rPr>
              <w:t>Study design</w:t>
            </w:r>
          </w:p>
        </w:tc>
        <w:tc>
          <w:tcPr>
            <w:tcW w:w="1569" w:type="dxa"/>
            <w:tcBorders>
              <w:top w:val="single" w:sz="4" w:space="0" w:color="auto"/>
              <w:bottom w:val="single" w:sz="4" w:space="0" w:color="auto"/>
            </w:tcBorders>
          </w:tcPr>
          <w:p w14:paraId="568894FD" w14:textId="77777777" w:rsidR="003E199B" w:rsidRPr="00EE524F" w:rsidRDefault="003E199B" w:rsidP="00F67ED8">
            <w:pPr>
              <w:spacing w:after="0"/>
              <w:contextualSpacing/>
              <w:rPr>
                <w:rFonts w:eastAsia="Calibri"/>
                <w:b/>
                <w:bCs/>
                <w:lang w:val="en-US"/>
              </w:rPr>
            </w:pPr>
            <w:r w:rsidRPr="00EE524F">
              <w:rPr>
                <w:rFonts w:eastAsia="Calibri"/>
                <w:b/>
                <w:bCs/>
                <w:lang w:val="en-US"/>
              </w:rPr>
              <w:t>Study population</w:t>
            </w:r>
          </w:p>
        </w:tc>
        <w:tc>
          <w:tcPr>
            <w:tcW w:w="2507" w:type="dxa"/>
            <w:tcBorders>
              <w:top w:val="single" w:sz="4" w:space="0" w:color="auto"/>
              <w:bottom w:val="single" w:sz="4" w:space="0" w:color="auto"/>
            </w:tcBorders>
          </w:tcPr>
          <w:p w14:paraId="50C898AF" w14:textId="77777777" w:rsidR="003E199B" w:rsidRPr="00EE524F" w:rsidRDefault="003E199B" w:rsidP="00F67ED8">
            <w:pPr>
              <w:spacing w:after="0"/>
              <w:contextualSpacing/>
              <w:rPr>
                <w:rFonts w:eastAsia="Calibri"/>
                <w:b/>
                <w:bCs/>
                <w:lang w:val="en-US"/>
              </w:rPr>
            </w:pPr>
            <w:r w:rsidRPr="00EE524F">
              <w:rPr>
                <w:rFonts w:eastAsia="Calibri"/>
                <w:b/>
                <w:bCs/>
                <w:lang w:val="en-US"/>
              </w:rPr>
              <w:t>Outcome, HR</w:t>
            </w:r>
          </w:p>
        </w:tc>
      </w:tr>
      <w:tr w:rsidR="003E199B" w:rsidRPr="00F06EA4" w14:paraId="401E38C7" w14:textId="77777777" w:rsidTr="0070496D">
        <w:trPr>
          <w:trHeight w:val="20"/>
        </w:trPr>
        <w:tc>
          <w:tcPr>
            <w:tcW w:w="2533" w:type="dxa"/>
          </w:tcPr>
          <w:p w14:paraId="31E95DEA" w14:textId="13DCCE75" w:rsidR="003E199B" w:rsidRPr="00F06EA4" w:rsidRDefault="003E199B" w:rsidP="00F67ED8">
            <w:pPr>
              <w:spacing w:after="0"/>
              <w:contextualSpacing/>
              <w:rPr>
                <w:rFonts w:eastAsia="Calibri"/>
                <w:b/>
                <w:lang w:val="en-US"/>
              </w:rPr>
            </w:pPr>
            <w:r w:rsidRPr="00F06EA4">
              <w:rPr>
                <w:rFonts w:eastAsia="Calibri"/>
                <w:b/>
                <w:lang w:val="en-US"/>
              </w:rPr>
              <w:t xml:space="preserve">Acute </w:t>
            </w:r>
            <w:r w:rsidR="00EE524F" w:rsidRPr="00F06EA4">
              <w:rPr>
                <w:rFonts w:eastAsia="Calibri"/>
                <w:b/>
                <w:lang w:val="en-US"/>
              </w:rPr>
              <w:t>p</w:t>
            </w:r>
            <w:r w:rsidRPr="00F06EA4">
              <w:rPr>
                <w:rFonts w:eastAsia="Calibri"/>
                <w:b/>
                <w:lang w:val="en-US"/>
              </w:rPr>
              <w:t>hase proteins</w:t>
            </w:r>
          </w:p>
        </w:tc>
        <w:tc>
          <w:tcPr>
            <w:tcW w:w="1378" w:type="dxa"/>
          </w:tcPr>
          <w:p w14:paraId="60C4B02C" w14:textId="77777777" w:rsidR="003E199B" w:rsidRPr="00F06EA4" w:rsidRDefault="003E199B" w:rsidP="00F67ED8">
            <w:pPr>
              <w:spacing w:after="0"/>
              <w:contextualSpacing/>
              <w:rPr>
                <w:rFonts w:eastAsia="Calibri"/>
                <w:lang w:val="en-US"/>
              </w:rPr>
            </w:pPr>
          </w:p>
        </w:tc>
        <w:tc>
          <w:tcPr>
            <w:tcW w:w="1979" w:type="dxa"/>
          </w:tcPr>
          <w:p w14:paraId="74A783D7" w14:textId="77777777" w:rsidR="003E199B" w:rsidRPr="00F06EA4" w:rsidRDefault="003E199B" w:rsidP="00F67ED8">
            <w:pPr>
              <w:spacing w:after="0"/>
              <w:contextualSpacing/>
              <w:rPr>
                <w:rFonts w:eastAsia="Calibri"/>
                <w:lang w:val="en-US"/>
              </w:rPr>
            </w:pPr>
          </w:p>
        </w:tc>
        <w:tc>
          <w:tcPr>
            <w:tcW w:w="1569" w:type="dxa"/>
          </w:tcPr>
          <w:p w14:paraId="5979B29C" w14:textId="77777777" w:rsidR="003E199B" w:rsidRPr="00F06EA4" w:rsidRDefault="003E199B" w:rsidP="00F67ED8">
            <w:pPr>
              <w:spacing w:after="0"/>
              <w:contextualSpacing/>
              <w:rPr>
                <w:rFonts w:eastAsia="Calibri"/>
                <w:lang w:val="en-US"/>
              </w:rPr>
            </w:pPr>
          </w:p>
        </w:tc>
        <w:tc>
          <w:tcPr>
            <w:tcW w:w="2507" w:type="dxa"/>
          </w:tcPr>
          <w:p w14:paraId="2CC5ECE8" w14:textId="77777777" w:rsidR="003E199B" w:rsidRPr="00F06EA4" w:rsidRDefault="003E199B" w:rsidP="00F67ED8">
            <w:pPr>
              <w:spacing w:after="0"/>
              <w:contextualSpacing/>
              <w:rPr>
                <w:rFonts w:eastAsia="Calibri"/>
                <w:lang w:val="en-US"/>
              </w:rPr>
            </w:pPr>
          </w:p>
        </w:tc>
      </w:tr>
      <w:tr w:rsidR="003E199B" w:rsidRPr="00F06EA4" w14:paraId="2B0C008B" w14:textId="77777777" w:rsidTr="0070496D">
        <w:trPr>
          <w:trHeight w:val="20"/>
        </w:trPr>
        <w:tc>
          <w:tcPr>
            <w:tcW w:w="2533" w:type="dxa"/>
          </w:tcPr>
          <w:p w14:paraId="6275027B" w14:textId="77777777" w:rsidR="003E199B" w:rsidRPr="00F06EA4" w:rsidRDefault="003E199B" w:rsidP="00F67ED8">
            <w:pPr>
              <w:spacing w:after="0"/>
              <w:contextualSpacing/>
              <w:rPr>
                <w:rFonts w:eastAsia="Calibri"/>
                <w:lang w:val="en-US"/>
              </w:rPr>
            </w:pPr>
            <w:r w:rsidRPr="00F06EA4">
              <w:rPr>
                <w:rFonts w:eastAsia="Calibri"/>
                <w:lang w:val="en-US"/>
              </w:rPr>
              <w:t>CRP</w:t>
            </w:r>
          </w:p>
        </w:tc>
        <w:tc>
          <w:tcPr>
            <w:tcW w:w="1378" w:type="dxa"/>
          </w:tcPr>
          <w:p w14:paraId="3DED20DE" w14:textId="366DE24E" w:rsidR="003E199B" w:rsidRPr="00F06EA4" w:rsidRDefault="003E199B" w:rsidP="00F67ED8">
            <w:pPr>
              <w:spacing w:after="0"/>
              <w:contextualSpacing/>
              <w:rPr>
                <w:rFonts w:eastAsia="Calibri"/>
                <w:lang w:val="en-US"/>
              </w:rPr>
            </w:pPr>
            <w:r w:rsidRPr="00F06EA4">
              <w:rPr>
                <w:rFonts w:eastAsia="Calibri"/>
                <w:lang w:val="en-US"/>
              </w:rPr>
              <w:t xml:space="preserve">Woo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{"citationItems":[{"id":"ITEM-1","itemData":{"DOI":"10.1007/s10552-015-0663-8","ISBN":"1055201506638","ISSN":"1573-7225","PMID":"26376895","abstract":"PURPOSE C-reactive protein (CRP) is widely known as a major nonspecific systemic inflammatory marker. A number of previous studies have suggested that elevated preoperative CRP is associated with poor prognosis in colorectal cancer. We aimed to explore the effects of preoperative CRP on colorectal cancer survival through a meta-analysis. METHODS A total of 21 studies, including a total of 3934 colorectal cancer patients, were eligible. The multivariate-adjusted hazard ratios (HRs) and 95% confidence intervals (CIs) of selected studies were used to assess the summary estimates of the association between preoperative CRP and colorectal cancer survival. RESULTS The pooled HRs of elevated preoperative CRP for earlier stage patients were 2.04 (95% CI 1.45-2.86) for OS, 4.37 (95% CI 2.63-7.27) for CSS, and 1.88 (95% CI 0.97-3.67) for DFS. The pooled HRs of a higher Glasgow Prognostic Score (GPS)/modified GPS (mGPS) for earlier stage patients were 2.20 (95% CI 1.61-3.02) for OS and 1.80 (95% CI 1.37-2.37) for CSS. The association between elevated preoperative CRP and poor survival was observed in patients with advanced cancer. Elevated CRP and GPS/mGPS were significantly associated with poor survival. CONCLUSION Preoperative CRP and its related markers, GPS and mGPS, were significantly associated with the survival of colorectal cancer surgery patients. The HRs of GPS and mGPS were highly homogeneous across studies for all survival types. Thus, GPS and mGPS may serve as stable predictors of the survival of colorectal cancer surgery patients.","author":[{"dropping-particle":"","family":"Woo","given":"Hae Dong","non-dropping-particle":"","parse-names":false,"suffix":""},{"dropping-particle":"","family":"Kim","given":"Kyeezu","non-dropping-particle":"","parse-names":false,"suffix":""},{"dropping-particle":"","family":"Kim","given":"Jeongseon","non-dropping-particle":"","parse-names":false,"suffix":""}],"container-title":"Cancer causes &amp; control : CCC","id":"ITEM-1","issue":"11","issued":{"date-parts":[["2015"]]},"page":"1661-70","title":"Association between preoperative C-reactive protein level and colorectal cancer survival: a meta-analysis.","type":"article-journal","volume":"26"},"uris":["http://www.mendeley.com/documents/?uuid=838d7611-3b15-4b00-8d31-80607435a98d"]}],"mendeley":{"formattedCitation":"&lt;sup&gt;[191]&lt;/sup&gt;","plainTextFormattedCitation":"[191]","previouslyFormattedCitation":"&lt;sup&gt;[191]&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[191]</w:t>
            </w:r>
            <w:r w:rsidRPr="00F06EA4">
              <w:rPr>
                <w:rFonts w:eastAsia="Calibri"/>
                <w:lang w:val="en-US"/>
              </w:rPr>
              <w:fldChar w:fldCharType="end"/>
            </w:r>
          </w:p>
        </w:tc>
        <w:tc>
          <w:tcPr>
            <w:tcW w:w="1979" w:type="dxa"/>
          </w:tcPr>
          <w:p w14:paraId="4D12CBF9" w14:textId="77777777" w:rsidR="003E199B" w:rsidRPr="00F06EA4" w:rsidRDefault="003E199B" w:rsidP="00F67ED8">
            <w:pPr>
              <w:spacing w:after="0"/>
              <w:contextualSpacing/>
              <w:rPr>
                <w:rFonts w:eastAsia="Calibri"/>
                <w:lang w:val="en-US"/>
              </w:rPr>
            </w:pPr>
            <w:r w:rsidRPr="00F06EA4">
              <w:rPr>
                <w:rFonts w:eastAsia="Calibri"/>
                <w:lang w:val="en-US"/>
              </w:rPr>
              <w:t>Meta-analysis, 21 studies</w:t>
            </w:r>
          </w:p>
        </w:tc>
        <w:tc>
          <w:tcPr>
            <w:tcW w:w="1569" w:type="dxa"/>
          </w:tcPr>
          <w:p w14:paraId="6527FBCD" w14:textId="23AE37DA" w:rsidR="003E199B" w:rsidRPr="00F06EA4" w:rsidRDefault="003E199B" w:rsidP="00F67ED8">
            <w:pPr>
              <w:spacing w:after="0"/>
              <w:contextualSpacing/>
              <w:rPr>
                <w:rFonts w:eastAsia="Calibri"/>
                <w:lang w:val="en-US"/>
              </w:rPr>
            </w:pPr>
            <w:r w:rsidRPr="00F06EA4">
              <w:rPr>
                <w:rFonts w:eastAsia="Calibri"/>
                <w:lang w:val="en-US"/>
              </w:rPr>
              <w:t>3934 CRC patients, stage I-II</w:t>
            </w:r>
          </w:p>
        </w:tc>
        <w:tc>
          <w:tcPr>
            <w:tcW w:w="2507" w:type="dxa"/>
          </w:tcPr>
          <w:p w14:paraId="49F3DA56" w14:textId="77777777" w:rsidR="003E199B" w:rsidRPr="00F06EA4" w:rsidRDefault="003E199B" w:rsidP="00F67ED8">
            <w:pPr>
              <w:spacing w:after="0"/>
              <w:contextualSpacing/>
              <w:rPr>
                <w:rFonts w:eastAsia="Calibri"/>
                <w:lang w:val="en-US"/>
              </w:rPr>
            </w:pPr>
            <w:r w:rsidRPr="00F06EA4">
              <w:rPr>
                <w:rFonts w:eastAsia="Calibri"/>
                <w:lang w:val="en-US"/>
              </w:rPr>
              <w:t>OS, HR 2.04 (1.45–2.86); CSS, HR 4.37 (2.63–7.27); DFS, HR 1.88 (0.97–3.67)</w:t>
            </w:r>
          </w:p>
        </w:tc>
      </w:tr>
      <w:tr w:rsidR="003E199B" w:rsidRPr="00F06EA4" w14:paraId="0A0A555D" w14:textId="77777777" w:rsidTr="0070496D">
        <w:trPr>
          <w:trHeight w:val="20"/>
        </w:trPr>
        <w:tc>
          <w:tcPr>
            <w:tcW w:w="2533" w:type="dxa"/>
          </w:tcPr>
          <w:p w14:paraId="067D8C2C" w14:textId="77777777" w:rsidR="003E199B" w:rsidRPr="00F06EA4" w:rsidRDefault="003E199B" w:rsidP="00F67ED8">
            <w:pPr>
              <w:spacing w:after="0"/>
              <w:contextualSpacing/>
              <w:rPr>
                <w:rFonts w:eastAsia="Calibri"/>
                <w:lang w:val="en-US"/>
              </w:rPr>
            </w:pPr>
            <w:r w:rsidRPr="00F06EA4">
              <w:rPr>
                <w:rFonts w:eastAsia="Calibri"/>
                <w:lang w:val="en-US"/>
              </w:rPr>
              <w:t>Albumin</w:t>
            </w:r>
          </w:p>
        </w:tc>
        <w:tc>
          <w:tcPr>
            <w:tcW w:w="1378" w:type="dxa"/>
          </w:tcPr>
          <w:p w14:paraId="197725E4" w14:textId="0DF10E2F" w:rsidR="003E199B" w:rsidRPr="00F06EA4" w:rsidRDefault="003E199B" w:rsidP="00F67ED8">
            <w:pPr>
              <w:spacing w:after="0"/>
              <w:contextualSpacing/>
              <w:rPr>
                <w:rFonts w:eastAsia="Calibri"/>
                <w:lang w:val="fi-FI"/>
              </w:rPr>
            </w:pPr>
            <w:r w:rsidRPr="00F06EA4">
              <w:rPr>
                <w:rFonts w:eastAsia="Calibri"/>
                <w:lang w:val="fi-FI"/>
              </w:rPr>
              <w:t xml:space="preserve">Gupta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{"citationItems":[{"id":"ITEM-1","itemData":{"DOI":"10.1186/1475-2891-9-69","ISSN":"1475-2891","PMID":"21176210","abstract":"BACKGROUND There are several methods of assessing nutritional status in cancer of which serum albumin is one of the most commonly used. In recent years, the role of malnutrition as a predictor of survival in cancer has received considerable attention. As a result, it is reasonable to investigate whether serum albumin has utility as a prognostic indicator of cancer survival in cancer. This review summarizes all available epidemiological literature on the association between pretreatment serum albumin levels and survival in different types of cancer. METHODS A systematic search of the literature using the MEDLINE database (January 1995 through June 2010) to identify epidemiologic studies on the relationship between serum albumin and cancer survival. To be included in the review, a study must have: been published in English, reported on data collected in humans with any type of cancer, had serum albumin as one of the or only predicting factor, had survival as one of the outcome measures (primary or secondary) and had any of the following study designs (case-control, cohort, cross-sectional, case-series prospective, retrospective, nested case-control, ecologic, clinical trial, meta-analysis). RESULTS Of the 29 studies reviewed on cancers of the gastrointestinal tract, all except three found higher serum albumin levels to be associated with better survival in multivariate analysis. Of the 10 studies reviewed on lung cancer, all excepting one found higher serum albumin levels to be associated with better survival. In 6 studies reviewed on female cancers and multiple cancers each, lower levels of serum albumin were associated with poor survival. Finally, in all 8 studies reviewed on patients with other cancer sites, lower levels of serum albumin were associated with poor survival. CONCLUSIONS Pretreatment serum albumin levels provide useful prognostic significance in cancer. Accordingly, serum albumin level could be used in clinical trials to better define the baseline risk in cancer patients. A critical gap for demonstrating causality, however, is the absence of clinical trials demonstrating that raising albumin levels by means of intravenous infusion or by hyperalimentation decreases the excess risk of mortality in cancer.","author":[{"dropping-particle":"","family":"Gupta","given":"Digant","non-dropping-particle":"","parse-names":false,"suffix":""},{"dropping-particle":"","family":"Lis","given":"Christopher G.","non-dropping-particle":"","parse-names":false,"suffix":""}],"container-title":"Nutrition journal","id":"ITEM-1","issue":"1","issued":{"date-parts":[["2010","12"]]},"page":"69","title":"Pretreatment serum albumin as a predictor of cancer survival: a systematic review of the epidemiological literature.","type":"article-journal","volume":"9"},"uris":["http://www.mendeley.com/documents/?uuid=53432dfe-6cf9-4fae-b4a3-e6112b9713d5"]}],"mendeley":{"formattedCitation":"&lt;sup&gt;[192]&lt;/sup&gt;","plainTextFormattedCitation":"[192]","previouslyFormattedCitation":"&lt;sup&gt;[192]&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[192]</w:t>
            </w:r>
            <w:r w:rsidRPr="00F06EA4">
              <w:rPr>
                <w:rFonts w:eastAsia="Calibri"/>
                <w:lang w:val="en-US"/>
              </w:rPr>
              <w:fldChar w:fldCharType="end"/>
            </w:r>
          </w:p>
        </w:tc>
        <w:tc>
          <w:tcPr>
            <w:tcW w:w="1979" w:type="dxa"/>
          </w:tcPr>
          <w:p w14:paraId="0AF54E42" w14:textId="77777777" w:rsidR="003E199B" w:rsidRPr="00F06EA4" w:rsidRDefault="003E199B" w:rsidP="00F67ED8">
            <w:pPr>
              <w:spacing w:after="0"/>
              <w:contextualSpacing/>
              <w:rPr>
                <w:rFonts w:eastAsia="Calibri"/>
                <w:lang w:val="en-US"/>
              </w:rPr>
            </w:pPr>
            <w:r w:rsidRPr="00F06EA4">
              <w:rPr>
                <w:rFonts w:eastAsia="Calibri"/>
                <w:lang w:val="en-US"/>
              </w:rPr>
              <w:t xml:space="preserve">Systematic review, 12 studies </w:t>
            </w:r>
          </w:p>
        </w:tc>
        <w:tc>
          <w:tcPr>
            <w:tcW w:w="1569" w:type="dxa"/>
          </w:tcPr>
          <w:p w14:paraId="7FC7F6D1" w14:textId="3443AF70" w:rsidR="003E199B" w:rsidRPr="00F06EA4" w:rsidRDefault="003E199B" w:rsidP="00F67ED8">
            <w:pPr>
              <w:spacing w:after="0"/>
              <w:contextualSpacing/>
              <w:rPr>
                <w:rFonts w:eastAsia="Calibri"/>
                <w:lang w:val="en-US"/>
              </w:rPr>
            </w:pPr>
            <w:r w:rsidRPr="00F06EA4">
              <w:rPr>
                <w:rFonts w:eastAsia="Calibri"/>
                <w:lang w:val="en-US"/>
              </w:rPr>
              <w:t>3644 CRC patients, stage I-IV</w:t>
            </w:r>
          </w:p>
        </w:tc>
        <w:tc>
          <w:tcPr>
            <w:tcW w:w="2507" w:type="dxa"/>
          </w:tcPr>
          <w:p w14:paraId="35549CA6" w14:textId="77777777" w:rsidR="003E199B" w:rsidRPr="00F06EA4" w:rsidRDefault="003E199B" w:rsidP="00F67ED8">
            <w:pPr>
              <w:spacing w:after="0"/>
              <w:contextualSpacing/>
              <w:rPr>
                <w:rFonts w:eastAsia="Calibri"/>
                <w:lang w:val="en-US"/>
              </w:rPr>
            </w:pPr>
            <w:r w:rsidRPr="00F06EA4">
              <w:rPr>
                <w:rFonts w:eastAsia="Calibri"/>
                <w:lang w:val="en-US"/>
              </w:rPr>
              <w:t>Low albumin associated with worse survival (no meta-analysis conducted)</w:t>
            </w:r>
          </w:p>
        </w:tc>
      </w:tr>
      <w:tr w:rsidR="003E199B" w:rsidRPr="00F06EA4" w14:paraId="74E5EF42" w14:textId="77777777" w:rsidTr="0070496D">
        <w:trPr>
          <w:trHeight w:val="20"/>
        </w:trPr>
        <w:tc>
          <w:tcPr>
            <w:tcW w:w="2533" w:type="dxa"/>
          </w:tcPr>
          <w:p w14:paraId="49798815" w14:textId="77777777" w:rsidR="003E199B" w:rsidRPr="00F06EA4" w:rsidRDefault="003E199B" w:rsidP="00F67ED8">
            <w:pPr>
              <w:spacing w:after="0"/>
              <w:contextualSpacing/>
              <w:rPr>
                <w:rFonts w:eastAsia="Calibri"/>
                <w:lang w:val="en-US"/>
              </w:rPr>
            </w:pPr>
            <w:r w:rsidRPr="00F06EA4">
              <w:rPr>
                <w:rFonts w:eastAsia="Calibri"/>
                <w:lang w:val="en-US"/>
              </w:rPr>
              <w:t>Albumin</w:t>
            </w:r>
          </w:p>
        </w:tc>
        <w:tc>
          <w:tcPr>
            <w:tcW w:w="1378" w:type="dxa"/>
          </w:tcPr>
          <w:p w14:paraId="5666696A" w14:textId="3B277661" w:rsidR="003E199B" w:rsidRPr="00F06EA4" w:rsidRDefault="003E199B" w:rsidP="00F67ED8">
            <w:pPr>
              <w:spacing w:after="0"/>
              <w:contextualSpacing/>
              <w:rPr>
                <w:rFonts w:eastAsia="Calibri"/>
                <w:lang w:val="en-US"/>
              </w:rPr>
            </w:pPr>
            <w:r w:rsidRPr="00F06EA4">
              <w:rPr>
                <w:rFonts w:eastAsia="Calibri"/>
                <w:lang w:val="en-US"/>
              </w:rPr>
              <w:t xml:space="preserve">Ghuman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{"citationItems":[{"id":"ITEM-1","itemData":{"DOI":"10.1038/bjc.2017.96","ISSN":"1532-1827","PMID":"28376082","abstract":"BACKGROUND Inflammation has been linked with development of some cancers. We investigated systemic inflammation in relation to colorectal cancer incidence and subsequent survival using common serum inflammatory markersDesign:A cohort of men and women aged 20 years and older in greater Stockholm area with serum C-reactive protein (CRP) and albumin measured between 1986 and 1999 were included (n=325 599). A subset of these had baseline measurements of haptoglobin and leukocytes. Multivariable Cox regression was performed to assess risk of colorectal cancer by levels of inflammatory markers, adjusting for potential confounders. Analyses were stratified by circulating glucose, total cholesterol and triglycerides. Overall and CRC-specific death following diagnosis were assessed as secondary outcomes. RESULTS A total of 4764 individuals were diagnosed with colorectal cancer. A positive association between haptoglobin and colorectal cancer incidence was found (hazard ratio (HR): 1.17; 95% CI: 1.06-1.28). A positive association was also observed with leukocytes (HR: 1.21; 95% CI: 1.03-1.42). No evidence of association was noted between CRP and colorectal cancer risk. Higher risks of all-cause death were seen with haptoglobin and leukocytes levels. Higher haptoglobin levels were linked with an increased risk of colorectal cancer death (HR: 1.19; 95% CI: 1.01-1.41). CONCLUSIONS Prediagnostic systemic inflammation may impact colorectal cancer incidence and survival; therefore, prompting investigations linking inflammatory pathways preceding colorectal cancer with disease severity and progression.","author":[{"dropping-particle":"","family":"Ghuman","given":"Sundeep","non-dropping-particle":"","parse-names":false,"suffix":""},{"dropping-particle":"","family":"Hemelrijck","given":"Mieke","non-dropping-particle":"Van","parse-names":false,"suffix":""},{"dropping-particle":"","family":"Garmo","given":"Hans","non-dropping-particle":"","parse-names":false,"suffix":""},{"dropping-particle":"","family":"Holmberg","given":"Lars","non-dropping-particle":"","parse-names":false,"suffix":""},{"dropping-particle":"","family":"Malmström","given":"Håkan","non-dropping-particle":"","parse-names":false,"suffix":""},{"dropping-particle":"","family":"Lambe","given":"Mats","non-dropping-particle":"","parse-names":false,"suffix":""},{"dropping-particle":"","family":"Hammar","given":"Niklas","non-dropping-particle":"","parse-names":false,"suffix":""},{"dropping-particle":"","family":"Walldius","given":"Göran","non-dropping-particle":"","parse-names":false,"suffix":""},{"dropping-particle":"","family":"Jungner","given":"Ingmar","non-dropping-particle":"","parse-names":false,"suffix":""},{"dropping-particle":"","family":"Wulaningsih","given":"Wahyu","non-dropping-particle":"","parse-names":false,"suffix":""}],"container-title":"British journal of cancer","id":"ITEM-1","issue":"10","issued":{"date-parts":[["2017","5"]]},"page":"1358-1365","title":"Serum inflammatory markers and colorectal cancer risk and survival.","type":"article-journal","volume":"116"},"uris":["http://www.mendeley.com/documents/?uuid=a56f495c-8032-4d24-b75a-1b416d2ce0cb"]}],"mendeley":{"formattedCitation":"&lt;sup&gt;[193]&lt;/sup&gt;","plainTextFormattedCitation":"[193]","previouslyFormattedCitation":"&lt;sup&gt;[193]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[193]</w:t>
            </w:r>
            <w:r w:rsidRPr="00F06EA4">
              <w:rPr>
                <w:rFonts w:eastAsia="Calibri"/>
                <w:lang w:val="en-US"/>
              </w:rPr>
              <w:fldChar w:fldCharType="end"/>
            </w:r>
          </w:p>
        </w:tc>
        <w:tc>
          <w:tcPr>
            <w:tcW w:w="1979" w:type="dxa"/>
          </w:tcPr>
          <w:p w14:paraId="31E6F4E8" w14:textId="77777777" w:rsidR="003E199B" w:rsidRPr="00F06EA4" w:rsidRDefault="003E199B" w:rsidP="00F67ED8">
            <w:pPr>
              <w:spacing w:after="0"/>
              <w:contextualSpacing/>
              <w:rPr>
                <w:rFonts w:eastAsia="Calibri"/>
                <w:lang w:val="en-US"/>
              </w:rPr>
            </w:pPr>
            <w:r w:rsidRPr="00F06EA4">
              <w:rPr>
                <w:rFonts w:eastAsia="Calibri"/>
                <w:lang w:val="en-US"/>
              </w:rPr>
              <w:t>Case-case study within a prospective cohort study (AMORIS)</w:t>
            </w:r>
          </w:p>
        </w:tc>
        <w:tc>
          <w:tcPr>
            <w:tcW w:w="1569" w:type="dxa"/>
          </w:tcPr>
          <w:p w14:paraId="044E2341" w14:textId="5DFC5487" w:rsidR="003E199B" w:rsidRPr="00F06EA4" w:rsidRDefault="003E199B" w:rsidP="00F67ED8">
            <w:pPr>
              <w:spacing w:after="0"/>
              <w:contextualSpacing/>
              <w:rPr>
                <w:rFonts w:eastAsia="Calibri"/>
                <w:lang w:val="en-US"/>
              </w:rPr>
            </w:pPr>
            <w:r w:rsidRPr="00F06EA4">
              <w:rPr>
                <w:rFonts w:eastAsia="Calibri"/>
                <w:lang w:val="en-US"/>
              </w:rPr>
              <w:t>4764 CRC patients, stage I-IV</w:t>
            </w:r>
          </w:p>
        </w:tc>
        <w:tc>
          <w:tcPr>
            <w:tcW w:w="2507" w:type="dxa"/>
          </w:tcPr>
          <w:p w14:paraId="44AB2637" w14:textId="77777777" w:rsidR="003E199B" w:rsidRPr="00F06EA4" w:rsidRDefault="003E199B" w:rsidP="00F67ED8">
            <w:pPr>
              <w:spacing w:after="0"/>
              <w:contextualSpacing/>
              <w:rPr>
                <w:rFonts w:eastAsia="Calibri"/>
                <w:lang w:val="en-US"/>
              </w:rPr>
            </w:pPr>
            <w:r w:rsidRPr="00F06EA4">
              <w:rPr>
                <w:rFonts w:eastAsia="Calibri"/>
                <w:lang w:val="en-US"/>
              </w:rPr>
              <w:t>OS, HR 0.57 (0.29–1.14); CSS, HR 0.36 (0.16–0.85)</w:t>
            </w:r>
          </w:p>
        </w:tc>
      </w:tr>
      <w:tr w:rsidR="003E199B" w:rsidRPr="00F06EA4" w14:paraId="3351AD37" w14:textId="77777777" w:rsidTr="0070496D">
        <w:trPr>
          <w:trHeight w:val="20"/>
        </w:trPr>
        <w:tc>
          <w:tcPr>
            <w:tcW w:w="2533" w:type="dxa"/>
          </w:tcPr>
          <w:p w14:paraId="3418AAAB" w14:textId="77777777" w:rsidR="003E199B" w:rsidRPr="00F06EA4" w:rsidRDefault="003E199B" w:rsidP="00F67ED8">
            <w:pPr>
              <w:spacing w:after="0"/>
              <w:contextualSpacing/>
              <w:rPr>
                <w:rFonts w:eastAsia="Calibri"/>
                <w:lang w:val="en-US"/>
              </w:rPr>
            </w:pPr>
            <w:r w:rsidRPr="00F06EA4">
              <w:rPr>
                <w:rFonts w:eastAsia="Calibri"/>
                <w:lang w:val="en-US"/>
              </w:rPr>
              <w:t>mGPS</w:t>
            </w:r>
          </w:p>
        </w:tc>
        <w:tc>
          <w:tcPr>
            <w:tcW w:w="1378" w:type="dxa"/>
          </w:tcPr>
          <w:p w14:paraId="315826FB" w14:textId="204A8AE9" w:rsidR="003E199B" w:rsidRPr="00F06EA4" w:rsidRDefault="003E199B" w:rsidP="00F67ED8">
            <w:pPr>
              <w:spacing w:after="0"/>
              <w:contextualSpacing/>
              <w:rPr>
                <w:rFonts w:eastAsia="Calibri"/>
                <w:lang w:val="en-US"/>
              </w:rPr>
            </w:pPr>
            <w:r w:rsidRPr="00F06EA4">
              <w:rPr>
                <w:rFonts w:eastAsia="Calibri"/>
                <w:lang w:val="en-US"/>
              </w:rPr>
              <w:t xml:space="preserve">Lu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{"citationItems":[{"id":"ITEM-1","itemData":{"DOI":"10.2147/CMAR.S185350","ISSN":"1179-1322","PMID":"30636896","abstract":"Purpose The aim of this study was to perform a systematic review and meta-analysis to evaluate the value of the Glasgow prognostic score (GPS) or modified Glasgow prognostic score (mGPS) in patients with colorectal cancer (CRC). Methods A comprehensive medical literature search was performed using the online databases PubMed, Embase, Web of Science, and the Cochrane Library. After extracting basic characteristics and prognostic data from the included studies, overall survival (OS) and cancer-specific survival (CSS) were pooled as primary outcomes. Subgroup analyses were performed according to therapeutic strategies, models, cutoff values, regions, tumor, node, metastasis stages, sample size, and ages. Results Forty-three independent cohorts from 41 studies with 9,839 CRC patients were included in the present study. Correlation between GPS or mGPS and OS was analyzed in 32 cohorts of 7,714 patients, and 23 independent cohorts of 5,375 patients focused on the correlation between GPS or mGPS and CSS. The overall outcomes showed that patients with elevated GPS or mGPS were associated with poor OS (HR: 2.20, 95% CI: 1.88-2.57, P&lt;0.001). Elevated GPS or mGPS also resulted in worse CSS (HR: 1.86, 95% CI: 1.59-2.17, P&lt;0.001). The results of the subgroup analyses confirmed the overall outcomes. Conclusion GPS or mGPS is an accurate prognostic predictor in patients with CRC. Patients with elevated pretreatment GPS or mGPS have a poor prognosis. Subgroup analyses confirmed the overall outcomes. Pretreatment GPS is a useful biomarker in the management of CRC.","author":[{"dropping-particle":"","family":"Lu","given":"Xin","non-dropping-particle":"","parse-names":false,"suffix":""},{"dropping-particle":"","family":"Guo","given":"Wanying","non-dropping-particle":"","parse-names":false,"suffix":""},{"dropping-particle":"","family":"Xu","given":"Wei","non-dropping-particle":"","parse-names":false,"suffix":""},{"dropping-particle":"","family":"Zhang","given":"Xuelei","non-dropping-particle":"","parse-names":false,"suffix":""},{"dropping-particle":"","family":"Shi","given":"Zhijie","non-dropping-particle":"","parse-names":false,"suffix":""},{"dropping-particle":"","family":"Zheng","given":"Leizhen","non-dropping-particle":"","parse-names":false,"suffix":""},{"dropping-particle":"","family":"Zhao","given":"Wenzhao","non-dropping-particle":"","parse-names":false,"suffix":""}],"container-title":"Cancer management and research","id":"ITEM-1","issued":{"date-parts":[["2019"]]},"page":"229-249","title":"Prognostic value of the Glasgow prognostic score in colorectal cancer: a meta-analysis of 9,839 patients.","type":"article-journal","volume":"11"},"uris":["http://www.mendeley.com/documents/?uuid=00793366-0eee-4943-893d-81a686db61ee"]}],"mendeley":{"formattedCitation":"&lt;sup&gt;[194]&lt;/sup&gt;","plainTextFormattedCitation":"[194]","previouslyFormattedCitation":"&lt;sup&gt;[194]&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w:t>
            </w:r>
            <w:bookmarkStart w:id="207" w:name="_GoBack"/>
            <w:r w:rsidR="00F45F97" w:rsidRPr="00F06EA4">
              <w:rPr>
                <w:rFonts w:eastAsia="Calibri"/>
                <w:noProof/>
                <w:vertAlign w:val="superscript"/>
                <w:lang w:val="en-US"/>
              </w:rPr>
              <w:t>194]</w:t>
            </w:r>
            <w:bookmarkEnd w:id="207"/>
            <w:r w:rsidRPr="00F06EA4">
              <w:rPr>
                <w:rFonts w:eastAsia="Calibri"/>
                <w:lang w:val="en-US"/>
              </w:rPr>
              <w:fldChar w:fldCharType="end"/>
            </w:r>
          </w:p>
        </w:tc>
        <w:tc>
          <w:tcPr>
            <w:tcW w:w="1979" w:type="dxa"/>
          </w:tcPr>
          <w:p w14:paraId="1DDC4241" w14:textId="77777777" w:rsidR="003E199B" w:rsidRPr="00F06EA4" w:rsidRDefault="003E199B" w:rsidP="00F67ED8">
            <w:pPr>
              <w:spacing w:after="0"/>
              <w:contextualSpacing/>
              <w:rPr>
                <w:rFonts w:eastAsia="Calibri"/>
                <w:lang w:val="en-US"/>
              </w:rPr>
            </w:pPr>
            <w:r w:rsidRPr="00F06EA4">
              <w:rPr>
                <w:rFonts w:eastAsia="Calibri"/>
                <w:lang w:val="en-US"/>
              </w:rPr>
              <w:t>Meta-analysis, 41 studies</w:t>
            </w:r>
          </w:p>
        </w:tc>
        <w:tc>
          <w:tcPr>
            <w:tcW w:w="1569" w:type="dxa"/>
          </w:tcPr>
          <w:p w14:paraId="25E66DA3" w14:textId="01F6392E" w:rsidR="003E199B" w:rsidRPr="00F06EA4" w:rsidRDefault="003E199B" w:rsidP="00F67ED8">
            <w:pPr>
              <w:spacing w:after="0"/>
              <w:contextualSpacing/>
              <w:rPr>
                <w:rFonts w:eastAsia="Calibri"/>
                <w:lang w:val="en-US"/>
              </w:rPr>
            </w:pPr>
            <w:r w:rsidRPr="00F06EA4">
              <w:rPr>
                <w:rFonts w:eastAsia="Calibri"/>
                <w:lang w:val="en-US"/>
              </w:rPr>
              <w:t>9839 CRC patients, stage I-IV</w:t>
            </w:r>
          </w:p>
        </w:tc>
        <w:tc>
          <w:tcPr>
            <w:tcW w:w="2507" w:type="dxa"/>
          </w:tcPr>
          <w:p w14:paraId="1408DEA2" w14:textId="77777777" w:rsidR="003E199B" w:rsidRPr="00F06EA4" w:rsidRDefault="003E199B" w:rsidP="00F67ED8">
            <w:pPr>
              <w:spacing w:after="0"/>
              <w:contextualSpacing/>
              <w:rPr>
                <w:rFonts w:eastAsia="Calibri"/>
                <w:lang w:val="en-US"/>
              </w:rPr>
            </w:pPr>
            <w:r w:rsidRPr="00F06EA4">
              <w:rPr>
                <w:rFonts w:eastAsia="Calibri"/>
                <w:lang w:val="en-US"/>
              </w:rPr>
              <w:t>OS, HR 2.20 (1.88–2.57); CSS, HR 1.86 (1.59–2.17)</w:t>
            </w:r>
          </w:p>
        </w:tc>
      </w:tr>
      <w:tr w:rsidR="003E199B" w:rsidRPr="00F06EA4" w14:paraId="6EA50B03" w14:textId="77777777" w:rsidTr="0070496D">
        <w:trPr>
          <w:trHeight w:val="20"/>
        </w:trPr>
        <w:tc>
          <w:tcPr>
            <w:tcW w:w="2533" w:type="dxa"/>
          </w:tcPr>
          <w:p w14:paraId="5F6EF1F1" w14:textId="77777777" w:rsidR="003E199B" w:rsidRPr="00F06EA4" w:rsidRDefault="003E199B" w:rsidP="00F67ED8">
            <w:pPr>
              <w:spacing w:after="0"/>
              <w:contextualSpacing/>
              <w:rPr>
                <w:rFonts w:eastAsia="Calibri"/>
                <w:lang w:val="en-US"/>
              </w:rPr>
            </w:pPr>
            <w:r w:rsidRPr="00F06EA4">
              <w:rPr>
                <w:rFonts w:eastAsia="Calibri"/>
                <w:lang w:val="en-US"/>
              </w:rPr>
              <w:t>HP (haptoglobin)</w:t>
            </w:r>
          </w:p>
        </w:tc>
        <w:tc>
          <w:tcPr>
            <w:tcW w:w="1378" w:type="dxa"/>
          </w:tcPr>
          <w:p w14:paraId="3E449805" w14:textId="658AB34F" w:rsidR="003E199B" w:rsidRPr="00F06EA4" w:rsidRDefault="003E199B" w:rsidP="00F67ED8">
            <w:pPr>
              <w:spacing w:after="0"/>
              <w:contextualSpacing/>
              <w:rPr>
                <w:rFonts w:eastAsia="Calibri"/>
                <w:lang w:val="en-US"/>
              </w:rPr>
            </w:pPr>
            <w:r w:rsidRPr="00F06EA4">
              <w:rPr>
                <w:rFonts w:eastAsia="Calibri"/>
                <w:lang w:val="en-US"/>
              </w:rPr>
              <w:t xml:space="preserve">Ghuman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{"citationItems":[{"id":"ITEM-1","itemData":{"DOI":"10.1038/bjc.2017.96","ISSN":"1532-1827","PMID":"28376082","abstract":"BACKGROUND Inflammation has been linked with development of some cancers. We investigated systemic inflammation in relation to colorectal cancer incidence and subsequent survival using common serum inflammatory markersDesign:A cohort of men and women aged 20 years and older in greater Stockholm area with serum C-reactive protein (CRP) and albumin measured between 1986 and 1999 were included (n=325 599). A subset of these had baseline measurements of haptoglobin and leukocytes. Multivariable Cox regression was performed to assess risk of colorectal cancer by levels of inflammatory markers, adjusting for potential confounders. Analyses were stratified by circulating glucose, total cholesterol and triglycerides. Overall and CRC-specific death following diagnosis were assessed as secondary outcomes. RESULTS A total of 4764 individuals were diagnosed with colorectal cancer. A positive association between haptoglobin and colorectal cancer incidence was found (hazard ratio (HR): 1.17; 95% CI: 1.06-1.28). A positive association was also observed with leukocytes (HR: 1.21; 95% CI: 1.03-1.42). No evidence of association was noted between CRP and colorectal cancer risk. Higher risks of all-cause death were seen with haptoglobin and leukocytes levels. Higher haptoglobin levels were linked with an increased risk of colorectal cancer death (HR: 1.19; 95% CI: 1.01-1.41). CONCLUSIONS Prediagnostic systemic inflammation may impact colorectal cancer incidence and survival; therefore, prompting investigations linking inflammatory pathways preceding colorectal cancer with disease severity and progression.","author":[{"dropping-particle":"","family":"Ghuman","given":"Sundeep","non-dropping-particle":"","parse-names":false,"suffix":""},{"dropping-particle":"","family":"Hemelrijck","given":"Mieke","non-dropping-particle":"Van","parse-names":false,"suffix":""},{"dropping-particle":"","family":"Garmo","given":"Hans","non-dropping-particle":"","parse-names":false,"suffix":""},{"dropping-particle":"","family":"Holmberg","given":"Lars","non-dropping-particle":"","parse-names":false,"suffix":""},{"dropping-particle":"","family":"Malmström","given":"Håkan","non-dropping-particle":"","parse-names":false,"suffix":""},{"dropping-particle":"","family":"Lambe","given":"Mats","non-dropping-particle":"","parse-names":false,"suffix":""},{"dropping-particle":"","family":"Hammar","given":"Niklas","non-dropping-particle":"","parse-names":false,"suffix":""},{"dropping-particle":"","family":"Walldius","given":"Göran","non-dropping-particle":"","parse-names":false,"suffix":""},{"dropping-particle":"","family":"Jungner","given":"Ingmar","non-dropping-particle":"","parse-names":false,"suffix":""},{"dropping-particle":"","family":"Wulaningsih","given":"Wahyu","non-dropping-particle":"","parse-names":false,"suffix":""}],"container-title":"British journal of cancer","id":"ITEM-1","issue":"10","issued":{"date-parts":[["2017","5"]]},"page":"1358-1365","title":"Serum inflammatory markers and colorectal cancer risk and survival.","type":"article-journal","volume":"116"},"uris":["http://www.mendeley.com/documents/?uuid=a56f495c-8032-4d24-b75a-1b416d2ce0cb"]}],"mendeley":{"formattedCitation":"&lt;sup&gt;[193]&lt;/sup&gt;","plainTextFormattedCitation":"[193]","previouslyFormattedCitation":"&lt;sup&gt;[193]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[193]</w:t>
            </w:r>
            <w:r w:rsidRPr="00F06EA4">
              <w:rPr>
                <w:rFonts w:eastAsia="Calibri"/>
                <w:lang w:val="en-US"/>
              </w:rPr>
              <w:fldChar w:fldCharType="end"/>
            </w:r>
          </w:p>
        </w:tc>
        <w:tc>
          <w:tcPr>
            <w:tcW w:w="1979" w:type="dxa"/>
          </w:tcPr>
          <w:p w14:paraId="6888E01D" w14:textId="77777777" w:rsidR="003E199B" w:rsidRPr="00F06EA4" w:rsidRDefault="003E199B" w:rsidP="00F67ED8">
            <w:pPr>
              <w:spacing w:after="0"/>
              <w:contextualSpacing/>
              <w:rPr>
                <w:rFonts w:eastAsia="Calibri"/>
                <w:lang w:val="en-US"/>
              </w:rPr>
            </w:pPr>
            <w:r w:rsidRPr="00F06EA4">
              <w:rPr>
                <w:rFonts w:eastAsia="Calibri"/>
                <w:lang w:val="en-US"/>
              </w:rPr>
              <w:t>Case-case study within a prospective cohort study (AMORIS)</w:t>
            </w:r>
          </w:p>
        </w:tc>
        <w:tc>
          <w:tcPr>
            <w:tcW w:w="1569" w:type="dxa"/>
          </w:tcPr>
          <w:p w14:paraId="660AB2BE" w14:textId="5BBFA4C0" w:rsidR="003E199B" w:rsidRPr="00F06EA4" w:rsidRDefault="003E199B" w:rsidP="00F67ED8">
            <w:pPr>
              <w:spacing w:after="0"/>
              <w:contextualSpacing/>
              <w:rPr>
                <w:rFonts w:eastAsia="Calibri"/>
                <w:lang w:val="en-US"/>
              </w:rPr>
            </w:pPr>
            <w:r w:rsidRPr="00F06EA4">
              <w:rPr>
                <w:rFonts w:eastAsia="Calibri"/>
                <w:lang w:val="en-US"/>
              </w:rPr>
              <w:t>4764 CRC patients, stage I-IV</w:t>
            </w:r>
          </w:p>
        </w:tc>
        <w:tc>
          <w:tcPr>
            <w:tcW w:w="2507" w:type="dxa"/>
          </w:tcPr>
          <w:p w14:paraId="437806AE" w14:textId="77777777" w:rsidR="003E199B" w:rsidRPr="00F06EA4" w:rsidRDefault="003E199B" w:rsidP="00F67ED8">
            <w:pPr>
              <w:spacing w:after="0"/>
              <w:contextualSpacing/>
              <w:rPr>
                <w:rFonts w:eastAsia="Calibri"/>
                <w:lang w:val="en-US"/>
              </w:rPr>
            </w:pPr>
            <w:r w:rsidRPr="00F06EA4">
              <w:rPr>
                <w:rFonts w:eastAsia="Calibri"/>
                <w:lang w:val="en-US"/>
              </w:rPr>
              <w:t>OS, HR 1.28 (1.08–1.51); CSS, HR 1.17 (0.95–1.45)</w:t>
            </w:r>
          </w:p>
        </w:tc>
      </w:tr>
      <w:tr w:rsidR="003E199B" w:rsidRPr="00F06EA4" w14:paraId="26559B77" w14:textId="77777777" w:rsidTr="0070496D">
        <w:trPr>
          <w:trHeight w:val="20"/>
        </w:trPr>
        <w:tc>
          <w:tcPr>
            <w:tcW w:w="2533" w:type="dxa"/>
          </w:tcPr>
          <w:p w14:paraId="4CA46F12" w14:textId="77777777" w:rsidR="003E199B" w:rsidRPr="00F06EA4" w:rsidRDefault="003E199B" w:rsidP="00F67ED8">
            <w:pPr>
              <w:spacing w:after="0"/>
              <w:contextualSpacing/>
              <w:rPr>
                <w:rFonts w:eastAsia="Calibri"/>
                <w:lang w:val="en-US"/>
              </w:rPr>
            </w:pPr>
            <w:r w:rsidRPr="00F06EA4">
              <w:rPr>
                <w:rFonts w:eastAsia="Calibri"/>
                <w:b/>
                <w:lang w:val="en-US"/>
              </w:rPr>
              <w:t>Blood cell count parameters</w:t>
            </w:r>
          </w:p>
        </w:tc>
        <w:tc>
          <w:tcPr>
            <w:tcW w:w="1378" w:type="dxa"/>
          </w:tcPr>
          <w:p w14:paraId="5B45DE7A" w14:textId="77777777" w:rsidR="003E199B" w:rsidRPr="00F06EA4" w:rsidRDefault="003E199B" w:rsidP="00F67ED8">
            <w:pPr>
              <w:spacing w:after="0"/>
              <w:contextualSpacing/>
              <w:rPr>
                <w:rFonts w:eastAsia="Calibri"/>
                <w:lang w:val="en-US"/>
              </w:rPr>
            </w:pPr>
          </w:p>
        </w:tc>
        <w:tc>
          <w:tcPr>
            <w:tcW w:w="1979" w:type="dxa"/>
          </w:tcPr>
          <w:p w14:paraId="2274DF77" w14:textId="77777777" w:rsidR="003E199B" w:rsidRPr="00F06EA4" w:rsidRDefault="003E199B" w:rsidP="00F67ED8">
            <w:pPr>
              <w:spacing w:after="0"/>
              <w:contextualSpacing/>
              <w:rPr>
                <w:rFonts w:eastAsia="Calibri"/>
                <w:lang w:val="en-US"/>
              </w:rPr>
            </w:pPr>
          </w:p>
        </w:tc>
        <w:tc>
          <w:tcPr>
            <w:tcW w:w="1569" w:type="dxa"/>
          </w:tcPr>
          <w:p w14:paraId="78AD9658" w14:textId="77777777" w:rsidR="003E199B" w:rsidRPr="00F06EA4" w:rsidRDefault="003E199B" w:rsidP="00F67ED8">
            <w:pPr>
              <w:spacing w:after="0"/>
              <w:contextualSpacing/>
              <w:rPr>
                <w:rFonts w:eastAsia="Calibri"/>
                <w:lang w:val="en-US"/>
              </w:rPr>
            </w:pPr>
          </w:p>
        </w:tc>
        <w:tc>
          <w:tcPr>
            <w:tcW w:w="2507" w:type="dxa"/>
          </w:tcPr>
          <w:p w14:paraId="366D9E10" w14:textId="77777777" w:rsidR="003E199B" w:rsidRPr="00F06EA4" w:rsidRDefault="003E199B" w:rsidP="00F67ED8">
            <w:pPr>
              <w:spacing w:after="0"/>
              <w:contextualSpacing/>
              <w:rPr>
                <w:rFonts w:eastAsia="Calibri"/>
                <w:lang w:val="en-US"/>
              </w:rPr>
            </w:pPr>
          </w:p>
        </w:tc>
      </w:tr>
      <w:tr w:rsidR="003E199B" w:rsidRPr="00F06EA4" w14:paraId="4184D08C" w14:textId="77777777" w:rsidTr="0070496D">
        <w:trPr>
          <w:trHeight w:val="20"/>
        </w:trPr>
        <w:tc>
          <w:tcPr>
            <w:tcW w:w="2533" w:type="dxa"/>
          </w:tcPr>
          <w:p w14:paraId="3D39DAEE" w14:textId="77777777" w:rsidR="003E199B" w:rsidRPr="00F06EA4" w:rsidRDefault="003E199B" w:rsidP="00F67ED8">
            <w:pPr>
              <w:spacing w:after="0"/>
              <w:contextualSpacing/>
              <w:rPr>
                <w:rFonts w:eastAsia="Calibri"/>
                <w:lang w:val="en-US"/>
              </w:rPr>
            </w:pPr>
            <w:r w:rsidRPr="00F06EA4">
              <w:rPr>
                <w:rFonts w:eastAsia="Calibri"/>
                <w:lang w:val="en-US"/>
              </w:rPr>
              <w:t>Neutrophil-to-lymphocyte ratio</w:t>
            </w:r>
          </w:p>
        </w:tc>
        <w:tc>
          <w:tcPr>
            <w:tcW w:w="1378" w:type="dxa"/>
          </w:tcPr>
          <w:p w14:paraId="6F90A6DD" w14:textId="4FE9F9E2" w:rsidR="003E199B" w:rsidRPr="00F06EA4" w:rsidRDefault="003E199B" w:rsidP="00F67ED8">
            <w:pPr>
              <w:spacing w:after="0"/>
              <w:contextualSpacing/>
              <w:rPr>
                <w:rFonts w:eastAsia="Calibri"/>
                <w:lang w:val="en-US"/>
              </w:rPr>
            </w:pPr>
            <w:r w:rsidRPr="00F06EA4">
              <w:rPr>
                <w:rFonts w:eastAsia="Calibri"/>
                <w:lang w:val="en-US"/>
              </w:rPr>
              <w:t xml:space="preserve">Li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{"citationItems":[{"id":"ITEM-1","itemData":{"DOI":"10.1097/MD.0000000000014126","ISBN":"0000000000","ISSN":"1536-5964","PMID":"30653142","abstract":"BACKGROUND Preoperative neutrophil-to-lymphocyte ratio (NLR) has been suggested as a useful predictive factor for prognosis in patients with various cancers. However, the prognostic value of NLR in patients with colorectal cancer (CRC) remains controversial. Therefore, the goal of this study was to perform a meta-analysis to evaluate the prognostic value of NLR in patients with CRC undergoing curative surgery. METHODS PubMed, EMBASE and Cochrane Library databases were searched to screen the relevant studies. Pooled hazard ratio (HR) with 95% confidence interval (CI) was used to assess the associations of preoperative NLR and overall survival (OS), disease-free survival (DFS), recurrence free survival (RFS) and disease specific survival (DSS) by STATA 13.0 software. RESULTS Sixteen studies involving 5897 patients were included in our meta-analysis. Our pooled results demonstrated that high NLR was associated with poor OS (HR: 1.66, 95%CI: 1.36-2.02, P &lt; .001), DFS (HR = 1.54, 95%CI: 1.18-2.02, P = .002), RFS (HR = 2.31, 95%CI: 1.68-3.17, P &lt; .001) and DSS (HR = 2.27; 95% CI: 1.75-2.96, P &lt; .001). When the patients were stratified according to country, sample size, NLR cut-off, follow up and postoperative chemotherapy, high NLR was still significantly correlated with OS. The limitation was that the majority of enrolled studies were retrospective. CONCLUSION Preoperative NLR may be an effective predictive biomarker for prognosis in patients with CRC. Detection of NLR may be beneficial to identify the high-risk patients who need other antitumor therapies in addition to surgery.","author":[{"dropping-particle":"","family":"Li","given":"Hongcai","non-dropping-particle":"","parse-names":false,"suffix":""},{"dropping-particle":"","family":"Zhao","given":"Yan","non-dropping-particle":"","parse-names":false,"suffix":""},{"dropping-particle":"","family":"Zheng","given":"Fengying","non-dropping-particle":"","parse-names":false,"suffix":""}],"container-title":"Medicine","id":"ITEM-1","issue":"3","issued":{"date-parts":[["2019","1"]]},"page":"e14126","title":"Prognostic significance of elevated preoperative neutrophil-to-lymphocyte ratio for patients with colorectal cancer undergoing curative surgery: A meta-analysis.","type":"article-journal","volume":"98"},"uris":["http://www.mendeley.com/documents/?uuid=506b4fb2-a037-4dc0-a8c0-b9d677d84685"]}],"mendeley":{"formattedCitation":"&lt;sup&gt;[148]&lt;/sup&gt;","plainTextFormattedCitation":"[148]","previouslyFormattedCitation":"&lt;sup&gt;[148]&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[148]</w:t>
            </w:r>
            <w:r w:rsidRPr="00F06EA4">
              <w:rPr>
                <w:rFonts w:eastAsia="Calibri"/>
                <w:lang w:val="en-US"/>
              </w:rPr>
              <w:fldChar w:fldCharType="end"/>
            </w:r>
          </w:p>
        </w:tc>
        <w:tc>
          <w:tcPr>
            <w:tcW w:w="1979" w:type="dxa"/>
          </w:tcPr>
          <w:p w14:paraId="1B5E544A" w14:textId="77777777" w:rsidR="003E199B" w:rsidRPr="00F06EA4" w:rsidRDefault="003E199B" w:rsidP="00F67ED8">
            <w:pPr>
              <w:spacing w:after="0"/>
              <w:contextualSpacing/>
              <w:rPr>
                <w:rFonts w:eastAsia="Calibri"/>
                <w:lang w:val="en-US"/>
              </w:rPr>
            </w:pPr>
            <w:r w:rsidRPr="00F06EA4">
              <w:rPr>
                <w:rFonts w:eastAsia="Calibri"/>
                <w:lang w:val="en-US"/>
              </w:rPr>
              <w:t>Meta-analysis, 16 studies</w:t>
            </w:r>
          </w:p>
        </w:tc>
        <w:tc>
          <w:tcPr>
            <w:tcW w:w="1569" w:type="dxa"/>
          </w:tcPr>
          <w:p w14:paraId="0CD452DC" w14:textId="37F5620F" w:rsidR="003E199B" w:rsidRPr="00F06EA4" w:rsidRDefault="003E199B" w:rsidP="00F67ED8">
            <w:pPr>
              <w:spacing w:after="0"/>
              <w:contextualSpacing/>
              <w:rPr>
                <w:rFonts w:eastAsia="Calibri"/>
                <w:lang w:val="en-US"/>
              </w:rPr>
            </w:pPr>
            <w:r w:rsidRPr="00F06EA4">
              <w:rPr>
                <w:rFonts w:eastAsia="Calibri"/>
                <w:lang w:val="en-US"/>
              </w:rPr>
              <w:t>5897 CRC patients, stage I-IV</w:t>
            </w:r>
          </w:p>
        </w:tc>
        <w:tc>
          <w:tcPr>
            <w:tcW w:w="2507" w:type="dxa"/>
          </w:tcPr>
          <w:p w14:paraId="487B6955" w14:textId="77777777" w:rsidR="003E199B" w:rsidRPr="00F06EA4" w:rsidRDefault="003E199B" w:rsidP="00F67ED8">
            <w:pPr>
              <w:spacing w:after="0"/>
              <w:contextualSpacing/>
              <w:rPr>
                <w:rFonts w:eastAsia="Calibri"/>
                <w:lang w:val="en-US"/>
              </w:rPr>
            </w:pPr>
            <w:r w:rsidRPr="00F06EA4">
              <w:rPr>
                <w:rFonts w:eastAsia="Calibri"/>
                <w:lang w:val="en-US"/>
              </w:rPr>
              <w:t xml:space="preserve">OS, HR 1.66 (1.36–2.02); CSS, HR 2.27 </w:t>
            </w:r>
            <w:r w:rsidRPr="00F06EA4">
              <w:rPr>
                <w:rFonts w:eastAsia="Calibri"/>
                <w:lang w:val="en-US"/>
              </w:rPr>
              <w:lastRenderedPageBreak/>
              <w:t>(1.75–2.96); DFS, HR 1.54, (1.18–2.02)</w:t>
            </w:r>
          </w:p>
        </w:tc>
      </w:tr>
      <w:tr w:rsidR="003E199B" w:rsidRPr="00F06EA4" w14:paraId="396F8827" w14:textId="77777777" w:rsidTr="0070496D">
        <w:trPr>
          <w:trHeight w:val="20"/>
        </w:trPr>
        <w:tc>
          <w:tcPr>
            <w:tcW w:w="2533" w:type="dxa"/>
          </w:tcPr>
          <w:p w14:paraId="1F416F91" w14:textId="77777777" w:rsidR="003E199B" w:rsidRPr="00F06EA4" w:rsidRDefault="003E199B" w:rsidP="00F67ED8">
            <w:pPr>
              <w:spacing w:after="0"/>
              <w:contextualSpacing/>
              <w:rPr>
                <w:rFonts w:eastAsia="Calibri"/>
                <w:lang w:val="en-US"/>
              </w:rPr>
            </w:pPr>
            <w:r w:rsidRPr="00F06EA4">
              <w:rPr>
                <w:rFonts w:eastAsia="Calibri"/>
                <w:lang w:val="en-US"/>
              </w:rPr>
              <w:lastRenderedPageBreak/>
              <w:t xml:space="preserve">Lymphocyte-to-monocyte ratio </w:t>
            </w:r>
          </w:p>
        </w:tc>
        <w:tc>
          <w:tcPr>
            <w:tcW w:w="1378" w:type="dxa"/>
          </w:tcPr>
          <w:p w14:paraId="2C61C5F3" w14:textId="2D38E716" w:rsidR="003E199B" w:rsidRPr="00F06EA4" w:rsidRDefault="003E199B" w:rsidP="00F67ED8">
            <w:pPr>
              <w:spacing w:after="0"/>
              <w:contextualSpacing/>
              <w:rPr>
                <w:rFonts w:eastAsia="Calibri"/>
                <w:lang w:val="fi-FI"/>
              </w:rPr>
            </w:pPr>
            <w:r w:rsidRPr="00F06EA4">
              <w:rPr>
                <w:rFonts w:eastAsia="Calibri"/>
                <w:lang w:val="fi-FI"/>
              </w:rPr>
              <w:t xml:space="preserve">Tan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{"citationItems":[{"id":"ITEM-1","itemData":{"DOI":"10.1016/j.ijsu.2018.05.030","ISSN":"1743-9159","PMID":"29807167","abstract":"PURPOSE The lymphocyte to monocyte ratio, an inflammation-based score, has been used to predict the biological behavior of malignant tumors. However, the relationship between the lymphocyte to monocyte ratio and clinical outcomes in patients with colorectal cancer remains controversial. We conducted a meta-analysis to identify the association between the lymphocyte to monocyte ratio and the prognosis of patients with colorectal cancer. METHODS Data were retrieved from PubMed, Embase, and Web of science, the hazard ratio and odds ratios with 95% confidence intervals were used to assess the prognostic value of the lymphocyte to monocyte ratio. Outcomes of interest included prognosis, such as overall survival, disease-free survival, and cancer-specific survival in patients with colorectal cancer. RESULTS fifteen retrospective, observational, cohort studies involving 11,783 patients were identified. A high lymphocyte to monocyte ratio (LMR) was a significant predictor of better overall survival (hazard ratio = 0.57, 95% confidence interval: 0.52-0.62, P &lt; 0.001), disease-free survival (hazard ratio = 0.77, 95% confidence interval: 0.70-0.84, P &lt; 0.001), and cancer-specific survival (hazard ratio = 0.55, 95% confidence interval: 0.32-0.95, P = 0.031). Increased LMR is also significantly associated with the tumor invasion depth (OR: 0.77, 95% CI: 0.61-0.97) and tumor size (OR: 0.74, 95% CI: 0.61-0.89). CONCLUSIONS Our study indicated that a high lymphocyte to monocyte ratio might be a useful marker for colorectal cancer prognosis. As most of these findings were from retrospective studies, further studies are needed to verify the significance of the lymphocyte to monocyte ratio in clinical practice.","author":[{"dropping-particle":"","family":"Tan","given":"Dewen","non-dropping-particle":"","parse-names":false,"suffix":""},{"dropping-particle":"","family":"Fu","given":"Yan","non-dropping-particle":"","parse-names":false,"suffix":""},{"dropping-particle":"","family":"Tong","given":"Weidong","non-dropping-particle":"","parse-names":false,"suffix":""},{"dropping-particle":"","family":"Li","given":"Fan","non-dropping-particle":"","parse-names":false,"suffix":""}],"container-title":"International journal of surgery (London, England)","id":"ITEM-1","issued":{"date-parts":[["2018"]]},"page":"128-138","title":"Prognostic significance of lymphocyte to monocyte ratio in colorectal cancer: A meta-analysis.","type":"article-journal","volume":"55"},"uris":["http://www.mendeley.com/documents/?uuid=8cb5c0c8-2eb0-4dca-9380-e6a54b60cd35"]}],"mendeley":{"formattedCitation":"&lt;sup&gt;[149]&lt;/sup&gt;","plainTextFormattedCitation":"[149]","previouslyFormattedCitation":"&lt;sup&gt;[149]&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[149]</w:t>
            </w:r>
            <w:r w:rsidRPr="00F06EA4">
              <w:rPr>
                <w:rFonts w:eastAsia="Calibri"/>
                <w:lang w:val="en-US"/>
              </w:rPr>
              <w:fldChar w:fldCharType="end"/>
            </w:r>
          </w:p>
        </w:tc>
        <w:tc>
          <w:tcPr>
            <w:tcW w:w="1979" w:type="dxa"/>
          </w:tcPr>
          <w:p w14:paraId="3DF3BE90" w14:textId="77777777" w:rsidR="003E199B" w:rsidRPr="00F06EA4" w:rsidRDefault="003E199B" w:rsidP="00F67ED8">
            <w:pPr>
              <w:spacing w:after="0"/>
              <w:contextualSpacing/>
              <w:rPr>
                <w:rFonts w:eastAsia="Calibri"/>
                <w:lang w:val="en-US"/>
              </w:rPr>
            </w:pPr>
            <w:r w:rsidRPr="00F06EA4">
              <w:rPr>
                <w:rFonts w:eastAsia="Calibri"/>
                <w:lang w:val="en-US"/>
              </w:rPr>
              <w:t>Meta-analysis, 15 studies</w:t>
            </w:r>
          </w:p>
        </w:tc>
        <w:tc>
          <w:tcPr>
            <w:tcW w:w="1569" w:type="dxa"/>
          </w:tcPr>
          <w:p w14:paraId="4AE2787F" w14:textId="1C6DB63F" w:rsidR="003E199B" w:rsidRPr="00F06EA4" w:rsidRDefault="003E199B" w:rsidP="00F67ED8">
            <w:pPr>
              <w:spacing w:after="0"/>
              <w:contextualSpacing/>
              <w:rPr>
                <w:rFonts w:eastAsia="Calibri"/>
                <w:lang w:val="en-US"/>
              </w:rPr>
            </w:pPr>
            <w:r w:rsidRPr="00F06EA4">
              <w:rPr>
                <w:rFonts w:eastAsia="Calibri"/>
                <w:lang w:val="en-US"/>
              </w:rPr>
              <w:t>11783 CRC patients, stage I-IV</w:t>
            </w:r>
          </w:p>
        </w:tc>
        <w:tc>
          <w:tcPr>
            <w:tcW w:w="2507" w:type="dxa"/>
          </w:tcPr>
          <w:p w14:paraId="6D358656" w14:textId="77777777" w:rsidR="003E199B" w:rsidRPr="00F06EA4" w:rsidRDefault="003E199B" w:rsidP="00F67ED8">
            <w:pPr>
              <w:spacing w:after="0"/>
              <w:contextualSpacing/>
              <w:rPr>
                <w:rFonts w:eastAsia="Calibri"/>
                <w:lang w:val="en-US"/>
              </w:rPr>
            </w:pPr>
            <w:r w:rsidRPr="00F06EA4">
              <w:rPr>
                <w:rFonts w:eastAsia="Calibri"/>
                <w:lang w:val="en-US"/>
              </w:rPr>
              <w:t>OS, HR 0.57 (0.52-0.62); CSS, HR 0.55 (0.32-0.95); DFS, HR 0.77 (0.70-0.84)</w:t>
            </w:r>
          </w:p>
        </w:tc>
      </w:tr>
      <w:tr w:rsidR="003E199B" w:rsidRPr="00F06EA4" w14:paraId="00780C23" w14:textId="77777777" w:rsidTr="0070496D">
        <w:trPr>
          <w:trHeight w:val="20"/>
        </w:trPr>
        <w:tc>
          <w:tcPr>
            <w:tcW w:w="2533" w:type="dxa"/>
          </w:tcPr>
          <w:p w14:paraId="06C72433" w14:textId="77777777" w:rsidR="003E199B" w:rsidRPr="00F06EA4" w:rsidRDefault="003E199B" w:rsidP="00F67ED8">
            <w:pPr>
              <w:spacing w:after="0"/>
              <w:contextualSpacing/>
              <w:rPr>
                <w:rFonts w:eastAsia="Calibri"/>
                <w:b/>
                <w:lang w:val="en-US"/>
              </w:rPr>
            </w:pPr>
            <w:r w:rsidRPr="00F06EA4">
              <w:rPr>
                <w:rFonts w:eastAsia="Calibri"/>
                <w:lang w:val="en-US"/>
              </w:rPr>
              <w:t>Platelet count</w:t>
            </w:r>
          </w:p>
        </w:tc>
        <w:tc>
          <w:tcPr>
            <w:tcW w:w="1378" w:type="dxa"/>
          </w:tcPr>
          <w:p w14:paraId="20C47ED0" w14:textId="302B6ACC" w:rsidR="003E199B" w:rsidRPr="00F06EA4" w:rsidRDefault="003E199B" w:rsidP="00F67ED8">
            <w:pPr>
              <w:spacing w:after="0"/>
              <w:contextualSpacing/>
              <w:rPr>
                <w:rFonts w:eastAsia="Calibri"/>
                <w:lang w:val="en-US"/>
              </w:rPr>
            </w:pPr>
            <w:r w:rsidRPr="00F06EA4">
              <w:rPr>
                <w:rFonts w:eastAsia="Calibri"/>
                <w:lang w:val="en-US"/>
              </w:rPr>
              <w:t xml:space="preserve">Rao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{"citationItems":[{"id":"ITEM-1","itemData":{"DOI":"10.1097/MD.0000000000010831","ISBN":"0000000000","ISSN":"1536-5964","PMID":"29879017","abstract":"BACKGROUND Recently, a wide variety of studies have suggested that elevated platelet counts are associated with survival in patients with colorectal cancer. On one hand several studies suggest a negative connection in colorectal cancer patients with pre-operative thrombocytosis, on the other hand other studies contradicts this. However, it remains unknown whether elevated platelet counts are associated with survival in colorectal cancer patients. We therefore conducted this meta-analysis to evaluate the prognostic role of platelet counts in colorectal cancer. METHODS PubMed, Embase, and the Cochrane Library databases were searched from their inception to October 15, 2016 to identify relevant studies that have explored the prognostic role of platelet counts in colorectal cancer. Studies that examined the association between platelet counts and prognoses in colorectal cancer and that provided a hazard ratio (HR) and 95% confidence interval (CI) for overall survival (OS) and/or disease-free survival (DFS) were included. RESULTS This meta-analysis included 9 retrospective cohort studies involving 3413 patients with colorectal cancer. OS was shorter in patients with elevated platelet counts than in patients with normal counts (HR 2.11, 95% CI: 1.68-2.65). For DFS, an elevated platelet count was also a poor predictor (HR 2.51, 95% CI: 1.84-3.43). CONCLUSION In this meta-analysis, we suggest that an elevated platelet count is a negative predictor of survival in both primary colorectal cancer and resectable colorectal liver metastases.","author":[{"dropping-particle":"","family":"Rao","given":"Xu-Dong","non-dropping-particle":"","parse-names":false,"suffix":""},{"dropping-particle":"","family":"Zhang","given":"Hua","non-dropping-particle":"","parse-names":false,"suffix":""},{"dropping-particle":"","family":"Xu","given":"Zheng-Shui","non-dropping-particle":"","parse-names":false,"suffix":""},{"dropping-particle":"","family":"Cheng","given":"Hua","non-dropping-particle":"","parse-names":false,"suffix":""},{"dropping-particle":"","family":"Shen","given":"Wei","non-dropping-particle":"","parse-names":false,"suffix":""},{"dropping-particle":"","family":"Wang","given":"Xin-Ping","non-dropping-particle":"","parse-names":false,"suffix":""}],"container-title":"Medicine","id":"ITEM-1","issue":"23","issued":{"date-parts":[["2018"]]},"page":"e10831","title":"Poor prognostic role of the pretreatment platelet counts in colorectal cancer: A meta-analysis.","type":"article-journal","volume":"97"},"uris":["http://www.mendeley.com/documents/?uuid=985e6093-b975-4a55-bce6-8bb1996fa4f4"]}],"mendeley":{"formattedCitation":"&lt;sup&gt;[152]&lt;/sup&gt;","plainTextFormattedCitation":"[152]","previouslyFormattedCitation":"&lt;sup&gt;[152]&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[152]</w:t>
            </w:r>
            <w:r w:rsidRPr="00F06EA4">
              <w:rPr>
                <w:rFonts w:eastAsia="Calibri"/>
                <w:lang w:val="en-US"/>
              </w:rPr>
              <w:fldChar w:fldCharType="end"/>
            </w:r>
          </w:p>
        </w:tc>
        <w:tc>
          <w:tcPr>
            <w:tcW w:w="1979" w:type="dxa"/>
          </w:tcPr>
          <w:p w14:paraId="2D41B393" w14:textId="77777777" w:rsidR="003E199B" w:rsidRPr="00F06EA4" w:rsidRDefault="003E199B" w:rsidP="00F67ED8">
            <w:pPr>
              <w:spacing w:after="0"/>
              <w:contextualSpacing/>
              <w:rPr>
                <w:rFonts w:eastAsia="Calibri"/>
                <w:lang w:val="en-US"/>
              </w:rPr>
            </w:pPr>
            <w:r w:rsidRPr="00F06EA4">
              <w:rPr>
                <w:rFonts w:eastAsia="Calibri"/>
                <w:lang w:val="en-US"/>
              </w:rPr>
              <w:t>Meta-analysis, 9 studies</w:t>
            </w:r>
          </w:p>
        </w:tc>
        <w:tc>
          <w:tcPr>
            <w:tcW w:w="1569" w:type="dxa"/>
          </w:tcPr>
          <w:p w14:paraId="4C92E937" w14:textId="1EA78A34" w:rsidR="003E199B" w:rsidRPr="00F06EA4" w:rsidRDefault="003E199B" w:rsidP="00F67ED8">
            <w:pPr>
              <w:spacing w:after="0"/>
              <w:contextualSpacing/>
              <w:rPr>
                <w:rFonts w:eastAsia="Calibri"/>
                <w:lang w:val="en-US"/>
              </w:rPr>
            </w:pPr>
            <w:r w:rsidRPr="00F06EA4">
              <w:rPr>
                <w:rFonts w:eastAsia="Calibri"/>
                <w:lang w:val="en-US"/>
              </w:rPr>
              <w:t>3413 CRC patients, stage I-IV</w:t>
            </w:r>
          </w:p>
        </w:tc>
        <w:tc>
          <w:tcPr>
            <w:tcW w:w="2507" w:type="dxa"/>
          </w:tcPr>
          <w:p w14:paraId="3B09C284" w14:textId="77777777" w:rsidR="003E199B" w:rsidRPr="00F06EA4" w:rsidRDefault="003E199B" w:rsidP="00F67ED8">
            <w:pPr>
              <w:spacing w:after="0"/>
              <w:contextualSpacing/>
              <w:rPr>
                <w:rFonts w:eastAsia="Calibri"/>
                <w:lang w:val="en-US"/>
              </w:rPr>
            </w:pPr>
            <w:r w:rsidRPr="00F06EA4">
              <w:rPr>
                <w:rFonts w:eastAsia="Calibri"/>
                <w:lang w:val="en-US"/>
              </w:rPr>
              <w:t>OS, HR 2.11 (1.68-2.65); DFS, HR 2.51 (1.84-3.43)</w:t>
            </w:r>
          </w:p>
        </w:tc>
      </w:tr>
      <w:tr w:rsidR="003E199B" w:rsidRPr="00F06EA4" w14:paraId="40E975FA" w14:textId="77777777" w:rsidTr="0070496D">
        <w:trPr>
          <w:trHeight w:val="20"/>
        </w:trPr>
        <w:tc>
          <w:tcPr>
            <w:tcW w:w="2533" w:type="dxa"/>
          </w:tcPr>
          <w:p w14:paraId="18764773" w14:textId="77777777" w:rsidR="003E199B" w:rsidRPr="00F06EA4" w:rsidRDefault="003E199B" w:rsidP="00F67ED8">
            <w:pPr>
              <w:spacing w:after="0"/>
              <w:contextualSpacing/>
              <w:rPr>
                <w:rFonts w:eastAsia="Calibri"/>
                <w:b/>
                <w:lang w:val="en-US"/>
              </w:rPr>
            </w:pPr>
            <w:r w:rsidRPr="00F06EA4">
              <w:rPr>
                <w:rFonts w:eastAsia="Calibri"/>
                <w:lang w:val="en-US"/>
              </w:rPr>
              <w:t>Platelet-to-lymphocyte ratio</w:t>
            </w:r>
          </w:p>
        </w:tc>
        <w:tc>
          <w:tcPr>
            <w:tcW w:w="1378" w:type="dxa"/>
          </w:tcPr>
          <w:p w14:paraId="0C9FCB1E" w14:textId="5F70E91F" w:rsidR="003E199B" w:rsidRPr="00F06EA4" w:rsidRDefault="003E199B" w:rsidP="00F67ED8">
            <w:pPr>
              <w:spacing w:after="0"/>
              <w:contextualSpacing/>
              <w:rPr>
                <w:rFonts w:eastAsia="Calibri"/>
                <w:lang w:val="en-US"/>
              </w:rPr>
            </w:pPr>
            <w:r w:rsidRPr="00F06EA4">
              <w:rPr>
                <w:rFonts w:eastAsia="Calibri"/>
                <w:lang w:val="en-US"/>
              </w:rPr>
              <w:t xml:space="preserve">Tan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{"citationItems":[{"id":"ITEM-1","itemData":{"DOI":"10.1097/MD.0000000000003837","ISBN":"0000000000","ISSN":"1536-5964","PMID":"27310960","abstract":"Many studies have been reported that platelet-lymphocyte ratio (PLR) may be associated with the prognosis of colorectal cancer (CRC), but the results are inconsistent. Current opinion on the prognostic role of the PLR in CRC is inconsistent and inconclusive. Therefore, we conduct a meta-analysis that combines these studies and to identify the prognostic value of PLR in patients with CRC. Data were retrieved from PubMed, EMBASE, Cochrane Library, and Web of Science databases that came from inception through January 2016. We extracted data from the characteristics of each study and analyzed the relationship between PLR and overall survival (OS), disease-free survival (DFS), or other prognosis in patients with CRC by using the hazard ratio (HR) and 95% confidence intervals (95% CIs). Of the 256 identified studies, 15 studies were included and a total of 3991 patients were included. In a meta-analysis, patients with an elevated PLR had a significantly lower OS (pooled HR, 1.53; 95% CI, 1.24-1.89; P ≤ 0.001), DFS (pooled HR, 1.68; 95% CI, 1.07-2.62; P = 0.023). Even after sensitivity analyses and trim and fill method, high PLR remains significantly predictive poorer OS, but not DFS. In addition, our meta-analysis indicated that increased PLR is also significantly associated with the poor tumor differentiation [odds ratio (OR) 2.12; 95% CI, 1.45-3.08, P &lt; 0.001)], the propensity toward depth of infiltration (OR 1.69; 95% CI, 1.20-2.39, P = 0.003), and recurrence in patients with CRC (HR, 2.71; 95% CI, 1.31-5.60, P = 0.005). This meta-analysis suggested that a high peripheral blood PLR can be used as a predictor of OS connected with clinicopathological parameters in patients with CRC, not DFS. These ratios may thus contribute to inform more personalized treatment decisions and predict treatment outcomes.","author":[{"dropping-particle":"","family":"Tan","given":"Dewen","non-dropping-particle":"","parse-names":false,"suffix":""},{"dropping-particle":"","family":"Fu","given":"Yan","non-dropping-particle":"","parse-names":false,"suffix":""},{"dropping-particle":"","family":"Su","given":"Qi","non-dropping-particle":"","parse-names":false,"suffix":""},{"dropping-particle":"","family":"Wang","given":"Heling","non-dropping-particle":"","parse-names":false,"suffix":""}],"container-title":"Medicine","id":"ITEM-1","issue":"24","issued":{"date-parts":[["2016","6"]]},"page":"e3837","title":"Prognostic role of platelet-lymphocyte ratio in colorectal cancer: A systematic review and meta-analysis.","type":"article-journal","volume":"95"},"uris":["http://www.mendeley.com/documents/?uuid=eddee38e-c553-4d72-ad94-a10932a7869d"]}],"mendeley":{"formattedCitation":"&lt;sup&gt;[153]&lt;/sup&gt;","plainTextFormattedCitation":"[153]","previouslyFormattedCitation":"&lt;sup&gt;[153]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[153]</w:t>
            </w:r>
            <w:r w:rsidRPr="00F06EA4">
              <w:rPr>
                <w:rFonts w:eastAsia="Calibri"/>
                <w:lang w:val="en-US"/>
              </w:rPr>
              <w:fldChar w:fldCharType="end"/>
            </w:r>
          </w:p>
        </w:tc>
        <w:tc>
          <w:tcPr>
            <w:tcW w:w="1979" w:type="dxa"/>
          </w:tcPr>
          <w:p w14:paraId="693FEFB0" w14:textId="77777777" w:rsidR="003E199B" w:rsidRPr="00F06EA4" w:rsidRDefault="003E199B" w:rsidP="00F67ED8">
            <w:pPr>
              <w:spacing w:after="0"/>
              <w:contextualSpacing/>
              <w:rPr>
                <w:rFonts w:eastAsia="Calibri"/>
                <w:lang w:val="en-US"/>
              </w:rPr>
            </w:pPr>
            <w:r w:rsidRPr="00F06EA4">
              <w:rPr>
                <w:rFonts w:eastAsia="Calibri"/>
                <w:lang w:val="en-US"/>
              </w:rPr>
              <w:t>Meta-analysis, 15 studies</w:t>
            </w:r>
          </w:p>
        </w:tc>
        <w:tc>
          <w:tcPr>
            <w:tcW w:w="1569" w:type="dxa"/>
          </w:tcPr>
          <w:p w14:paraId="54DB1475" w14:textId="03219CE5" w:rsidR="003E199B" w:rsidRPr="00F06EA4" w:rsidRDefault="003E199B" w:rsidP="00F67ED8">
            <w:pPr>
              <w:spacing w:after="0"/>
              <w:contextualSpacing/>
              <w:rPr>
                <w:rFonts w:eastAsia="Calibri"/>
                <w:lang w:val="en-US"/>
              </w:rPr>
            </w:pPr>
            <w:r w:rsidRPr="00F06EA4">
              <w:rPr>
                <w:rFonts w:eastAsia="Calibri"/>
                <w:lang w:val="en-US"/>
              </w:rPr>
              <w:t>3991 CRC patients, stage I-IV</w:t>
            </w:r>
          </w:p>
        </w:tc>
        <w:tc>
          <w:tcPr>
            <w:tcW w:w="2507" w:type="dxa"/>
          </w:tcPr>
          <w:p w14:paraId="73ACA2AB" w14:textId="77777777" w:rsidR="003E199B" w:rsidRPr="00F06EA4" w:rsidRDefault="003E199B" w:rsidP="00F67ED8">
            <w:pPr>
              <w:spacing w:after="0"/>
              <w:contextualSpacing/>
              <w:rPr>
                <w:rFonts w:eastAsia="Calibri"/>
                <w:lang w:val="en-US"/>
              </w:rPr>
            </w:pPr>
            <w:r w:rsidRPr="00F06EA4">
              <w:rPr>
                <w:rFonts w:eastAsia="Calibri"/>
                <w:lang w:val="en-US"/>
              </w:rPr>
              <w:t>OS, HR 1.53 (1.24–1.89), DFS, HR 1.68 (1.07–2.62)</w:t>
            </w:r>
          </w:p>
        </w:tc>
      </w:tr>
      <w:tr w:rsidR="003E199B" w:rsidRPr="00F06EA4" w14:paraId="4CD5244C" w14:textId="77777777" w:rsidTr="0070496D">
        <w:trPr>
          <w:trHeight w:val="20"/>
        </w:trPr>
        <w:tc>
          <w:tcPr>
            <w:tcW w:w="2533" w:type="dxa"/>
          </w:tcPr>
          <w:p w14:paraId="575FDB66" w14:textId="77777777" w:rsidR="003E199B" w:rsidRPr="00F06EA4" w:rsidRDefault="003E199B" w:rsidP="00F67ED8">
            <w:pPr>
              <w:spacing w:after="0"/>
              <w:contextualSpacing/>
              <w:rPr>
                <w:rFonts w:eastAsia="Calibri"/>
                <w:lang w:val="en-US"/>
              </w:rPr>
            </w:pPr>
            <w:r w:rsidRPr="00F06EA4">
              <w:rPr>
                <w:rFonts w:eastAsia="Calibri"/>
                <w:lang w:val="en-US"/>
              </w:rPr>
              <w:t>Anemia</w:t>
            </w:r>
          </w:p>
        </w:tc>
        <w:tc>
          <w:tcPr>
            <w:tcW w:w="1378" w:type="dxa"/>
          </w:tcPr>
          <w:p w14:paraId="1370C142" w14:textId="303BD9B7" w:rsidR="003E199B" w:rsidRPr="00F06EA4" w:rsidRDefault="003E199B" w:rsidP="00F67ED8">
            <w:pPr>
              <w:spacing w:after="0"/>
              <w:contextualSpacing/>
              <w:rPr>
                <w:rFonts w:eastAsia="Calibri"/>
                <w:lang w:val="en-US"/>
              </w:rPr>
            </w:pPr>
            <w:r w:rsidRPr="00F06EA4">
              <w:rPr>
                <w:rFonts w:eastAsia="Calibri"/>
                <w:lang w:val="en-US"/>
              </w:rPr>
              <w:t xml:space="preserve">Wilson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{"citationItems":[{"id":"ITEM-1","itemData":{"DOI":"10.1016/j.suronc.2017.01.005","ISSN":"1879-3320","PMID":"28317592","abstract":"OBJECTIVE To evaluate the long-term prognostic factor of preoperative anemia in colorectal cancer patients. BACKGROUND Anemia is frequently observed in colorectal cancer patients, with a case incidence of 30 to 67 percent. Besides an indicator of tumor-induced blood loss and inflammation, anemia in cancer is also suggested to be a cause of inferior outcome, possibly via worsening of tumor hypoxia. As surgery is likely to enhance anemia, the long-term prognostic value of preoperative anemia seems most interesting. METHODS Comprehensive searches were carried out in all relevant databases, including MEDLINE, Embase and Web-of-Science. To include studies addressing overall survival, follow-up had to be at least 24 months or till death. For pooling of survival results, a mixed-linear (fixed-effects) model was fit to the reported hazard ratios (HRs) to calculate a pooled estimate and confidence interval. RESULTS We included 12 studies comprising 3588 patients to estimate the association between preoperative anemia and overall survival (OS) and disease-free survival (DFS). In a fixed-effects meta-analysis of eight studies, including both colon and rectal cancer, preoperative anemia was significantly associated with poor OS (HR 1.56; 95% CI 1.30 to 1.88; p &lt; 0.001). A meta-analysis of seven studies also showed that preoperative anemia was significantly associated with poor DFS (HR 1.34; 95% CI 1.11 to 1.61; p = 0.002). Restricted to studies exclusively on colon cancer or rectal cancer, HRs for OS were 1.25 (95% CI 1.00 to 1.55; p = 0.05) and 2.59 (95% CI 1.68 to 4.01; p &lt; 0.001), respectively, while HRs for DFS were 1.21 (95% CI 0.96 to 1.52; p = 0.11) and 1.61 (95% CI 1.18 to 2.21; p = 0.003). CONCLUSION The present meta-analysis reveals that preoperative anemia is significantly associated with decreased long-term OS and DFS in rectal cancer, but not in colon cancer patients, although this meta-analysis is mainly based on retrospective studies with high heterogeneity. These results justify raised awareness about the impact of preoperative anemia on long-term survival.","author":[{"dropping-particle":"","family":"Wilson","given":"M. J.","non-dropping-particle":"","parse-names":false,"suffix":""},{"dropping-particle":"","family":"Haaren","given":"M.","non-dropping-particle":"van","parse-names":false,"suffix":""},{"dropping-particle":"","family":"Harlaar","given":"J. J.","non-dropping-particle":"","parse-names":false,"suffix":""},{"dropping-particle":"","family":"Park","given":"Hee Chul","non-dropping-particle":"","parse-names":false,"suffix":""},{"dropping-particle":"","family":"Bonjer","given":"H. J.","non-dropping-particle":"","parse-names":false,"suffix":""},{"dropping-particle":"","family":"Jeekel","given":"J.","non-dropping-particle":"","parse-names":false,"suffix":""},{"dropping-particle":"","family":"Zwaginga","given":"J. J.","non-dropping-particle":"","parse-names":false,"suffix":""},{"dropping-particle":"","family":"Schipperus","given":"M.","non-dropping-particle":"","parse-names":false,"suffix":""}],"container-title":"Surgical oncology","id":"ITEM-1","issue":"1","issued":{"date-parts":[["2017"]]},"page":"96-104","title":"Long-term prognostic value of preoperative anemia in patients with colorectal cancer: A systematic review and meta-analysis.","type":"article-journal","volume":"26"},"uris":["http://www.mendeley.com/documents/?uuid=a00dc8f1-7299-4e83-ba3e-cab3a69f4497"]}],"mendeley":{"formattedCitation":"&lt;sup&gt;[150]&lt;/sup&gt;","plainTextFormattedCitation":"[150]","previouslyFormattedCitation":"&lt;sup&gt;[150]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[150]</w:t>
            </w:r>
            <w:r w:rsidRPr="00F06EA4">
              <w:rPr>
                <w:rFonts w:eastAsia="Calibri"/>
                <w:lang w:val="en-US"/>
              </w:rPr>
              <w:fldChar w:fldCharType="end"/>
            </w:r>
          </w:p>
        </w:tc>
        <w:tc>
          <w:tcPr>
            <w:tcW w:w="1979" w:type="dxa"/>
          </w:tcPr>
          <w:p w14:paraId="67B2B559" w14:textId="77777777" w:rsidR="003E199B" w:rsidRPr="00F06EA4" w:rsidRDefault="003E199B" w:rsidP="00F67ED8">
            <w:pPr>
              <w:spacing w:after="0"/>
              <w:contextualSpacing/>
              <w:rPr>
                <w:rFonts w:eastAsia="Calibri"/>
                <w:lang w:val="en-US"/>
              </w:rPr>
            </w:pPr>
            <w:r w:rsidRPr="00F06EA4">
              <w:rPr>
                <w:rFonts w:eastAsia="Calibri"/>
                <w:lang w:val="en-US"/>
              </w:rPr>
              <w:t>Meta-analysis, 12 studies</w:t>
            </w:r>
          </w:p>
        </w:tc>
        <w:tc>
          <w:tcPr>
            <w:tcW w:w="1569" w:type="dxa"/>
          </w:tcPr>
          <w:p w14:paraId="4DE41643" w14:textId="3B8CABCC" w:rsidR="003E199B" w:rsidRPr="00F06EA4" w:rsidRDefault="003E199B" w:rsidP="00F67ED8">
            <w:pPr>
              <w:spacing w:after="0"/>
              <w:contextualSpacing/>
              <w:rPr>
                <w:rFonts w:eastAsia="Calibri"/>
                <w:lang w:val="en-US"/>
              </w:rPr>
            </w:pPr>
            <w:r w:rsidRPr="00F06EA4">
              <w:rPr>
                <w:rFonts w:eastAsia="Calibri"/>
                <w:lang w:val="en-US"/>
              </w:rPr>
              <w:t>3588 CRC patients, stage I-IV</w:t>
            </w:r>
          </w:p>
        </w:tc>
        <w:tc>
          <w:tcPr>
            <w:tcW w:w="2507" w:type="dxa"/>
          </w:tcPr>
          <w:p w14:paraId="4236D6A4" w14:textId="77777777" w:rsidR="003E199B" w:rsidRPr="00F06EA4" w:rsidRDefault="003E199B" w:rsidP="00F67ED8">
            <w:pPr>
              <w:spacing w:after="0"/>
              <w:contextualSpacing/>
              <w:rPr>
                <w:rFonts w:eastAsia="Calibri"/>
                <w:lang w:val="en-US"/>
              </w:rPr>
            </w:pPr>
            <w:r w:rsidRPr="00F06EA4">
              <w:rPr>
                <w:rFonts w:eastAsia="Calibri"/>
                <w:lang w:val="en-US"/>
              </w:rPr>
              <w:t>OS, HR 1.56 (1.30-1.88), DFS, HR 1.34 (1.11-1.61)</w:t>
            </w:r>
          </w:p>
        </w:tc>
      </w:tr>
      <w:tr w:rsidR="003E199B" w:rsidRPr="00F06EA4" w14:paraId="05CEE706" w14:textId="77777777" w:rsidTr="0070496D">
        <w:trPr>
          <w:trHeight w:val="20"/>
        </w:trPr>
        <w:tc>
          <w:tcPr>
            <w:tcW w:w="2533" w:type="dxa"/>
          </w:tcPr>
          <w:p w14:paraId="27DE65D5" w14:textId="77777777" w:rsidR="003E199B" w:rsidRPr="00F06EA4" w:rsidRDefault="003E199B" w:rsidP="00F67ED8">
            <w:pPr>
              <w:spacing w:after="0"/>
              <w:contextualSpacing/>
              <w:rPr>
                <w:rFonts w:eastAsia="Calibri"/>
                <w:b/>
                <w:lang w:val="en-US"/>
              </w:rPr>
            </w:pPr>
            <w:r w:rsidRPr="00F06EA4">
              <w:rPr>
                <w:rFonts w:eastAsia="Calibri"/>
                <w:b/>
                <w:lang w:val="en-US"/>
              </w:rPr>
              <w:t>Cytokines, chemokines, and their receptors</w:t>
            </w:r>
          </w:p>
        </w:tc>
        <w:tc>
          <w:tcPr>
            <w:tcW w:w="1378" w:type="dxa"/>
          </w:tcPr>
          <w:p w14:paraId="19F55746" w14:textId="77777777" w:rsidR="003E199B" w:rsidRPr="00F06EA4" w:rsidRDefault="003E199B" w:rsidP="00F67ED8">
            <w:pPr>
              <w:spacing w:after="0"/>
              <w:contextualSpacing/>
              <w:rPr>
                <w:rFonts w:eastAsia="Calibri"/>
                <w:lang w:val="en-US"/>
              </w:rPr>
            </w:pPr>
          </w:p>
        </w:tc>
        <w:tc>
          <w:tcPr>
            <w:tcW w:w="1979" w:type="dxa"/>
          </w:tcPr>
          <w:p w14:paraId="7421E96D" w14:textId="77777777" w:rsidR="003E199B" w:rsidRPr="00F06EA4" w:rsidRDefault="003E199B" w:rsidP="00F67ED8">
            <w:pPr>
              <w:spacing w:after="0"/>
              <w:contextualSpacing/>
              <w:rPr>
                <w:rFonts w:eastAsia="Calibri"/>
                <w:lang w:val="en-US"/>
              </w:rPr>
            </w:pPr>
          </w:p>
        </w:tc>
        <w:tc>
          <w:tcPr>
            <w:tcW w:w="1569" w:type="dxa"/>
          </w:tcPr>
          <w:p w14:paraId="5404E1FF" w14:textId="77777777" w:rsidR="003E199B" w:rsidRPr="00F06EA4" w:rsidRDefault="003E199B" w:rsidP="00F67ED8">
            <w:pPr>
              <w:spacing w:after="0"/>
              <w:contextualSpacing/>
              <w:rPr>
                <w:rFonts w:eastAsia="Calibri"/>
                <w:lang w:val="en-US"/>
              </w:rPr>
            </w:pPr>
          </w:p>
        </w:tc>
        <w:tc>
          <w:tcPr>
            <w:tcW w:w="2507" w:type="dxa"/>
          </w:tcPr>
          <w:p w14:paraId="5A5EE6F3" w14:textId="77777777" w:rsidR="003E199B" w:rsidRPr="00F06EA4" w:rsidRDefault="003E199B" w:rsidP="00F67ED8">
            <w:pPr>
              <w:spacing w:after="0"/>
              <w:contextualSpacing/>
              <w:rPr>
                <w:rFonts w:eastAsia="Calibri"/>
                <w:lang w:val="en-US"/>
              </w:rPr>
            </w:pPr>
          </w:p>
        </w:tc>
      </w:tr>
      <w:tr w:rsidR="003E199B" w:rsidRPr="00F06EA4" w14:paraId="7CF15857" w14:textId="77777777" w:rsidTr="0070496D">
        <w:trPr>
          <w:trHeight w:val="20"/>
        </w:trPr>
        <w:tc>
          <w:tcPr>
            <w:tcW w:w="2533" w:type="dxa"/>
          </w:tcPr>
          <w:p w14:paraId="6D81967C" w14:textId="77777777" w:rsidR="003E199B" w:rsidRPr="00F06EA4" w:rsidRDefault="003E199B" w:rsidP="00F67ED8">
            <w:pPr>
              <w:spacing w:after="0"/>
              <w:contextualSpacing/>
              <w:rPr>
                <w:rFonts w:eastAsia="Calibri"/>
                <w:b/>
                <w:lang w:val="en-US"/>
              </w:rPr>
            </w:pPr>
            <w:r w:rsidRPr="00F06EA4">
              <w:rPr>
                <w:rFonts w:eastAsia="Calibri"/>
                <w:lang w:val="en-US"/>
              </w:rPr>
              <w:t>IL6</w:t>
            </w:r>
          </w:p>
        </w:tc>
        <w:tc>
          <w:tcPr>
            <w:tcW w:w="1378" w:type="dxa"/>
          </w:tcPr>
          <w:p w14:paraId="1F7713ED" w14:textId="680BED90" w:rsidR="003E199B" w:rsidRPr="00F06EA4" w:rsidRDefault="003E199B" w:rsidP="00F67ED8">
            <w:pPr>
              <w:spacing w:after="0"/>
              <w:contextualSpacing/>
              <w:rPr>
                <w:rFonts w:eastAsia="Calibri"/>
                <w:lang w:val="en-US"/>
              </w:rPr>
            </w:pPr>
            <w:r w:rsidRPr="00F06EA4">
              <w:rPr>
                <w:rFonts w:eastAsia="Calibri"/>
                <w:lang w:val="en-US"/>
              </w:rPr>
              <w:t xml:space="preserve">Xu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{"citationItems":[{"id":"ITEM-1","itemData":{"DOI":"10.1097/MD.0000000000002502","ISBN":"0000000000","ISSN":"1536-5964","PMID":"26765465","abstract":"The application of serum interleukin-6 (IL-6) in the diagnosis and prognosis of colorectal cancer (CRC) has been evaluated in many studies, whereas the results were contradictive.The aim of this study was to systematically evaluate this issue.An original study was conducted to explore the diagnostic value of serum IL-6 in CRC. Pubmed, Embase, and Cochrane library databases were searched for eligible studies.For diagnostic meta-analysis, aggregate data (AD) and individual participant data (IPD) meta-analyses were both adopted. The sensitivity and specificity were pooled and a summary receiver-operating characteristic (ROC) curve was constructed. For prognostic meta-analysis, study-specific hazard ratios (HRs) of IL-6 for survival were summarized. Secondary analysis of survival data was performed to synthesize the Kaplan-Meier curves.Total 17 studies (including our study) were included in this meta-analysis. The pooled sensitivity, specificity, and area under curve (AUC) of serum IL-6 were 0.72 (95% CI: 0.46-0.88), 0.74 (95% CI: 0.56-0.86), and 0.79 (95% CI: 0.75-0.82) in CRC diagnosis, respectively. Further, IPD meta-analysis strengthened the diagnostic value of serum IL-6 (the AUC, sensitivity, and specificity were 0.794, 0.606, and 0.839, respectively). For prognostic analysis, the high serum level of IL-6 was inversely associated with overall survival (OS) (pooled HR = 1.76, 95% CI: 1.42-2.19, P &lt; 0.001) and disease-free survival (DFS) (pooled HR = 2.97, 95% CI: 1.76-5.01, P &lt; 0.001). The synthesized Kaplan-Meier curves indicated that CRC patients with higher serum IL-6 level had a worse OS (P = 0.0027) and DFS (P &lt; 0.001), which further support the prognostic value of serum IL-6 in CRC patients.The present study confirmed that serum IL-6 may be a potential biomarker for CRC diagnosis, and the high serum IL-6 level was associated with poor prognosis for both CRC overall survival and disease-free survival. The study has been registered in an international registry of systematic reviews PROSPERO (CRD42013006485).","author":[{"dropping-particle":"","family":"Xu","given":"Jinming","non-dropping-particle":"","parse-names":false,"suffix":""},{"dropping-particle":"","family":"Ye","given":"Yao","non-dropping-particle":"","parse-names":false,"suffix":""},{"dropping-particle":"","family":"Zhang","given":"Honghe","non-dropping-particle":"","parse-names":false,"suffix":""},{"dropping-particle":"","family":"Szmitkowski","given":"Maciej","non-dropping-particle":"","parse-names":false,"suffix":""},{"dropping-particle":"","family":"Mäkinen","given":"M. J.","non-dropping-particle":"","parse-names":false,"suffix":""},{"dropping-particle":"","family":"Li","given":"Peiwei","non-dropping-particle":"","parse-names":false,"suffix":""},{"dropping-particle":"","family":"Xia","given":"Dajing","non-dropping-particle":"","parse-names":false,"suffix":""},{"dropping-particle":"","family":"Yang","given":"Jun","non-dropping-particle":"","parse-names":false,"suffix":""},{"dropping-particle":"","family":"Wu","given":"Yihua","non-dropping-particle":"","parse-names":false,"suffix":""},{"dropping-particle":"","family":"Wu","given":"Han","non-dropping-particle":"","parse-names":false,"suffix":""}],"container-title":"Medicine","id":"ITEM-1","issue":"2","issued":{"date-parts":[["2016","1"]]},"page":"e2502","title":"Diagnostic and Prognostic Value of Serum Interleukin-6 in Colorectal Cancer.","type":"article-journal","volume":"95"},"uris":["http://www.mendeley.com/documents/?uuid=4608fcd7-14de-4e7b-8742-7c6bc5a80d48"]}],"mendeley":{"formattedCitation":"&lt;sup&gt;[23]&lt;/sup&gt;","plainTextFormattedCitation":"[23]","previouslyFormattedCitation":"&lt;sup&gt;[23]&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[23]</w:t>
            </w:r>
            <w:r w:rsidRPr="00F06EA4">
              <w:rPr>
                <w:rFonts w:eastAsia="Calibri"/>
                <w:lang w:val="en-US"/>
              </w:rPr>
              <w:fldChar w:fldCharType="end"/>
            </w:r>
          </w:p>
        </w:tc>
        <w:tc>
          <w:tcPr>
            <w:tcW w:w="1979" w:type="dxa"/>
          </w:tcPr>
          <w:p w14:paraId="36442EC2" w14:textId="77777777" w:rsidR="003E199B" w:rsidRPr="00F06EA4" w:rsidRDefault="003E199B" w:rsidP="00F67ED8">
            <w:pPr>
              <w:spacing w:after="0"/>
              <w:contextualSpacing/>
              <w:rPr>
                <w:rFonts w:eastAsia="Calibri"/>
                <w:lang w:val="en-US"/>
              </w:rPr>
            </w:pPr>
            <w:r w:rsidRPr="00F06EA4">
              <w:rPr>
                <w:rFonts w:eastAsia="Calibri"/>
                <w:lang w:val="en-US"/>
              </w:rPr>
              <w:t>Meta-analysis, 10 studies</w:t>
            </w:r>
          </w:p>
        </w:tc>
        <w:tc>
          <w:tcPr>
            <w:tcW w:w="1569" w:type="dxa"/>
          </w:tcPr>
          <w:p w14:paraId="70C2A323" w14:textId="77777777" w:rsidR="003E199B" w:rsidRPr="00F06EA4" w:rsidRDefault="003E199B" w:rsidP="00F67ED8">
            <w:pPr>
              <w:spacing w:after="0"/>
              <w:contextualSpacing/>
              <w:rPr>
                <w:rFonts w:eastAsia="Calibri"/>
                <w:lang w:val="en-US"/>
              </w:rPr>
            </w:pPr>
            <w:r w:rsidRPr="00F06EA4">
              <w:rPr>
                <w:rFonts w:eastAsia="Calibri"/>
                <w:lang w:val="en-US"/>
              </w:rPr>
              <w:t>860 CRC patients, stage I-IV</w:t>
            </w:r>
          </w:p>
        </w:tc>
        <w:tc>
          <w:tcPr>
            <w:tcW w:w="2507" w:type="dxa"/>
          </w:tcPr>
          <w:p w14:paraId="75F96DAC" w14:textId="77777777" w:rsidR="003E199B" w:rsidRPr="00F06EA4" w:rsidRDefault="003E199B" w:rsidP="00F67ED8">
            <w:pPr>
              <w:spacing w:after="0"/>
              <w:contextualSpacing/>
              <w:rPr>
                <w:rFonts w:eastAsia="Calibri"/>
                <w:lang w:val="en-US"/>
              </w:rPr>
            </w:pPr>
            <w:r w:rsidRPr="00F06EA4">
              <w:rPr>
                <w:rFonts w:eastAsia="Calibri"/>
                <w:lang w:val="en-US"/>
              </w:rPr>
              <w:t>OS, HR 1.76 (1.42–2.19); DFS, HR 2.97 (1.76–5.01)</w:t>
            </w:r>
          </w:p>
        </w:tc>
      </w:tr>
      <w:tr w:rsidR="003E199B" w:rsidRPr="00F06EA4" w14:paraId="24A9EBB9" w14:textId="77777777" w:rsidTr="0070496D">
        <w:trPr>
          <w:trHeight w:val="20"/>
        </w:trPr>
        <w:tc>
          <w:tcPr>
            <w:tcW w:w="2533" w:type="dxa"/>
          </w:tcPr>
          <w:p w14:paraId="51D7015C" w14:textId="77777777" w:rsidR="003E199B" w:rsidRPr="00F06EA4" w:rsidRDefault="003E199B" w:rsidP="00F67ED8">
            <w:pPr>
              <w:spacing w:after="0"/>
              <w:contextualSpacing/>
              <w:rPr>
                <w:rFonts w:eastAsia="Calibri"/>
                <w:lang w:val="en-US"/>
              </w:rPr>
            </w:pPr>
            <w:r w:rsidRPr="00F06EA4">
              <w:rPr>
                <w:rFonts w:eastAsia="Calibri"/>
                <w:bCs/>
                <w:lang w:val="en-US"/>
              </w:rPr>
              <w:t>TNFRSF11B (</w:t>
            </w:r>
            <w:r w:rsidRPr="00F06EA4">
              <w:rPr>
                <w:rFonts w:eastAsia="Calibri"/>
                <w:lang w:val="en-US"/>
              </w:rPr>
              <w:t>Osteoprotegerin)</w:t>
            </w:r>
          </w:p>
        </w:tc>
        <w:tc>
          <w:tcPr>
            <w:tcW w:w="1378" w:type="dxa"/>
          </w:tcPr>
          <w:p w14:paraId="405BF4B9" w14:textId="68806656" w:rsidR="003E199B" w:rsidRPr="00F06EA4" w:rsidRDefault="003E199B" w:rsidP="00F67ED8">
            <w:pPr>
              <w:spacing w:after="0"/>
              <w:contextualSpacing/>
              <w:rPr>
                <w:rFonts w:eastAsia="Calibri"/>
                <w:lang w:val="en-US"/>
              </w:rPr>
            </w:pPr>
            <w:r w:rsidRPr="00F06EA4">
              <w:rPr>
                <w:rFonts w:eastAsia="Calibri"/>
                <w:lang w:val="en-US"/>
              </w:rPr>
              <w:t xml:space="preserve">Birgisson </w:t>
            </w:r>
            <w:r w:rsidR="0046007C" w:rsidRPr="00F06EA4">
              <w:rPr>
                <w:rFonts w:eastAsia="Calibri"/>
                <w:i/>
                <w:iCs/>
                <w:lang w:val="en-US"/>
              </w:rPr>
              <w:t>et al</w:t>
            </w:r>
            <w:r w:rsidRPr="00F06EA4">
              <w:rPr>
                <w:rFonts w:eastAsia="Calibri"/>
                <w:lang w:val="en-US"/>
              </w:rPr>
              <w:fldChar w:fldCharType="begin" w:fldLock="1"/>
            </w:r>
            <w:r w:rsidR="00F45F97" w:rsidRPr="00F06EA4">
              <w:rPr>
                <w:rFonts w:eastAsia="Calibri"/>
                <w:lang w:val="en-US"/>
              </w:rPr>
              <w:instrText>ADDIN CSL_CITATION {"citationItems":[{"id":"ITEM-1","itemData":{"DOI":"10.1016/j.tranon.2018.05.012","ISSN":"1936-5233","PMID":"29982101","abstract":"BACKGROUND Due to difficulties in predicting recurrences in colorectal cancer stages II and III, reliable prognostic biomarkers could be a breakthrough for individualized treatment and follow-up. OBJECTIVE To find potential prognostic protein biomarkers in colorectal cancer, using the proximity extension assays. METHODS A panel of 92 oncology-related proteins was analyzed with proximity extension assays, in plasma from a cohort of 261 colorectal cancer patients with stage II-IV. The survival analyses were corrected for disease stage and age, and the recurrence analyses were corrected for disease stage. The significance threshold was adjusted for multiple comparisons. RESULTS The plasma proteins expression levels had a greater prognostic relevance in disease stage III colorectal cancer than in disease stage II, and for overall survival than for time to recurrence. Osteoprotegerin was the only biomarker candidate in the protein panel that had a statistical significant association with overall survival (P = .00029). None of the proteins were statistically significantly associated with time to recurrence. CONCLUSIONS Of the 92 analyzed plasma proteins, osteoprotegerin showed the strongest prognostic impact in patients with colorectal cancer, and therefore osteoprotegerin is a potential predictive marker, and it also could be a target for treatments.","author":[{"dropping-particle":"","family":"Birgisson","given":"Helgi","non-dropping-particle":"","parse-names":false,"suffix":""},{"dropping-particle":"","family":"Tsimogiannis","given":"Kostas","non-dropping-particle":"","parse-names":false,"suffix":""},{"dropping-particle":"","family":"Freyhult","given":"Eva","non-dropping-particle":"","parse-names":false,"suffix":""},{"dropping-particle":"","family":"Kamali-Moghaddam","given":"Masood","non-dropping-particle":"","parse-names":false,"suffix":""}],"container-title":"Translational oncology","id":"ITEM-1","issue":"4","issued":{"date-parts":[["2018","7"]]},"page":"1034-1043","title":"Plasma Protein Profiling Reveal Osteoprotegerin as a Marker of Prognostic Impact for Colorectal Cancer.","type":"article-journal","volume":"11"},"uris":["http://www.mendeley.com/documents/?uuid=e04cf5cb-6c26-44a0-9177-c4a2c0d7113b"]}],"mendeley":{"formattedCitation":"&lt;sup&gt;[20]&lt;/sup&gt;","plainTextFormattedCitation":"[20]","previouslyFormattedCitation":"&lt;sup&gt;[20]&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en-US"/>
              </w:rPr>
              <w:t>[20]</w:t>
            </w:r>
            <w:r w:rsidRPr="00F06EA4">
              <w:rPr>
                <w:rFonts w:eastAsia="Calibri"/>
                <w:lang w:val="en-US"/>
              </w:rPr>
              <w:fldChar w:fldCharType="end"/>
            </w:r>
          </w:p>
        </w:tc>
        <w:tc>
          <w:tcPr>
            <w:tcW w:w="1979" w:type="dxa"/>
          </w:tcPr>
          <w:p w14:paraId="22C82FEE" w14:textId="77777777" w:rsidR="003E199B" w:rsidRPr="00F06EA4" w:rsidRDefault="003E199B" w:rsidP="00F67ED8">
            <w:pPr>
              <w:spacing w:after="0"/>
              <w:contextualSpacing/>
              <w:rPr>
                <w:rFonts w:eastAsia="Calibri"/>
                <w:lang w:val="en-US"/>
              </w:rPr>
            </w:pPr>
            <w:r w:rsidRPr="00F06EA4">
              <w:rPr>
                <w:rFonts w:eastAsia="Calibri"/>
                <w:lang w:val="en-US"/>
              </w:rPr>
              <w:t>Prospective cohort study</w:t>
            </w:r>
          </w:p>
        </w:tc>
        <w:tc>
          <w:tcPr>
            <w:tcW w:w="1569" w:type="dxa"/>
          </w:tcPr>
          <w:p w14:paraId="74E38550" w14:textId="77777777" w:rsidR="003E199B" w:rsidRPr="00F06EA4" w:rsidRDefault="003E199B" w:rsidP="00F67ED8">
            <w:pPr>
              <w:spacing w:after="0"/>
              <w:contextualSpacing/>
              <w:rPr>
                <w:rFonts w:eastAsia="Calibri"/>
                <w:lang w:val="en-US"/>
              </w:rPr>
            </w:pPr>
            <w:r w:rsidRPr="00F06EA4">
              <w:rPr>
                <w:rFonts w:eastAsia="Calibri"/>
                <w:lang w:val="en-US"/>
              </w:rPr>
              <w:t>261 stage II-IV CRC patients</w:t>
            </w:r>
          </w:p>
        </w:tc>
        <w:tc>
          <w:tcPr>
            <w:tcW w:w="2507" w:type="dxa"/>
          </w:tcPr>
          <w:p w14:paraId="577E55AE" w14:textId="77777777" w:rsidR="003E199B" w:rsidRPr="00F06EA4" w:rsidRDefault="003E199B" w:rsidP="00F67ED8">
            <w:pPr>
              <w:spacing w:after="0"/>
              <w:contextualSpacing/>
              <w:rPr>
                <w:rFonts w:eastAsia="Calibri"/>
                <w:lang w:val="en-US"/>
              </w:rPr>
            </w:pPr>
            <w:r w:rsidRPr="00F06EA4">
              <w:rPr>
                <w:rFonts w:eastAsia="Calibri"/>
                <w:lang w:val="en-US"/>
              </w:rPr>
              <w:t>OS, HR 3.33</w:t>
            </w:r>
          </w:p>
        </w:tc>
      </w:tr>
      <w:tr w:rsidR="003E199B" w:rsidRPr="00F06EA4" w14:paraId="04ACF4AF" w14:textId="77777777" w:rsidTr="0070496D">
        <w:trPr>
          <w:trHeight w:val="20"/>
        </w:trPr>
        <w:tc>
          <w:tcPr>
            <w:tcW w:w="2533" w:type="dxa"/>
          </w:tcPr>
          <w:p w14:paraId="25C4E72F" w14:textId="77777777" w:rsidR="003E199B" w:rsidRPr="00F06EA4" w:rsidRDefault="003E199B" w:rsidP="00F67ED8">
            <w:pPr>
              <w:spacing w:after="0"/>
              <w:contextualSpacing/>
              <w:rPr>
                <w:rFonts w:eastAsia="Calibri"/>
                <w:lang w:val="en-US"/>
              </w:rPr>
            </w:pPr>
            <w:r w:rsidRPr="00F06EA4">
              <w:rPr>
                <w:rFonts w:eastAsia="Calibri"/>
                <w:b/>
                <w:bCs/>
                <w:lang w:val="en-US"/>
              </w:rPr>
              <w:t>Protease enzymes and their inhibitors</w:t>
            </w:r>
          </w:p>
        </w:tc>
        <w:tc>
          <w:tcPr>
            <w:tcW w:w="1378" w:type="dxa"/>
          </w:tcPr>
          <w:p w14:paraId="0DE5BAC9" w14:textId="77777777" w:rsidR="003E199B" w:rsidRPr="00F06EA4" w:rsidRDefault="003E199B" w:rsidP="00F67ED8">
            <w:pPr>
              <w:spacing w:after="0"/>
              <w:contextualSpacing/>
              <w:rPr>
                <w:rFonts w:eastAsia="Calibri"/>
                <w:lang w:val="en-US"/>
              </w:rPr>
            </w:pPr>
          </w:p>
        </w:tc>
        <w:tc>
          <w:tcPr>
            <w:tcW w:w="1979" w:type="dxa"/>
          </w:tcPr>
          <w:p w14:paraId="413B7A26" w14:textId="77777777" w:rsidR="003E199B" w:rsidRPr="00F06EA4" w:rsidRDefault="003E199B" w:rsidP="00F67ED8">
            <w:pPr>
              <w:spacing w:after="0"/>
              <w:contextualSpacing/>
              <w:rPr>
                <w:rFonts w:eastAsia="Calibri"/>
                <w:lang w:val="en-US"/>
              </w:rPr>
            </w:pPr>
          </w:p>
        </w:tc>
        <w:tc>
          <w:tcPr>
            <w:tcW w:w="1569" w:type="dxa"/>
          </w:tcPr>
          <w:p w14:paraId="21C9E870" w14:textId="77777777" w:rsidR="003E199B" w:rsidRPr="00F06EA4" w:rsidRDefault="003E199B" w:rsidP="00F67ED8">
            <w:pPr>
              <w:spacing w:after="0"/>
              <w:contextualSpacing/>
              <w:rPr>
                <w:rFonts w:eastAsia="Calibri"/>
                <w:lang w:val="en-US"/>
              </w:rPr>
            </w:pPr>
          </w:p>
        </w:tc>
        <w:tc>
          <w:tcPr>
            <w:tcW w:w="2507" w:type="dxa"/>
          </w:tcPr>
          <w:p w14:paraId="59E6C1FD" w14:textId="77777777" w:rsidR="003E199B" w:rsidRPr="00F06EA4" w:rsidRDefault="003E199B" w:rsidP="00F67ED8">
            <w:pPr>
              <w:spacing w:after="0"/>
              <w:contextualSpacing/>
              <w:rPr>
                <w:rFonts w:eastAsia="Calibri"/>
                <w:lang w:val="en-US"/>
              </w:rPr>
            </w:pPr>
          </w:p>
        </w:tc>
      </w:tr>
      <w:tr w:rsidR="003E199B" w:rsidRPr="00F06EA4" w14:paraId="41ECF449" w14:textId="77777777" w:rsidTr="0070496D">
        <w:trPr>
          <w:trHeight w:val="20"/>
        </w:trPr>
        <w:tc>
          <w:tcPr>
            <w:tcW w:w="2533" w:type="dxa"/>
            <w:tcBorders>
              <w:bottom w:val="single" w:sz="4" w:space="0" w:color="auto"/>
            </w:tcBorders>
          </w:tcPr>
          <w:p w14:paraId="7A339505" w14:textId="77777777" w:rsidR="003E199B" w:rsidRPr="00F06EA4" w:rsidRDefault="003E199B" w:rsidP="00F67ED8">
            <w:pPr>
              <w:spacing w:after="0"/>
              <w:contextualSpacing/>
              <w:rPr>
                <w:rFonts w:eastAsia="Calibri"/>
                <w:lang w:val="en-US"/>
              </w:rPr>
            </w:pPr>
            <w:r w:rsidRPr="00F06EA4">
              <w:rPr>
                <w:rFonts w:eastAsia="Calibri"/>
                <w:lang w:val="en-US"/>
              </w:rPr>
              <w:t>TIMP1</w:t>
            </w:r>
          </w:p>
        </w:tc>
        <w:tc>
          <w:tcPr>
            <w:tcW w:w="1378" w:type="dxa"/>
            <w:tcBorders>
              <w:bottom w:val="single" w:sz="4" w:space="0" w:color="auto"/>
            </w:tcBorders>
          </w:tcPr>
          <w:p w14:paraId="27E8CA8B" w14:textId="3B082E99" w:rsidR="003E199B" w:rsidRPr="00F06EA4" w:rsidRDefault="003E199B" w:rsidP="00F67ED8">
            <w:pPr>
              <w:spacing w:after="0"/>
              <w:contextualSpacing/>
              <w:rPr>
                <w:rFonts w:eastAsia="Calibri"/>
                <w:lang w:val="fi-FI"/>
              </w:rPr>
            </w:pPr>
            <w:r w:rsidRPr="00F06EA4">
              <w:rPr>
                <w:rFonts w:eastAsia="Calibri"/>
                <w:lang w:val="fi-FI"/>
              </w:rPr>
              <w:t xml:space="preserve">Lee </w:t>
            </w:r>
            <w:r w:rsidR="0046007C" w:rsidRPr="00F06EA4">
              <w:rPr>
                <w:rFonts w:eastAsia="Calibri"/>
                <w:i/>
                <w:iCs/>
                <w:lang w:val="fi-FI"/>
              </w:rPr>
              <w:t>et al</w:t>
            </w:r>
            <w:r w:rsidRPr="00F06EA4">
              <w:rPr>
                <w:rFonts w:eastAsia="Calibri"/>
                <w:lang w:val="en-US"/>
              </w:rPr>
              <w:fldChar w:fldCharType="begin" w:fldLock="1"/>
            </w:r>
            <w:r w:rsidR="00F45F97" w:rsidRPr="00F06EA4">
              <w:rPr>
                <w:rFonts w:eastAsia="Calibri"/>
                <w:lang w:val="fi-FI"/>
              </w:rPr>
              <w:instrText>ADDIN CSL_CITATION {"citationItems":[{"id":"ITEM-1","itemData":{"ISSN":"1842-1121","PMID":"21961097","abstract":"BACKGROUND AND AIMS Tissue inhibitor of metalloproteinase-1 (TIMP-1) is a small secretory glycoprotein with anti-apoptosis and anti-matrix metalloproteinase activity. There have been some discordant data regarding the value of TIMP-1 as a prognostic factor in colorectal cancer (CRC) patients. To address this controversy, we conducted a meta-analysis for the relationship between TIMP-1 levels and overall survival in CRC. METHODS We selected the relevant published studies using citation databases including PubMed, Science Citation Index, and Conference Papers Index. The effect sizes of TIMP-1 on the patient's overall survival and TNM stages were calculated by hazard ratio (HR) or odds ratio (OR), respectively. The effect sizes were combined using a random-effects model. RESULTS Survival outcomes between high and low plasma or serum TIMP-1 levels were compared by uni- and multivariate analyses involving 1,477 and 1,359 CRC patients, respectively. CRC patients with high plasma or serum TIMP-1 levels showed poor survival rates compared to patients with low plasma or serum TIMP-1 in the uni- and multivariate analyses (HR, 2.2 and 2.1; P &lt; 0.001). In addition, high TIMP-1 expression in colon cancer tissues was significantly associated with worse survival outcomes in 438 CRC patients (HR = 1.4; P = 0.017). CONCLUSION Plasma or serum TIMP-1 levels predict survival outcomes of CRC patients.","author":[{"dropping-particle":"","family":"Lee","given":"Ju-Han","non-dropping-particle":"","parse-names":false,"suffix":""},{"dropping-particle":"","family":"Choi","given":"Jung-Woo","non-dropping-particle":"","parse-names":false,"suffix":""},{"dropping-particle":"","family":"Kim","given":"Young-Sik","non-dropping-particle":"","parse-names":false,"suffix":""}],"container-title":"Journal of gastrointestinal and liver diseases : JGLD","id":"ITEM-1","issue":"3","issued":{"date-parts":[["2011"]]},"page":"287-91","title":"Plasma or serum TIMP-1 is a predictor of survival outcomes in colorectal cancer: a meta-analysis.","type":"article-journal","volume":"20"},"uris":["http://www.mendeley.com/documents/?uuid=b240ffb9-0cd8-49c5-8e02-1595a3988bb7"]}],"mendeley":{"formattedCitation":"&lt;sup&gt;[195]&lt;/sup&gt;","plainTextFormattedCitation":"[195]","previouslyFormattedCitation":"&lt;sup&gt;[195]&lt;/sup&gt;"},"properties":{"noteIndex":0},"schema":"https://github.com/citation-style-language/schema/raw/master/csl-citation.json"}</w:instrText>
            </w:r>
            <w:r w:rsidRPr="00F06EA4">
              <w:rPr>
                <w:rFonts w:eastAsia="Calibri"/>
                <w:lang w:val="en-US"/>
              </w:rPr>
              <w:fldChar w:fldCharType="separate"/>
            </w:r>
            <w:r w:rsidR="00F45F97" w:rsidRPr="00F06EA4">
              <w:rPr>
                <w:rFonts w:eastAsia="Calibri"/>
                <w:noProof/>
                <w:vertAlign w:val="superscript"/>
                <w:lang w:val="fi-FI"/>
              </w:rPr>
              <w:t>[195]</w:t>
            </w:r>
            <w:r w:rsidRPr="00F06EA4">
              <w:rPr>
                <w:rFonts w:eastAsia="Calibri"/>
                <w:lang w:val="en-US"/>
              </w:rPr>
              <w:fldChar w:fldCharType="end"/>
            </w:r>
          </w:p>
        </w:tc>
        <w:tc>
          <w:tcPr>
            <w:tcW w:w="1979" w:type="dxa"/>
            <w:tcBorders>
              <w:bottom w:val="single" w:sz="4" w:space="0" w:color="auto"/>
            </w:tcBorders>
          </w:tcPr>
          <w:p w14:paraId="28AEF55D" w14:textId="77777777" w:rsidR="003E199B" w:rsidRPr="00F06EA4" w:rsidRDefault="003E199B" w:rsidP="00F67ED8">
            <w:pPr>
              <w:spacing w:after="0"/>
              <w:contextualSpacing/>
              <w:rPr>
                <w:rFonts w:eastAsia="Calibri"/>
                <w:lang w:val="en-US"/>
              </w:rPr>
            </w:pPr>
            <w:r w:rsidRPr="00F06EA4">
              <w:rPr>
                <w:rFonts w:eastAsia="Calibri"/>
                <w:lang w:val="en-US"/>
              </w:rPr>
              <w:t>Meta-analysis, 10 studies</w:t>
            </w:r>
          </w:p>
        </w:tc>
        <w:tc>
          <w:tcPr>
            <w:tcW w:w="1569" w:type="dxa"/>
            <w:tcBorders>
              <w:bottom w:val="single" w:sz="4" w:space="0" w:color="auto"/>
            </w:tcBorders>
          </w:tcPr>
          <w:p w14:paraId="5B07B378" w14:textId="38E34D84" w:rsidR="003E199B" w:rsidRPr="00F06EA4" w:rsidRDefault="003E199B" w:rsidP="00F67ED8">
            <w:pPr>
              <w:spacing w:after="0"/>
              <w:contextualSpacing/>
              <w:rPr>
                <w:rFonts w:eastAsia="Calibri"/>
                <w:lang w:val="en-US"/>
              </w:rPr>
            </w:pPr>
            <w:r w:rsidRPr="00F06EA4">
              <w:rPr>
                <w:rFonts w:eastAsia="Calibri"/>
                <w:lang w:val="en-US"/>
              </w:rPr>
              <w:t>1477 CRC patients, stage I-IV</w:t>
            </w:r>
          </w:p>
        </w:tc>
        <w:tc>
          <w:tcPr>
            <w:tcW w:w="2507" w:type="dxa"/>
            <w:tcBorders>
              <w:bottom w:val="single" w:sz="4" w:space="0" w:color="auto"/>
            </w:tcBorders>
          </w:tcPr>
          <w:p w14:paraId="517CF5C2" w14:textId="77777777" w:rsidR="003E199B" w:rsidRPr="00F06EA4" w:rsidRDefault="003E199B" w:rsidP="00F67ED8">
            <w:pPr>
              <w:spacing w:after="0"/>
              <w:contextualSpacing/>
              <w:rPr>
                <w:rFonts w:eastAsia="Calibri"/>
                <w:lang w:val="en-US"/>
              </w:rPr>
            </w:pPr>
            <w:r w:rsidRPr="00F06EA4">
              <w:rPr>
                <w:rFonts w:eastAsia="Calibri"/>
                <w:lang w:val="en-US"/>
              </w:rPr>
              <w:t>OS, HR 2.25 (1.56-3.25)</w:t>
            </w:r>
          </w:p>
        </w:tc>
      </w:tr>
    </w:tbl>
    <w:p w14:paraId="79F628DC" w14:textId="15B49980" w:rsidR="003E199B" w:rsidRPr="0070496D" w:rsidRDefault="003E199B" w:rsidP="00F67ED8">
      <w:pPr>
        <w:spacing w:after="0"/>
        <w:rPr>
          <w:rFonts w:eastAsia="Calibri"/>
          <w:lang w:val="en-US"/>
        </w:rPr>
      </w:pPr>
      <w:r w:rsidRPr="00F06EA4">
        <w:rPr>
          <w:rFonts w:eastAsia="Calibri"/>
          <w:lang w:val="en-US"/>
        </w:rPr>
        <w:t xml:space="preserve">CRC: </w:t>
      </w:r>
      <w:r w:rsidR="00EE524F" w:rsidRPr="00F06EA4">
        <w:rPr>
          <w:rFonts w:eastAsia="Calibri"/>
          <w:lang w:val="en-US"/>
        </w:rPr>
        <w:t xml:space="preserve">Colorectal </w:t>
      </w:r>
      <w:r w:rsidRPr="00F06EA4">
        <w:rPr>
          <w:rFonts w:eastAsia="Calibri"/>
          <w:lang w:val="en-US"/>
        </w:rPr>
        <w:t xml:space="preserve">cancer; CSS: </w:t>
      </w:r>
      <w:r w:rsidR="00EE524F" w:rsidRPr="00F06EA4">
        <w:rPr>
          <w:rFonts w:eastAsia="Calibri"/>
          <w:lang w:val="en-US"/>
        </w:rPr>
        <w:t>Cancer</w:t>
      </w:r>
      <w:r w:rsidRPr="00F06EA4">
        <w:rPr>
          <w:rFonts w:eastAsia="Calibri"/>
          <w:lang w:val="en-US"/>
        </w:rPr>
        <w:t xml:space="preserve">-specific survival; DFS: </w:t>
      </w:r>
      <w:r w:rsidR="00EE524F" w:rsidRPr="00F06EA4">
        <w:rPr>
          <w:rFonts w:eastAsia="Calibri"/>
          <w:lang w:val="en-US"/>
        </w:rPr>
        <w:t>Disease</w:t>
      </w:r>
      <w:r w:rsidRPr="00F06EA4">
        <w:rPr>
          <w:rFonts w:eastAsia="Calibri"/>
          <w:lang w:val="en-US"/>
        </w:rPr>
        <w:t xml:space="preserve">-free survival; HR: </w:t>
      </w:r>
      <w:r w:rsidR="00EE524F" w:rsidRPr="00F06EA4">
        <w:rPr>
          <w:rFonts w:eastAsia="Calibri"/>
          <w:lang w:val="en-US"/>
        </w:rPr>
        <w:t xml:space="preserve">Hazard </w:t>
      </w:r>
      <w:r w:rsidRPr="00F06EA4">
        <w:rPr>
          <w:rFonts w:eastAsia="Calibri"/>
          <w:lang w:val="en-US"/>
        </w:rPr>
        <w:t xml:space="preserve">ratio; OS: </w:t>
      </w:r>
      <w:r w:rsidR="00EE524F" w:rsidRPr="00F06EA4">
        <w:rPr>
          <w:rFonts w:eastAsia="Calibri"/>
          <w:lang w:val="en-US"/>
        </w:rPr>
        <w:t xml:space="preserve">Overall </w:t>
      </w:r>
      <w:r w:rsidRPr="00F06EA4">
        <w:rPr>
          <w:rFonts w:eastAsia="Calibri"/>
          <w:lang w:val="en-US"/>
        </w:rPr>
        <w:t>survival.</w:t>
      </w:r>
    </w:p>
    <w:sectPr w:rsidR="003E199B" w:rsidRPr="0070496D" w:rsidSect="009E159A">
      <w:footerReference w:type="default" r:id="rId1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FE2594" w14:textId="77777777" w:rsidR="006D0749" w:rsidRDefault="006D0749" w:rsidP="00967608">
      <w:pPr>
        <w:spacing w:after="0" w:line="240" w:lineRule="auto"/>
      </w:pPr>
      <w:r>
        <w:separator/>
      </w:r>
    </w:p>
  </w:endnote>
  <w:endnote w:type="continuationSeparator" w:id="0">
    <w:p w14:paraId="231EF1CE" w14:textId="77777777" w:rsidR="006D0749" w:rsidRDefault="006D0749" w:rsidP="00967608">
      <w:pPr>
        <w:spacing w:after="0" w:line="240" w:lineRule="auto"/>
      </w:pPr>
      <w:r>
        <w:continuationSeparator/>
      </w:r>
    </w:p>
  </w:endnote>
  <w:endnote w:type="continuationNotice" w:id="1">
    <w:p w14:paraId="2D973D4D" w14:textId="77777777" w:rsidR="006D0749" w:rsidRDefault="006D07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aramond-Bold">
    <w:altName w:val="Garamond"/>
    <w:charset w:val="00"/>
    <w:family w:val="auto"/>
    <w:pitch w:val="variable"/>
    <w:sig w:usb0="00000287" w:usb1="00000000" w:usb2="00000000" w:usb3="00000000" w:csb0="0000009F" w:csb1="00000000"/>
  </w:font>
  <w:font w:name="AdvTimes">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dvOT88ac8687">
    <w:altName w:val="Cambria"/>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2355227"/>
      <w:docPartObj>
        <w:docPartGallery w:val="Page Numbers (Bottom of Page)"/>
        <w:docPartUnique/>
      </w:docPartObj>
    </w:sdtPr>
    <w:sdtEndPr>
      <w:rPr>
        <w:noProof/>
      </w:rPr>
    </w:sdtEndPr>
    <w:sdtContent>
      <w:p w14:paraId="3D4C4860" w14:textId="70114B8C" w:rsidR="008413B5" w:rsidRDefault="008413B5">
        <w:pPr>
          <w:pStyle w:val="af0"/>
          <w:jc w:val="center"/>
        </w:pPr>
        <w:r>
          <w:fldChar w:fldCharType="begin"/>
        </w:r>
        <w:r>
          <w:instrText xml:space="preserve"> PAGE   \* MERGEFORMAT </w:instrText>
        </w:r>
        <w:r>
          <w:fldChar w:fldCharType="separate"/>
        </w:r>
        <w:r w:rsidR="00514FBC">
          <w:rPr>
            <w:noProof/>
          </w:rPr>
          <w:t>59</w:t>
        </w:r>
        <w:r>
          <w:rPr>
            <w:noProof/>
          </w:rPr>
          <w:fldChar w:fldCharType="end"/>
        </w:r>
      </w:p>
    </w:sdtContent>
  </w:sdt>
  <w:p w14:paraId="6F7E3F06" w14:textId="77777777" w:rsidR="008413B5" w:rsidRDefault="008413B5">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744CE" w14:textId="77777777" w:rsidR="006D0749" w:rsidRDefault="006D0749" w:rsidP="00967608">
      <w:pPr>
        <w:spacing w:after="0" w:line="240" w:lineRule="auto"/>
      </w:pPr>
      <w:r>
        <w:separator/>
      </w:r>
    </w:p>
  </w:footnote>
  <w:footnote w:type="continuationSeparator" w:id="0">
    <w:p w14:paraId="17C4886F" w14:textId="77777777" w:rsidR="006D0749" w:rsidRDefault="006D0749" w:rsidP="00967608">
      <w:pPr>
        <w:spacing w:after="0" w:line="240" w:lineRule="auto"/>
      </w:pPr>
      <w:r>
        <w:continuationSeparator/>
      </w:r>
    </w:p>
  </w:footnote>
  <w:footnote w:type="continuationNotice" w:id="1">
    <w:p w14:paraId="09E02ADF" w14:textId="77777777" w:rsidR="006D0749" w:rsidRDefault="006D074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F4"/>
    <w:rsid w:val="00000811"/>
    <w:rsid w:val="00002332"/>
    <w:rsid w:val="00002418"/>
    <w:rsid w:val="000040A2"/>
    <w:rsid w:val="0000421D"/>
    <w:rsid w:val="00006243"/>
    <w:rsid w:val="00011559"/>
    <w:rsid w:val="00011C60"/>
    <w:rsid w:val="00013212"/>
    <w:rsid w:val="00013314"/>
    <w:rsid w:val="0001432B"/>
    <w:rsid w:val="00014BD3"/>
    <w:rsid w:val="00017397"/>
    <w:rsid w:val="00017831"/>
    <w:rsid w:val="0002010B"/>
    <w:rsid w:val="000216C2"/>
    <w:rsid w:val="000218A2"/>
    <w:rsid w:val="00021A8A"/>
    <w:rsid w:val="00021BAC"/>
    <w:rsid w:val="00022063"/>
    <w:rsid w:val="00022261"/>
    <w:rsid w:val="00022FC7"/>
    <w:rsid w:val="00023AD5"/>
    <w:rsid w:val="00023C5A"/>
    <w:rsid w:val="00031451"/>
    <w:rsid w:val="00031B24"/>
    <w:rsid w:val="00033B80"/>
    <w:rsid w:val="00033EC5"/>
    <w:rsid w:val="00036B92"/>
    <w:rsid w:val="0003732F"/>
    <w:rsid w:val="000374CA"/>
    <w:rsid w:val="0004304C"/>
    <w:rsid w:val="00045ACB"/>
    <w:rsid w:val="00050226"/>
    <w:rsid w:val="00051330"/>
    <w:rsid w:val="00051AA0"/>
    <w:rsid w:val="0005250A"/>
    <w:rsid w:val="00056053"/>
    <w:rsid w:val="00056BB6"/>
    <w:rsid w:val="0005799E"/>
    <w:rsid w:val="00057A95"/>
    <w:rsid w:val="00060492"/>
    <w:rsid w:val="00061838"/>
    <w:rsid w:val="00061E36"/>
    <w:rsid w:val="00061F0F"/>
    <w:rsid w:val="00063F1A"/>
    <w:rsid w:val="000653AF"/>
    <w:rsid w:val="000657AC"/>
    <w:rsid w:val="00065983"/>
    <w:rsid w:val="00070E7D"/>
    <w:rsid w:val="00074C04"/>
    <w:rsid w:val="00075044"/>
    <w:rsid w:val="000755CB"/>
    <w:rsid w:val="00075D99"/>
    <w:rsid w:val="00075F7F"/>
    <w:rsid w:val="0007770E"/>
    <w:rsid w:val="00082C9B"/>
    <w:rsid w:val="000841F0"/>
    <w:rsid w:val="000852D7"/>
    <w:rsid w:val="00085731"/>
    <w:rsid w:val="000864F4"/>
    <w:rsid w:val="000917FB"/>
    <w:rsid w:val="00093BF4"/>
    <w:rsid w:val="0009491C"/>
    <w:rsid w:val="00095F58"/>
    <w:rsid w:val="00097B7A"/>
    <w:rsid w:val="000A014F"/>
    <w:rsid w:val="000A0431"/>
    <w:rsid w:val="000A07A3"/>
    <w:rsid w:val="000A427D"/>
    <w:rsid w:val="000A6F61"/>
    <w:rsid w:val="000B1804"/>
    <w:rsid w:val="000B38C8"/>
    <w:rsid w:val="000B3A1D"/>
    <w:rsid w:val="000B3C08"/>
    <w:rsid w:val="000B4083"/>
    <w:rsid w:val="000B570A"/>
    <w:rsid w:val="000B77A9"/>
    <w:rsid w:val="000B7813"/>
    <w:rsid w:val="000C0DAE"/>
    <w:rsid w:val="000C1831"/>
    <w:rsid w:val="000C408C"/>
    <w:rsid w:val="000C479D"/>
    <w:rsid w:val="000C556F"/>
    <w:rsid w:val="000C6117"/>
    <w:rsid w:val="000D0AA0"/>
    <w:rsid w:val="000D3581"/>
    <w:rsid w:val="000D5624"/>
    <w:rsid w:val="000D5CBD"/>
    <w:rsid w:val="000D6FBF"/>
    <w:rsid w:val="000E0724"/>
    <w:rsid w:val="000E1662"/>
    <w:rsid w:val="000E188B"/>
    <w:rsid w:val="000E2764"/>
    <w:rsid w:val="000E27E9"/>
    <w:rsid w:val="000E50C7"/>
    <w:rsid w:val="000E5E0C"/>
    <w:rsid w:val="000E6051"/>
    <w:rsid w:val="000E613C"/>
    <w:rsid w:val="000E628C"/>
    <w:rsid w:val="000E6E55"/>
    <w:rsid w:val="000F1784"/>
    <w:rsid w:val="000F19EC"/>
    <w:rsid w:val="000F1FCA"/>
    <w:rsid w:val="000F231B"/>
    <w:rsid w:val="000F3931"/>
    <w:rsid w:val="000F5709"/>
    <w:rsid w:val="000F5AD9"/>
    <w:rsid w:val="000F65A0"/>
    <w:rsid w:val="000F6982"/>
    <w:rsid w:val="00100F4B"/>
    <w:rsid w:val="00102C54"/>
    <w:rsid w:val="00103466"/>
    <w:rsid w:val="00104CED"/>
    <w:rsid w:val="00104DDF"/>
    <w:rsid w:val="00105230"/>
    <w:rsid w:val="0010630C"/>
    <w:rsid w:val="00107782"/>
    <w:rsid w:val="00107AAC"/>
    <w:rsid w:val="00110539"/>
    <w:rsid w:val="001107E9"/>
    <w:rsid w:val="00111723"/>
    <w:rsid w:val="00111849"/>
    <w:rsid w:val="001124FC"/>
    <w:rsid w:val="0011262B"/>
    <w:rsid w:val="00115828"/>
    <w:rsid w:val="00115B4F"/>
    <w:rsid w:val="0011698C"/>
    <w:rsid w:val="001204F6"/>
    <w:rsid w:val="001219E0"/>
    <w:rsid w:val="001246A5"/>
    <w:rsid w:val="00125412"/>
    <w:rsid w:val="0012589D"/>
    <w:rsid w:val="00125F41"/>
    <w:rsid w:val="0012646E"/>
    <w:rsid w:val="001267BC"/>
    <w:rsid w:val="00126810"/>
    <w:rsid w:val="0013064C"/>
    <w:rsid w:val="0013083C"/>
    <w:rsid w:val="00131F08"/>
    <w:rsid w:val="001322C1"/>
    <w:rsid w:val="001324D3"/>
    <w:rsid w:val="001332C7"/>
    <w:rsid w:val="0013424C"/>
    <w:rsid w:val="00134FEA"/>
    <w:rsid w:val="001369BA"/>
    <w:rsid w:val="00141607"/>
    <w:rsid w:val="001431CF"/>
    <w:rsid w:val="0014344E"/>
    <w:rsid w:val="00143690"/>
    <w:rsid w:val="00143872"/>
    <w:rsid w:val="00144E22"/>
    <w:rsid w:val="0014760B"/>
    <w:rsid w:val="00152309"/>
    <w:rsid w:val="001531B8"/>
    <w:rsid w:val="001535ED"/>
    <w:rsid w:val="00153EFC"/>
    <w:rsid w:val="00154016"/>
    <w:rsid w:val="0015423E"/>
    <w:rsid w:val="00155489"/>
    <w:rsid w:val="001555DB"/>
    <w:rsid w:val="00157C2D"/>
    <w:rsid w:val="001605DC"/>
    <w:rsid w:val="0016089A"/>
    <w:rsid w:val="00160DFE"/>
    <w:rsid w:val="00161341"/>
    <w:rsid w:val="00162A27"/>
    <w:rsid w:val="0016374F"/>
    <w:rsid w:val="00164123"/>
    <w:rsid w:val="00164325"/>
    <w:rsid w:val="001648B7"/>
    <w:rsid w:val="001652CB"/>
    <w:rsid w:val="00165304"/>
    <w:rsid w:val="00165DF6"/>
    <w:rsid w:val="00166B07"/>
    <w:rsid w:val="00167DFE"/>
    <w:rsid w:val="00170F4A"/>
    <w:rsid w:val="0017124D"/>
    <w:rsid w:val="00172F3A"/>
    <w:rsid w:val="00174B73"/>
    <w:rsid w:val="00175C22"/>
    <w:rsid w:val="00175EF5"/>
    <w:rsid w:val="00176185"/>
    <w:rsid w:val="00176535"/>
    <w:rsid w:val="00177593"/>
    <w:rsid w:val="00177D76"/>
    <w:rsid w:val="00181F88"/>
    <w:rsid w:val="001843F9"/>
    <w:rsid w:val="00184D1D"/>
    <w:rsid w:val="00185797"/>
    <w:rsid w:val="00190099"/>
    <w:rsid w:val="0019014C"/>
    <w:rsid w:val="00190FD0"/>
    <w:rsid w:val="00191A65"/>
    <w:rsid w:val="00193780"/>
    <w:rsid w:val="00193C72"/>
    <w:rsid w:val="0019439F"/>
    <w:rsid w:val="00195B6D"/>
    <w:rsid w:val="001A0A6B"/>
    <w:rsid w:val="001A178E"/>
    <w:rsid w:val="001A1AD3"/>
    <w:rsid w:val="001A499E"/>
    <w:rsid w:val="001A521A"/>
    <w:rsid w:val="001A57C2"/>
    <w:rsid w:val="001A5F8E"/>
    <w:rsid w:val="001B18A9"/>
    <w:rsid w:val="001B4239"/>
    <w:rsid w:val="001B4308"/>
    <w:rsid w:val="001B625C"/>
    <w:rsid w:val="001B6CFA"/>
    <w:rsid w:val="001B725D"/>
    <w:rsid w:val="001C0E47"/>
    <w:rsid w:val="001C5228"/>
    <w:rsid w:val="001C53F0"/>
    <w:rsid w:val="001C5B31"/>
    <w:rsid w:val="001C6B14"/>
    <w:rsid w:val="001C728A"/>
    <w:rsid w:val="001C785B"/>
    <w:rsid w:val="001D1FC5"/>
    <w:rsid w:val="001D236B"/>
    <w:rsid w:val="001D29D0"/>
    <w:rsid w:val="001D3F1D"/>
    <w:rsid w:val="001D5A34"/>
    <w:rsid w:val="001D5E49"/>
    <w:rsid w:val="001D6C3F"/>
    <w:rsid w:val="001D6D98"/>
    <w:rsid w:val="001E0B71"/>
    <w:rsid w:val="001E0FB3"/>
    <w:rsid w:val="001E1246"/>
    <w:rsid w:val="001E2584"/>
    <w:rsid w:val="001E26D7"/>
    <w:rsid w:val="001E419E"/>
    <w:rsid w:val="001E53C7"/>
    <w:rsid w:val="001E6231"/>
    <w:rsid w:val="001E7325"/>
    <w:rsid w:val="001F042A"/>
    <w:rsid w:val="001F11A7"/>
    <w:rsid w:val="001F1430"/>
    <w:rsid w:val="001F5362"/>
    <w:rsid w:val="001F5C27"/>
    <w:rsid w:val="001F7405"/>
    <w:rsid w:val="0020070C"/>
    <w:rsid w:val="00200789"/>
    <w:rsid w:val="00201AFB"/>
    <w:rsid w:val="0020258C"/>
    <w:rsid w:val="00202C93"/>
    <w:rsid w:val="002032BE"/>
    <w:rsid w:val="00203D98"/>
    <w:rsid w:val="002045AB"/>
    <w:rsid w:val="002050E6"/>
    <w:rsid w:val="00205505"/>
    <w:rsid w:val="00210F1A"/>
    <w:rsid w:val="00211012"/>
    <w:rsid w:val="002117F2"/>
    <w:rsid w:val="00211D05"/>
    <w:rsid w:val="0021433A"/>
    <w:rsid w:val="00215138"/>
    <w:rsid w:val="002157B8"/>
    <w:rsid w:val="00217A31"/>
    <w:rsid w:val="00220511"/>
    <w:rsid w:val="00221F62"/>
    <w:rsid w:val="002233FF"/>
    <w:rsid w:val="00223DD1"/>
    <w:rsid w:val="0022495E"/>
    <w:rsid w:val="00225159"/>
    <w:rsid w:val="00226590"/>
    <w:rsid w:val="002265C3"/>
    <w:rsid w:val="0022673C"/>
    <w:rsid w:val="00230527"/>
    <w:rsid w:val="002336C4"/>
    <w:rsid w:val="0023630D"/>
    <w:rsid w:val="002363B2"/>
    <w:rsid w:val="00236B0A"/>
    <w:rsid w:val="00241747"/>
    <w:rsid w:val="00241B4C"/>
    <w:rsid w:val="00243BED"/>
    <w:rsid w:val="00243C26"/>
    <w:rsid w:val="00244275"/>
    <w:rsid w:val="00244ABC"/>
    <w:rsid w:val="00245C9C"/>
    <w:rsid w:val="00247109"/>
    <w:rsid w:val="00247AA8"/>
    <w:rsid w:val="002507C9"/>
    <w:rsid w:val="00250E5E"/>
    <w:rsid w:val="00251661"/>
    <w:rsid w:val="00252A0D"/>
    <w:rsid w:val="00252E93"/>
    <w:rsid w:val="00256FB7"/>
    <w:rsid w:val="00257360"/>
    <w:rsid w:val="0026017C"/>
    <w:rsid w:val="00260357"/>
    <w:rsid w:val="00260982"/>
    <w:rsid w:val="00260E6B"/>
    <w:rsid w:val="002618DE"/>
    <w:rsid w:val="00262538"/>
    <w:rsid w:val="002635FC"/>
    <w:rsid w:val="00263987"/>
    <w:rsid w:val="0026597B"/>
    <w:rsid w:val="00265EAD"/>
    <w:rsid w:val="002678A2"/>
    <w:rsid w:val="002679FD"/>
    <w:rsid w:val="00274567"/>
    <w:rsid w:val="00274AE3"/>
    <w:rsid w:val="00274C1C"/>
    <w:rsid w:val="00274F61"/>
    <w:rsid w:val="00274F87"/>
    <w:rsid w:val="00274FC0"/>
    <w:rsid w:val="002771B4"/>
    <w:rsid w:val="00277715"/>
    <w:rsid w:val="00277B22"/>
    <w:rsid w:val="00280419"/>
    <w:rsid w:val="002804B9"/>
    <w:rsid w:val="00280CC5"/>
    <w:rsid w:val="00280CD6"/>
    <w:rsid w:val="00281E5F"/>
    <w:rsid w:val="00282363"/>
    <w:rsid w:val="00282491"/>
    <w:rsid w:val="00282E9D"/>
    <w:rsid w:val="002830B7"/>
    <w:rsid w:val="00284ECB"/>
    <w:rsid w:val="002850E6"/>
    <w:rsid w:val="00285732"/>
    <w:rsid w:val="002867E3"/>
    <w:rsid w:val="00286C97"/>
    <w:rsid w:val="00287725"/>
    <w:rsid w:val="00287757"/>
    <w:rsid w:val="00290175"/>
    <w:rsid w:val="00290C19"/>
    <w:rsid w:val="00290F06"/>
    <w:rsid w:val="00291B93"/>
    <w:rsid w:val="00291C52"/>
    <w:rsid w:val="00291DB4"/>
    <w:rsid w:val="00291F20"/>
    <w:rsid w:val="0029326B"/>
    <w:rsid w:val="00294865"/>
    <w:rsid w:val="00295B9D"/>
    <w:rsid w:val="00295DF6"/>
    <w:rsid w:val="00295E3E"/>
    <w:rsid w:val="0029610E"/>
    <w:rsid w:val="002969F6"/>
    <w:rsid w:val="00296B06"/>
    <w:rsid w:val="002970EC"/>
    <w:rsid w:val="002A1474"/>
    <w:rsid w:val="002A2C35"/>
    <w:rsid w:val="002A4102"/>
    <w:rsid w:val="002A46E5"/>
    <w:rsid w:val="002A4B1A"/>
    <w:rsid w:val="002A65CE"/>
    <w:rsid w:val="002A7E86"/>
    <w:rsid w:val="002A7F4D"/>
    <w:rsid w:val="002B0A4E"/>
    <w:rsid w:val="002B2895"/>
    <w:rsid w:val="002B3CC5"/>
    <w:rsid w:val="002B3DD1"/>
    <w:rsid w:val="002B49B1"/>
    <w:rsid w:val="002B4D9A"/>
    <w:rsid w:val="002B7106"/>
    <w:rsid w:val="002B7CA9"/>
    <w:rsid w:val="002C0D8E"/>
    <w:rsid w:val="002C1E05"/>
    <w:rsid w:val="002C2B6F"/>
    <w:rsid w:val="002C2E44"/>
    <w:rsid w:val="002C2F14"/>
    <w:rsid w:val="002C7758"/>
    <w:rsid w:val="002D0566"/>
    <w:rsid w:val="002D1448"/>
    <w:rsid w:val="002D3155"/>
    <w:rsid w:val="002D42DC"/>
    <w:rsid w:val="002D51DD"/>
    <w:rsid w:val="002D65A7"/>
    <w:rsid w:val="002D66DE"/>
    <w:rsid w:val="002D6AA0"/>
    <w:rsid w:val="002D77E4"/>
    <w:rsid w:val="002E08C8"/>
    <w:rsid w:val="002E15CC"/>
    <w:rsid w:val="002E18D4"/>
    <w:rsid w:val="002E290D"/>
    <w:rsid w:val="002E2E0B"/>
    <w:rsid w:val="002E337E"/>
    <w:rsid w:val="002E450E"/>
    <w:rsid w:val="002E5039"/>
    <w:rsid w:val="002E668E"/>
    <w:rsid w:val="002E66FA"/>
    <w:rsid w:val="002F0A36"/>
    <w:rsid w:val="002F0DED"/>
    <w:rsid w:val="002F1267"/>
    <w:rsid w:val="002F1639"/>
    <w:rsid w:val="002F33F4"/>
    <w:rsid w:val="002F4E46"/>
    <w:rsid w:val="002F5887"/>
    <w:rsid w:val="002F59AC"/>
    <w:rsid w:val="002F6734"/>
    <w:rsid w:val="002F6DEE"/>
    <w:rsid w:val="002F76F9"/>
    <w:rsid w:val="003019E7"/>
    <w:rsid w:val="00301DE3"/>
    <w:rsid w:val="003036FA"/>
    <w:rsid w:val="00304259"/>
    <w:rsid w:val="003062D1"/>
    <w:rsid w:val="00306BB4"/>
    <w:rsid w:val="00306DF8"/>
    <w:rsid w:val="00307665"/>
    <w:rsid w:val="00310137"/>
    <w:rsid w:val="0031022B"/>
    <w:rsid w:val="00310A65"/>
    <w:rsid w:val="003133E8"/>
    <w:rsid w:val="00314290"/>
    <w:rsid w:val="003144B4"/>
    <w:rsid w:val="00314636"/>
    <w:rsid w:val="003147D0"/>
    <w:rsid w:val="003157C5"/>
    <w:rsid w:val="00315B8D"/>
    <w:rsid w:val="00316C5A"/>
    <w:rsid w:val="003200AD"/>
    <w:rsid w:val="00321A7E"/>
    <w:rsid w:val="00321B65"/>
    <w:rsid w:val="00322664"/>
    <w:rsid w:val="00322ABD"/>
    <w:rsid w:val="003241AC"/>
    <w:rsid w:val="003249F5"/>
    <w:rsid w:val="0032582C"/>
    <w:rsid w:val="00325FE9"/>
    <w:rsid w:val="0033260F"/>
    <w:rsid w:val="00333636"/>
    <w:rsid w:val="003337AD"/>
    <w:rsid w:val="0033718B"/>
    <w:rsid w:val="003378D2"/>
    <w:rsid w:val="00340D9D"/>
    <w:rsid w:val="00340F3E"/>
    <w:rsid w:val="0034294A"/>
    <w:rsid w:val="0034364E"/>
    <w:rsid w:val="00344DDE"/>
    <w:rsid w:val="00347B27"/>
    <w:rsid w:val="003525BD"/>
    <w:rsid w:val="00352F5F"/>
    <w:rsid w:val="00353A52"/>
    <w:rsid w:val="00354C04"/>
    <w:rsid w:val="0036184E"/>
    <w:rsid w:val="00362035"/>
    <w:rsid w:val="00363851"/>
    <w:rsid w:val="00363F5D"/>
    <w:rsid w:val="003643B6"/>
    <w:rsid w:val="00366099"/>
    <w:rsid w:val="00366E2D"/>
    <w:rsid w:val="00367951"/>
    <w:rsid w:val="003702BF"/>
    <w:rsid w:val="00370CEC"/>
    <w:rsid w:val="00371258"/>
    <w:rsid w:val="003713F6"/>
    <w:rsid w:val="00373633"/>
    <w:rsid w:val="003751A2"/>
    <w:rsid w:val="00375C8A"/>
    <w:rsid w:val="003767B1"/>
    <w:rsid w:val="0037716C"/>
    <w:rsid w:val="003804EB"/>
    <w:rsid w:val="00382E29"/>
    <w:rsid w:val="00384EF1"/>
    <w:rsid w:val="0038653B"/>
    <w:rsid w:val="00387492"/>
    <w:rsid w:val="00391A45"/>
    <w:rsid w:val="0039303D"/>
    <w:rsid w:val="0039334E"/>
    <w:rsid w:val="00394B40"/>
    <w:rsid w:val="00395801"/>
    <w:rsid w:val="00396BCE"/>
    <w:rsid w:val="003A0FBC"/>
    <w:rsid w:val="003A1B7E"/>
    <w:rsid w:val="003A1F05"/>
    <w:rsid w:val="003A36C4"/>
    <w:rsid w:val="003A4640"/>
    <w:rsid w:val="003A59AD"/>
    <w:rsid w:val="003A5A73"/>
    <w:rsid w:val="003A5F0E"/>
    <w:rsid w:val="003A667F"/>
    <w:rsid w:val="003A6ACE"/>
    <w:rsid w:val="003A7043"/>
    <w:rsid w:val="003A7279"/>
    <w:rsid w:val="003A7333"/>
    <w:rsid w:val="003B0324"/>
    <w:rsid w:val="003B084B"/>
    <w:rsid w:val="003B1F12"/>
    <w:rsid w:val="003B49B3"/>
    <w:rsid w:val="003B6548"/>
    <w:rsid w:val="003B7B7D"/>
    <w:rsid w:val="003C0F37"/>
    <w:rsid w:val="003C1306"/>
    <w:rsid w:val="003C5506"/>
    <w:rsid w:val="003C5E84"/>
    <w:rsid w:val="003C65A0"/>
    <w:rsid w:val="003C6F80"/>
    <w:rsid w:val="003C7930"/>
    <w:rsid w:val="003C7C49"/>
    <w:rsid w:val="003D0B2E"/>
    <w:rsid w:val="003D0C61"/>
    <w:rsid w:val="003D2DFA"/>
    <w:rsid w:val="003D5C78"/>
    <w:rsid w:val="003D5FBA"/>
    <w:rsid w:val="003D70D2"/>
    <w:rsid w:val="003D79E4"/>
    <w:rsid w:val="003D7BD9"/>
    <w:rsid w:val="003D7F07"/>
    <w:rsid w:val="003E0F1F"/>
    <w:rsid w:val="003E13FC"/>
    <w:rsid w:val="003E14E5"/>
    <w:rsid w:val="003E199B"/>
    <w:rsid w:val="003E1FEB"/>
    <w:rsid w:val="003E21EE"/>
    <w:rsid w:val="003E2207"/>
    <w:rsid w:val="003E374D"/>
    <w:rsid w:val="003E466B"/>
    <w:rsid w:val="003E5C2A"/>
    <w:rsid w:val="003E732B"/>
    <w:rsid w:val="003F1815"/>
    <w:rsid w:val="003F2E28"/>
    <w:rsid w:val="003F3671"/>
    <w:rsid w:val="003F38A0"/>
    <w:rsid w:val="003F3F53"/>
    <w:rsid w:val="003F5036"/>
    <w:rsid w:val="003F6804"/>
    <w:rsid w:val="003F7279"/>
    <w:rsid w:val="004042A2"/>
    <w:rsid w:val="0040523A"/>
    <w:rsid w:val="00405EF7"/>
    <w:rsid w:val="00406997"/>
    <w:rsid w:val="0040735A"/>
    <w:rsid w:val="00407AB4"/>
    <w:rsid w:val="0041095F"/>
    <w:rsid w:val="00410F56"/>
    <w:rsid w:val="00411D9F"/>
    <w:rsid w:val="00412CBB"/>
    <w:rsid w:val="00412FDB"/>
    <w:rsid w:val="0041467A"/>
    <w:rsid w:val="00417C25"/>
    <w:rsid w:val="0042288C"/>
    <w:rsid w:val="00423800"/>
    <w:rsid w:val="00425295"/>
    <w:rsid w:val="00426C6E"/>
    <w:rsid w:val="0042761C"/>
    <w:rsid w:val="004306AF"/>
    <w:rsid w:val="004363A5"/>
    <w:rsid w:val="004369B8"/>
    <w:rsid w:val="00441327"/>
    <w:rsid w:val="004425AC"/>
    <w:rsid w:val="00442BCE"/>
    <w:rsid w:val="00443970"/>
    <w:rsid w:val="00444AC1"/>
    <w:rsid w:val="0045176E"/>
    <w:rsid w:val="00452F91"/>
    <w:rsid w:val="004536CC"/>
    <w:rsid w:val="00455E1B"/>
    <w:rsid w:val="004566F7"/>
    <w:rsid w:val="00456AA9"/>
    <w:rsid w:val="00457295"/>
    <w:rsid w:val="0046007C"/>
    <w:rsid w:val="0046015F"/>
    <w:rsid w:val="004609CA"/>
    <w:rsid w:val="00460A03"/>
    <w:rsid w:val="004621F5"/>
    <w:rsid w:val="004628B3"/>
    <w:rsid w:val="004658E4"/>
    <w:rsid w:val="00466705"/>
    <w:rsid w:val="004675EC"/>
    <w:rsid w:val="00470CCB"/>
    <w:rsid w:val="00471BCC"/>
    <w:rsid w:val="0047253C"/>
    <w:rsid w:val="00472785"/>
    <w:rsid w:val="00474BC5"/>
    <w:rsid w:val="00476BAB"/>
    <w:rsid w:val="0047744D"/>
    <w:rsid w:val="004806A8"/>
    <w:rsid w:val="00480997"/>
    <w:rsid w:val="00482FA4"/>
    <w:rsid w:val="00483505"/>
    <w:rsid w:val="004840BE"/>
    <w:rsid w:val="00484474"/>
    <w:rsid w:val="00484740"/>
    <w:rsid w:val="00485EA7"/>
    <w:rsid w:val="004865E0"/>
    <w:rsid w:val="00486F50"/>
    <w:rsid w:val="0048760F"/>
    <w:rsid w:val="004910BD"/>
    <w:rsid w:val="00491202"/>
    <w:rsid w:val="004916B1"/>
    <w:rsid w:val="00491B30"/>
    <w:rsid w:val="00491D4F"/>
    <w:rsid w:val="00493CCD"/>
    <w:rsid w:val="00494ABA"/>
    <w:rsid w:val="00494EFE"/>
    <w:rsid w:val="00496F93"/>
    <w:rsid w:val="004A2833"/>
    <w:rsid w:val="004A33E0"/>
    <w:rsid w:val="004A51FC"/>
    <w:rsid w:val="004A5CB8"/>
    <w:rsid w:val="004A5DFF"/>
    <w:rsid w:val="004B0875"/>
    <w:rsid w:val="004B3263"/>
    <w:rsid w:val="004B5FB3"/>
    <w:rsid w:val="004B7401"/>
    <w:rsid w:val="004C02BE"/>
    <w:rsid w:val="004C0688"/>
    <w:rsid w:val="004C0D09"/>
    <w:rsid w:val="004C1ED4"/>
    <w:rsid w:val="004C5DEC"/>
    <w:rsid w:val="004D17F5"/>
    <w:rsid w:val="004D21F3"/>
    <w:rsid w:val="004D4C94"/>
    <w:rsid w:val="004D6657"/>
    <w:rsid w:val="004D6801"/>
    <w:rsid w:val="004D6F44"/>
    <w:rsid w:val="004D74DF"/>
    <w:rsid w:val="004D7EE4"/>
    <w:rsid w:val="004E1260"/>
    <w:rsid w:val="004E12E5"/>
    <w:rsid w:val="004E1500"/>
    <w:rsid w:val="004E189F"/>
    <w:rsid w:val="004E2A37"/>
    <w:rsid w:val="004E4699"/>
    <w:rsid w:val="004E5B71"/>
    <w:rsid w:val="004E7FBB"/>
    <w:rsid w:val="004F0251"/>
    <w:rsid w:val="004F02F5"/>
    <w:rsid w:val="004F13FA"/>
    <w:rsid w:val="004F2FF2"/>
    <w:rsid w:val="004F4CD0"/>
    <w:rsid w:val="004F61A0"/>
    <w:rsid w:val="0050014A"/>
    <w:rsid w:val="0050088F"/>
    <w:rsid w:val="00500EC8"/>
    <w:rsid w:val="005010BA"/>
    <w:rsid w:val="00503F22"/>
    <w:rsid w:val="00504271"/>
    <w:rsid w:val="00505415"/>
    <w:rsid w:val="00510B53"/>
    <w:rsid w:val="00510CA4"/>
    <w:rsid w:val="0051172A"/>
    <w:rsid w:val="00511780"/>
    <w:rsid w:val="005128A2"/>
    <w:rsid w:val="00512991"/>
    <w:rsid w:val="005131CB"/>
    <w:rsid w:val="0051363F"/>
    <w:rsid w:val="00514000"/>
    <w:rsid w:val="0051403D"/>
    <w:rsid w:val="00514FBC"/>
    <w:rsid w:val="0052029E"/>
    <w:rsid w:val="005207C7"/>
    <w:rsid w:val="00520A72"/>
    <w:rsid w:val="00523974"/>
    <w:rsid w:val="00524391"/>
    <w:rsid w:val="0052551B"/>
    <w:rsid w:val="00526419"/>
    <w:rsid w:val="005300D9"/>
    <w:rsid w:val="005305BF"/>
    <w:rsid w:val="0053132F"/>
    <w:rsid w:val="00531ED0"/>
    <w:rsid w:val="00532FD7"/>
    <w:rsid w:val="00533740"/>
    <w:rsid w:val="00543527"/>
    <w:rsid w:val="00543ADA"/>
    <w:rsid w:val="005440F3"/>
    <w:rsid w:val="005445DC"/>
    <w:rsid w:val="00544778"/>
    <w:rsid w:val="00545D71"/>
    <w:rsid w:val="00546644"/>
    <w:rsid w:val="005476CE"/>
    <w:rsid w:val="0054774B"/>
    <w:rsid w:val="005551D7"/>
    <w:rsid w:val="00555C0D"/>
    <w:rsid w:val="00556262"/>
    <w:rsid w:val="00557292"/>
    <w:rsid w:val="0056039F"/>
    <w:rsid w:val="00561372"/>
    <w:rsid w:val="00561FB6"/>
    <w:rsid w:val="00562708"/>
    <w:rsid w:val="00565751"/>
    <w:rsid w:val="00565ED0"/>
    <w:rsid w:val="0056603A"/>
    <w:rsid w:val="0056643B"/>
    <w:rsid w:val="00566984"/>
    <w:rsid w:val="00566B64"/>
    <w:rsid w:val="00567941"/>
    <w:rsid w:val="0057080A"/>
    <w:rsid w:val="00570DC2"/>
    <w:rsid w:val="00571016"/>
    <w:rsid w:val="00573497"/>
    <w:rsid w:val="00574821"/>
    <w:rsid w:val="00574A70"/>
    <w:rsid w:val="005753EC"/>
    <w:rsid w:val="00582361"/>
    <w:rsid w:val="00582B55"/>
    <w:rsid w:val="00583AA0"/>
    <w:rsid w:val="00583AEB"/>
    <w:rsid w:val="00584513"/>
    <w:rsid w:val="005857AA"/>
    <w:rsid w:val="00585E63"/>
    <w:rsid w:val="00586257"/>
    <w:rsid w:val="0058701F"/>
    <w:rsid w:val="005874D3"/>
    <w:rsid w:val="00590172"/>
    <w:rsid w:val="00590945"/>
    <w:rsid w:val="00591294"/>
    <w:rsid w:val="005914ED"/>
    <w:rsid w:val="00593DD1"/>
    <w:rsid w:val="005942F9"/>
    <w:rsid w:val="0059441A"/>
    <w:rsid w:val="00595FD4"/>
    <w:rsid w:val="00597C04"/>
    <w:rsid w:val="005A10F1"/>
    <w:rsid w:val="005A208F"/>
    <w:rsid w:val="005A20D8"/>
    <w:rsid w:val="005A31A3"/>
    <w:rsid w:val="005A4AE5"/>
    <w:rsid w:val="005A4C02"/>
    <w:rsid w:val="005B1851"/>
    <w:rsid w:val="005B2A3B"/>
    <w:rsid w:val="005B3872"/>
    <w:rsid w:val="005B3B83"/>
    <w:rsid w:val="005B3D90"/>
    <w:rsid w:val="005B51A2"/>
    <w:rsid w:val="005B53DA"/>
    <w:rsid w:val="005B550F"/>
    <w:rsid w:val="005B6060"/>
    <w:rsid w:val="005B6BE0"/>
    <w:rsid w:val="005B7BFF"/>
    <w:rsid w:val="005B7C18"/>
    <w:rsid w:val="005C1960"/>
    <w:rsid w:val="005C1C93"/>
    <w:rsid w:val="005C32A5"/>
    <w:rsid w:val="005C3BF8"/>
    <w:rsid w:val="005C41A5"/>
    <w:rsid w:val="005C5267"/>
    <w:rsid w:val="005C6179"/>
    <w:rsid w:val="005D1461"/>
    <w:rsid w:val="005D2347"/>
    <w:rsid w:val="005D2B4D"/>
    <w:rsid w:val="005D2F51"/>
    <w:rsid w:val="005D3E9F"/>
    <w:rsid w:val="005D4602"/>
    <w:rsid w:val="005D4BF3"/>
    <w:rsid w:val="005D6E2C"/>
    <w:rsid w:val="005D6F49"/>
    <w:rsid w:val="005D7275"/>
    <w:rsid w:val="005D7A40"/>
    <w:rsid w:val="005E0A88"/>
    <w:rsid w:val="005E231F"/>
    <w:rsid w:val="005E246B"/>
    <w:rsid w:val="005E327E"/>
    <w:rsid w:val="005E32A8"/>
    <w:rsid w:val="005E4DCB"/>
    <w:rsid w:val="005E7168"/>
    <w:rsid w:val="005F09A4"/>
    <w:rsid w:val="005F0A76"/>
    <w:rsid w:val="005F0FCF"/>
    <w:rsid w:val="005F1001"/>
    <w:rsid w:val="005F2073"/>
    <w:rsid w:val="005F2348"/>
    <w:rsid w:val="005F4349"/>
    <w:rsid w:val="005F72B0"/>
    <w:rsid w:val="005F7ED3"/>
    <w:rsid w:val="00600870"/>
    <w:rsid w:val="00600BB3"/>
    <w:rsid w:val="00601B78"/>
    <w:rsid w:val="006022B3"/>
    <w:rsid w:val="00605B4F"/>
    <w:rsid w:val="006067B0"/>
    <w:rsid w:val="006108B4"/>
    <w:rsid w:val="00611670"/>
    <w:rsid w:val="006124C4"/>
    <w:rsid w:val="00614397"/>
    <w:rsid w:val="00614448"/>
    <w:rsid w:val="006147C8"/>
    <w:rsid w:val="00615D8F"/>
    <w:rsid w:val="006201D9"/>
    <w:rsid w:val="006204CC"/>
    <w:rsid w:val="0062226B"/>
    <w:rsid w:val="0062367A"/>
    <w:rsid w:val="006240EB"/>
    <w:rsid w:val="006250B4"/>
    <w:rsid w:val="006266F7"/>
    <w:rsid w:val="00627D7E"/>
    <w:rsid w:val="00632DF6"/>
    <w:rsid w:val="006339DB"/>
    <w:rsid w:val="00633CA4"/>
    <w:rsid w:val="00634849"/>
    <w:rsid w:val="00635D5B"/>
    <w:rsid w:val="00636968"/>
    <w:rsid w:val="00641DF3"/>
    <w:rsid w:val="006420AB"/>
    <w:rsid w:val="006421FC"/>
    <w:rsid w:val="00643141"/>
    <w:rsid w:val="00643574"/>
    <w:rsid w:val="00643DD2"/>
    <w:rsid w:val="006456CD"/>
    <w:rsid w:val="00651198"/>
    <w:rsid w:val="00651694"/>
    <w:rsid w:val="00651D3C"/>
    <w:rsid w:val="00652B9B"/>
    <w:rsid w:val="00653B48"/>
    <w:rsid w:val="00656011"/>
    <w:rsid w:val="00656E7C"/>
    <w:rsid w:val="00657174"/>
    <w:rsid w:val="006608BF"/>
    <w:rsid w:val="00661892"/>
    <w:rsid w:val="006625AF"/>
    <w:rsid w:val="00662E6F"/>
    <w:rsid w:val="00663C9C"/>
    <w:rsid w:val="00664161"/>
    <w:rsid w:val="006642F0"/>
    <w:rsid w:val="006645C4"/>
    <w:rsid w:val="0066734C"/>
    <w:rsid w:val="00667B84"/>
    <w:rsid w:val="006742B1"/>
    <w:rsid w:val="00674EBB"/>
    <w:rsid w:val="006759CF"/>
    <w:rsid w:val="00676FCD"/>
    <w:rsid w:val="006823E5"/>
    <w:rsid w:val="006834A0"/>
    <w:rsid w:val="006844F7"/>
    <w:rsid w:val="00684E78"/>
    <w:rsid w:val="00687D20"/>
    <w:rsid w:val="00690383"/>
    <w:rsid w:val="00693BDE"/>
    <w:rsid w:val="0069504F"/>
    <w:rsid w:val="00695739"/>
    <w:rsid w:val="00696C81"/>
    <w:rsid w:val="006A03B3"/>
    <w:rsid w:val="006A04B7"/>
    <w:rsid w:val="006A0A62"/>
    <w:rsid w:val="006A10C8"/>
    <w:rsid w:val="006A1C7B"/>
    <w:rsid w:val="006A1F30"/>
    <w:rsid w:val="006A239A"/>
    <w:rsid w:val="006A4402"/>
    <w:rsid w:val="006A577E"/>
    <w:rsid w:val="006A616C"/>
    <w:rsid w:val="006A6E34"/>
    <w:rsid w:val="006B0CE6"/>
    <w:rsid w:val="006B1578"/>
    <w:rsid w:val="006B26DE"/>
    <w:rsid w:val="006B290F"/>
    <w:rsid w:val="006B36F7"/>
    <w:rsid w:val="006B37E0"/>
    <w:rsid w:val="006B43C5"/>
    <w:rsid w:val="006B494C"/>
    <w:rsid w:val="006B7C7B"/>
    <w:rsid w:val="006C02AF"/>
    <w:rsid w:val="006C09EC"/>
    <w:rsid w:val="006C263C"/>
    <w:rsid w:val="006C2AB5"/>
    <w:rsid w:val="006C2E9A"/>
    <w:rsid w:val="006C4493"/>
    <w:rsid w:val="006C4EC8"/>
    <w:rsid w:val="006C5502"/>
    <w:rsid w:val="006C5B07"/>
    <w:rsid w:val="006C609A"/>
    <w:rsid w:val="006C7126"/>
    <w:rsid w:val="006C750B"/>
    <w:rsid w:val="006D0749"/>
    <w:rsid w:val="006D0C8F"/>
    <w:rsid w:val="006D0F31"/>
    <w:rsid w:val="006D1A37"/>
    <w:rsid w:val="006D1EDC"/>
    <w:rsid w:val="006D275A"/>
    <w:rsid w:val="006D2EBF"/>
    <w:rsid w:val="006D3110"/>
    <w:rsid w:val="006D36FE"/>
    <w:rsid w:val="006D3DFF"/>
    <w:rsid w:val="006D42D0"/>
    <w:rsid w:val="006D5AD9"/>
    <w:rsid w:val="006D5F83"/>
    <w:rsid w:val="006E01AF"/>
    <w:rsid w:val="006E1B46"/>
    <w:rsid w:val="006E29F8"/>
    <w:rsid w:val="006E365F"/>
    <w:rsid w:val="006E3C9F"/>
    <w:rsid w:val="006E51FB"/>
    <w:rsid w:val="006E53AF"/>
    <w:rsid w:val="006E6A69"/>
    <w:rsid w:val="006E7159"/>
    <w:rsid w:val="006E73AB"/>
    <w:rsid w:val="006F0E71"/>
    <w:rsid w:val="006F13EC"/>
    <w:rsid w:val="006F1586"/>
    <w:rsid w:val="006F1AAF"/>
    <w:rsid w:val="006F1BAC"/>
    <w:rsid w:val="006F5D44"/>
    <w:rsid w:val="006F6882"/>
    <w:rsid w:val="006F7FF5"/>
    <w:rsid w:val="00700637"/>
    <w:rsid w:val="00700EBE"/>
    <w:rsid w:val="007016B7"/>
    <w:rsid w:val="007044C9"/>
    <w:rsid w:val="0070496D"/>
    <w:rsid w:val="00704DE7"/>
    <w:rsid w:val="00710840"/>
    <w:rsid w:val="00711700"/>
    <w:rsid w:val="00712D92"/>
    <w:rsid w:val="007131C9"/>
    <w:rsid w:val="007148FF"/>
    <w:rsid w:val="00715B20"/>
    <w:rsid w:val="00715B90"/>
    <w:rsid w:val="00715C41"/>
    <w:rsid w:val="00716447"/>
    <w:rsid w:val="00716953"/>
    <w:rsid w:val="007176D3"/>
    <w:rsid w:val="00721D07"/>
    <w:rsid w:val="0072234B"/>
    <w:rsid w:val="0072238B"/>
    <w:rsid w:val="00724681"/>
    <w:rsid w:val="00724F71"/>
    <w:rsid w:val="007250BF"/>
    <w:rsid w:val="00725A93"/>
    <w:rsid w:val="00727DE7"/>
    <w:rsid w:val="00734EEB"/>
    <w:rsid w:val="00735E1A"/>
    <w:rsid w:val="00737898"/>
    <w:rsid w:val="00741AD8"/>
    <w:rsid w:val="0074303B"/>
    <w:rsid w:val="00743BD7"/>
    <w:rsid w:val="00743CFC"/>
    <w:rsid w:val="007446EC"/>
    <w:rsid w:val="00744738"/>
    <w:rsid w:val="00747276"/>
    <w:rsid w:val="00747DEB"/>
    <w:rsid w:val="00750438"/>
    <w:rsid w:val="00756B97"/>
    <w:rsid w:val="0075735A"/>
    <w:rsid w:val="00760474"/>
    <w:rsid w:val="0076084A"/>
    <w:rsid w:val="00762D6E"/>
    <w:rsid w:val="00764218"/>
    <w:rsid w:val="0076635F"/>
    <w:rsid w:val="00766EB1"/>
    <w:rsid w:val="00767037"/>
    <w:rsid w:val="00770B1B"/>
    <w:rsid w:val="00771F26"/>
    <w:rsid w:val="00773825"/>
    <w:rsid w:val="00773C2C"/>
    <w:rsid w:val="00773CBE"/>
    <w:rsid w:val="00773EA7"/>
    <w:rsid w:val="007743A3"/>
    <w:rsid w:val="007760C7"/>
    <w:rsid w:val="007827C8"/>
    <w:rsid w:val="007838F6"/>
    <w:rsid w:val="00785F29"/>
    <w:rsid w:val="007861CE"/>
    <w:rsid w:val="00790727"/>
    <w:rsid w:val="00790E1A"/>
    <w:rsid w:val="00790F30"/>
    <w:rsid w:val="0079124E"/>
    <w:rsid w:val="007913A6"/>
    <w:rsid w:val="00791AC2"/>
    <w:rsid w:val="00791EDD"/>
    <w:rsid w:val="0079226E"/>
    <w:rsid w:val="0079249B"/>
    <w:rsid w:val="0079683C"/>
    <w:rsid w:val="0079762B"/>
    <w:rsid w:val="007A0970"/>
    <w:rsid w:val="007A1405"/>
    <w:rsid w:val="007A21CB"/>
    <w:rsid w:val="007A3714"/>
    <w:rsid w:val="007A5193"/>
    <w:rsid w:val="007A5513"/>
    <w:rsid w:val="007A5BEE"/>
    <w:rsid w:val="007A5E3D"/>
    <w:rsid w:val="007A7315"/>
    <w:rsid w:val="007A74DF"/>
    <w:rsid w:val="007B0136"/>
    <w:rsid w:val="007B09E1"/>
    <w:rsid w:val="007B0C06"/>
    <w:rsid w:val="007B15C0"/>
    <w:rsid w:val="007B171C"/>
    <w:rsid w:val="007B18FE"/>
    <w:rsid w:val="007B1CF2"/>
    <w:rsid w:val="007B3981"/>
    <w:rsid w:val="007B4D0B"/>
    <w:rsid w:val="007B611F"/>
    <w:rsid w:val="007B6192"/>
    <w:rsid w:val="007B7126"/>
    <w:rsid w:val="007B724D"/>
    <w:rsid w:val="007B7794"/>
    <w:rsid w:val="007B7E77"/>
    <w:rsid w:val="007C09CB"/>
    <w:rsid w:val="007C0F1B"/>
    <w:rsid w:val="007C2B4C"/>
    <w:rsid w:val="007C3333"/>
    <w:rsid w:val="007C355B"/>
    <w:rsid w:val="007C5A27"/>
    <w:rsid w:val="007C76D3"/>
    <w:rsid w:val="007C7C69"/>
    <w:rsid w:val="007D16C0"/>
    <w:rsid w:val="007D2170"/>
    <w:rsid w:val="007D3FAD"/>
    <w:rsid w:val="007D4DF7"/>
    <w:rsid w:val="007D56F8"/>
    <w:rsid w:val="007D6161"/>
    <w:rsid w:val="007D64CF"/>
    <w:rsid w:val="007E09E1"/>
    <w:rsid w:val="007E2804"/>
    <w:rsid w:val="007E293A"/>
    <w:rsid w:val="007E31D4"/>
    <w:rsid w:val="007E3AD8"/>
    <w:rsid w:val="007E41E4"/>
    <w:rsid w:val="007E6594"/>
    <w:rsid w:val="007E6BA0"/>
    <w:rsid w:val="007E75E8"/>
    <w:rsid w:val="007F65E9"/>
    <w:rsid w:val="007F71F2"/>
    <w:rsid w:val="007F7470"/>
    <w:rsid w:val="007F7CDC"/>
    <w:rsid w:val="00800B37"/>
    <w:rsid w:val="00801567"/>
    <w:rsid w:val="008015FE"/>
    <w:rsid w:val="0080175D"/>
    <w:rsid w:val="00801B59"/>
    <w:rsid w:val="008032BD"/>
    <w:rsid w:val="00807B29"/>
    <w:rsid w:val="0081001C"/>
    <w:rsid w:val="00810A2E"/>
    <w:rsid w:val="00811400"/>
    <w:rsid w:val="00812104"/>
    <w:rsid w:val="008128C5"/>
    <w:rsid w:val="00812A64"/>
    <w:rsid w:val="00812D5E"/>
    <w:rsid w:val="00813BB7"/>
    <w:rsid w:val="008147FE"/>
    <w:rsid w:val="0081560F"/>
    <w:rsid w:val="008165F4"/>
    <w:rsid w:val="00816CF9"/>
    <w:rsid w:val="0081762D"/>
    <w:rsid w:val="00820357"/>
    <w:rsid w:val="00820750"/>
    <w:rsid w:val="00821D1F"/>
    <w:rsid w:val="0082242A"/>
    <w:rsid w:val="00823F21"/>
    <w:rsid w:val="00824122"/>
    <w:rsid w:val="008246EA"/>
    <w:rsid w:val="00831DAD"/>
    <w:rsid w:val="008332EB"/>
    <w:rsid w:val="008352CF"/>
    <w:rsid w:val="00835303"/>
    <w:rsid w:val="0083557D"/>
    <w:rsid w:val="0083643F"/>
    <w:rsid w:val="00836FE9"/>
    <w:rsid w:val="008373F3"/>
    <w:rsid w:val="00840EB1"/>
    <w:rsid w:val="008413B5"/>
    <w:rsid w:val="00842506"/>
    <w:rsid w:val="00843F3C"/>
    <w:rsid w:val="00844C60"/>
    <w:rsid w:val="008455BA"/>
    <w:rsid w:val="008461E9"/>
    <w:rsid w:val="00846B2B"/>
    <w:rsid w:val="00847C10"/>
    <w:rsid w:val="00847CFB"/>
    <w:rsid w:val="0085001F"/>
    <w:rsid w:val="008510B3"/>
    <w:rsid w:val="00851575"/>
    <w:rsid w:val="00852111"/>
    <w:rsid w:val="00853552"/>
    <w:rsid w:val="008535AA"/>
    <w:rsid w:val="00855552"/>
    <w:rsid w:val="00855D31"/>
    <w:rsid w:val="00855F3A"/>
    <w:rsid w:val="00856BEE"/>
    <w:rsid w:val="00857D7A"/>
    <w:rsid w:val="00861A11"/>
    <w:rsid w:val="00863BB7"/>
    <w:rsid w:val="00865822"/>
    <w:rsid w:val="00865F96"/>
    <w:rsid w:val="00870AD2"/>
    <w:rsid w:val="0087122D"/>
    <w:rsid w:val="008715C9"/>
    <w:rsid w:val="00871A0B"/>
    <w:rsid w:val="008728E8"/>
    <w:rsid w:val="00873130"/>
    <w:rsid w:val="008735D8"/>
    <w:rsid w:val="0087606C"/>
    <w:rsid w:val="00876A35"/>
    <w:rsid w:val="00876AD6"/>
    <w:rsid w:val="00876D14"/>
    <w:rsid w:val="00877948"/>
    <w:rsid w:val="00880E4C"/>
    <w:rsid w:val="00881B0A"/>
    <w:rsid w:val="00881BDE"/>
    <w:rsid w:val="00883F7B"/>
    <w:rsid w:val="00884A44"/>
    <w:rsid w:val="00891FDB"/>
    <w:rsid w:val="00892A80"/>
    <w:rsid w:val="008950C3"/>
    <w:rsid w:val="0089611F"/>
    <w:rsid w:val="0089696B"/>
    <w:rsid w:val="00896AA4"/>
    <w:rsid w:val="008973B2"/>
    <w:rsid w:val="008A0960"/>
    <w:rsid w:val="008A1FB0"/>
    <w:rsid w:val="008A2160"/>
    <w:rsid w:val="008A2CFA"/>
    <w:rsid w:val="008A3DAD"/>
    <w:rsid w:val="008A3F93"/>
    <w:rsid w:val="008A4076"/>
    <w:rsid w:val="008A4314"/>
    <w:rsid w:val="008A4499"/>
    <w:rsid w:val="008A4810"/>
    <w:rsid w:val="008A4948"/>
    <w:rsid w:val="008A503D"/>
    <w:rsid w:val="008A605E"/>
    <w:rsid w:val="008A7EED"/>
    <w:rsid w:val="008B0DDF"/>
    <w:rsid w:val="008B1257"/>
    <w:rsid w:val="008B31E2"/>
    <w:rsid w:val="008B4D8F"/>
    <w:rsid w:val="008B5CEE"/>
    <w:rsid w:val="008B5FDD"/>
    <w:rsid w:val="008C0C3E"/>
    <w:rsid w:val="008C3026"/>
    <w:rsid w:val="008C74EF"/>
    <w:rsid w:val="008C7690"/>
    <w:rsid w:val="008C78CD"/>
    <w:rsid w:val="008D0631"/>
    <w:rsid w:val="008D1DD2"/>
    <w:rsid w:val="008D2808"/>
    <w:rsid w:val="008D36B8"/>
    <w:rsid w:val="008D4366"/>
    <w:rsid w:val="008D5D7C"/>
    <w:rsid w:val="008D5FAD"/>
    <w:rsid w:val="008D6EF0"/>
    <w:rsid w:val="008D7C73"/>
    <w:rsid w:val="008D7D4D"/>
    <w:rsid w:val="008E0E2F"/>
    <w:rsid w:val="008E1240"/>
    <w:rsid w:val="008E1C93"/>
    <w:rsid w:val="008E1E65"/>
    <w:rsid w:val="008E1F8F"/>
    <w:rsid w:val="008E227E"/>
    <w:rsid w:val="008E25C8"/>
    <w:rsid w:val="008E3EC1"/>
    <w:rsid w:val="008E5CD9"/>
    <w:rsid w:val="008E5EEE"/>
    <w:rsid w:val="008E610D"/>
    <w:rsid w:val="008E6460"/>
    <w:rsid w:val="008E6A07"/>
    <w:rsid w:val="008E731D"/>
    <w:rsid w:val="008E7403"/>
    <w:rsid w:val="008E758A"/>
    <w:rsid w:val="008E77A0"/>
    <w:rsid w:val="008E7A83"/>
    <w:rsid w:val="008E7CA0"/>
    <w:rsid w:val="008F04B2"/>
    <w:rsid w:val="008F083F"/>
    <w:rsid w:val="008F08ED"/>
    <w:rsid w:val="008F13E3"/>
    <w:rsid w:val="008F1E5A"/>
    <w:rsid w:val="008F2A68"/>
    <w:rsid w:val="008F3C05"/>
    <w:rsid w:val="008F4D42"/>
    <w:rsid w:val="008F606D"/>
    <w:rsid w:val="008F6B03"/>
    <w:rsid w:val="008F7F22"/>
    <w:rsid w:val="009005DE"/>
    <w:rsid w:val="00902EC0"/>
    <w:rsid w:val="00903CA8"/>
    <w:rsid w:val="00903D83"/>
    <w:rsid w:val="009040B8"/>
    <w:rsid w:val="009052F9"/>
    <w:rsid w:val="0090554D"/>
    <w:rsid w:val="00906074"/>
    <w:rsid w:val="00906AB6"/>
    <w:rsid w:val="00907704"/>
    <w:rsid w:val="009079B9"/>
    <w:rsid w:val="00910B54"/>
    <w:rsid w:val="0091191A"/>
    <w:rsid w:val="009121FD"/>
    <w:rsid w:val="00913706"/>
    <w:rsid w:val="009139D8"/>
    <w:rsid w:val="00913D6D"/>
    <w:rsid w:val="00914D5C"/>
    <w:rsid w:val="009207AD"/>
    <w:rsid w:val="0092215E"/>
    <w:rsid w:val="009223D6"/>
    <w:rsid w:val="00922A44"/>
    <w:rsid w:val="009231A1"/>
    <w:rsid w:val="0092377F"/>
    <w:rsid w:val="00923AC1"/>
    <w:rsid w:val="00924C15"/>
    <w:rsid w:val="009269F9"/>
    <w:rsid w:val="00927B7E"/>
    <w:rsid w:val="00930A10"/>
    <w:rsid w:val="00930BCD"/>
    <w:rsid w:val="00932130"/>
    <w:rsid w:val="0093333E"/>
    <w:rsid w:val="0093367F"/>
    <w:rsid w:val="00933F67"/>
    <w:rsid w:val="009344A3"/>
    <w:rsid w:val="00937118"/>
    <w:rsid w:val="0093797A"/>
    <w:rsid w:val="009408CE"/>
    <w:rsid w:val="00941053"/>
    <w:rsid w:val="0094136D"/>
    <w:rsid w:val="00941A7E"/>
    <w:rsid w:val="00941D4F"/>
    <w:rsid w:val="00942460"/>
    <w:rsid w:val="009431F2"/>
    <w:rsid w:val="009435F8"/>
    <w:rsid w:val="00943843"/>
    <w:rsid w:val="00943EDD"/>
    <w:rsid w:val="00945734"/>
    <w:rsid w:val="00945C87"/>
    <w:rsid w:val="0095142C"/>
    <w:rsid w:val="00951F95"/>
    <w:rsid w:val="00952BB1"/>
    <w:rsid w:val="009534D6"/>
    <w:rsid w:val="009541A5"/>
    <w:rsid w:val="0095471D"/>
    <w:rsid w:val="00954ABE"/>
    <w:rsid w:val="009554AE"/>
    <w:rsid w:val="00960937"/>
    <w:rsid w:val="00963284"/>
    <w:rsid w:val="009633A4"/>
    <w:rsid w:val="009637A4"/>
    <w:rsid w:val="009638A4"/>
    <w:rsid w:val="00963EE2"/>
    <w:rsid w:val="0096521E"/>
    <w:rsid w:val="00967608"/>
    <w:rsid w:val="0097023A"/>
    <w:rsid w:val="00970B5A"/>
    <w:rsid w:val="00971ED0"/>
    <w:rsid w:val="009722ED"/>
    <w:rsid w:val="00974D78"/>
    <w:rsid w:val="009755FD"/>
    <w:rsid w:val="009778A2"/>
    <w:rsid w:val="00977DED"/>
    <w:rsid w:val="009809BB"/>
    <w:rsid w:val="00981E75"/>
    <w:rsid w:val="00982954"/>
    <w:rsid w:val="00983B92"/>
    <w:rsid w:val="00983EFE"/>
    <w:rsid w:val="00984856"/>
    <w:rsid w:val="009851B9"/>
    <w:rsid w:val="00987174"/>
    <w:rsid w:val="00990FBC"/>
    <w:rsid w:val="009918F8"/>
    <w:rsid w:val="00991EAD"/>
    <w:rsid w:val="00995EA4"/>
    <w:rsid w:val="00997080"/>
    <w:rsid w:val="00997D60"/>
    <w:rsid w:val="009A039A"/>
    <w:rsid w:val="009A0424"/>
    <w:rsid w:val="009A0A38"/>
    <w:rsid w:val="009A226A"/>
    <w:rsid w:val="009A2973"/>
    <w:rsid w:val="009A34C6"/>
    <w:rsid w:val="009A5C63"/>
    <w:rsid w:val="009A6372"/>
    <w:rsid w:val="009A6C00"/>
    <w:rsid w:val="009B0152"/>
    <w:rsid w:val="009B1328"/>
    <w:rsid w:val="009B16A9"/>
    <w:rsid w:val="009B21BF"/>
    <w:rsid w:val="009B22A0"/>
    <w:rsid w:val="009B62EE"/>
    <w:rsid w:val="009B7804"/>
    <w:rsid w:val="009C1FDB"/>
    <w:rsid w:val="009C280D"/>
    <w:rsid w:val="009C2EA0"/>
    <w:rsid w:val="009C2EBB"/>
    <w:rsid w:val="009C4A16"/>
    <w:rsid w:val="009C5119"/>
    <w:rsid w:val="009C6052"/>
    <w:rsid w:val="009C679A"/>
    <w:rsid w:val="009C7E27"/>
    <w:rsid w:val="009D193B"/>
    <w:rsid w:val="009D2946"/>
    <w:rsid w:val="009D60E3"/>
    <w:rsid w:val="009E0C65"/>
    <w:rsid w:val="009E0FB9"/>
    <w:rsid w:val="009E159A"/>
    <w:rsid w:val="009E424B"/>
    <w:rsid w:val="009E5655"/>
    <w:rsid w:val="009F1B41"/>
    <w:rsid w:val="009F1B7F"/>
    <w:rsid w:val="009F2413"/>
    <w:rsid w:val="009F2534"/>
    <w:rsid w:val="009F3134"/>
    <w:rsid w:val="009F4D00"/>
    <w:rsid w:val="009F71EB"/>
    <w:rsid w:val="009F79AB"/>
    <w:rsid w:val="009F79DB"/>
    <w:rsid w:val="00A0059E"/>
    <w:rsid w:val="00A0118C"/>
    <w:rsid w:val="00A02513"/>
    <w:rsid w:val="00A034A4"/>
    <w:rsid w:val="00A03FC4"/>
    <w:rsid w:val="00A05064"/>
    <w:rsid w:val="00A0510F"/>
    <w:rsid w:val="00A066B9"/>
    <w:rsid w:val="00A07DF7"/>
    <w:rsid w:val="00A142E5"/>
    <w:rsid w:val="00A14E22"/>
    <w:rsid w:val="00A15DE2"/>
    <w:rsid w:val="00A16975"/>
    <w:rsid w:val="00A17EA2"/>
    <w:rsid w:val="00A21B9D"/>
    <w:rsid w:val="00A225C3"/>
    <w:rsid w:val="00A23A8B"/>
    <w:rsid w:val="00A2525B"/>
    <w:rsid w:val="00A26BDE"/>
    <w:rsid w:val="00A27DDE"/>
    <w:rsid w:val="00A32413"/>
    <w:rsid w:val="00A33490"/>
    <w:rsid w:val="00A3433F"/>
    <w:rsid w:val="00A36105"/>
    <w:rsid w:val="00A36BAA"/>
    <w:rsid w:val="00A4318F"/>
    <w:rsid w:val="00A43BAD"/>
    <w:rsid w:val="00A43DF7"/>
    <w:rsid w:val="00A44DC6"/>
    <w:rsid w:val="00A45766"/>
    <w:rsid w:val="00A4665F"/>
    <w:rsid w:val="00A50AD1"/>
    <w:rsid w:val="00A5319B"/>
    <w:rsid w:val="00A545D0"/>
    <w:rsid w:val="00A6054F"/>
    <w:rsid w:val="00A610BE"/>
    <w:rsid w:val="00A614F0"/>
    <w:rsid w:val="00A62CEB"/>
    <w:rsid w:val="00A64DB5"/>
    <w:rsid w:val="00A73545"/>
    <w:rsid w:val="00A7357D"/>
    <w:rsid w:val="00A737A8"/>
    <w:rsid w:val="00A74431"/>
    <w:rsid w:val="00A74510"/>
    <w:rsid w:val="00A7462C"/>
    <w:rsid w:val="00A74F06"/>
    <w:rsid w:val="00A76096"/>
    <w:rsid w:val="00A7696F"/>
    <w:rsid w:val="00A810A8"/>
    <w:rsid w:val="00A83248"/>
    <w:rsid w:val="00A84725"/>
    <w:rsid w:val="00A84C74"/>
    <w:rsid w:val="00A8514E"/>
    <w:rsid w:val="00A85D9C"/>
    <w:rsid w:val="00A8694B"/>
    <w:rsid w:val="00A87AB6"/>
    <w:rsid w:val="00A90B8A"/>
    <w:rsid w:val="00A90DC9"/>
    <w:rsid w:val="00A911C4"/>
    <w:rsid w:val="00A926BD"/>
    <w:rsid w:val="00A9293B"/>
    <w:rsid w:val="00A93DA4"/>
    <w:rsid w:val="00A948D2"/>
    <w:rsid w:val="00A956C6"/>
    <w:rsid w:val="00A972DE"/>
    <w:rsid w:val="00AA000C"/>
    <w:rsid w:val="00AA0D96"/>
    <w:rsid w:val="00AA1081"/>
    <w:rsid w:val="00AA20FC"/>
    <w:rsid w:val="00AA3CD7"/>
    <w:rsid w:val="00AA4E82"/>
    <w:rsid w:val="00AA5FD5"/>
    <w:rsid w:val="00AA66AF"/>
    <w:rsid w:val="00AA7FCB"/>
    <w:rsid w:val="00AB1610"/>
    <w:rsid w:val="00AB1F7D"/>
    <w:rsid w:val="00AB266F"/>
    <w:rsid w:val="00AB2A65"/>
    <w:rsid w:val="00AB3B30"/>
    <w:rsid w:val="00AB4B9B"/>
    <w:rsid w:val="00AB697A"/>
    <w:rsid w:val="00AB74BA"/>
    <w:rsid w:val="00AB7DFD"/>
    <w:rsid w:val="00AC014D"/>
    <w:rsid w:val="00AC0F1E"/>
    <w:rsid w:val="00AC1FD7"/>
    <w:rsid w:val="00AC29F5"/>
    <w:rsid w:val="00AC3D75"/>
    <w:rsid w:val="00AC42B6"/>
    <w:rsid w:val="00AC43D6"/>
    <w:rsid w:val="00AC4742"/>
    <w:rsid w:val="00AC4AB5"/>
    <w:rsid w:val="00AC5C43"/>
    <w:rsid w:val="00AC6E31"/>
    <w:rsid w:val="00AC724B"/>
    <w:rsid w:val="00AD207F"/>
    <w:rsid w:val="00AD2528"/>
    <w:rsid w:val="00AD585E"/>
    <w:rsid w:val="00AD66C9"/>
    <w:rsid w:val="00AD764B"/>
    <w:rsid w:val="00AD791F"/>
    <w:rsid w:val="00AE07C1"/>
    <w:rsid w:val="00AE08BE"/>
    <w:rsid w:val="00AE2498"/>
    <w:rsid w:val="00AE6A05"/>
    <w:rsid w:val="00AF0534"/>
    <w:rsid w:val="00AF083E"/>
    <w:rsid w:val="00AF1E33"/>
    <w:rsid w:val="00AF2AE6"/>
    <w:rsid w:val="00AF3070"/>
    <w:rsid w:val="00AF32A4"/>
    <w:rsid w:val="00AF43D4"/>
    <w:rsid w:val="00AF4D35"/>
    <w:rsid w:val="00AF59FD"/>
    <w:rsid w:val="00AF5B65"/>
    <w:rsid w:val="00AF6610"/>
    <w:rsid w:val="00AF6DBC"/>
    <w:rsid w:val="00B02153"/>
    <w:rsid w:val="00B0338D"/>
    <w:rsid w:val="00B037AD"/>
    <w:rsid w:val="00B03961"/>
    <w:rsid w:val="00B05324"/>
    <w:rsid w:val="00B064DB"/>
    <w:rsid w:val="00B06B55"/>
    <w:rsid w:val="00B07386"/>
    <w:rsid w:val="00B074E9"/>
    <w:rsid w:val="00B079F0"/>
    <w:rsid w:val="00B079FB"/>
    <w:rsid w:val="00B10E59"/>
    <w:rsid w:val="00B1121A"/>
    <w:rsid w:val="00B12642"/>
    <w:rsid w:val="00B14C54"/>
    <w:rsid w:val="00B15796"/>
    <w:rsid w:val="00B1586F"/>
    <w:rsid w:val="00B166FD"/>
    <w:rsid w:val="00B17410"/>
    <w:rsid w:val="00B201C8"/>
    <w:rsid w:val="00B212A0"/>
    <w:rsid w:val="00B227CA"/>
    <w:rsid w:val="00B230AE"/>
    <w:rsid w:val="00B24445"/>
    <w:rsid w:val="00B24F89"/>
    <w:rsid w:val="00B261B1"/>
    <w:rsid w:val="00B2686B"/>
    <w:rsid w:val="00B305AC"/>
    <w:rsid w:val="00B30B6A"/>
    <w:rsid w:val="00B33653"/>
    <w:rsid w:val="00B361DC"/>
    <w:rsid w:val="00B367AD"/>
    <w:rsid w:val="00B36B1E"/>
    <w:rsid w:val="00B36EE0"/>
    <w:rsid w:val="00B373E0"/>
    <w:rsid w:val="00B40AB8"/>
    <w:rsid w:val="00B42585"/>
    <w:rsid w:val="00B434DD"/>
    <w:rsid w:val="00B43B8D"/>
    <w:rsid w:val="00B45918"/>
    <w:rsid w:val="00B4676F"/>
    <w:rsid w:val="00B4763E"/>
    <w:rsid w:val="00B47BF9"/>
    <w:rsid w:val="00B5381F"/>
    <w:rsid w:val="00B54197"/>
    <w:rsid w:val="00B55275"/>
    <w:rsid w:val="00B55340"/>
    <w:rsid w:val="00B5563B"/>
    <w:rsid w:val="00B5685D"/>
    <w:rsid w:val="00B56F6D"/>
    <w:rsid w:val="00B605E7"/>
    <w:rsid w:val="00B6096F"/>
    <w:rsid w:val="00B61D46"/>
    <w:rsid w:val="00B62693"/>
    <w:rsid w:val="00B6433E"/>
    <w:rsid w:val="00B65669"/>
    <w:rsid w:val="00B658D4"/>
    <w:rsid w:val="00B71034"/>
    <w:rsid w:val="00B7202D"/>
    <w:rsid w:val="00B742C7"/>
    <w:rsid w:val="00B75F89"/>
    <w:rsid w:val="00B7693C"/>
    <w:rsid w:val="00B769C6"/>
    <w:rsid w:val="00B77EFF"/>
    <w:rsid w:val="00B80B3F"/>
    <w:rsid w:val="00B80F20"/>
    <w:rsid w:val="00B80F80"/>
    <w:rsid w:val="00B8199B"/>
    <w:rsid w:val="00B8232D"/>
    <w:rsid w:val="00B84C7D"/>
    <w:rsid w:val="00B85751"/>
    <w:rsid w:val="00B8589A"/>
    <w:rsid w:val="00B86CD3"/>
    <w:rsid w:val="00B92C33"/>
    <w:rsid w:val="00B937A3"/>
    <w:rsid w:val="00B946CA"/>
    <w:rsid w:val="00B95568"/>
    <w:rsid w:val="00BA1927"/>
    <w:rsid w:val="00BA1D93"/>
    <w:rsid w:val="00BA1E42"/>
    <w:rsid w:val="00BA306D"/>
    <w:rsid w:val="00BA343C"/>
    <w:rsid w:val="00BA3C19"/>
    <w:rsid w:val="00BB1807"/>
    <w:rsid w:val="00BB220B"/>
    <w:rsid w:val="00BB519B"/>
    <w:rsid w:val="00BB572A"/>
    <w:rsid w:val="00BB6566"/>
    <w:rsid w:val="00BB69CD"/>
    <w:rsid w:val="00BB6D4D"/>
    <w:rsid w:val="00BC1294"/>
    <w:rsid w:val="00BC14CD"/>
    <w:rsid w:val="00BC1F24"/>
    <w:rsid w:val="00BC24DC"/>
    <w:rsid w:val="00BC26C5"/>
    <w:rsid w:val="00BC3AB6"/>
    <w:rsid w:val="00BC4106"/>
    <w:rsid w:val="00BC6A9A"/>
    <w:rsid w:val="00BC78A3"/>
    <w:rsid w:val="00BD0BEC"/>
    <w:rsid w:val="00BD23FC"/>
    <w:rsid w:val="00BD40D9"/>
    <w:rsid w:val="00BD4A94"/>
    <w:rsid w:val="00BD60E4"/>
    <w:rsid w:val="00BD79B7"/>
    <w:rsid w:val="00BE3CFE"/>
    <w:rsid w:val="00BE6100"/>
    <w:rsid w:val="00BE65E0"/>
    <w:rsid w:val="00BE7476"/>
    <w:rsid w:val="00BE7DEE"/>
    <w:rsid w:val="00BF1DAB"/>
    <w:rsid w:val="00BF2868"/>
    <w:rsid w:val="00BF3230"/>
    <w:rsid w:val="00BF3A77"/>
    <w:rsid w:val="00BF3D94"/>
    <w:rsid w:val="00BF445A"/>
    <w:rsid w:val="00BF55BE"/>
    <w:rsid w:val="00BF6181"/>
    <w:rsid w:val="00C031DB"/>
    <w:rsid w:val="00C04286"/>
    <w:rsid w:val="00C04761"/>
    <w:rsid w:val="00C05499"/>
    <w:rsid w:val="00C05FD7"/>
    <w:rsid w:val="00C07679"/>
    <w:rsid w:val="00C10EEC"/>
    <w:rsid w:val="00C117A2"/>
    <w:rsid w:val="00C12FAF"/>
    <w:rsid w:val="00C146AB"/>
    <w:rsid w:val="00C15289"/>
    <w:rsid w:val="00C16FDB"/>
    <w:rsid w:val="00C17E84"/>
    <w:rsid w:val="00C20087"/>
    <w:rsid w:val="00C203EF"/>
    <w:rsid w:val="00C20F0D"/>
    <w:rsid w:val="00C30DE0"/>
    <w:rsid w:val="00C313DC"/>
    <w:rsid w:val="00C31697"/>
    <w:rsid w:val="00C32700"/>
    <w:rsid w:val="00C33C7D"/>
    <w:rsid w:val="00C34A75"/>
    <w:rsid w:val="00C34C4E"/>
    <w:rsid w:val="00C36994"/>
    <w:rsid w:val="00C376AF"/>
    <w:rsid w:val="00C42D45"/>
    <w:rsid w:val="00C43F85"/>
    <w:rsid w:val="00C45C8E"/>
    <w:rsid w:val="00C4677D"/>
    <w:rsid w:val="00C5118E"/>
    <w:rsid w:val="00C516A5"/>
    <w:rsid w:val="00C51F4E"/>
    <w:rsid w:val="00C55443"/>
    <w:rsid w:val="00C55F70"/>
    <w:rsid w:val="00C56DFD"/>
    <w:rsid w:val="00C604B3"/>
    <w:rsid w:val="00C60DB7"/>
    <w:rsid w:val="00C62034"/>
    <w:rsid w:val="00C6203D"/>
    <w:rsid w:val="00C63DD7"/>
    <w:rsid w:val="00C6472F"/>
    <w:rsid w:val="00C744A9"/>
    <w:rsid w:val="00C746F2"/>
    <w:rsid w:val="00C754D2"/>
    <w:rsid w:val="00C75F64"/>
    <w:rsid w:val="00C766EE"/>
    <w:rsid w:val="00C77BA8"/>
    <w:rsid w:val="00C80A89"/>
    <w:rsid w:val="00C80CB1"/>
    <w:rsid w:val="00C82D78"/>
    <w:rsid w:val="00C834B3"/>
    <w:rsid w:val="00C83B90"/>
    <w:rsid w:val="00C84FFC"/>
    <w:rsid w:val="00C8790F"/>
    <w:rsid w:val="00C87D46"/>
    <w:rsid w:val="00C90293"/>
    <w:rsid w:val="00C93820"/>
    <w:rsid w:val="00C94093"/>
    <w:rsid w:val="00C9479F"/>
    <w:rsid w:val="00C9687A"/>
    <w:rsid w:val="00C96B00"/>
    <w:rsid w:val="00CA2E78"/>
    <w:rsid w:val="00CA3761"/>
    <w:rsid w:val="00CA7BA8"/>
    <w:rsid w:val="00CB1992"/>
    <w:rsid w:val="00CB1C4B"/>
    <w:rsid w:val="00CB49EF"/>
    <w:rsid w:val="00CB6302"/>
    <w:rsid w:val="00CC076C"/>
    <w:rsid w:val="00CC1189"/>
    <w:rsid w:val="00CC32A7"/>
    <w:rsid w:val="00CC3477"/>
    <w:rsid w:val="00CC443E"/>
    <w:rsid w:val="00CC494A"/>
    <w:rsid w:val="00CC50A2"/>
    <w:rsid w:val="00CC6A78"/>
    <w:rsid w:val="00CD040A"/>
    <w:rsid w:val="00CD115A"/>
    <w:rsid w:val="00CD168B"/>
    <w:rsid w:val="00CD2470"/>
    <w:rsid w:val="00CD2A9C"/>
    <w:rsid w:val="00CD3930"/>
    <w:rsid w:val="00CD3F78"/>
    <w:rsid w:val="00CD45C2"/>
    <w:rsid w:val="00CD5179"/>
    <w:rsid w:val="00CD5598"/>
    <w:rsid w:val="00CD77A3"/>
    <w:rsid w:val="00CD79DA"/>
    <w:rsid w:val="00CE05AC"/>
    <w:rsid w:val="00CE0A59"/>
    <w:rsid w:val="00CE38FD"/>
    <w:rsid w:val="00CE57CB"/>
    <w:rsid w:val="00CE5EAD"/>
    <w:rsid w:val="00CE67EC"/>
    <w:rsid w:val="00CE7C43"/>
    <w:rsid w:val="00CF0582"/>
    <w:rsid w:val="00CF0F64"/>
    <w:rsid w:val="00CF4C2C"/>
    <w:rsid w:val="00CF4D7B"/>
    <w:rsid w:val="00CF50C7"/>
    <w:rsid w:val="00CF5237"/>
    <w:rsid w:val="00CF52AC"/>
    <w:rsid w:val="00CF59B2"/>
    <w:rsid w:val="00CF59DD"/>
    <w:rsid w:val="00CF692C"/>
    <w:rsid w:val="00CF7DC8"/>
    <w:rsid w:val="00D0015F"/>
    <w:rsid w:val="00D00899"/>
    <w:rsid w:val="00D02B5B"/>
    <w:rsid w:val="00D02F7A"/>
    <w:rsid w:val="00D035DE"/>
    <w:rsid w:val="00D03AAE"/>
    <w:rsid w:val="00D04A8E"/>
    <w:rsid w:val="00D04B6C"/>
    <w:rsid w:val="00D04F9E"/>
    <w:rsid w:val="00D05DF1"/>
    <w:rsid w:val="00D05FBE"/>
    <w:rsid w:val="00D0654A"/>
    <w:rsid w:val="00D077F7"/>
    <w:rsid w:val="00D11518"/>
    <w:rsid w:val="00D141FE"/>
    <w:rsid w:val="00D14E85"/>
    <w:rsid w:val="00D15368"/>
    <w:rsid w:val="00D16795"/>
    <w:rsid w:val="00D16F26"/>
    <w:rsid w:val="00D16FE1"/>
    <w:rsid w:val="00D25923"/>
    <w:rsid w:val="00D25D64"/>
    <w:rsid w:val="00D3256E"/>
    <w:rsid w:val="00D32A3B"/>
    <w:rsid w:val="00D3304E"/>
    <w:rsid w:val="00D33967"/>
    <w:rsid w:val="00D34C91"/>
    <w:rsid w:val="00D3639D"/>
    <w:rsid w:val="00D37807"/>
    <w:rsid w:val="00D4058D"/>
    <w:rsid w:val="00D405C7"/>
    <w:rsid w:val="00D411BC"/>
    <w:rsid w:val="00D431C3"/>
    <w:rsid w:val="00D4352B"/>
    <w:rsid w:val="00D43F89"/>
    <w:rsid w:val="00D441FF"/>
    <w:rsid w:val="00D44AD5"/>
    <w:rsid w:val="00D455D7"/>
    <w:rsid w:val="00D45F09"/>
    <w:rsid w:val="00D52294"/>
    <w:rsid w:val="00D528EE"/>
    <w:rsid w:val="00D52920"/>
    <w:rsid w:val="00D52DA7"/>
    <w:rsid w:val="00D52E3C"/>
    <w:rsid w:val="00D53FA9"/>
    <w:rsid w:val="00D55432"/>
    <w:rsid w:val="00D55B5B"/>
    <w:rsid w:val="00D5672E"/>
    <w:rsid w:val="00D57AA6"/>
    <w:rsid w:val="00D60739"/>
    <w:rsid w:val="00D62129"/>
    <w:rsid w:val="00D6647B"/>
    <w:rsid w:val="00D6B116"/>
    <w:rsid w:val="00D708D0"/>
    <w:rsid w:val="00D72DEC"/>
    <w:rsid w:val="00D743FF"/>
    <w:rsid w:val="00D74542"/>
    <w:rsid w:val="00D74882"/>
    <w:rsid w:val="00D75AF7"/>
    <w:rsid w:val="00D76B28"/>
    <w:rsid w:val="00D77264"/>
    <w:rsid w:val="00D81E23"/>
    <w:rsid w:val="00D82BD9"/>
    <w:rsid w:val="00D8598D"/>
    <w:rsid w:val="00D8604F"/>
    <w:rsid w:val="00D86A76"/>
    <w:rsid w:val="00D872FE"/>
    <w:rsid w:val="00D8766C"/>
    <w:rsid w:val="00D87692"/>
    <w:rsid w:val="00D903CC"/>
    <w:rsid w:val="00D9416E"/>
    <w:rsid w:val="00D96683"/>
    <w:rsid w:val="00D97076"/>
    <w:rsid w:val="00D9760A"/>
    <w:rsid w:val="00DA048D"/>
    <w:rsid w:val="00DA0CE8"/>
    <w:rsid w:val="00DA1246"/>
    <w:rsid w:val="00DA13FC"/>
    <w:rsid w:val="00DA1FCE"/>
    <w:rsid w:val="00DA2A95"/>
    <w:rsid w:val="00DA3817"/>
    <w:rsid w:val="00DA3DC5"/>
    <w:rsid w:val="00DA3F47"/>
    <w:rsid w:val="00DA4655"/>
    <w:rsid w:val="00DA5A1B"/>
    <w:rsid w:val="00DA6DA6"/>
    <w:rsid w:val="00DB0ADF"/>
    <w:rsid w:val="00DB1D2A"/>
    <w:rsid w:val="00DB27A4"/>
    <w:rsid w:val="00DB2CF2"/>
    <w:rsid w:val="00DB2D81"/>
    <w:rsid w:val="00DB3564"/>
    <w:rsid w:val="00DB4D56"/>
    <w:rsid w:val="00DB56EE"/>
    <w:rsid w:val="00DB7635"/>
    <w:rsid w:val="00DB7961"/>
    <w:rsid w:val="00DC1708"/>
    <w:rsid w:val="00DC252E"/>
    <w:rsid w:val="00DC34DA"/>
    <w:rsid w:val="00DC4371"/>
    <w:rsid w:val="00DC48BF"/>
    <w:rsid w:val="00DC4C63"/>
    <w:rsid w:val="00DC5CDF"/>
    <w:rsid w:val="00DC6137"/>
    <w:rsid w:val="00DC65DB"/>
    <w:rsid w:val="00DC7BD9"/>
    <w:rsid w:val="00DD01F0"/>
    <w:rsid w:val="00DD121B"/>
    <w:rsid w:val="00DD1B38"/>
    <w:rsid w:val="00DD2245"/>
    <w:rsid w:val="00DD2BE5"/>
    <w:rsid w:val="00DD2DFD"/>
    <w:rsid w:val="00DD5424"/>
    <w:rsid w:val="00DD6CBB"/>
    <w:rsid w:val="00DE0FE1"/>
    <w:rsid w:val="00DE1002"/>
    <w:rsid w:val="00DE1951"/>
    <w:rsid w:val="00DE1CE5"/>
    <w:rsid w:val="00DE1F41"/>
    <w:rsid w:val="00DE2416"/>
    <w:rsid w:val="00DE261C"/>
    <w:rsid w:val="00DE2664"/>
    <w:rsid w:val="00DE4894"/>
    <w:rsid w:val="00DE51CE"/>
    <w:rsid w:val="00DE658B"/>
    <w:rsid w:val="00DE749E"/>
    <w:rsid w:val="00DE7692"/>
    <w:rsid w:val="00DF04BA"/>
    <w:rsid w:val="00DF094A"/>
    <w:rsid w:val="00DF0F4A"/>
    <w:rsid w:val="00DF16D7"/>
    <w:rsid w:val="00DF17EA"/>
    <w:rsid w:val="00DF1ED6"/>
    <w:rsid w:val="00DF1F9F"/>
    <w:rsid w:val="00DF2C62"/>
    <w:rsid w:val="00DF2DDD"/>
    <w:rsid w:val="00DF39A5"/>
    <w:rsid w:val="00DF3E84"/>
    <w:rsid w:val="00DF3FB2"/>
    <w:rsid w:val="00DF4685"/>
    <w:rsid w:val="00DF5606"/>
    <w:rsid w:val="00DF660A"/>
    <w:rsid w:val="00E000FC"/>
    <w:rsid w:val="00E00263"/>
    <w:rsid w:val="00E011DB"/>
    <w:rsid w:val="00E022BA"/>
    <w:rsid w:val="00E06097"/>
    <w:rsid w:val="00E1033F"/>
    <w:rsid w:val="00E163CF"/>
    <w:rsid w:val="00E16E25"/>
    <w:rsid w:val="00E17363"/>
    <w:rsid w:val="00E201DB"/>
    <w:rsid w:val="00E2036D"/>
    <w:rsid w:val="00E21218"/>
    <w:rsid w:val="00E21758"/>
    <w:rsid w:val="00E21A50"/>
    <w:rsid w:val="00E2230F"/>
    <w:rsid w:val="00E22584"/>
    <w:rsid w:val="00E228BA"/>
    <w:rsid w:val="00E2358E"/>
    <w:rsid w:val="00E24264"/>
    <w:rsid w:val="00E245E8"/>
    <w:rsid w:val="00E25497"/>
    <w:rsid w:val="00E258A4"/>
    <w:rsid w:val="00E26292"/>
    <w:rsid w:val="00E272B3"/>
    <w:rsid w:val="00E275DE"/>
    <w:rsid w:val="00E3164A"/>
    <w:rsid w:val="00E31BAA"/>
    <w:rsid w:val="00E3328C"/>
    <w:rsid w:val="00E3464E"/>
    <w:rsid w:val="00E34FE6"/>
    <w:rsid w:val="00E3590C"/>
    <w:rsid w:val="00E35D1A"/>
    <w:rsid w:val="00E35F2E"/>
    <w:rsid w:val="00E36161"/>
    <w:rsid w:val="00E36583"/>
    <w:rsid w:val="00E36987"/>
    <w:rsid w:val="00E402DE"/>
    <w:rsid w:val="00E404D8"/>
    <w:rsid w:val="00E4154F"/>
    <w:rsid w:val="00E42149"/>
    <w:rsid w:val="00E42396"/>
    <w:rsid w:val="00E43D88"/>
    <w:rsid w:val="00E46B9E"/>
    <w:rsid w:val="00E473F5"/>
    <w:rsid w:val="00E50948"/>
    <w:rsid w:val="00E50965"/>
    <w:rsid w:val="00E50AC3"/>
    <w:rsid w:val="00E51C4B"/>
    <w:rsid w:val="00E51EF8"/>
    <w:rsid w:val="00E52FDD"/>
    <w:rsid w:val="00E530DC"/>
    <w:rsid w:val="00E53EE4"/>
    <w:rsid w:val="00E56906"/>
    <w:rsid w:val="00E57DF1"/>
    <w:rsid w:val="00E60F61"/>
    <w:rsid w:val="00E61200"/>
    <w:rsid w:val="00E62207"/>
    <w:rsid w:val="00E626A1"/>
    <w:rsid w:val="00E6302D"/>
    <w:rsid w:val="00E6386D"/>
    <w:rsid w:val="00E63D30"/>
    <w:rsid w:val="00E63E71"/>
    <w:rsid w:val="00E64478"/>
    <w:rsid w:val="00E66E7A"/>
    <w:rsid w:val="00E670A3"/>
    <w:rsid w:val="00E70B63"/>
    <w:rsid w:val="00E70EB9"/>
    <w:rsid w:val="00E718F2"/>
    <w:rsid w:val="00E71F93"/>
    <w:rsid w:val="00E72161"/>
    <w:rsid w:val="00E73323"/>
    <w:rsid w:val="00E7433D"/>
    <w:rsid w:val="00E751BC"/>
    <w:rsid w:val="00E76188"/>
    <w:rsid w:val="00E766C1"/>
    <w:rsid w:val="00E77B04"/>
    <w:rsid w:val="00E77ED7"/>
    <w:rsid w:val="00E80B20"/>
    <w:rsid w:val="00E81D8E"/>
    <w:rsid w:val="00E82E5D"/>
    <w:rsid w:val="00E83AE1"/>
    <w:rsid w:val="00E84F6C"/>
    <w:rsid w:val="00E852DC"/>
    <w:rsid w:val="00E86743"/>
    <w:rsid w:val="00E86AE4"/>
    <w:rsid w:val="00E90AA2"/>
    <w:rsid w:val="00E91802"/>
    <w:rsid w:val="00E93318"/>
    <w:rsid w:val="00E93C95"/>
    <w:rsid w:val="00E940BC"/>
    <w:rsid w:val="00E9432D"/>
    <w:rsid w:val="00E95A3A"/>
    <w:rsid w:val="00EA3A89"/>
    <w:rsid w:val="00EA55C8"/>
    <w:rsid w:val="00EA7690"/>
    <w:rsid w:val="00EB0794"/>
    <w:rsid w:val="00EB2CB3"/>
    <w:rsid w:val="00EB69AC"/>
    <w:rsid w:val="00EB6C33"/>
    <w:rsid w:val="00EB6C60"/>
    <w:rsid w:val="00EC0468"/>
    <w:rsid w:val="00EC0CF8"/>
    <w:rsid w:val="00EC2A58"/>
    <w:rsid w:val="00EC2A6F"/>
    <w:rsid w:val="00EC32C6"/>
    <w:rsid w:val="00EC54DF"/>
    <w:rsid w:val="00EC56FE"/>
    <w:rsid w:val="00EC5E83"/>
    <w:rsid w:val="00EC75BA"/>
    <w:rsid w:val="00ED0966"/>
    <w:rsid w:val="00ED0A3D"/>
    <w:rsid w:val="00ED0FA2"/>
    <w:rsid w:val="00ED2F69"/>
    <w:rsid w:val="00ED3D27"/>
    <w:rsid w:val="00ED5A5D"/>
    <w:rsid w:val="00ED61D8"/>
    <w:rsid w:val="00ED6A77"/>
    <w:rsid w:val="00ED7130"/>
    <w:rsid w:val="00ED7615"/>
    <w:rsid w:val="00ED7F99"/>
    <w:rsid w:val="00EE1004"/>
    <w:rsid w:val="00EE4018"/>
    <w:rsid w:val="00EE524F"/>
    <w:rsid w:val="00EE5AE4"/>
    <w:rsid w:val="00EE6902"/>
    <w:rsid w:val="00EF0F77"/>
    <w:rsid w:val="00EF1E76"/>
    <w:rsid w:val="00EF1F9C"/>
    <w:rsid w:val="00EF3A2A"/>
    <w:rsid w:val="00EF745F"/>
    <w:rsid w:val="00EF7539"/>
    <w:rsid w:val="00EF77D8"/>
    <w:rsid w:val="00EF77FA"/>
    <w:rsid w:val="00F01897"/>
    <w:rsid w:val="00F02018"/>
    <w:rsid w:val="00F03A20"/>
    <w:rsid w:val="00F0419C"/>
    <w:rsid w:val="00F06EA4"/>
    <w:rsid w:val="00F101F1"/>
    <w:rsid w:val="00F10967"/>
    <w:rsid w:val="00F10D23"/>
    <w:rsid w:val="00F1237A"/>
    <w:rsid w:val="00F1278F"/>
    <w:rsid w:val="00F15658"/>
    <w:rsid w:val="00F15AF1"/>
    <w:rsid w:val="00F20FFF"/>
    <w:rsid w:val="00F21909"/>
    <w:rsid w:val="00F21C11"/>
    <w:rsid w:val="00F2211D"/>
    <w:rsid w:val="00F23129"/>
    <w:rsid w:val="00F23F5D"/>
    <w:rsid w:val="00F2443A"/>
    <w:rsid w:val="00F24A46"/>
    <w:rsid w:val="00F25494"/>
    <w:rsid w:val="00F25C20"/>
    <w:rsid w:val="00F25EC1"/>
    <w:rsid w:val="00F26441"/>
    <w:rsid w:val="00F2664A"/>
    <w:rsid w:val="00F275E8"/>
    <w:rsid w:val="00F30EDA"/>
    <w:rsid w:val="00F30FEE"/>
    <w:rsid w:val="00F31D83"/>
    <w:rsid w:val="00F32695"/>
    <w:rsid w:val="00F333C3"/>
    <w:rsid w:val="00F379B4"/>
    <w:rsid w:val="00F410AE"/>
    <w:rsid w:val="00F423F1"/>
    <w:rsid w:val="00F42AA3"/>
    <w:rsid w:val="00F42F04"/>
    <w:rsid w:val="00F430BB"/>
    <w:rsid w:val="00F435D7"/>
    <w:rsid w:val="00F44C51"/>
    <w:rsid w:val="00F45BC8"/>
    <w:rsid w:val="00F45F97"/>
    <w:rsid w:val="00F4678A"/>
    <w:rsid w:val="00F476DF"/>
    <w:rsid w:val="00F50C18"/>
    <w:rsid w:val="00F53FBC"/>
    <w:rsid w:val="00F565A5"/>
    <w:rsid w:val="00F56B77"/>
    <w:rsid w:val="00F575F0"/>
    <w:rsid w:val="00F577E1"/>
    <w:rsid w:val="00F60F87"/>
    <w:rsid w:val="00F62387"/>
    <w:rsid w:val="00F63D87"/>
    <w:rsid w:val="00F640CB"/>
    <w:rsid w:val="00F65854"/>
    <w:rsid w:val="00F65BE1"/>
    <w:rsid w:val="00F66467"/>
    <w:rsid w:val="00F66691"/>
    <w:rsid w:val="00F66C7B"/>
    <w:rsid w:val="00F6717A"/>
    <w:rsid w:val="00F67DE8"/>
    <w:rsid w:val="00F67ED8"/>
    <w:rsid w:val="00F7177E"/>
    <w:rsid w:val="00F71F0C"/>
    <w:rsid w:val="00F723CC"/>
    <w:rsid w:val="00F727B1"/>
    <w:rsid w:val="00F74F17"/>
    <w:rsid w:val="00F752C5"/>
    <w:rsid w:val="00F75853"/>
    <w:rsid w:val="00F75966"/>
    <w:rsid w:val="00F77431"/>
    <w:rsid w:val="00F81B62"/>
    <w:rsid w:val="00F81F5A"/>
    <w:rsid w:val="00F81F73"/>
    <w:rsid w:val="00F8259E"/>
    <w:rsid w:val="00F847AC"/>
    <w:rsid w:val="00F847F3"/>
    <w:rsid w:val="00F8585F"/>
    <w:rsid w:val="00F85BFB"/>
    <w:rsid w:val="00F85C17"/>
    <w:rsid w:val="00F861F0"/>
    <w:rsid w:val="00F8728E"/>
    <w:rsid w:val="00F8772C"/>
    <w:rsid w:val="00F9064A"/>
    <w:rsid w:val="00F914F7"/>
    <w:rsid w:val="00F91A60"/>
    <w:rsid w:val="00F92342"/>
    <w:rsid w:val="00F92B46"/>
    <w:rsid w:val="00F93F2A"/>
    <w:rsid w:val="00F956C9"/>
    <w:rsid w:val="00F95CE0"/>
    <w:rsid w:val="00F96AF1"/>
    <w:rsid w:val="00F96E06"/>
    <w:rsid w:val="00F976B8"/>
    <w:rsid w:val="00F97DC8"/>
    <w:rsid w:val="00FA0D56"/>
    <w:rsid w:val="00FA12DE"/>
    <w:rsid w:val="00FA3C57"/>
    <w:rsid w:val="00FA49BF"/>
    <w:rsid w:val="00FA6123"/>
    <w:rsid w:val="00FA643A"/>
    <w:rsid w:val="00FA6C64"/>
    <w:rsid w:val="00FB099E"/>
    <w:rsid w:val="00FB0B65"/>
    <w:rsid w:val="00FB1415"/>
    <w:rsid w:val="00FB16A1"/>
    <w:rsid w:val="00FB1C8D"/>
    <w:rsid w:val="00FB20D7"/>
    <w:rsid w:val="00FB267F"/>
    <w:rsid w:val="00FB3952"/>
    <w:rsid w:val="00FB44FA"/>
    <w:rsid w:val="00FB45A1"/>
    <w:rsid w:val="00FB4A35"/>
    <w:rsid w:val="00FB5937"/>
    <w:rsid w:val="00FB623B"/>
    <w:rsid w:val="00FB7A93"/>
    <w:rsid w:val="00FB7D2F"/>
    <w:rsid w:val="00FC04F8"/>
    <w:rsid w:val="00FC0B11"/>
    <w:rsid w:val="00FC0EF4"/>
    <w:rsid w:val="00FC10DE"/>
    <w:rsid w:val="00FC2DC5"/>
    <w:rsid w:val="00FC40F2"/>
    <w:rsid w:val="00FC4E19"/>
    <w:rsid w:val="00FC6410"/>
    <w:rsid w:val="00FD1E8C"/>
    <w:rsid w:val="00FD240C"/>
    <w:rsid w:val="00FD2DDA"/>
    <w:rsid w:val="00FD3A80"/>
    <w:rsid w:val="00FD6771"/>
    <w:rsid w:val="00FD7B4D"/>
    <w:rsid w:val="00FE0E06"/>
    <w:rsid w:val="00FE179B"/>
    <w:rsid w:val="00FE2363"/>
    <w:rsid w:val="00FE239C"/>
    <w:rsid w:val="00FE3B2D"/>
    <w:rsid w:val="00FE3E0E"/>
    <w:rsid w:val="00FE6FF6"/>
    <w:rsid w:val="00FF0D96"/>
    <w:rsid w:val="00FF29AE"/>
    <w:rsid w:val="00FF2D69"/>
    <w:rsid w:val="00FF3B80"/>
    <w:rsid w:val="00FF5E22"/>
    <w:rsid w:val="00FF6B23"/>
    <w:rsid w:val="00FF7C8E"/>
    <w:rsid w:val="02B48F57"/>
    <w:rsid w:val="033120CC"/>
    <w:rsid w:val="044BD815"/>
    <w:rsid w:val="04D1D848"/>
    <w:rsid w:val="052767FE"/>
    <w:rsid w:val="05E874DA"/>
    <w:rsid w:val="074E644C"/>
    <w:rsid w:val="08080CB1"/>
    <w:rsid w:val="0A1C9694"/>
    <w:rsid w:val="0A4EB6E9"/>
    <w:rsid w:val="0ABA1F95"/>
    <w:rsid w:val="0D766920"/>
    <w:rsid w:val="0E065110"/>
    <w:rsid w:val="11BF5F2B"/>
    <w:rsid w:val="1231E15C"/>
    <w:rsid w:val="12F76B0E"/>
    <w:rsid w:val="140F2D64"/>
    <w:rsid w:val="14713D2C"/>
    <w:rsid w:val="14BFE5B9"/>
    <w:rsid w:val="14EC4E21"/>
    <w:rsid w:val="16B44147"/>
    <w:rsid w:val="179DC04A"/>
    <w:rsid w:val="18C1947C"/>
    <w:rsid w:val="18F716B7"/>
    <w:rsid w:val="197969ED"/>
    <w:rsid w:val="1A104E92"/>
    <w:rsid w:val="1B690452"/>
    <w:rsid w:val="1C5AA618"/>
    <w:rsid w:val="1EFD6B61"/>
    <w:rsid w:val="1FCF307B"/>
    <w:rsid w:val="2054A778"/>
    <w:rsid w:val="21F9FA59"/>
    <w:rsid w:val="238A65E2"/>
    <w:rsid w:val="24326187"/>
    <w:rsid w:val="25B515D4"/>
    <w:rsid w:val="2A8BFBEB"/>
    <w:rsid w:val="2B18FC7D"/>
    <w:rsid w:val="2BB5895F"/>
    <w:rsid w:val="2D168C79"/>
    <w:rsid w:val="2F9F3BFB"/>
    <w:rsid w:val="2FAE91C2"/>
    <w:rsid w:val="31151274"/>
    <w:rsid w:val="3128DA95"/>
    <w:rsid w:val="317AE90E"/>
    <w:rsid w:val="317E4579"/>
    <w:rsid w:val="321CFBB4"/>
    <w:rsid w:val="326D4B8C"/>
    <w:rsid w:val="351F575F"/>
    <w:rsid w:val="376EB44E"/>
    <w:rsid w:val="383F962C"/>
    <w:rsid w:val="399B1AB5"/>
    <w:rsid w:val="3A3B2352"/>
    <w:rsid w:val="3AFD9DF3"/>
    <w:rsid w:val="3C45ACCD"/>
    <w:rsid w:val="3F8CAACC"/>
    <w:rsid w:val="3F8DA6EB"/>
    <w:rsid w:val="409019D2"/>
    <w:rsid w:val="4161B2C2"/>
    <w:rsid w:val="43C00187"/>
    <w:rsid w:val="43EE0C97"/>
    <w:rsid w:val="466E7271"/>
    <w:rsid w:val="46859132"/>
    <w:rsid w:val="4754DAA6"/>
    <w:rsid w:val="492BF105"/>
    <w:rsid w:val="4A09D7C2"/>
    <w:rsid w:val="4B638C2B"/>
    <w:rsid w:val="4CBA860F"/>
    <w:rsid w:val="4D9CA278"/>
    <w:rsid w:val="5442187F"/>
    <w:rsid w:val="57BC0C51"/>
    <w:rsid w:val="586DAFC9"/>
    <w:rsid w:val="5A7C07F6"/>
    <w:rsid w:val="5B911C31"/>
    <w:rsid w:val="5DB8FD10"/>
    <w:rsid w:val="5E2CF49A"/>
    <w:rsid w:val="5FC3419E"/>
    <w:rsid w:val="6167F593"/>
    <w:rsid w:val="663E9244"/>
    <w:rsid w:val="688BCAA8"/>
    <w:rsid w:val="6BD51CF6"/>
    <w:rsid w:val="6C37A8DC"/>
    <w:rsid w:val="6CCB5AC0"/>
    <w:rsid w:val="6E1E10E5"/>
    <w:rsid w:val="6E225D48"/>
    <w:rsid w:val="6FF5D199"/>
    <w:rsid w:val="703F713F"/>
    <w:rsid w:val="7165579B"/>
    <w:rsid w:val="7297C8E6"/>
    <w:rsid w:val="73DC8CDB"/>
    <w:rsid w:val="74FFDE6B"/>
    <w:rsid w:val="7569A8CF"/>
    <w:rsid w:val="75EF186F"/>
    <w:rsid w:val="764EDF1D"/>
    <w:rsid w:val="7732B2CF"/>
    <w:rsid w:val="79BAE99A"/>
    <w:rsid w:val="7B76B6CB"/>
    <w:rsid w:val="7C808A58"/>
    <w:rsid w:val="7CE27AA9"/>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3B561D"/>
  <w15:docId w15:val="{E387A817-1332-4141-88E2-C1B8C430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F71"/>
    <w:pPr>
      <w:spacing w:after="100" w:line="360" w:lineRule="auto"/>
      <w:jc w:val="both"/>
    </w:pPr>
    <w:rPr>
      <w:rFonts w:ascii="Book Antiqua" w:hAnsi="Book Antiqua" w:cs="Times New Roman"/>
      <w:sz w:val="24"/>
      <w:szCs w:val="24"/>
      <w:lang w:val="en-GB"/>
    </w:rPr>
  </w:style>
  <w:style w:type="paragraph" w:styleId="1">
    <w:name w:val="heading 1"/>
    <w:basedOn w:val="a"/>
    <w:next w:val="a"/>
    <w:link w:val="10"/>
    <w:uiPriority w:val="9"/>
    <w:qFormat/>
    <w:rsid w:val="00244275"/>
    <w:pPr>
      <w:spacing w:before="200" w:after="200"/>
      <w:jc w:val="left"/>
      <w:outlineLvl w:val="0"/>
    </w:pPr>
    <w:rPr>
      <w:b/>
      <w:sz w:val="28"/>
      <w:lang w:val="en-US"/>
    </w:rPr>
  </w:style>
  <w:style w:type="paragraph" w:styleId="2">
    <w:name w:val="heading 2"/>
    <w:basedOn w:val="a"/>
    <w:next w:val="a"/>
    <w:link w:val="20"/>
    <w:uiPriority w:val="9"/>
    <w:unhideWhenUsed/>
    <w:qFormat/>
    <w:rsid w:val="00CB49EF"/>
    <w:pPr>
      <w:spacing w:before="200" w:after="200"/>
      <w:outlineLvl w:val="1"/>
    </w:pPr>
    <w:rPr>
      <w:b/>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DF1"/>
    <w:pPr>
      <w:spacing w:after="0" w:line="240" w:lineRule="auto"/>
    </w:pPr>
    <w:rPr>
      <w:rFonts w:ascii="Segoe UI" w:hAnsi="Segoe UI" w:cs="Segoe UI"/>
      <w:sz w:val="18"/>
      <w:szCs w:val="18"/>
    </w:rPr>
  </w:style>
  <w:style w:type="character" w:customStyle="1" w:styleId="a4">
    <w:name w:val="批注框文本 字符"/>
    <w:basedOn w:val="a0"/>
    <w:link w:val="a3"/>
    <w:uiPriority w:val="99"/>
    <w:semiHidden/>
    <w:rsid w:val="00D05DF1"/>
    <w:rPr>
      <w:rFonts w:ascii="Segoe UI" w:hAnsi="Segoe UI" w:cs="Segoe UI"/>
      <w:sz w:val="18"/>
      <w:szCs w:val="18"/>
    </w:rPr>
  </w:style>
  <w:style w:type="character" w:styleId="a5">
    <w:name w:val="Hyperlink"/>
    <w:basedOn w:val="a0"/>
    <w:uiPriority w:val="99"/>
    <w:unhideWhenUsed/>
    <w:rsid w:val="00C33C7D"/>
    <w:rPr>
      <w:color w:val="0563C1" w:themeColor="hyperlink"/>
      <w:u w:val="single"/>
    </w:rPr>
  </w:style>
  <w:style w:type="character" w:customStyle="1" w:styleId="UnresolvedMention1">
    <w:name w:val="Unresolved Mention1"/>
    <w:basedOn w:val="a0"/>
    <w:uiPriority w:val="99"/>
    <w:semiHidden/>
    <w:unhideWhenUsed/>
    <w:rsid w:val="00C33C7D"/>
    <w:rPr>
      <w:color w:val="605E5C"/>
      <w:shd w:val="clear" w:color="auto" w:fill="E1DFDD"/>
    </w:rPr>
  </w:style>
  <w:style w:type="character" w:styleId="a6">
    <w:name w:val="Emphasis"/>
    <w:basedOn w:val="a0"/>
    <w:uiPriority w:val="20"/>
    <w:qFormat/>
    <w:rsid w:val="002679FD"/>
    <w:rPr>
      <w:i/>
      <w:iCs/>
    </w:rPr>
  </w:style>
  <w:style w:type="character" w:customStyle="1" w:styleId="mixed-citation">
    <w:name w:val="mixed-citation"/>
    <w:basedOn w:val="a0"/>
    <w:rsid w:val="00FB16A1"/>
  </w:style>
  <w:style w:type="character" w:customStyle="1" w:styleId="ref-title">
    <w:name w:val="ref-title"/>
    <w:basedOn w:val="a0"/>
    <w:rsid w:val="00FB16A1"/>
  </w:style>
  <w:style w:type="character" w:customStyle="1" w:styleId="ref-journal">
    <w:name w:val="ref-journal"/>
    <w:basedOn w:val="a0"/>
    <w:rsid w:val="00FB16A1"/>
  </w:style>
  <w:style w:type="character" w:customStyle="1" w:styleId="ref-vol">
    <w:name w:val="ref-vol"/>
    <w:basedOn w:val="a0"/>
    <w:rsid w:val="00FB16A1"/>
  </w:style>
  <w:style w:type="character" w:styleId="a7">
    <w:name w:val="annotation reference"/>
    <w:basedOn w:val="a0"/>
    <w:uiPriority w:val="99"/>
    <w:unhideWhenUsed/>
    <w:qFormat/>
    <w:rsid w:val="00E3164A"/>
    <w:rPr>
      <w:sz w:val="16"/>
      <w:szCs w:val="16"/>
    </w:rPr>
  </w:style>
  <w:style w:type="paragraph" w:styleId="a8">
    <w:name w:val="annotation text"/>
    <w:basedOn w:val="a"/>
    <w:link w:val="a9"/>
    <w:uiPriority w:val="99"/>
    <w:unhideWhenUsed/>
    <w:qFormat/>
    <w:rsid w:val="00E3164A"/>
    <w:pPr>
      <w:spacing w:line="240" w:lineRule="auto"/>
    </w:pPr>
    <w:rPr>
      <w:sz w:val="20"/>
      <w:szCs w:val="20"/>
    </w:rPr>
  </w:style>
  <w:style w:type="character" w:customStyle="1" w:styleId="a9">
    <w:name w:val="批注文字 字符"/>
    <w:basedOn w:val="a0"/>
    <w:link w:val="a8"/>
    <w:uiPriority w:val="99"/>
    <w:rsid w:val="00E3164A"/>
    <w:rPr>
      <w:sz w:val="20"/>
      <w:szCs w:val="20"/>
    </w:rPr>
  </w:style>
  <w:style w:type="paragraph" w:styleId="aa">
    <w:name w:val="annotation subject"/>
    <w:basedOn w:val="a8"/>
    <w:next w:val="a8"/>
    <w:link w:val="ab"/>
    <w:uiPriority w:val="99"/>
    <w:semiHidden/>
    <w:unhideWhenUsed/>
    <w:rsid w:val="00E3164A"/>
    <w:rPr>
      <w:b/>
      <w:bCs/>
    </w:rPr>
  </w:style>
  <w:style w:type="character" w:customStyle="1" w:styleId="ab">
    <w:name w:val="批注主题 字符"/>
    <w:basedOn w:val="a9"/>
    <w:link w:val="aa"/>
    <w:uiPriority w:val="99"/>
    <w:semiHidden/>
    <w:rsid w:val="00E3164A"/>
    <w:rPr>
      <w:b/>
      <w:bCs/>
      <w:sz w:val="20"/>
      <w:szCs w:val="20"/>
    </w:rPr>
  </w:style>
  <w:style w:type="character" w:customStyle="1" w:styleId="10">
    <w:name w:val="标题 1 字符"/>
    <w:basedOn w:val="a0"/>
    <w:link w:val="1"/>
    <w:uiPriority w:val="9"/>
    <w:rsid w:val="00244275"/>
    <w:rPr>
      <w:rFonts w:ascii="Book Antiqua" w:hAnsi="Book Antiqua" w:cs="Times New Roman"/>
      <w:b/>
      <w:sz w:val="28"/>
      <w:szCs w:val="24"/>
      <w:lang w:val="en-US"/>
    </w:rPr>
  </w:style>
  <w:style w:type="character" w:customStyle="1" w:styleId="20">
    <w:name w:val="标题 2 字符"/>
    <w:basedOn w:val="a0"/>
    <w:link w:val="2"/>
    <w:uiPriority w:val="9"/>
    <w:rsid w:val="00CB49EF"/>
    <w:rPr>
      <w:rFonts w:ascii="Book Antiqua" w:hAnsi="Book Antiqua" w:cs="Times New Roman"/>
      <w:b/>
      <w:sz w:val="24"/>
      <w:szCs w:val="24"/>
      <w:lang w:val="en-US"/>
    </w:rPr>
  </w:style>
  <w:style w:type="table" w:styleId="ac">
    <w:name w:val="Table Grid"/>
    <w:basedOn w:val="a1"/>
    <w:uiPriority w:val="39"/>
    <w:rsid w:val="00B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BD23FC"/>
    <w:pPr>
      <w:spacing w:after="0" w:line="240" w:lineRule="auto"/>
      <w:jc w:val="both"/>
    </w:pPr>
    <w:rPr>
      <w:rFonts w:ascii="Book Antiqua" w:hAnsi="Book Antiqua" w:cs="Times New Roman"/>
      <w:sz w:val="24"/>
      <w:szCs w:val="24"/>
      <w:lang w:val="en-GB"/>
    </w:rPr>
  </w:style>
  <w:style w:type="paragraph" w:customStyle="1" w:styleId="Table">
    <w:name w:val="Table"/>
    <w:basedOn w:val="a"/>
    <w:link w:val="TableChar"/>
    <w:qFormat/>
    <w:rsid w:val="001843F9"/>
    <w:pPr>
      <w:spacing w:after="0" w:line="240" w:lineRule="auto"/>
      <w:contextualSpacing/>
    </w:pPr>
    <w:rPr>
      <w:sz w:val="16"/>
      <w:szCs w:val="16"/>
      <w:lang w:val="en-US"/>
    </w:rPr>
  </w:style>
  <w:style w:type="character" w:customStyle="1" w:styleId="TableChar">
    <w:name w:val="Table Char"/>
    <w:basedOn w:val="a0"/>
    <w:link w:val="Table"/>
    <w:rsid w:val="001843F9"/>
    <w:rPr>
      <w:rFonts w:ascii="Book Antiqua" w:hAnsi="Book Antiqua" w:cs="Times New Roman"/>
      <w:sz w:val="16"/>
      <w:szCs w:val="16"/>
      <w:lang w:val="en-US"/>
    </w:rPr>
  </w:style>
  <w:style w:type="paragraph" w:styleId="ae">
    <w:name w:val="header"/>
    <w:basedOn w:val="a"/>
    <w:link w:val="af"/>
    <w:uiPriority w:val="99"/>
    <w:unhideWhenUsed/>
    <w:rsid w:val="00967608"/>
    <w:pPr>
      <w:tabs>
        <w:tab w:val="center" w:pos="4819"/>
        <w:tab w:val="right" w:pos="9638"/>
      </w:tabs>
      <w:spacing w:after="0" w:line="240" w:lineRule="auto"/>
    </w:pPr>
  </w:style>
  <w:style w:type="character" w:customStyle="1" w:styleId="af">
    <w:name w:val="页眉 字符"/>
    <w:basedOn w:val="a0"/>
    <w:link w:val="ae"/>
    <w:uiPriority w:val="99"/>
    <w:rsid w:val="00967608"/>
    <w:rPr>
      <w:rFonts w:ascii="Book Antiqua" w:hAnsi="Book Antiqua" w:cs="Times New Roman"/>
      <w:sz w:val="24"/>
      <w:szCs w:val="24"/>
      <w:lang w:val="en-GB"/>
    </w:rPr>
  </w:style>
  <w:style w:type="paragraph" w:styleId="af0">
    <w:name w:val="footer"/>
    <w:basedOn w:val="a"/>
    <w:link w:val="af1"/>
    <w:uiPriority w:val="99"/>
    <w:unhideWhenUsed/>
    <w:rsid w:val="00967608"/>
    <w:pPr>
      <w:tabs>
        <w:tab w:val="center" w:pos="4819"/>
        <w:tab w:val="right" w:pos="9638"/>
      </w:tabs>
      <w:spacing w:after="0" w:line="240" w:lineRule="auto"/>
    </w:pPr>
  </w:style>
  <w:style w:type="character" w:customStyle="1" w:styleId="af1">
    <w:name w:val="页脚 字符"/>
    <w:basedOn w:val="a0"/>
    <w:link w:val="af0"/>
    <w:uiPriority w:val="99"/>
    <w:rsid w:val="00967608"/>
    <w:rPr>
      <w:rFonts w:ascii="Book Antiqua" w:hAnsi="Book Antiqua" w:cs="Times New Roman"/>
      <w:sz w:val="24"/>
      <w:szCs w:val="24"/>
      <w:lang w:val="en-GB"/>
    </w:rPr>
  </w:style>
  <w:style w:type="paragraph" w:styleId="af2">
    <w:name w:val="Revision"/>
    <w:hidden/>
    <w:uiPriority w:val="99"/>
    <w:semiHidden/>
    <w:rsid w:val="00375C8A"/>
    <w:pPr>
      <w:spacing w:after="0" w:line="240" w:lineRule="auto"/>
    </w:pPr>
    <w:rPr>
      <w:rFonts w:ascii="Book Antiqua" w:hAnsi="Book Antiqua" w:cs="Times New Roman"/>
      <w:sz w:val="24"/>
      <w:szCs w:val="24"/>
      <w:lang w:val="en-GB"/>
    </w:rPr>
  </w:style>
  <w:style w:type="character" w:customStyle="1" w:styleId="highlight">
    <w:name w:val="highlight"/>
    <w:basedOn w:val="a0"/>
    <w:rsid w:val="00F333C3"/>
  </w:style>
  <w:style w:type="character" w:styleId="af3">
    <w:name w:val="FollowedHyperlink"/>
    <w:basedOn w:val="a0"/>
    <w:uiPriority w:val="99"/>
    <w:semiHidden/>
    <w:unhideWhenUsed/>
    <w:rsid w:val="001E0FB3"/>
    <w:rPr>
      <w:color w:val="954F72" w:themeColor="followedHyperlink"/>
      <w:u w:val="single"/>
    </w:rPr>
  </w:style>
  <w:style w:type="paragraph" w:styleId="HTML">
    <w:name w:val="HTML Preformatted"/>
    <w:basedOn w:val="a"/>
    <w:link w:val="HTML0"/>
    <w:uiPriority w:val="99"/>
    <w:semiHidden/>
    <w:unhideWhenUsed/>
    <w:rsid w:val="009C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fi-FI" w:eastAsia="fi-FI"/>
    </w:rPr>
  </w:style>
  <w:style w:type="character" w:customStyle="1" w:styleId="HTML0">
    <w:name w:val="HTML 预设格式 字符"/>
    <w:basedOn w:val="a0"/>
    <w:link w:val="HTML"/>
    <w:uiPriority w:val="99"/>
    <w:semiHidden/>
    <w:rsid w:val="009C7E27"/>
    <w:rPr>
      <w:rFonts w:ascii="Courier New" w:eastAsia="Times New Roman" w:hAnsi="Courier New" w:cs="Courier New"/>
      <w:sz w:val="20"/>
      <w:szCs w:val="20"/>
      <w:lang w:eastAsia="fi-FI"/>
    </w:rPr>
  </w:style>
  <w:style w:type="character" w:customStyle="1" w:styleId="11">
    <w:name w:val="批注文字 字符1"/>
    <w:basedOn w:val="a0"/>
    <w:uiPriority w:val="99"/>
    <w:qFormat/>
    <w:rsid w:val="00F01897"/>
    <w:rPr>
      <w:rFonts w:ascii="Calibri" w:eastAsia="宋体" w:hAnsi="Calibri" w:cs="Times New Roman"/>
      <w:kern w:val="0"/>
      <w:sz w:val="22"/>
      <w:lang w:val="en-GB" w:eastAsia="en-US"/>
    </w:rPr>
  </w:style>
  <w:style w:type="paragraph" w:styleId="af4">
    <w:name w:val="List Paragraph"/>
    <w:basedOn w:val="a"/>
    <w:uiPriority w:val="34"/>
    <w:qFormat/>
    <w:rsid w:val="00F01897"/>
    <w:pPr>
      <w:widowControl w:val="0"/>
      <w:spacing w:after="0" w:line="240" w:lineRule="auto"/>
      <w:ind w:firstLineChars="200" w:firstLine="420"/>
    </w:pPr>
    <w:rPr>
      <w:rFonts w:asciiTheme="minorHAnsi" w:eastAsiaTheme="minorEastAsia" w:hAnsiTheme="minorHAnsi" w:cstheme="minorBidi"/>
      <w:kern w:val="2"/>
      <w:sz w:val="21"/>
      <w:szCs w:val="22"/>
      <w:lang w:val="en-US" w:eastAsia="zh-CN"/>
    </w:rPr>
  </w:style>
  <w:style w:type="numbering" w:customStyle="1" w:styleId="12">
    <w:name w:val="无列表1"/>
    <w:next w:val="a2"/>
    <w:uiPriority w:val="99"/>
    <w:semiHidden/>
    <w:unhideWhenUsed/>
    <w:rsid w:val="00B60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413">
      <w:bodyDiv w:val="1"/>
      <w:marLeft w:val="0"/>
      <w:marRight w:val="0"/>
      <w:marTop w:val="0"/>
      <w:marBottom w:val="0"/>
      <w:divBdr>
        <w:top w:val="none" w:sz="0" w:space="0" w:color="auto"/>
        <w:left w:val="none" w:sz="0" w:space="0" w:color="auto"/>
        <w:bottom w:val="none" w:sz="0" w:space="0" w:color="auto"/>
        <w:right w:val="none" w:sz="0" w:space="0" w:color="auto"/>
      </w:divBdr>
    </w:div>
    <w:div w:id="370225363">
      <w:bodyDiv w:val="1"/>
      <w:marLeft w:val="0"/>
      <w:marRight w:val="0"/>
      <w:marTop w:val="0"/>
      <w:marBottom w:val="0"/>
      <w:divBdr>
        <w:top w:val="none" w:sz="0" w:space="0" w:color="auto"/>
        <w:left w:val="none" w:sz="0" w:space="0" w:color="auto"/>
        <w:bottom w:val="none" w:sz="0" w:space="0" w:color="auto"/>
        <w:right w:val="none" w:sz="0" w:space="0" w:color="auto"/>
      </w:divBdr>
      <w:divsChild>
        <w:div w:id="1897087201">
          <w:marLeft w:val="0"/>
          <w:marRight w:val="1"/>
          <w:marTop w:val="0"/>
          <w:marBottom w:val="0"/>
          <w:divBdr>
            <w:top w:val="none" w:sz="0" w:space="0" w:color="auto"/>
            <w:left w:val="none" w:sz="0" w:space="0" w:color="auto"/>
            <w:bottom w:val="none" w:sz="0" w:space="0" w:color="auto"/>
            <w:right w:val="none" w:sz="0" w:space="0" w:color="auto"/>
          </w:divBdr>
          <w:divsChild>
            <w:div w:id="347831364">
              <w:marLeft w:val="0"/>
              <w:marRight w:val="0"/>
              <w:marTop w:val="0"/>
              <w:marBottom w:val="0"/>
              <w:divBdr>
                <w:top w:val="none" w:sz="0" w:space="0" w:color="auto"/>
                <w:left w:val="none" w:sz="0" w:space="0" w:color="auto"/>
                <w:bottom w:val="none" w:sz="0" w:space="0" w:color="auto"/>
                <w:right w:val="none" w:sz="0" w:space="0" w:color="auto"/>
              </w:divBdr>
              <w:divsChild>
                <w:div w:id="971441063">
                  <w:marLeft w:val="0"/>
                  <w:marRight w:val="1"/>
                  <w:marTop w:val="0"/>
                  <w:marBottom w:val="0"/>
                  <w:divBdr>
                    <w:top w:val="none" w:sz="0" w:space="0" w:color="auto"/>
                    <w:left w:val="none" w:sz="0" w:space="0" w:color="auto"/>
                    <w:bottom w:val="none" w:sz="0" w:space="0" w:color="auto"/>
                    <w:right w:val="none" w:sz="0" w:space="0" w:color="auto"/>
                  </w:divBdr>
                  <w:divsChild>
                    <w:div w:id="724722736">
                      <w:marLeft w:val="0"/>
                      <w:marRight w:val="0"/>
                      <w:marTop w:val="0"/>
                      <w:marBottom w:val="0"/>
                      <w:divBdr>
                        <w:top w:val="none" w:sz="0" w:space="0" w:color="auto"/>
                        <w:left w:val="none" w:sz="0" w:space="0" w:color="auto"/>
                        <w:bottom w:val="none" w:sz="0" w:space="0" w:color="auto"/>
                        <w:right w:val="none" w:sz="0" w:space="0" w:color="auto"/>
                      </w:divBdr>
                      <w:divsChild>
                        <w:div w:id="1895967334">
                          <w:marLeft w:val="0"/>
                          <w:marRight w:val="0"/>
                          <w:marTop w:val="0"/>
                          <w:marBottom w:val="0"/>
                          <w:divBdr>
                            <w:top w:val="none" w:sz="0" w:space="0" w:color="auto"/>
                            <w:left w:val="none" w:sz="0" w:space="0" w:color="auto"/>
                            <w:bottom w:val="none" w:sz="0" w:space="0" w:color="auto"/>
                            <w:right w:val="none" w:sz="0" w:space="0" w:color="auto"/>
                          </w:divBdr>
                          <w:divsChild>
                            <w:div w:id="2024239512">
                              <w:marLeft w:val="0"/>
                              <w:marRight w:val="0"/>
                              <w:marTop w:val="120"/>
                              <w:marBottom w:val="360"/>
                              <w:divBdr>
                                <w:top w:val="none" w:sz="0" w:space="0" w:color="auto"/>
                                <w:left w:val="none" w:sz="0" w:space="0" w:color="auto"/>
                                <w:bottom w:val="none" w:sz="0" w:space="0" w:color="auto"/>
                                <w:right w:val="none" w:sz="0" w:space="0" w:color="auto"/>
                              </w:divBdr>
                              <w:divsChild>
                                <w:div w:id="1500536278">
                                  <w:marLeft w:val="0"/>
                                  <w:marRight w:val="0"/>
                                  <w:marTop w:val="0"/>
                                  <w:marBottom w:val="0"/>
                                  <w:divBdr>
                                    <w:top w:val="none" w:sz="0" w:space="0" w:color="auto"/>
                                    <w:left w:val="none" w:sz="0" w:space="0" w:color="auto"/>
                                    <w:bottom w:val="none" w:sz="0" w:space="0" w:color="auto"/>
                                    <w:right w:val="none" w:sz="0" w:space="0" w:color="auto"/>
                                  </w:divBdr>
                                  <w:divsChild>
                                    <w:div w:id="13271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937286">
      <w:bodyDiv w:val="1"/>
      <w:marLeft w:val="0"/>
      <w:marRight w:val="0"/>
      <w:marTop w:val="0"/>
      <w:marBottom w:val="0"/>
      <w:divBdr>
        <w:top w:val="none" w:sz="0" w:space="0" w:color="auto"/>
        <w:left w:val="none" w:sz="0" w:space="0" w:color="auto"/>
        <w:bottom w:val="none" w:sz="0" w:space="0" w:color="auto"/>
        <w:right w:val="none" w:sz="0" w:space="0" w:color="auto"/>
      </w:divBdr>
      <w:divsChild>
        <w:div w:id="473839555">
          <w:marLeft w:val="0"/>
          <w:marRight w:val="1"/>
          <w:marTop w:val="0"/>
          <w:marBottom w:val="0"/>
          <w:divBdr>
            <w:top w:val="none" w:sz="0" w:space="0" w:color="auto"/>
            <w:left w:val="none" w:sz="0" w:space="0" w:color="auto"/>
            <w:bottom w:val="none" w:sz="0" w:space="0" w:color="auto"/>
            <w:right w:val="none" w:sz="0" w:space="0" w:color="auto"/>
          </w:divBdr>
          <w:divsChild>
            <w:div w:id="1818960165">
              <w:marLeft w:val="0"/>
              <w:marRight w:val="0"/>
              <w:marTop w:val="0"/>
              <w:marBottom w:val="0"/>
              <w:divBdr>
                <w:top w:val="none" w:sz="0" w:space="0" w:color="auto"/>
                <w:left w:val="none" w:sz="0" w:space="0" w:color="auto"/>
                <w:bottom w:val="none" w:sz="0" w:space="0" w:color="auto"/>
                <w:right w:val="none" w:sz="0" w:space="0" w:color="auto"/>
              </w:divBdr>
              <w:divsChild>
                <w:div w:id="287207491">
                  <w:marLeft w:val="0"/>
                  <w:marRight w:val="1"/>
                  <w:marTop w:val="0"/>
                  <w:marBottom w:val="0"/>
                  <w:divBdr>
                    <w:top w:val="none" w:sz="0" w:space="0" w:color="auto"/>
                    <w:left w:val="none" w:sz="0" w:space="0" w:color="auto"/>
                    <w:bottom w:val="none" w:sz="0" w:space="0" w:color="auto"/>
                    <w:right w:val="none" w:sz="0" w:space="0" w:color="auto"/>
                  </w:divBdr>
                  <w:divsChild>
                    <w:div w:id="187332153">
                      <w:marLeft w:val="0"/>
                      <w:marRight w:val="0"/>
                      <w:marTop w:val="0"/>
                      <w:marBottom w:val="0"/>
                      <w:divBdr>
                        <w:top w:val="none" w:sz="0" w:space="0" w:color="auto"/>
                        <w:left w:val="none" w:sz="0" w:space="0" w:color="auto"/>
                        <w:bottom w:val="none" w:sz="0" w:space="0" w:color="auto"/>
                        <w:right w:val="none" w:sz="0" w:space="0" w:color="auto"/>
                      </w:divBdr>
                      <w:divsChild>
                        <w:div w:id="430510839">
                          <w:marLeft w:val="0"/>
                          <w:marRight w:val="0"/>
                          <w:marTop w:val="0"/>
                          <w:marBottom w:val="0"/>
                          <w:divBdr>
                            <w:top w:val="none" w:sz="0" w:space="0" w:color="auto"/>
                            <w:left w:val="none" w:sz="0" w:space="0" w:color="auto"/>
                            <w:bottom w:val="none" w:sz="0" w:space="0" w:color="auto"/>
                            <w:right w:val="none" w:sz="0" w:space="0" w:color="auto"/>
                          </w:divBdr>
                          <w:divsChild>
                            <w:div w:id="861095288">
                              <w:marLeft w:val="0"/>
                              <w:marRight w:val="0"/>
                              <w:marTop w:val="120"/>
                              <w:marBottom w:val="360"/>
                              <w:divBdr>
                                <w:top w:val="none" w:sz="0" w:space="0" w:color="auto"/>
                                <w:left w:val="none" w:sz="0" w:space="0" w:color="auto"/>
                                <w:bottom w:val="none" w:sz="0" w:space="0" w:color="auto"/>
                                <w:right w:val="none" w:sz="0" w:space="0" w:color="auto"/>
                              </w:divBdr>
                              <w:divsChild>
                                <w:div w:id="2009090651">
                                  <w:marLeft w:val="420"/>
                                  <w:marRight w:val="0"/>
                                  <w:marTop w:val="0"/>
                                  <w:marBottom w:val="0"/>
                                  <w:divBdr>
                                    <w:top w:val="none" w:sz="0" w:space="0" w:color="auto"/>
                                    <w:left w:val="none" w:sz="0" w:space="0" w:color="auto"/>
                                    <w:bottom w:val="none" w:sz="0" w:space="0" w:color="auto"/>
                                    <w:right w:val="none" w:sz="0" w:space="0" w:color="auto"/>
                                  </w:divBdr>
                                  <w:divsChild>
                                    <w:div w:id="580414461">
                                      <w:marLeft w:val="0"/>
                                      <w:marRight w:val="0"/>
                                      <w:marTop w:val="0"/>
                                      <w:marBottom w:val="0"/>
                                      <w:divBdr>
                                        <w:top w:val="none" w:sz="0" w:space="0" w:color="auto"/>
                                        <w:left w:val="none" w:sz="0" w:space="0" w:color="auto"/>
                                        <w:bottom w:val="none" w:sz="0" w:space="0" w:color="auto"/>
                                        <w:right w:val="none" w:sz="0" w:space="0" w:color="auto"/>
                                      </w:divBdr>
                                      <w:divsChild>
                                        <w:div w:id="11537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DC56-4209-4EC2-ABB9-608C6642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150879</Words>
  <Characters>860015</Characters>
  <Application>Microsoft Office Word</Application>
  <DocSecurity>0</DocSecurity>
  <Lines>7166</Lines>
  <Paragraphs>2017</Paragraphs>
  <ScaleCrop>false</ScaleCrop>
  <HeadingPairs>
    <vt:vector size="2" baseType="variant">
      <vt:variant>
        <vt:lpstr>Title</vt:lpstr>
      </vt:variant>
      <vt:variant>
        <vt:i4>1</vt:i4>
      </vt:variant>
    </vt:vector>
  </HeadingPairs>
  <TitlesOfParts>
    <vt:vector size="1" baseType="lpstr">
      <vt:lpstr/>
    </vt:vector>
  </TitlesOfParts>
  <Company>Oulun yliopisto</Company>
  <LinksUpToDate>false</LinksUpToDate>
  <CharactersWithSpaces>1008877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Tuomisto</dc:creator>
  <cp:keywords/>
  <dc:description/>
  <cp:lastModifiedBy>HP</cp:lastModifiedBy>
  <cp:revision>2</cp:revision>
  <cp:lastPrinted>2019-06-04T09:27:00Z</cp:lastPrinted>
  <dcterms:created xsi:type="dcterms:W3CDTF">2019-07-19T14:04:00Z</dcterms:created>
  <dcterms:modified xsi:type="dcterms:W3CDTF">2019-07-19T14:04:00Z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http://www.zotero.org/styles/british-journal-of-cancer</vt:lpwstr>
  </property>
  <property fmtid="{D5CDD505-2E9C-101B-9397-08002B2CF9AE}" pid="5" name="Mendeley Recent Style Name 1_1">
    <vt:lpwstr>British Journal of Cancer</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http://www.zotero.org/styles/international-journal-of-cancer</vt:lpwstr>
  </property>
  <property fmtid="{D5CDD505-2E9C-101B-9397-08002B2CF9AE}" pid="13" name="Mendeley Recent Style Name 5_1">
    <vt:lpwstr>International Journal of Cancer</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39d494e4-190e-349f-8c06-59ba8a0e5e4f</vt:lpwstr>
  </property>
  <property fmtid="{D5CDD505-2E9C-101B-9397-08002B2CF9AE}" pid="24" name="Mendeley Citation Style_1">
    <vt:lpwstr>http://www.zotero.org/styles/world-journal-of-gastroenterology</vt:lpwstr>
  </property>
</Properties>
</file>