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55C" w:rsidRPr="00FE5422" w:rsidRDefault="0097455C" w:rsidP="00631641">
      <w:pPr>
        <w:spacing w:line="360" w:lineRule="auto"/>
        <w:jc w:val="both"/>
        <w:rPr>
          <w:rFonts w:ascii="Book Antiqua" w:hAnsi="Book Antiqua" w:cs="Times New Roman"/>
          <w:i/>
          <w:iCs/>
          <w:color w:val="000000" w:themeColor="text1"/>
          <w:sz w:val="24"/>
          <w:szCs w:val="24"/>
        </w:rPr>
      </w:pPr>
      <w:r w:rsidRPr="00FE5422">
        <w:rPr>
          <w:rFonts w:ascii="Book Antiqua" w:hAnsi="Book Antiqua" w:cs="Times New Roman"/>
          <w:b/>
          <w:bCs/>
          <w:color w:val="000000" w:themeColor="text1"/>
          <w:sz w:val="24"/>
          <w:szCs w:val="24"/>
        </w:rPr>
        <w:t xml:space="preserve">Name of Journal: </w:t>
      </w:r>
      <w:r w:rsidRPr="00FE5422">
        <w:rPr>
          <w:rFonts w:ascii="Book Antiqua" w:hAnsi="Book Antiqua" w:cs="Times New Roman"/>
          <w:i/>
          <w:iCs/>
          <w:color w:val="000000" w:themeColor="text1"/>
          <w:sz w:val="24"/>
          <w:szCs w:val="24"/>
        </w:rPr>
        <w:t>World Journal of Clinical Cases</w:t>
      </w:r>
    </w:p>
    <w:p w:rsidR="0097455C" w:rsidRPr="00FE5422" w:rsidRDefault="0097455C"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NO: </w:t>
      </w:r>
      <w:r w:rsidRPr="00FE5422">
        <w:rPr>
          <w:rFonts w:ascii="Book Antiqua" w:eastAsiaTheme="minorEastAsia" w:hAnsi="Book Antiqua" w:cs="Times New Roman"/>
          <w:color w:val="000000" w:themeColor="text1"/>
          <w:sz w:val="24"/>
          <w:szCs w:val="24"/>
          <w:lang w:eastAsia="zh-CN"/>
        </w:rPr>
        <w:t>48438</w:t>
      </w:r>
    </w:p>
    <w:p w:rsidR="0097455C" w:rsidRPr="00FE5422" w:rsidRDefault="0097455C"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Type: </w:t>
      </w:r>
      <w:r w:rsidRPr="00FE5422">
        <w:rPr>
          <w:rFonts w:ascii="Book Antiqua" w:eastAsiaTheme="minorEastAsia" w:hAnsi="Book Antiqua" w:cs="Times New Roman"/>
          <w:color w:val="000000" w:themeColor="text1"/>
          <w:sz w:val="24"/>
          <w:szCs w:val="24"/>
          <w:lang w:eastAsia="zh-CN"/>
        </w:rPr>
        <w:t>MINIREVIEW</w:t>
      </w:r>
      <w:r w:rsidR="002F5C1C">
        <w:rPr>
          <w:rFonts w:ascii="Book Antiqua" w:eastAsiaTheme="minorEastAsia" w:hAnsi="Book Antiqua" w:cs="Times New Roman" w:hint="eastAsia"/>
          <w:color w:val="000000" w:themeColor="text1"/>
          <w:sz w:val="24"/>
          <w:szCs w:val="24"/>
          <w:lang w:eastAsia="zh-CN"/>
        </w:rPr>
        <w:t>S</w:t>
      </w:r>
    </w:p>
    <w:p w:rsidR="0097455C" w:rsidRPr="00FE5422" w:rsidRDefault="0097455C" w:rsidP="00631641">
      <w:pPr>
        <w:pStyle w:val="1"/>
        <w:spacing w:line="360" w:lineRule="auto"/>
        <w:ind w:left="0" w:right="199"/>
        <w:rPr>
          <w:rFonts w:ascii="Book Antiqua" w:eastAsiaTheme="minorEastAsia" w:hAnsi="Book Antiqua"/>
          <w:color w:val="000000" w:themeColor="text1"/>
          <w:sz w:val="24"/>
          <w:szCs w:val="24"/>
          <w:lang w:eastAsia="zh-CN"/>
        </w:rPr>
      </w:pPr>
    </w:p>
    <w:p w:rsidR="009C6234" w:rsidRPr="00FE5422" w:rsidRDefault="00EA2BD3" w:rsidP="00631641">
      <w:pPr>
        <w:pStyle w:val="1"/>
        <w:spacing w:line="360" w:lineRule="auto"/>
        <w:ind w:left="0" w:right="199"/>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Multifocal</w:t>
      </w:r>
      <w:r w:rsidRPr="00FE5422">
        <w:rPr>
          <w:rFonts w:ascii="Book Antiqua" w:hAnsi="Book Antiqua"/>
          <w:color w:val="000000" w:themeColor="text1"/>
          <w:spacing w:val="-16"/>
          <w:sz w:val="24"/>
          <w:szCs w:val="24"/>
        </w:rPr>
        <w:t xml:space="preserve"> </w:t>
      </w:r>
      <w:r w:rsidRPr="00FE5422">
        <w:rPr>
          <w:rFonts w:ascii="Book Antiqua" w:hAnsi="Book Antiqua"/>
          <w:color w:val="000000" w:themeColor="text1"/>
          <w:sz w:val="24"/>
          <w:szCs w:val="24"/>
        </w:rPr>
        <w:t>G1-G2</w:t>
      </w:r>
      <w:r w:rsidRPr="00FE5422">
        <w:rPr>
          <w:rFonts w:ascii="Book Antiqua" w:hAnsi="Book Antiqua"/>
          <w:color w:val="000000" w:themeColor="text1"/>
          <w:spacing w:val="-14"/>
          <w:sz w:val="24"/>
          <w:szCs w:val="24"/>
        </w:rPr>
        <w:t xml:space="preserve"> </w:t>
      </w:r>
      <w:r w:rsidR="005A463A" w:rsidRPr="00FE5422">
        <w:rPr>
          <w:rFonts w:ascii="Book Antiqua" w:hAnsi="Book Antiqua"/>
          <w:color w:val="000000" w:themeColor="text1"/>
          <w:sz w:val="24"/>
          <w:szCs w:val="24"/>
        </w:rPr>
        <w:t>gastric</w:t>
      </w:r>
      <w:r w:rsidR="005A463A" w:rsidRPr="00FE5422">
        <w:rPr>
          <w:rFonts w:ascii="Book Antiqua" w:hAnsi="Book Antiqua"/>
          <w:color w:val="000000" w:themeColor="text1"/>
          <w:spacing w:val="-12"/>
          <w:sz w:val="24"/>
          <w:szCs w:val="24"/>
        </w:rPr>
        <w:t xml:space="preserve"> </w:t>
      </w:r>
      <w:r w:rsidR="005A463A" w:rsidRPr="00FE5422">
        <w:rPr>
          <w:rFonts w:ascii="Book Antiqua" w:hAnsi="Book Antiqua"/>
          <w:color w:val="000000" w:themeColor="text1"/>
          <w:sz w:val="24"/>
          <w:szCs w:val="24"/>
        </w:rPr>
        <w:t>neuroendocrine</w:t>
      </w:r>
      <w:r w:rsidR="005A463A" w:rsidRPr="00FE5422">
        <w:rPr>
          <w:rFonts w:ascii="Book Antiqua" w:hAnsi="Book Antiqua"/>
          <w:color w:val="000000" w:themeColor="text1"/>
          <w:spacing w:val="-11"/>
          <w:sz w:val="24"/>
          <w:szCs w:val="24"/>
        </w:rPr>
        <w:t xml:space="preserve"> </w:t>
      </w:r>
      <w:r w:rsidR="005A463A" w:rsidRPr="00FE5422">
        <w:rPr>
          <w:rFonts w:ascii="Book Antiqua" w:hAnsi="Book Antiqua"/>
          <w:color w:val="000000" w:themeColor="text1"/>
          <w:sz w:val="24"/>
          <w:szCs w:val="24"/>
        </w:rPr>
        <w:t>tumors</w:t>
      </w:r>
      <w:r w:rsidRPr="00FE5422">
        <w:rPr>
          <w:rFonts w:ascii="Book Antiqua" w:hAnsi="Book Antiqua"/>
          <w:color w:val="000000" w:themeColor="text1"/>
          <w:sz w:val="24"/>
          <w:szCs w:val="24"/>
        </w:rPr>
        <w: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Differentiating</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between</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pacing w:val="-3"/>
          <w:sz w:val="24"/>
          <w:szCs w:val="24"/>
        </w:rPr>
        <w:t>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II</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7"/>
          <w:sz w:val="24"/>
          <w:szCs w:val="24"/>
        </w:rPr>
        <w:t xml:space="preserve"> </w:t>
      </w:r>
      <w:r w:rsidR="005A463A" w:rsidRPr="00FE5422">
        <w:rPr>
          <w:rFonts w:ascii="Book Antiqua" w:hAnsi="Book Antiqua"/>
          <w:color w:val="000000" w:themeColor="text1"/>
          <w:sz w:val="24"/>
          <w:szCs w:val="24"/>
        </w:rPr>
        <w:t>III</w:t>
      </w:r>
      <w:r w:rsidR="005A463A" w:rsidRPr="00FE5422">
        <w:rPr>
          <w:rFonts w:ascii="Book Antiqua" w:eastAsiaTheme="minorEastAsia" w:hAnsi="Book Antiqua"/>
          <w:color w:val="000000" w:themeColor="text1"/>
          <w:sz w:val="24"/>
          <w:szCs w:val="24"/>
          <w:lang w:eastAsia="zh-CN"/>
        </w:rPr>
        <w:t>,</w:t>
      </w:r>
      <w:r w:rsidR="005A463A" w:rsidRPr="00FE5422">
        <w:rPr>
          <w:rFonts w:ascii="Book Antiqua" w:hAnsi="Book Antiqua"/>
          <w:color w:val="000000" w:themeColor="text1"/>
          <w:spacing w:val="-8"/>
          <w:sz w:val="24"/>
          <w:szCs w:val="24"/>
        </w:rPr>
        <w:t xml:space="preserve"> </w:t>
      </w:r>
      <w:r w:rsidR="005A463A" w:rsidRPr="00FE5422">
        <w:rPr>
          <w:rFonts w:ascii="Book Antiqua" w:hAnsi="Book Antiqua"/>
          <w:color w:val="000000" w:themeColor="text1"/>
          <w:sz w:val="24"/>
          <w:szCs w:val="24"/>
        </w:rPr>
        <w:t>a</w:t>
      </w:r>
      <w:r w:rsidR="005A463A" w:rsidRPr="00FE5422">
        <w:rPr>
          <w:rFonts w:ascii="Book Antiqua" w:hAnsi="Book Antiqua"/>
          <w:color w:val="000000" w:themeColor="text1"/>
          <w:spacing w:val="-18"/>
          <w:sz w:val="24"/>
          <w:szCs w:val="24"/>
        </w:rPr>
        <w:t xml:space="preserve"> </w:t>
      </w:r>
      <w:r w:rsidR="005A463A" w:rsidRPr="00FE5422">
        <w:rPr>
          <w:rFonts w:ascii="Book Antiqua" w:hAnsi="Book Antiqua"/>
          <w:color w:val="000000" w:themeColor="text1"/>
          <w:sz w:val="24"/>
          <w:szCs w:val="24"/>
        </w:rPr>
        <w:t>clinicopathologic review</w:t>
      </w:r>
    </w:p>
    <w:p w:rsidR="00BB5F01" w:rsidRPr="00FE5422" w:rsidRDefault="00BB5F01" w:rsidP="00631641">
      <w:pPr>
        <w:pStyle w:val="1"/>
        <w:spacing w:line="360" w:lineRule="auto"/>
        <w:ind w:left="0" w:right="199"/>
        <w:rPr>
          <w:rFonts w:ascii="Book Antiqua" w:eastAsiaTheme="minorEastAsia" w:hAnsi="Book Antiqua"/>
          <w:color w:val="000000" w:themeColor="text1"/>
          <w:sz w:val="24"/>
          <w:szCs w:val="24"/>
          <w:lang w:eastAsia="zh-CN"/>
        </w:rPr>
      </w:pPr>
    </w:p>
    <w:p w:rsidR="005A463A" w:rsidRPr="00FE5422" w:rsidRDefault="00BB5F01" w:rsidP="00631641">
      <w:pPr>
        <w:pStyle w:val="1"/>
        <w:spacing w:line="360" w:lineRule="auto"/>
        <w:ind w:left="0" w:right="199"/>
        <w:rPr>
          <w:rFonts w:ascii="Book Antiqua" w:eastAsiaTheme="minorEastAsia" w:hAnsi="Book Antiqua"/>
          <w:b w:val="0"/>
          <w:color w:val="000000" w:themeColor="text1"/>
          <w:sz w:val="24"/>
          <w:szCs w:val="24"/>
          <w:lang w:eastAsia="zh-CN"/>
        </w:rPr>
      </w:pPr>
      <w:r w:rsidRPr="00FE5422">
        <w:rPr>
          <w:rFonts w:ascii="Book Antiqua" w:hAnsi="Book Antiqua"/>
          <w:b w:val="0"/>
          <w:color w:val="000000" w:themeColor="text1"/>
          <w:sz w:val="24"/>
          <w:szCs w:val="24"/>
        </w:rPr>
        <w:t xml:space="preserve">Algashaamy </w:t>
      </w:r>
      <w:r w:rsidRPr="00FE5422">
        <w:rPr>
          <w:rFonts w:ascii="Book Antiqua" w:eastAsiaTheme="minorEastAsia" w:hAnsi="Book Antiqua"/>
          <w:b w:val="0"/>
          <w:color w:val="000000" w:themeColor="text1"/>
          <w:sz w:val="24"/>
          <w:szCs w:val="24"/>
          <w:lang w:eastAsia="zh-CN"/>
        </w:rPr>
        <w:t xml:space="preserve">K </w:t>
      </w:r>
      <w:r w:rsidRPr="00FE5422">
        <w:rPr>
          <w:rFonts w:ascii="Book Antiqua" w:eastAsiaTheme="minorEastAsia" w:hAnsi="Book Antiqua"/>
          <w:b w:val="0"/>
          <w:i/>
          <w:color w:val="000000" w:themeColor="text1"/>
          <w:sz w:val="24"/>
          <w:szCs w:val="24"/>
          <w:lang w:eastAsia="zh-CN"/>
        </w:rPr>
        <w:t>et al</w:t>
      </w:r>
      <w:r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Multifocal</w:t>
      </w:r>
      <w:r w:rsidRPr="00FE5422">
        <w:rPr>
          <w:rFonts w:ascii="Book Antiqua" w:hAnsi="Book Antiqua"/>
          <w:b w:val="0"/>
          <w:color w:val="000000" w:themeColor="text1"/>
          <w:spacing w:val="-16"/>
          <w:sz w:val="24"/>
          <w:szCs w:val="24"/>
        </w:rPr>
        <w:t xml:space="preserve"> </w:t>
      </w:r>
      <w:r w:rsidRPr="00FE5422">
        <w:rPr>
          <w:rFonts w:ascii="Book Antiqua" w:hAnsi="Book Antiqua"/>
          <w:b w:val="0"/>
          <w:color w:val="000000" w:themeColor="text1"/>
          <w:sz w:val="24"/>
          <w:szCs w:val="24"/>
        </w:rPr>
        <w:t>G1-G2</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gastric</w:t>
      </w:r>
      <w:r w:rsidRPr="00FE5422">
        <w:rPr>
          <w:rFonts w:ascii="Book Antiqua" w:hAnsi="Book Antiqua"/>
          <w:b w:val="0"/>
          <w:color w:val="000000" w:themeColor="text1"/>
          <w:spacing w:val="-12"/>
          <w:sz w:val="24"/>
          <w:szCs w:val="24"/>
        </w:rPr>
        <w:t xml:space="preserve"> </w:t>
      </w:r>
      <w:r w:rsidRPr="00FE5422">
        <w:rPr>
          <w:rFonts w:ascii="Book Antiqua" w:hAnsi="Book Antiqua"/>
          <w:b w:val="0"/>
          <w:color w:val="000000" w:themeColor="text1"/>
          <w:sz w:val="24"/>
          <w:szCs w:val="24"/>
        </w:rPr>
        <w:t>neuroendocrine</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tumors</w:t>
      </w:r>
    </w:p>
    <w:p w:rsidR="00BB5F01" w:rsidRPr="00FE5422" w:rsidRDefault="00BB5F01" w:rsidP="00631641">
      <w:pPr>
        <w:pStyle w:val="1"/>
        <w:spacing w:line="360" w:lineRule="auto"/>
        <w:ind w:left="0" w:right="199"/>
        <w:rPr>
          <w:rFonts w:ascii="Book Antiqua" w:eastAsiaTheme="minorEastAsia" w:hAnsi="Book Antiqua"/>
          <w:color w:val="000000" w:themeColor="text1"/>
          <w:sz w:val="24"/>
          <w:szCs w:val="24"/>
          <w:lang w:eastAsia="zh-CN"/>
        </w:rPr>
      </w:pPr>
    </w:p>
    <w:p w:rsidR="009C6234" w:rsidRPr="00FE5422" w:rsidRDefault="00EA2BD3"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Khaled Algashaamy, Monica Garcia-Buitrago</w:t>
      </w:r>
    </w:p>
    <w:p w:rsidR="005A463A" w:rsidRPr="00FE5422" w:rsidRDefault="005A463A" w:rsidP="00631641">
      <w:pPr>
        <w:pStyle w:val="a3"/>
        <w:spacing w:line="360" w:lineRule="auto"/>
        <w:jc w:val="both"/>
        <w:rPr>
          <w:rFonts w:ascii="Book Antiqua" w:eastAsiaTheme="minorEastAsia" w:hAnsi="Book Antiqua"/>
          <w:color w:val="000000" w:themeColor="text1"/>
          <w:sz w:val="24"/>
          <w:szCs w:val="24"/>
          <w:lang w:eastAsia="zh-CN"/>
        </w:rPr>
      </w:pPr>
    </w:p>
    <w:p w:rsidR="008F18B6" w:rsidRPr="00FE5422" w:rsidRDefault="008F18B6"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b/>
          <w:color w:val="000000" w:themeColor="text1"/>
          <w:sz w:val="24"/>
          <w:szCs w:val="24"/>
        </w:rPr>
        <w:t>Khaled Algashaamy, Monica Garcia-Buitrago</w:t>
      </w:r>
      <w:r w:rsidRPr="00FE5422">
        <w:rPr>
          <w:rFonts w:ascii="Book Antiqua" w:eastAsiaTheme="minorEastAsia" w:hAnsi="Book Antiqua"/>
          <w:b/>
          <w:color w:val="000000" w:themeColor="text1"/>
          <w:sz w:val="24"/>
          <w:szCs w:val="24"/>
          <w:lang w:eastAsia="zh-CN"/>
        </w:rPr>
        <w:t>,</w:t>
      </w:r>
      <w:r w:rsidRPr="00FE5422">
        <w:rPr>
          <w:rFonts w:ascii="Book Antiqua" w:hAnsi="Book Antiqua"/>
          <w:color w:val="000000" w:themeColor="text1"/>
          <w:sz w:val="24"/>
          <w:szCs w:val="24"/>
        </w:rPr>
        <w:t xml:space="preserve"> Department of Pathology and Laboratory Medicine, Jackson Memorial Hospital</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University of Miami</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 xml:space="preserve">Miller School of Medicine, Miami, </w:t>
      </w:r>
      <w:r w:rsidRPr="00FE5422">
        <w:rPr>
          <w:rFonts w:ascii="Book Antiqua" w:eastAsiaTheme="minorEastAsia" w:hAnsi="Book Antiqua"/>
          <w:color w:val="000000" w:themeColor="text1"/>
          <w:sz w:val="24"/>
          <w:szCs w:val="24"/>
          <w:lang w:eastAsia="zh-CN"/>
        </w:rPr>
        <w:t xml:space="preserve">FL </w:t>
      </w:r>
      <w:r w:rsidRPr="00FE5422">
        <w:rPr>
          <w:rFonts w:ascii="Book Antiqua" w:hAnsi="Book Antiqua"/>
          <w:color w:val="000000" w:themeColor="text1"/>
          <w:sz w:val="24"/>
          <w:szCs w:val="24"/>
        </w:rPr>
        <w:t>33136, United States</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cs="Times New Roman"/>
          <w:b/>
          <w:bCs/>
          <w:color w:val="000000" w:themeColor="text1"/>
          <w:sz w:val="24"/>
          <w:szCs w:val="24"/>
        </w:rPr>
        <w:t>ORCID number:</w:t>
      </w:r>
      <w:r w:rsidRPr="00FE5422">
        <w:rPr>
          <w:rFonts w:ascii="Book Antiqua" w:hAnsi="Book Antiqua"/>
          <w:color w:val="000000" w:themeColor="text1"/>
          <w:sz w:val="24"/>
          <w:szCs w:val="24"/>
        </w:rPr>
        <w:t xml:space="preserve"> Khaled Algashaamy</w:t>
      </w:r>
      <w:r w:rsidRPr="00FE5422">
        <w:rPr>
          <w:rFonts w:ascii="Book Antiqua" w:eastAsiaTheme="minorEastAsia" w:hAnsi="Book Antiqua"/>
          <w:color w:val="000000" w:themeColor="text1"/>
          <w:sz w:val="24"/>
          <w:szCs w:val="24"/>
          <w:lang w:eastAsia="zh-CN"/>
        </w:rPr>
        <w:t xml:space="preserve"> (0000-0002-4339-4404);</w:t>
      </w:r>
      <w:r w:rsidRPr="00FE5422">
        <w:rPr>
          <w:rFonts w:ascii="Book Antiqua" w:hAnsi="Book Antiqua"/>
          <w:color w:val="000000" w:themeColor="text1"/>
          <w:sz w:val="24"/>
          <w:szCs w:val="24"/>
        </w:rPr>
        <w:t xml:space="preserve"> Monica Garcia-Buitrago</w:t>
      </w:r>
      <w:r w:rsidRPr="00FE5422">
        <w:rPr>
          <w:rFonts w:ascii="Book Antiqua" w:eastAsiaTheme="minorEastAsia" w:hAnsi="Book Antiqua"/>
          <w:color w:val="000000" w:themeColor="text1"/>
          <w:sz w:val="24"/>
          <w:szCs w:val="24"/>
          <w:lang w:eastAsia="zh-CN"/>
        </w:rPr>
        <w:t xml:space="preserve"> (0000-0003-1146-4284).</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5A463A" w:rsidRPr="00FE5422" w:rsidRDefault="00771ABE" w:rsidP="00631641">
      <w:pPr>
        <w:pStyle w:val="a3"/>
        <w:spacing w:line="360" w:lineRule="auto"/>
        <w:jc w:val="both"/>
        <w:rPr>
          <w:rFonts w:ascii="Book Antiqua" w:eastAsiaTheme="minorEastAsia" w:hAnsi="Book Antiqua" w:cs="Times New Roman"/>
          <w:b/>
          <w:bCs/>
          <w:color w:val="000000" w:themeColor="text1"/>
          <w:sz w:val="24"/>
          <w:szCs w:val="24"/>
          <w:lang w:eastAsia="zh-CN"/>
        </w:rPr>
      </w:pPr>
      <w:r w:rsidRPr="00FE5422">
        <w:rPr>
          <w:rFonts w:ascii="Book Antiqua" w:hAnsi="Book Antiqua" w:cs="Times New Roman"/>
          <w:b/>
          <w:bCs/>
          <w:color w:val="000000" w:themeColor="text1"/>
          <w:sz w:val="24"/>
          <w:szCs w:val="24"/>
        </w:rPr>
        <w:t>Author contributions:</w:t>
      </w:r>
      <w:r w:rsidRPr="00FE5422">
        <w:rPr>
          <w:rFonts w:ascii="Book Antiqua" w:hAnsi="Book Antiqua"/>
          <w:color w:val="000000" w:themeColor="text1"/>
          <w:sz w:val="24"/>
          <w:szCs w:val="24"/>
        </w:rPr>
        <w:t xml:space="preserve"> Algashaamy</w:t>
      </w:r>
      <w:r w:rsidRPr="00FE5422">
        <w:rPr>
          <w:rFonts w:ascii="Book Antiqua" w:eastAsiaTheme="minorEastAsia" w:hAnsi="Book Antiqua"/>
          <w:color w:val="000000" w:themeColor="text1"/>
          <w:sz w:val="24"/>
          <w:szCs w:val="24"/>
          <w:lang w:eastAsia="zh-CN"/>
        </w:rPr>
        <w:t xml:space="preserve"> K and </w:t>
      </w:r>
      <w:r w:rsidRPr="00FE5422">
        <w:rPr>
          <w:rFonts w:ascii="Book Antiqua" w:hAnsi="Book Antiqua"/>
          <w:color w:val="000000" w:themeColor="text1"/>
          <w:sz w:val="24"/>
          <w:szCs w:val="24"/>
        </w:rPr>
        <w:t>Garcia-Buitrago</w:t>
      </w:r>
      <w:r w:rsidRPr="00FE5422">
        <w:rPr>
          <w:rFonts w:ascii="Book Antiqua" w:eastAsiaTheme="minorEastAsia" w:hAnsi="Book Antiqua"/>
          <w:color w:val="000000" w:themeColor="text1"/>
          <w:sz w:val="24"/>
          <w:szCs w:val="24"/>
          <w:lang w:eastAsia="zh-CN"/>
        </w:rPr>
        <w:t xml:space="preserve"> M wrote this review.</w:t>
      </w:r>
    </w:p>
    <w:p w:rsidR="00771ABE" w:rsidRPr="00FE5422" w:rsidRDefault="00771ABE" w:rsidP="00631641">
      <w:pPr>
        <w:pStyle w:val="a3"/>
        <w:spacing w:line="360" w:lineRule="auto"/>
        <w:jc w:val="both"/>
        <w:rPr>
          <w:rFonts w:ascii="Book Antiqua" w:eastAsiaTheme="minorEastAsia" w:hAnsi="Book Antiqua"/>
          <w:color w:val="000000" w:themeColor="text1"/>
          <w:sz w:val="24"/>
          <w:szCs w:val="24"/>
          <w:lang w:eastAsia="zh-CN"/>
        </w:rPr>
      </w:pPr>
    </w:p>
    <w:p w:rsidR="00771ABE" w:rsidRPr="00FE5422" w:rsidRDefault="00771ABE" w:rsidP="00631641">
      <w:pPr>
        <w:spacing w:line="360" w:lineRule="auto"/>
        <w:jc w:val="both"/>
        <w:rPr>
          <w:rFonts w:ascii="Book Antiqua" w:hAnsi="Book Antiqua" w:cs="Times New Roman"/>
          <w:color w:val="000000" w:themeColor="text1"/>
          <w:sz w:val="24"/>
          <w:szCs w:val="24"/>
        </w:rPr>
      </w:pPr>
      <w:r w:rsidRPr="00FE5422">
        <w:rPr>
          <w:rFonts w:ascii="Book Antiqua" w:hAnsi="Book Antiqua" w:cs="Times New Roman"/>
          <w:b/>
          <w:bCs/>
          <w:color w:val="000000" w:themeColor="text1"/>
          <w:sz w:val="24"/>
          <w:szCs w:val="24"/>
        </w:rPr>
        <w:t>Conflict-of-interest statement:</w:t>
      </w:r>
      <w:r w:rsidRPr="00FE5422">
        <w:rPr>
          <w:rFonts w:ascii="Book Antiqua" w:eastAsiaTheme="minorEastAsia" w:hAnsi="Book Antiqua" w:cs="Times New Roman"/>
          <w:b/>
          <w:bCs/>
          <w:color w:val="000000" w:themeColor="text1"/>
          <w:sz w:val="24"/>
          <w:szCs w:val="24"/>
          <w:lang w:eastAsia="zh-CN"/>
        </w:rPr>
        <w:t xml:space="preserve"> </w:t>
      </w:r>
      <w:r w:rsidR="00407676" w:rsidRPr="00FE5422">
        <w:rPr>
          <w:rFonts w:ascii="Book Antiqua" w:hAnsi="Book Antiqua" w:cs="Times New Roman"/>
          <w:color w:val="000000" w:themeColor="text1"/>
          <w:sz w:val="24"/>
          <w:szCs w:val="24"/>
        </w:rPr>
        <w:t>The authors have nothing to disclose.</w:t>
      </w:r>
    </w:p>
    <w:p w:rsidR="009C6234" w:rsidRPr="00FE5422" w:rsidRDefault="009C6234" w:rsidP="00631641">
      <w:pPr>
        <w:pStyle w:val="a3"/>
        <w:spacing w:line="360" w:lineRule="auto"/>
        <w:jc w:val="both"/>
        <w:rPr>
          <w:rFonts w:ascii="Book Antiqua" w:eastAsiaTheme="minorEastAsia" w:hAnsi="Book Antiqua"/>
          <w:color w:val="000000" w:themeColor="text1"/>
          <w:sz w:val="24"/>
          <w:szCs w:val="24"/>
          <w:lang w:eastAsia="zh-CN"/>
        </w:rPr>
      </w:pPr>
    </w:p>
    <w:p w:rsidR="00CB2B90" w:rsidRPr="00FE5422" w:rsidRDefault="00CB2B90" w:rsidP="00631641">
      <w:pPr>
        <w:spacing w:line="360" w:lineRule="auto"/>
        <w:jc w:val="both"/>
        <w:rPr>
          <w:rFonts w:ascii="Book Antiqua" w:hAnsi="Book Antiqua" w:cs="Times New Roman"/>
          <w:color w:val="000000" w:themeColor="text1"/>
          <w:sz w:val="24"/>
          <w:szCs w:val="24"/>
        </w:rPr>
      </w:pPr>
      <w:r w:rsidRPr="00FE5422">
        <w:rPr>
          <w:rFonts w:ascii="Book Antiqua" w:hAnsi="Book Antiqua" w:cs="Times New Roman"/>
          <w:b/>
          <w:bCs/>
          <w:color w:val="000000" w:themeColor="text1"/>
          <w:sz w:val="24"/>
          <w:szCs w:val="24"/>
        </w:rPr>
        <w:t xml:space="preserve">Open-Access: </w:t>
      </w:r>
      <w:r w:rsidRPr="00FE5422">
        <w:rPr>
          <w:rFonts w:ascii="Book Antiqua" w:hAnsi="Book Antiqua" w:cs="Times New Roman"/>
          <w:color w:val="000000" w:themeColor="text1"/>
          <w:sz w:val="24"/>
          <w:szCs w:val="24"/>
        </w:rPr>
        <w:t>This article is an open-access article which 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B2B90" w:rsidRPr="00FE5422" w:rsidRDefault="00CB2B90" w:rsidP="00631641">
      <w:pPr>
        <w:spacing w:line="360" w:lineRule="auto"/>
        <w:jc w:val="both"/>
        <w:rPr>
          <w:rFonts w:ascii="Book Antiqua" w:hAnsi="Book Antiqua" w:cs="Times New Roman"/>
          <w:color w:val="000000" w:themeColor="text1"/>
          <w:sz w:val="24"/>
          <w:szCs w:val="24"/>
        </w:rPr>
      </w:pPr>
    </w:p>
    <w:p w:rsidR="00CB2B90" w:rsidRPr="00FE5422" w:rsidRDefault="00CB2B90"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hAnsi="Book Antiqua" w:cs="Times New Roman"/>
          <w:b/>
          <w:bCs/>
          <w:color w:val="000000" w:themeColor="text1"/>
          <w:sz w:val="24"/>
          <w:szCs w:val="24"/>
        </w:rPr>
        <w:t xml:space="preserve">Manuscript source: </w:t>
      </w:r>
      <w:r w:rsidRPr="00FE5422">
        <w:rPr>
          <w:rFonts w:ascii="Book Antiqua" w:eastAsiaTheme="minorEastAsia" w:hAnsi="Book Antiqua" w:cs="Times New Roman"/>
          <w:color w:val="000000" w:themeColor="text1"/>
          <w:sz w:val="24"/>
          <w:szCs w:val="24"/>
          <w:lang w:eastAsia="zh-CN"/>
        </w:rPr>
        <w:t>Invited</w:t>
      </w:r>
      <w:r w:rsidRPr="00FE5422">
        <w:rPr>
          <w:rFonts w:ascii="Book Antiqua" w:hAnsi="Book Antiqua" w:cs="Times New Roman"/>
          <w:color w:val="000000" w:themeColor="text1"/>
          <w:sz w:val="24"/>
          <w:szCs w:val="24"/>
        </w:rPr>
        <w:t xml:space="preserve"> manuscript</w:t>
      </w:r>
    </w:p>
    <w:p w:rsidR="00CB2B90" w:rsidRPr="00FE5422" w:rsidRDefault="00CB2B90" w:rsidP="00631641">
      <w:pPr>
        <w:spacing w:line="360" w:lineRule="auto"/>
        <w:jc w:val="both"/>
        <w:rPr>
          <w:rFonts w:ascii="Book Antiqua" w:eastAsiaTheme="minorEastAsia" w:hAnsi="Book Antiqua" w:cs="Times New Roman"/>
          <w:color w:val="000000" w:themeColor="text1"/>
          <w:sz w:val="24"/>
          <w:szCs w:val="24"/>
          <w:lang w:eastAsia="zh-CN"/>
        </w:rPr>
      </w:pPr>
    </w:p>
    <w:p w:rsidR="00CB2B90" w:rsidRPr="00FE5422" w:rsidRDefault="00CB2B90" w:rsidP="00631641">
      <w:pPr>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b/>
          <w:color w:val="000000" w:themeColor="text1"/>
          <w:sz w:val="24"/>
          <w:szCs w:val="24"/>
        </w:rPr>
        <w:lastRenderedPageBreak/>
        <w:t>Corresponding author:</w:t>
      </w:r>
      <w:r w:rsidRPr="00FE5422">
        <w:rPr>
          <w:rFonts w:ascii="Book Antiqua" w:eastAsiaTheme="minorEastAsia" w:hAnsi="Book Antiqua"/>
          <w:b/>
          <w:color w:val="000000" w:themeColor="text1"/>
          <w:sz w:val="24"/>
          <w:szCs w:val="24"/>
          <w:lang w:eastAsia="zh-CN"/>
        </w:rPr>
        <w:t xml:space="preserve"> Khaled Algashaamy, MBBS, MD, Doctor,</w:t>
      </w:r>
      <w:r w:rsidRPr="00FE5422">
        <w:rPr>
          <w:rFonts w:ascii="Book Antiqua" w:eastAsiaTheme="minorEastAsia" w:hAnsi="Book Antiqua"/>
          <w:color w:val="000000" w:themeColor="text1"/>
          <w:sz w:val="24"/>
          <w:szCs w:val="24"/>
          <w:lang w:eastAsia="zh-CN"/>
        </w:rPr>
        <w:t xml:space="preserve"> Department of Pathology and Laboratory Medicine, Jackson Memorial Hospital, University of Miami, Miller School of Medicine, Holtz Center, 1611 NW 12th Avenue, Suite 2044, Miami, FL 33136, United States. </w:t>
      </w:r>
      <w:hyperlink r:id="rId7" w:history="1">
        <w:r w:rsidR="00631641" w:rsidRPr="00FE5422">
          <w:rPr>
            <w:rStyle w:val="a6"/>
            <w:rFonts w:ascii="Book Antiqua" w:eastAsiaTheme="minorEastAsia" w:hAnsi="Book Antiqua"/>
            <w:sz w:val="24"/>
            <w:szCs w:val="24"/>
            <w:lang w:eastAsia="zh-CN"/>
          </w:rPr>
          <w:t>khaled.algashaamy@jhsmiami.org</w:t>
        </w:r>
      </w:hyperlink>
    </w:p>
    <w:p w:rsidR="00CB2B90" w:rsidRPr="00FE5422" w:rsidRDefault="00CB2B90" w:rsidP="00631641">
      <w:pPr>
        <w:spacing w:line="360" w:lineRule="auto"/>
        <w:jc w:val="both"/>
        <w:rPr>
          <w:rFonts w:ascii="Book Antiqua" w:eastAsiaTheme="minorEastAsia" w:hAnsi="Book Antiqua"/>
          <w:b/>
          <w:color w:val="000000" w:themeColor="text1"/>
          <w:sz w:val="24"/>
          <w:szCs w:val="24"/>
          <w:lang w:eastAsia="zh-CN"/>
        </w:rPr>
      </w:pP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Received: </w:t>
      </w:r>
      <w:r w:rsidRPr="00FE5422">
        <w:rPr>
          <w:rFonts w:ascii="Book Antiqua" w:eastAsiaTheme="minorEastAsia" w:hAnsi="Book Antiqua"/>
          <w:color w:val="000000" w:themeColor="text1"/>
          <w:sz w:val="24"/>
          <w:szCs w:val="24"/>
          <w:lang w:eastAsia="zh-CN"/>
        </w:rPr>
        <w:t>April</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23</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Peer-review started: </w:t>
      </w:r>
      <w:r w:rsidRPr="00FE5422">
        <w:rPr>
          <w:rFonts w:ascii="Book Antiqua" w:eastAsiaTheme="minorEastAsia" w:hAnsi="Book Antiqua"/>
          <w:color w:val="000000" w:themeColor="text1"/>
          <w:sz w:val="24"/>
          <w:szCs w:val="24"/>
          <w:lang w:eastAsia="zh-CN"/>
        </w:rPr>
        <w:t>May</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8</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First decision: </w:t>
      </w:r>
      <w:r w:rsidRPr="00FE5422">
        <w:rPr>
          <w:rFonts w:ascii="Book Antiqua" w:hAnsi="Book Antiqua"/>
          <w:color w:val="000000" w:themeColor="text1"/>
          <w:sz w:val="24"/>
          <w:szCs w:val="24"/>
        </w:rPr>
        <w:t>May 31,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Revised: </w:t>
      </w:r>
      <w:r w:rsidRPr="00FE5422">
        <w:rPr>
          <w:rFonts w:ascii="Book Antiqua" w:eastAsiaTheme="minorEastAsia" w:hAnsi="Book Antiqua"/>
          <w:color w:val="000000" w:themeColor="text1"/>
          <w:sz w:val="24"/>
          <w:szCs w:val="24"/>
          <w:lang w:eastAsia="zh-CN"/>
        </w:rPr>
        <w:t>July</w:t>
      </w:r>
      <w:r w:rsidRPr="00FE5422">
        <w:rPr>
          <w:rFonts w:ascii="Book Antiqua" w:hAnsi="Book Antiqua"/>
          <w:color w:val="000000" w:themeColor="text1"/>
          <w:sz w:val="24"/>
          <w:szCs w:val="24"/>
        </w:rPr>
        <w:t xml:space="preserve"> </w:t>
      </w:r>
      <w:r w:rsidRPr="00FE5422">
        <w:rPr>
          <w:rFonts w:ascii="Book Antiqua" w:eastAsiaTheme="minorEastAsia" w:hAnsi="Book Antiqua"/>
          <w:color w:val="000000" w:themeColor="text1"/>
          <w:sz w:val="24"/>
          <w:szCs w:val="24"/>
          <w:lang w:eastAsia="zh-CN"/>
        </w:rPr>
        <w:t>26</w:t>
      </w:r>
      <w:r w:rsidRPr="00FE5422">
        <w:rPr>
          <w:rFonts w:ascii="Book Antiqua" w:hAnsi="Book Antiqua"/>
          <w:color w:val="000000" w:themeColor="text1"/>
          <w:sz w:val="24"/>
          <w:szCs w:val="24"/>
        </w:rPr>
        <w:t>,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Accepted:</w:t>
      </w:r>
      <w:r w:rsidRPr="002D412E">
        <w:rPr>
          <w:rFonts w:ascii="Book Antiqua" w:hAnsi="Book Antiqua"/>
          <w:color w:val="000000" w:themeColor="text1"/>
          <w:sz w:val="24"/>
          <w:szCs w:val="24"/>
        </w:rPr>
        <w:t xml:space="preserve"> </w:t>
      </w:r>
      <w:r w:rsidR="002D412E" w:rsidRPr="002D412E">
        <w:rPr>
          <w:rFonts w:ascii="Book Antiqua" w:hAnsi="Book Antiqua"/>
          <w:color w:val="000000" w:themeColor="text1"/>
          <w:sz w:val="24"/>
          <w:szCs w:val="24"/>
        </w:rPr>
        <w:t>August 20, 2019</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Article in press:</w:t>
      </w:r>
    </w:p>
    <w:p w:rsidR="00CB2B90" w:rsidRPr="00FE5422" w:rsidRDefault="00CB2B90"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Published online:</w:t>
      </w:r>
    </w:p>
    <w:p w:rsidR="00CB2B90" w:rsidRPr="00FE5422" w:rsidRDefault="00CB2B90" w:rsidP="00631641">
      <w:pPr>
        <w:spacing w:line="360" w:lineRule="auto"/>
        <w:jc w:val="both"/>
        <w:rPr>
          <w:rFonts w:ascii="Book Antiqua" w:eastAsiaTheme="minorEastAsia" w:hAnsi="Book Antiqua"/>
          <w:color w:val="000000" w:themeColor="text1"/>
          <w:sz w:val="24"/>
          <w:szCs w:val="24"/>
          <w:lang w:eastAsia="zh-CN"/>
        </w:rPr>
      </w:pPr>
    </w:p>
    <w:p w:rsidR="00263E60" w:rsidRPr="00FE5422" w:rsidRDefault="00263E60" w:rsidP="00631641">
      <w:pPr>
        <w:spacing w:line="360" w:lineRule="auto"/>
        <w:jc w:val="both"/>
        <w:rPr>
          <w:rFonts w:ascii="Book Antiqua" w:eastAsiaTheme="minorEastAsia" w:hAnsi="Book Antiqua" w:cs="Times New Roman"/>
          <w:color w:val="000000" w:themeColor="text1"/>
          <w:sz w:val="24"/>
          <w:szCs w:val="24"/>
          <w:lang w:eastAsia="zh-CN"/>
        </w:rPr>
      </w:pPr>
      <w:r w:rsidRPr="00FE5422">
        <w:rPr>
          <w:rFonts w:ascii="Book Antiqua" w:eastAsiaTheme="minorEastAsia" w:hAnsi="Book Antiqua" w:cs="Times New Roman"/>
          <w:b/>
          <w:bCs/>
          <w:color w:val="000000" w:themeColor="text1"/>
          <w:sz w:val="24"/>
          <w:szCs w:val="24"/>
          <w:lang w:eastAsia="zh-CN"/>
        </w:rPr>
        <w:br w:type="page"/>
      </w:r>
    </w:p>
    <w:p w:rsidR="00263E60" w:rsidRPr="00FE5422" w:rsidRDefault="00263E60" w:rsidP="00631641">
      <w:pPr>
        <w:spacing w:line="360" w:lineRule="auto"/>
        <w:jc w:val="both"/>
        <w:rPr>
          <w:rFonts w:ascii="Book Antiqua" w:hAnsi="Book Antiqua" w:cs="Times New Roman"/>
          <w:b/>
          <w:bCs/>
          <w:color w:val="000000" w:themeColor="text1"/>
          <w:sz w:val="24"/>
          <w:szCs w:val="24"/>
        </w:rPr>
      </w:pPr>
      <w:r w:rsidRPr="00FE5422">
        <w:rPr>
          <w:rFonts w:ascii="Book Antiqua" w:hAnsi="Book Antiqua" w:cs="Times New Roman"/>
          <w:b/>
          <w:bCs/>
          <w:color w:val="000000" w:themeColor="text1"/>
          <w:sz w:val="24"/>
          <w:szCs w:val="24"/>
        </w:rPr>
        <w:lastRenderedPageBreak/>
        <w:t>Abstract</w:t>
      </w:r>
    </w:p>
    <w:p w:rsidR="009C6234" w:rsidRPr="00FE5422" w:rsidRDefault="00EA2BD3" w:rsidP="00631641">
      <w:pPr>
        <w:pStyle w:val="1"/>
        <w:spacing w:line="360" w:lineRule="auto"/>
        <w:ind w:left="0" w:right="194"/>
        <w:rPr>
          <w:rFonts w:ascii="Book Antiqua" w:hAnsi="Book Antiqua"/>
          <w:color w:val="000000" w:themeColor="text1"/>
          <w:sz w:val="24"/>
          <w:szCs w:val="24"/>
        </w:rPr>
      </w:pPr>
      <w:r w:rsidRPr="00FE5422">
        <w:rPr>
          <w:rFonts w:ascii="Book Antiqua" w:hAnsi="Book Antiqua"/>
          <w:b w:val="0"/>
          <w:color w:val="000000" w:themeColor="text1"/>
          <w:sz w:val="24"/>
          <w:szCs w:val="24"/>
        </w:rPr>
        <w:t xml:space="preserve">Gastric neuroendocrine tumors (gNETs) are a rare entity that is increasing in incidence. Different pathophysiological processes can lead to the development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tumors, appropriate histological analysis is</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necessary</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to</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differentiate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between</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grade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1</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(G1)</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and</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grade</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2</w:t>
      </w:r>
      <w:r w:rsidRPr="00FE5422">
        <w:rPr>
          <w:rFonts w:ascii="Book Antiqua" w:hAnsi="Book Antiqua"/>
          <w:b w:val="0"/>
          <w:color w:val="000000" w:themeColor="text1"/>
          <w:spacing w:val="-4"/>
          <w:sz w:val="24"/>
          <w:szCs w:val="24"/>
        </w:rPr>
        <w:t xml:space="preserve"> </w:t>
      </w:r>
      <w:r w:rsidRPr="00FE5422">
        <w:rPr>
          <w:rFonts w:ascii="Book Antiqua" w:hAnsi="Book Antiqua"/>
          <w:b w:val="0"/>
          <w:color w:val="000000" w:themeColor="text1"/>
          <w:sz w:val="24"/>
          <w:szCs w:val="24"/>
        </w:rPr>
        <w:t>(G2)</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tumors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as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this</w:t>
      </w:r>
      <w:r w:rsidRPr="00FE5422">
        <w:rPr>
          <w:rFonts w:ascii="Book Antiqua" w:hAnsi="Book Antiqua"/>
          <w:b w:val="0"/>
          <w:color w:val="000000" w:themeColor="text1"/>
          <w:spacing w:val="-11"/>
          <w:sz w:val="24"/>
          <w:szCs w:val="24"/>
        </w:rPr>
        <w:t xml:space="preserve"> </w:t>
      </w:r>
      <w:r w:rsidRPr="00FE5422">
        <w:rPr>
          <w:rFonts w:ascii="Book Antiqua" w:hAnsi="Book Antiqua"/>
          <w:b w:val="0"/>
          <w:color w:val="000000" w:themeColor="text1"/>
          <w:sz w:val="24"/>
          <w:szCs w:val="24"/>
        </w:rPr>
        <w:t>will</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impact</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 xml:space="preserve">management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patients based on their increased risk of lymph node and distant</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metastases.</w:t>
      </w:r>
      <w:r w:rsidR="00263E60"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To</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provide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a</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comprehensive</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clinicopathologic</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review</w:t>
      </w:r>
      <w:r w:rsidRPr="00FE5422">
        <w:rPr>
          <w:rFonts w:ascii="Book Antiqua" w:hAnsi="Book Antiqua"/>
          <w:b w:val="0"/>
          <w:color w:val="000000" w:themeColor="text1"/>
          <w:spacing w:val="-2"/>
          <w:sz w:val="24"/>
          <w:szCs w:val="24"/>
        </w:rPr>
        <w:t xml:space="preserve"> </w:t>
      </w:r>
      <w:r w:rsidRPr="00FE5422">
        <w:rPr>
          <w:rFonts w:ascii="Book Antiqua" w:hAnsi="Book Antiqua"/>
          <w:b w:val="0"/>
          <w:color w:val="000000" w:themeColor="text1"/>
          <w:sz w:val="24"/>
          <w:szCs w:val="24"/>
        </w:rPr>
        <w:t>of</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multifocal</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gastric</w:t>
      </w:r>
      <w:r w:rsidRPr="00FE5422">
        <w:rPr>
          <w:rFonts w:ascii="Book Antiqua" w:hAnsi="Book Antiqua"/>
          <w:b w:val="0"/>
          <w:color w:val="000000" w:themeColor="text1"/>
          <w:spacing w:val="-6"/>
          <w:sz w:val="24"/>
          <w:szCs w:val="24"/>
        </w:rPr>
        <w:t xml:space="preserve"> </w:t>
      </w:r>
      <w:r w:rsidRPr="00FE5422">
        <w:rPr>
          <w:rFonts w:ascii="Book Antiqua" w:hAnsi="Book Antiqua"/>
          <w:b w:val="0"/>
          <w:color w:val="000000" w:themeColor="text1"/>
          <w:sz w:val="24"/>
          <w:szCs w:val="24"/>
        </w:rPr>
        <w:t>neuroendocrine</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 xml:space="preserve">tumors, with particular emphasis on G1 and G2 tumors and differentiating between types </w:t>
      </w:r>
      <w:r w:rsidRPr="00FE5422">
        <w:rPr>
          <w:rFonts w:ascii="Book Antiqua" w:hAnsi="Book Antiqua"/>
          <w:b w:val="0"/>
          <w:color w:val="000000" w:themeColor="text1"/>
          <w:spacing w:val="-3"/>
          <w:sz w:val="24"/>
          <w:szCs w:val="24"/>
        </w:rPr>
        <w:t xml:space="preserve">I, </w:t>
      </w:r>
      <w:r w:rsidRPr="00FE5422">
        <w:rPr>
          <w:rFonts w:ascii="Book Antiqua" w:hAnsi="Book Antiqua"/>
          <w:b w:val="0"/>
          <w:color w:val="000000" w:themeColor="text1"/>
          <w:sz w:val="24"/>
          <w:szCs w:val="24"/>
        </w:rPr>
        <w:t>II and II and risk stratification based upon immunohistochemical</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profile.</w:t>
      </w:r>
      <w:r w:rsidR="00263E60" w:rsidRPr="00FE5422">
        <w:rPr>
          <w:rFonts w:ascii="Book Antiqua" w:eastAsiaTheme="minorEastAsia" w:hAnsi="Book Antiqua"/>
          <w:b w:val="0"/>
          <w:color w:val="000000" w:themeColor="text1"/>
          <w:sz w:val="24"/>
          <w:szCs w:val="24"/>
          <w:lang w:eastAsia="zh-CN"/>
        </w:rPr>
        <w:t xml:space="preserve"> </w:t>
      </w:r>
      <w:r w:rsidRPr="00FE5422">
        <w:rPr>
          <w:rFonts w:ascii="Book Antiqua" w:hAnsi="Book Antiqua"/>
          <w:b w:val="0"/>
          <w:color w:val="000000" w:themeColor="text1"/>
          <w:sz w:val="24"/>
          <w:szCs w:val="24"/>
        </w:rPr>
        <w:t>This review is based on peer-reviewed literature and the authors’ experience.</w:t>
      </w:r>
      <w:r w:rsidR="00263E60" w:rsidRPr="00FE5422">
        <w:rPr>
          <w:rFonts w:ascii="Book Antiqua" w:eastAsiaTheme="minorEastAsia" w:hAnsi="Book Antiqua"/>
          <w:b w:val="0"/>
          <w:color w:val="000000" w:themeColor="text1"/>
          <w:sz w:val="24"/>
          <w:szCs w:val="24"/>
          <w:lang w:eastAsia="zh-CN"/>
        </w:rPr>
        <w:t xml:space="preserve"> </w:t>
      </w:r>
      <w:r w:rsidR="00263E60" w:rsidRPr="00FE5422">
        <w:rPr>
          <w:rFonts w:ascii="Book Antiqua" w:hAnsi="Book Antiqua"/>
          <w:b w:val="0"/>
          <w:color w:val="000000" w:themeColor="text1"/>
          <w:sz w:val="24"/>
          <w:szCs w:val="24"/>
        </w:rPr>
        <w:t>gNETs</w:t>
      </w:r>
      <w:r w:rsidRPr="00FE5422">
        <w:rPr>
          <w:rFonts w:ascii="Book Antiqua" w:hAnsi="Book Antiqua"/>
          <w:b w:val="0"/>
          <w:color w:val="000000" w:themeColor="text1"/>
          <w:sz w:val="24"/>
          <w:szCs w:val="24"/>
        </w:rPr>
        <w:t xml:space="preserve"> are a heterogenous group of tumors that is rising in incidence.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These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lesions</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while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arise</w:t>
      </w:r>
      <w:r w:rsidRPr="00FE5422">
        <w:rPr>
          <w:rFonts w:ascii="Book Antiqua" w:hAnsi="Book Antiqua"/>
          <w:b w:val="0"/>
          <w:color w:val="000000" w:themeColor="text1"/>
          <w:spacing w:val="-9"/>
          <w:sz w:val="24"/>
          <w:szCs w:val="24"/>
        </w:rPr>
        <w:t xml:space="preserve"> </w:t>
      </w:r>
      <w:r w:rsidRPr="00FE5422">
        <w:rPr>
          <w:rFonts w:ascii="Book Antiqua" w:hAnsi="Book Antiqua"/>
          <w:b w:val="0"/>
          <w:color w:val="000000" w:themeColor="text1"/>
          <w:sz w:val="24"/>
          <w:szCs w:val="24"/>
        </w:rPr>
        <w:t>from</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8"/>
          <w:sz w:val="24"/>
          <w:szCs w:val="24"/>
        </w:rPr>
        <w:t xml:space="preserve"> </w:t>
      </w:r>
      <w:r w:rsidRPr="00FE5422">
        <w:rPr>
          <w:rFonts w:ascii="Book Antiqua" w:hAnsi="Book Antiqua"/>
          <w:b w:val="0"/>
          <w:color w:val="000000" w:themeColor="text1"/>
          <w:sz w:val="24"/>
          <w:szCs w:val="24"/>
        </w:rPr>
        <w:t>same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cell</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type,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they</w:t>
      </w:r>
      <w:r w:rsidRPr="00FE5422">
        <w:rPr>
          <w:rFonts w:ascii="Book Antiqua" w:hAnsi="Book Antiqua"/>
          <w:b w:val="0"/>
          <w:color w:val="000000" w:themeColor="text1"/>
          <w:spacing w:val="-5"/>
          <w:sz w:val="24"/>
          <w:szCs w:val="24"/>
        </w:rPr>
        <w:t xml:space="preserve"> </w:t>
      </w:r>
      <w:r w:rsidRPr="00FE5422">
        <w:rPr>
          <w:rFonts w:ascii="Book Antiqua" w:hAnsi="Book Antiqua"/>
          <w:b w:val="0"/>
          <w:color w:val="000000" w:themeColor="text1"/>
          <w:sz w:val="24"/>
          <w:szCs w:val="24"/>
        </w:rPr>
        <w:t>have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different</w:t>
      </w:r>
      <w:r w:rsidRPr="00FE5422">
        <w:rPr>
          <w:rFonts w:ascii="Book Antiqua" w:hAnsi="Book Antiqua"/>
          <w:b w:val="0"/>
          <w:color w:val="000000" w:themeColor="text1"/>
          <w:spacing w:val="-13"/>
          <w:sz w:val="24"/>
          <w:szCs w:val="24"/>
        </w:rPr>
        <w:t xml:space="preserve"> </w:t>
      </w:r>
      <w:r w:rsidRPr="00FE5422">
        <w:rPr>
          <w:rFonts w:ascii="Book Antiqua" w:hAnsi="Book Antiqua"/>
          <w:b w:val="0"/>
          <w:color w:val="000000" w:themeColor="text1"/>
          <w:sz w:val="24"/>
          <w:szCs w:val="24"/>
        </w:rPr>
        <w:t>etiologies.</w:t>
      </w:r>
      <w:r w:rsidRPr="00FE5422">
        <w:rPr>
          <w:rFonts w:ascii="Book Antiqua" w:hAnsi="Book Antiqua"/>
          <w:b w:val="0"/>
          <w:color w:val="000000" w:themeColor="text1"/>
          <w:spacing w:val="-8"/>
          <w:sz w:val="24"/>
          <w:szCs w:val="24"/>
        </w:rPr>
        <w:t xml:space="preserve"> </w:t>
      </w:r>
      <w:r w:rsidRPr="00FE5422">
        <w:rPr>
          <w:rFonts w:ascii="Book Antiqua" w:hAnsi="Book Antiqua"/>
          <w:b w:val="0"/>
          <w:color w:val="000000" w:themeColor="text1"/>
          <w:sz w:val="24"/>
          <w:szCs w:val="24"/>
        </w:rPr>
        <w:t>Identifying</w:t>
      </w:r>
      <w:r w:rsidRPr="00FE5422">
        <w:rPr>
          <w:rFonts w:ascii="Book Antiqua" w:hAnsi="Book Antiqua"/>
          <w:b w:val="0"/>
          <w:color w:val="000000" w:themeColor="text1"/>
          <w:spacing w:val="-10"/>
          <w:sz w:val="24"/>
          <w:szCs w:val="24"/>
        </w:rPr>
        <w:t xml:space="preserve"> </w:t>
      </w:r>
      <w:r w:rsidRPr="00FE5422">
        <w:rPr>
          <w:rFonts w:ascii="Book Antiqua" w:hAnsi="Book Antiqua"/>
          <w:b w:val="0"/>
          <w:color w:val="000000" w:themeColor="text1"/>
          <w:sz w:val="24"/>
          <w:szCs w:val="24"/>
        </w:rPr>
        <w:t>the</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 xml:space="preserve">type of gNETs </w:t>
      </w:r>
      <w:r w:rsidRPr="00FE5422">
        <w:rPr>
          <w:rFonts w:ascii="Book Antiqua" w:hAnsi="Book Antiqua"/>
          <w:b w:val="0"/>
          <w:color w:val="000000" w:themeColor="text1"/>
          <w:spacing w:val="-3"/>
          <w:sz w:val="24"/>
          <w:szCs w:val="24"/>
        </w:rPr>
        <w:t xml:space="preserve">is </w:t>
      </w:r>
      <w:r w:rsidRPr="00FE5422">
        <w:rPr>
          <w:rFonts w:ascii="Book Antiqua" w:hAnsi="Book Antiqua"/>
          <w:b w:val="0"/>
          <w:color w:val="000000" w:themeColor="text1"/>
          <w:sz w:val="24"/>
          <w:szCs w:val="24"/>
        </w:rPr>
        <w:t xml:space="preserve">a collective effort </w:t>
      </w:r>
      <w:r w:rsidRPr="00FE5422">
        <w:rPr>
          <w:rFonts w:ascii="Book Antiqua" w:hAnsi="Book Antiqua"/>
          <w:b w:val="0"/>
          <w:color w:val="000000" w:themeColor="text1"/>
          <w:spacing w:val="-3"/>
          <w:sz w:val="24"/>
          <w:szCs w:val="24"/>
        </w:rPr>
        <w:t xml:space="preserve">of </w:t>
      </w:r>
      <w:r w:rsidRPr="00FE5422">
        <w:rPr>
          <w:rFonts w:ascii="Book Antiqua" w:hAnsi="Book Antiqua"/>
          <w:b w:val="0"/>
          <w:color w:val="000000" w:themeColor="text1"/>
          <w:sz w:val="24"/>
          <w:szCs w:val="24"/>
        </w:rPr>
        <w:t xml:space="preserve">clinical and pathologic correlation. The correct grading and staging of </w:t>
      </w:r>
      <w:r w:rsidRPr="00FE5422">
        <w:rPr>
          <w:rFonts w:ascii="Book Antiqua" w:hAnsi="Book Antiqua"/>
          <w:b w:val="0"/>
          <w:color w:val="000000" w:themeColor="text1"/>
          <w:spacing w:val="-3"/>
          <w:sz w:val="24"/>
          <w:szCs w:val="24"/>
        </w:rPr>
        <w:t xml:space="preserve">these </w:t>
      </w:r>
      <w:r w:rsidRPr="00FE5422">
        <w:rPr>
          <w:rFonts w:ascii="Book Antiqua" w:hAnsi="Book Antiqua"/>
          <w:b w:val="0"/>
          <w:color w:val="000000" w:themeColor="text1"/>
          <w:sz w:val="24"/>
          <w:szCs w:val="24"/>
        </w:rPr>
        <w:t xml:space="preserve">lesions </w:t>
      </w:r>
      <w:r w:rsidR="00741A36" w:rsidRPr="00FE5422">
        <w:rPr>
          <w:rFonts w:ascii="Book Antiqua" w:hAnsi="Book Antiqua"/>
          <w:b w:val="0"/>
          <w:color w:val="000000" w:themeColor="text1"/>
          <w:sz w:val="24"/>
          <w:szCs w:val="24"/>
        </w:rPr>
        <w:t>are</w:t>
      </w:r>
      <w:r w:rsidRPr="00FE5422">
        <w:rPr>
          <w:rFonts w:ascii="Book Antiqua" w:hAnsi="Book Antiqua"/>
          <w:b w:val="0"/>
          <w:color w:val="000000" w:themeColor="text1"/>
          <w:sz w:val="24"/>
          <w:szCs w:val="24"/>
        </w:rPr>
        <w:t xml:space="preserve"> of paramount significance, due its impact on patient management and</w:t>
      </w:r>
      <w:r w:rsidRPr="00FE5422">
        <w:rPr>
          <w:rFonts w:ascii="Book Antiqua" w:hAnsi="Book Antiqua"/>
          <w:b w:val="0"/>
          <w:color w:val="000000" w:themeColor="text1"/>
          <w:spacing w:val="-14"/>
          <w:sz w:val="24"/>
          <w:szCs w:val="24"/>
        </w:rPr>
        <w:t xml:space="preserve"> </w:t>
      </w:r>
      <w:r w:rsidRPr="00FE5422">
        <w:rPr>
          <w:rFonts w:ascii="Book Antiqua" w:hAnsi="Book Antiqua"/>
          <w:b w:val="0"/>
          <w:color w:val="000000" w:themeColor="text1"/>
          <w:sz w:val="24"/>
          <w:szCs w:val="24"/>
        </w:rPr>
        <w:t>prognosis.</w:t>
      </w:r>
    </w:p>
    <w:p w:rsidR="005A463A" w:rsidRPr="00FE5422" w:rsidRDefault="005A463A" w:rsidP="00631641">
      <w:pPr>
        <w:spacing w:line="360" w:lineRule="auto"/>
        <w:ind w:right="196"/>
        <w:jc w:val="both"/>
        <w:rPr>
          <w:rFonts w:ascii="Book Antiqua" w:eastAsiaTheme="minorEastAsia" w:hAnsi="Book Antiqua"/>
          <w:b/>
          <w:color w:val="000000" w:themeColor="text1"/>
          <w:sz w:val="24"/>
          <w:szCs w:val="24"/>
          <w:lang w:eastAsia="zh-CN"/>
        </w:rPr>
      </w:pPr>
    </w:p>
    <w:p w:rsidR="005A463A" w:rsidRPr="00FE5422" w:rsidRDefault="00263E60" w:rsidP="00631641">
      <w:pPr>
        <w:spacing w:line="360" w:lineRule="auto"/>
        <w:ind w:right="196"/>
        <w:jc w:val="both"/>
        <w:rPr>
          <w:rFonts w:ascii="Book Antiqua" w:eastAsiaTheme="minorEastAsia" w:hAnsi="Book Antiqua"/>
          <w:color w:val="000000" w:themeColor="text1"/>
          <w:sz w:val="24"/>
          <w:szCs w:val="24"/>
          <w:lang w:eastAsia="zh-CN"/>
        </w:rPr>
      </w:pPr>
      <w:r w:rsidRPr="00FE5422">
        <w:rPr>
          <w:rFonts w:ascii="Book Antiqua" w:hAnsi="Book Antiqua" w:cs="Times New Roman"/>
          <w:b/>
          <w:bCs/>
          <w:color w:val="000000" w:themeColor="text1"/>
          <w:sz w:val="24"/>
          <w:szCs w:val="24"/>
        </w:rPr>
        <w:t>Key words:</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Gastric neuroendocrine tumors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Enterochromaffin like cells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Histopathological features</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Immunohistochemistry</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Diagnosis</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Treatment</w:t>
      </w:r>
    </w:p>
    <w:p w:rsidR="00263E60" w:rsidRPr="00FE5422" w:rsidRDefault="00263E60" w:rsidP="00631641">
      <w:pPr>
        <w:adjustRightInd w:val="0"/>
        <w:snapToGrid w:val="0"/>
        <w:spacing w:line="360" w:lineRule="auto"/>
        <w:jc w:val="both"/>
        <w:rPr>
          <w:rFonts w:ascii="Book Antiqua" w:eastAsiaTheme="minorEastAsia" w:hAnsi="Book Antiqua" w:cs="Garamond"/>
          <w:b/>
          <w:color w:val="000000" w:themeColor="text1"/>
          <w:sz w:val="24"/>
          <w:szCs w:val="24"/>
          <w:lang w:eastAsia="zh-CN"/>
        </w:rPr>
      </w:pPr>
    </w:p>
    <w:p w:rsidR="00263E60" w:rsidRPr="00FE5422" w:rsidRDefault="00263E60" w:rsidP="00631641">
      <w:pPr>
        <w:adjustRightInd w:val="0"/>
        <w:snapToGrid w:val="0"/>
        <w:spacing w:line="360" w:lineRule="auto"/>
        <w:jc w:val="both"/>
        <w:rPr>
          <w:rFonts w:ascii="Book Antiqua" w:hAnsi="Book Antiqua" w:cs="Garamond"/>
          <w:color w:val="000000" w:themeColor="text1"/>
          <w:sz w:val="24"/>
          <w:szCs w:val="24"/>
        </w:rPr>
      </w:pPr>
      <w:r w:rsidRPr="00FE5422">
        <w:rPr>
          <w:rFonts w:ascii="Book Antiqua" w:hAnsi="Book Antiqua" w:cs="Garamond"/>
          <w:b/>
          <w:color w:val="000000" w:themeColor="text1"/>
          <w:sz w:val="24"/>
          <w:szCs w:val="24"/>
        </w:rPr>
        <w:t>© The Author(s) 2019.</w:t>
      </w:r>
      <w:r w:rsidRPr="00FE5422">
        <w:rPr>
          <w:rFonts w:ascii="Book Antiqua" w:hAnsi="Book Antiqua" w:cs="Garamond"/>
          <w:color w:val="000000" w:themeColor="text1"/>
          <w:sz w:val="24"/>
          <w:szCs w:val="24"/>
        </w:rPr>
        <w:t xml:space="preserve"> Published by Baishideng Publishing Group Inc. All rights reserved.</w:t>
      </w:r>
    </w:p>
    <w:p w:rsidR="00263E60" w:rsidRPr="00FE5422" w:rsidRDefault="00263E60" w:rsidP="00631641">
      <w:pPr>
        <w:spacing w:line="360" w:lineRule="auto"/>
        <w:ind w:right="196"/>
        <w:jc w:val="both"/>
        <w:rPr>
          <w:rFonts w:ascii="Book Antiqua" w:eastAsiaTheme="minorEastAsia" w:hAnsi="Book Antiqua" w:cs="Times New Roman"/>
          <w:b/>
          <w:bCs/>
          <w:color w:val="000000" w:themeColor="text1"/>
          <w:sz w:val="24"/>
          <w:szCs w:val="24"/>
          <w:lang w:eastAsia="zh-CN"/>
        </w:rPr>
      </w:pPr>
    </w:p>
    <w:p w:rsidR="00263E60" w:rsidRPr="00FE5422" w:rsidRDefault="00263E60" w:rsidP="00631641">
      <w:pPr>
        <w:pStyle w:val="Default"/>
        <w:spacing w:line="360" w:lineRule="auto"/>
        <w:jc w:val="both"/>
        <w:rPr>
          <w:rFonts w:ascii="Book Antiqua" w:hAnsi="Book Antiqua"/>
          <w:color w:val="000000" w:themeColor="text1"/>
        </w:rPr>
      </w:pPr>
      <w:r w:rsidRPr="00FE5422">
        <w:rPr>
          <w:rFonts w:ascii="Book Antiqua" w:hAnsi="Book Antiqua" w:cs="Times New Roman"/>
          <w:b/>
          <w:bCs/>
          <w:color w:val="000000" w:themeColor="text1"/>
        </w:rPr>
        <w:t>Core tip:</w:t>
      </w:r>
      <w:r w:rsidR="00466E39" w:rsidRPr="00FE5422">
        <w:rPr>
          <w:rFonts w:ascii="Book Antiqua" w:hAnsi="Book Antiqua"/>
          <w:color w:val="000000" w:themeColor="text1"/>
        </w:rPr>
        <w:t xml:space="preserve"> </w:t>
      </w:r>
      <w:r w:rsidR="00BB5F01" w:rsidRPr="00FE5422">
        <w:rPr>
          <w:rFonts w:ascii="Book Antiqua" w:hAnsi="Book Antiqua"/>
          <w:color w:val="000000" w:themeColor="text1"/>
        </w:rPr>
        <w:t>Gastric neuroendocrine tumors</w:t>
      </w:r>
      <w:r w:rsidR="00466E39" w:rsidRPr="00FE5422">
        <w:rPr>
          <w:rFonts w:ascii="Book Antiqua" w:hAnsi="Book Antiqua"/>
          <w:color w:val="000000" w:themeColor="text1"/>
        </w:rPr>
        <w:t xml:space="preserve"> are a rare entity with increasing incidence. Different pathophysiological processes can lead to the development of these tumors, appropriate histological analysis is necessary to differentiate between grade 1 (G1) and grade 2 (G2) tumors as this will impact the management of these patients based on their increased risk of lymph node and distant metastases. In this mini-review article</w:t>
      </w:r>
      <w:r w:rsidR="00856862" w:rsidRPr="00FE5422">
        <w:rPr>
          <w:rFonts w:ascii="Book Antiqua" w:hAnsi="Book Antiqua"/>
          <w:color w:val="000000" w:themeColor="text1"/>
          <w:lang w:eastAsia="zh-CN"/>
        </w:rPr>
        <w:t>,</w:t>
      </w:r>
      <w:r w:rsidR="00466E39" w:rsidRPr="00FE5422">
        <w:rPr>
          <w:rFonts w:ascii="Book Antiqua" w:hAnsi="Book Antiqua"/>
          <w:color w:val="000000" w:themeColor="text1"/>
        </w:rPr>
        <w:t xml:space="preserve"> we aim to provide a comprehensive clinicopathologic review of multifocal gastric neuroendocrine tumors, with particular emphasis on G1 and G2 tumors and differentiating between types I, II and II and risk stratification based upon immunohistochemical profile. We have based this review on peer-reviewed literature and the authors’ experience.</w:t>
      </w:r>
    </w:p>
    <w:p w:rsidR="00BB5F01" w:rsidRPr="00FE5422" w:rsidRDefault="00BB5F01" w:rsidP="00631641">
      <w:pPr>
        <w:pStyle w:val="a3"/>
        <w:spacing w:line="360" w:lineRule="auto"/>
        <w:jc w:val="both"/>
        <w:rPr>
          <w:rFonts w:ascii="Book Antiqua" w:eastAsiaTheme="minorEastAsia" w:hAnsi="Book Antiqua"/>
          <w:color w:val="000000" w:themeColor="text1"/>
          <w:sz w:val="24"/>
          <w:szCs w:val="24"/>
          <w:lang w:eastAsia="zh-CN"/>
        </w:rPr>
      </w:pPr>
    </w:p>
    <w:p w:rsidR="00BB5F01" w:rsidRPr="00FE5422" w:rsidRDefault="00BB5F01" w:rsidP="00631641">
      <w:pPr>
        <w:adjustRightInd w:val="0"/>
        <w:snapToGrid w:val="0"/>
        <w:spacing w:line="360" w:lineRule="auto"/>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Algashaamy</w:t>
      </w:r>
      <w:r w:rsidRPr="00FE5422">
        <w:rPr>
          <w:rFonts w:ascii="Book Antiqua" w:eastAsiaTheme="minorEastAsia" w:hAnsi="Book Antiqua"/>
          <w:color w:val="000000" w:themeColor="text1"/>
          <w:sz w:val="24"/>
          <w:szCs w:val="24"/>
          <w:lang w:eastAsia="zh-CN"/>
        </w:rPr>
        <w:t xml:space="preserve"> K</w:t>
      </w:r>
      <w:r w:rsidRPr="00FE5422">
        <w:rPr>
          <w:rFonts w:ascii="Book Antiqua" w:hAnsi="Book Antiqua"/>
          <w:color w:val="000000" w:themeColor="text1"/>
          <w:sz w:val="24"/>
          <w:szCs w:val="24"/>
        </w:rPr>
        <w:t>, Garcia-Buitrago</w:t>
      </w:r>
      <w:r w:rsidRPr="00FE5422">
        <w:rPr>
          <w:rFonts w:ascii="Book Antiqua" w:eastAsiaTheme="minorEastAsia" w:hAnsi="Book Antiqua"/>
          <w:color w:val="000000" w:themeColor="text1"/>
          <w:sz w:val="24"/>
          <w:szCs w:val="24"/>
          <w:lang w:eastAsia="zh-CN"/>
        </w:rPr>
        <w:t xml:space="preserve"> M. </w:t>
      </w:r>
      <w:r w:rsidRPr="00FE5422">
        <w:rPr>
          <w:rFonts w:ascii="Book Antiqua" w:hAnsi="Book Antiqua"/>
          <w:color w:val="000000" w:themeColor="text1"/>
          <w:sz w:val="24"/>
          <w:szCs w:val="24"/>
        </w:rPr>
        <w:t>Multifocal</w:t>
      </w:r>
      <w:r w:rsidRPr="00FE5422">
        <w:rPr>
          <w:rFonts w:ascii="Book Antiqua" w:hAnsi="Book Antiqua"/>
          <w:color w:val="000000" w:themeColor="text1"/>
          <w:spacing w:val="-16"/>
          <w:sz w:val="24"/>
          <w:szCs w:val="24"/>
        </w:rPr>
        <w:t xml:space="preserve"> </w:t>
      </w:r>
      <w:r w:rsidRPr="00FE5422">
        <w:rPr>
          <w:rFonts w:ascii="Book Antiqua" w:hAnsi="Book Antiqua"/>
          <w:color w:val="000000" w:themeColor="text1"/>
          <w:sz w:val="24"/>
          <w:szCs w:val="24"/>
        </w:rPr>
        <w:t>G1-G2</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gastric</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neuroendocrine</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lastRenderedPageBreak/>
        <w:t>Differentiating</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between</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pacing w:val="-3"/>
          <w:sz w:val="24"/>
          <w:szCs w:val="24"/>
        </w:rPr>
        <w:t>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II</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III</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18"/>
          <w:sz w:val="24"/>
          <w:szCs w:val="24"/>
        </w:rPr>
        <w:t xml:space="preserve"> </w:t>
      </w:r>
      <w:r w:rsidRPr="00FE5422">
        <w:rPr>
          <w:rFonts w:ascii="Book Antiqua" w:hAnsi="Book Antiqua"/>
          <w:color w:val="000000" w:themeColor="text1"/>
          <w:sz w:val="24"/>
          <w:szCs w:val="24"/>
        </w:rPr>
        <w:t>clinicopathologic review</w:t>
      </w:r>
      <w:r w:rsidRPr="00FE5422">
        <w:rPr>
          <w:rFonts w:ascii="Book Antiqua" w:eastAsiaTheme="minorEastAsia" w:hAnsi="Book Antiqua"/>
          <w:color w:val="000000" w:themeColor="text1"/>
          <w:sz w:val="24"/>
          <w:szCs w:val="24"/>
          <w:lang w:eastAsia="zh-CN"/>
        </w:rPr>
        <w:t>.</w:t>
      </w:r>
      <w:r w:rsidRPr="00FE5422">
        <w:rPr>
          <w:rFonts w:ascii="Book Antiqua" w:hAnsi="Book Antiqua"/>
          <w:i/>
          <w:color w:val="000000" w:themeColor="text1"/>
          <w:sz w:val="24"/>
          <w:szCs w:val="24"/>
        </w:rPr>
        <w:t xml:space="preserve"> World J Clin Cases</w:t>
      </w:r>
      <w:r w:rsidRPr="00FE5422">
        <w:rPr>
          <w:rFonts w:ascii="Book Antiqua" w:hAnsi="Book Antiqua"/>
          <w:color w:val="000000" w:themeColor="text1"/>
          <w:sz w:val="24"/>
          <w:szCs w:val="24"/>
        </w:rPr>
        <w:t xml:space="preserve"> 2019; In press</w:t>
      </w:r>
    </w:p>
    <w:p w:rsidR="00BB5F01" w:rsidRPr="00FE5422" w:rsidRDefault="00BB5F01" w:rsidP="00631641">
      <w:pPr>
        <w:adjustRightInd w:val="0"/>
        <w:snapToGrid w:val="0"/>
        <w:spacing w:line="360" w:lineRule="auto"/>
        <w:jc w:val="both"/>
        <w:rPr>
          <w:rFonts w:ascii="Book Antiqua" w:eastAsiaTheme="minorEastAsia" w:hAnsi="Book Antiqua"/>
          <w:color w:val="000000" w:themeColor="text1"/>
          <w:sz w:val="24"/>
          <w:szCs w:val="24"/>
          <w:lang w:eastAsia="zh-CN"/>
        </w:rPr>
      </w:pPr>
    </w:p>
    <w:p w:rsidR="00BB5F01" w:rsidRPr="00FE5422" w:rsidRDefault="00BB5F01" w:rsidP="00631641">
      <w:pPr>
        <w:adjustRightInd w:val="0"/>
        <w:snapToGrid w:val="0"/>
        <w:spacing w:line="360" w:lineRule="auto"/>
        <w:jc w:val="both"/>
        <w:rPr>
          <w:rFonts w:ascii="Book Antiqua" w:eastAsiaTheme="minorEastAsia" w:hAnsi="Book Antiqua"/>
          <w:b/>
          <w:color w:val="000000" w:themeColor="text1"/>
          <w:sz w:val="24"/>
          <w:szCs w:val="24"/>
          <w:lang w:eastAsia="zh-CN"/>
        </w:rPr>
      </w:pPr>
    </w:p>
    <w:p w:rsidR="00BB5F01" w:rsidRPr="00FE5422" w:rsidRDefault="00BB5F01" w:rsidP="00631641">
      <w:pPr>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br w:type="page"/>
      </w:r>
    </w:p>
    <w:p w:rsidR="008A7894" w:rsidRPr="00FE5422" w:rsidRDefault="008A7894" w:rsidP="00631641">
      <w:pPr>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lastRenderedPageBreak/>
        <w:t>INTRODUCTION</w:t>
      </w:r>
    </w:p>
    <w:p w:rsidR="008A7894" w:rsidRPr="00FE5422" w:rsidRDefault="008A7894" w:rsidP="00631641">
      <w:pPr>
        <w:pStyle w:val="a3"/>
        <w:spacing w:line="360" w:lineRule="auto"/>
        <w:ind w:right="198"/>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Neuroendocrine tumors (NETs) of the gastrointestinal (GI) and pancreaticobiliary tracts are a heterogeneous group of tumors</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have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diverse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biologic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profile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that varies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according</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primary</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site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origin,</w:t>
      </w:r>
      <w:r w:rsidRPr="00FE5422">
        <w:rPr>
          <w:rFonts w:ascii="Book Antiqua" w:hAnsi="Book Antiqua"/>
          <w:color w:val="000000" w:themeColor="text1"/>
          <w:spacing w:val="-3"/>
          <w:sz w:val="24"/>
          <w:szCs w:val="24"/>
        </w:rPr>
        <w:t xml:space="preserve"> and its </w:t>
      </w:r>
      <w:r w:rsidRPr="00FE5422">
        <w:rPr>
          <w:rFonts w:ascii="Book Antiqua" w:hAnsi="Book Antiqua"/>
          <w:color w:val="000000" w:themeColor="text1"/>
          <w:sz w:val="24"/>
          <w:szCs w:val="24"/>
        </w:rPr>
        <w:t>histopathologic features</w:t>
      </w:r>
      <w:r w:rsidRPr="00FE5422">
        <w:rPr>
          <w:rFonts w:ascii="Book Antiqua" w:eastAsiaTheme="minorEastAsia" w:hAnsi="Book Antiqua"/>
          <w:color w:val="000000" w:themeColor="text1"/>
          <w:sz w:val="24"/>
          <w:szCs w:val="24"/>
          <w:vertAlign w:val="superscript"/>
          <w:lang w:eastAsia="zh-CN"/>
        </w:rPr>
        <w:t>[</w:t>
      </w:r>
      <w:r w:rsidRPr="00FE5422">
        <w:rPr>
          <w:rFonts w:ascii="Book Antiqua" w:hAnsi="Book Antiqua"/>
          <w:color w:val="000000" w:themeColor="text1"/>
          <w:sz w:val="24"/>
          <w:szCs w:val="24"/>
          <w:vertAlign w:val="superscript"/>
        </w:rPr>
        <w:t>1-4</w:t>
      </w:r>
      <w:r w:rsidRPr="00FE5422">
        <w:rPr>
          <w:rFonts w:ascii="Book Antiqua" w:eastAsiaTheme="minorEastAsia" w:hAnsi="Book Antiqua"/>
          <w:color w:val="000000" w:themeColor="text1"/>
          <w:sz w:val="24"/>
          <w:szCs w:val="24"/>
          <w:vertAlign w:val="superscript"/>
          <w:lang w:eastAsia="zh-CN"/>
        </w:rPr>
        <w:t>]</w:t>
      </w:r>
      <w:r w:rsidRPr="00FE5422">
        <w:rPr>
          <w:rFonts w:ascii="Book Antiqua" w:hAnsi="Book Antiqua"/>
          <w:color w:val="000000" w:themeColor="text1"/>
          <w:sz w:val="24"/>
          <w:szCs w:val="24"/>
        </w:rPr>
        <w:t>. Gastric neuroendocrine tumors (gNETs), which are the product of the neoplastic transformation of the enterochromaffin like cells</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gastric</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rare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indolent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category</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neuroendocrine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has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witnessed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rise 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incidence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due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widespread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use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upper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digestive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endoscopy</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technical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refinement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endoscopists</w:t>
      </w:r>
      <w:r w:rsidRPr="00FE5422">
        <w:rPr>
          <w:rFonts w:ascii="Book Antiqua" w:eastAsiaTheme="minorEastAsia" w:hAnsi="Book Antiqua"/>
          <w:color w:val="000000" w:themeColor="text1"/>
          <w:sz w:val="24"/>
          <w:szCs w:val="24"/>
          <w:vertAlign w:val="superscript"/>
          <w:lang w:eastAsia="zh-CN"/>
        </w:rPr>
        <w:t>[5]</w:t>
      </w:r>
      <w:r w:rsidRPr="00FE5422">
        <w:rPr>
          <w:rFonts w:ascii="Book Antiqua" w:hAnsi="Book Antiqua"/>
          <w:color w:val="000000" w:themeColor="text1"/>
          <w:sz w:val="24"/>
          <w:szCs w:val="24"/>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In this article </w:t>
      </w:r>
      <w:r w:rsidRPr="00FE5422">
        <w:rPr>
          <w:rFonts w:ascii="Book Antiqua" w:hAnsi="Book Antiqua"/>
          <w:color w:val="000000" w:themeColor="text1"/>
          <w:spacing w:val="-3"/>
          <w:sz w:val="24"/>
          <w:szCs w:val="24"/>
        </w:rPr>
        <w:t xml:space="preserve">we </w:t>
      </w:r>
      <w:r w:rsidRPr="00FE5422">
        <w:rPr>
          <w:rFonts w:ascii="Book Antiqua" w:hAnsi="Book Antiqua"/>
          <w:color w:val="000000" w:themeColor="text1"/>
          <w:sz w:val="24"/>
          <w:szCs w:val="24"/>
        </w:rPr>
        <w:t>will review the histopathological features, immunohistochemistry, differential diagnosis, treatment, prognosis and outcome of these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lesions.</w:t>
      </w:r>
    </w:p>
    <w:p w:rsidR="008A7894" w:rsidRPr="00FE5422" w:rsidRDefault="008A7894" w:rsidP="00631641">
      <w:pPr>
        <w:pStyle w:val="a3"/>
        <w:spacing w:line="360" w:lineRule="auto"/>
        <w:ind w:right="198"/>
        <w:jc w:val="both"/>
        <w:rPr>
          <w:rFonts w:ascii="Book Antiqua" w:eastAsiaTheme="minorEastAsia" w:hAnsi="Book Antiqua"/>
          <w:color w:val="000000" w:themeColor="text1"/>
          <w:sz w:val="24"/>
          <w:szCs w:val="24"/>
          <w:lang w:eastAsia="zh-CN"/>
        </w:rPr>
      </w:pPr>
    </w:p>
    <w:p w:rsidR="008A7894" w:rsidRPr="00FE5422" w:rsidRDefault="008A7894"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HISTOPATHOLOGICAL FEATURES</w:t>
      </w:r>
    </w:p>
    <w:p w:rsidR="008A7894" w:rsidRPr="00FE5422" w:rsidRDefault="008A7894" w:rsidP="00631641">
      <w:pPr>
        <w:pStyle w:val="a3"/>
        <w:spacing w:line="360" w:lineRule="auto"/>
        <w:ind w:right="194"/>
        <w:jc w:val="both"/>
        <w:rPr>
          <w:rFonts w:ascii="Book Antiqua" w:hAnsi="Book Antiqua"/>
          <w:b/>
          <w:color w:val="000000" w:themeColor="text1"/>
          <w:sz w:val="24"/>
          <w:szCs w:val="24"/>
        </w:rPr>
      </w:pPr>
      <w:r w:rsidRPr="00FE5422">
        <w:rPr>
          <w:rFonts w:ascii="Book Antiqua" w:hAnsi="Book Antiqua"/>
          <w:color w:val="000000" w:themeColor="text1"/>
          <w:sz w:val="24"/>
          <w:szCs w:val="24"/>
        </w:rPr>
        <w:t xml:space="preserve">The ECL cells play a fundamental role in the regulation of acid secretion, which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essential to understand the gNET classification into subtypes, each with distinct management and prognosis. Following food intake, the G cells of the antrum</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secrete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gastrin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which</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turn</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stimulates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along</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histamine-producing</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parietal</w:t>
      </w:r>
      <w:r w:rsidRPr="00FE5422">
        <w:rPr>
          <w:rFonts w:ascii="Book Antiqua" w:hAnsi="Book Antiqua"/>
          <w:color w:val="000000" w:themeColor="text1"/>
          <w:spacing w:val="-1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 xml:space="preserve">secrete hydrochloric acid (HCL), this phase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inhibited through a negative feedback mechanism that comes from the D cells, which through HCL acid stimulation secrete somatostatin reducing </w:t>
      </w:r>
      <w:r w:rsidRPr="00FE5422">
        <w:rPr>
          <w:rFonts w:ascii="Book Antiqua" w:hAnsi="Book Antiqua"/>
          <w:color w:val="000000" w:themeColor="text1"/>
          <w:spacing w:val="2"/>
          <w:sz w:val="24"/>
          <w:szCs w:val="24"/>
        </w:rPr>
        <w:t xml:space="preserve">the </w:t>
      </w:r>
      <w:r w:rsidRPr="00FE5422">
        <w:rPr>
          <w:rFonts w:ascii="Book Antiqua" w:hAnsi="Book Antiqua"/>
          <w:color w:val="000000" w:themeColor="text1"/>
          <w:sz w:val="24"/>
          <w:szCs w:val="24"/>
        </w:rPr>
        <w:t>secretion of gastrin</w:t>
      </w:r>
      <w:r w:rsidRPr="00FE5422">
        <w:rPr>
          <w:rFonts w:ascii="Book Antiqua" w:eastAsiaTheme="minorEastAsia" w:hAnsi="Book Antiqua"/>
          <w:color w:val="000000" w:themeColor="text1"/>
          <w:sz w:val="24"/>
          <w:szCs w:val="24"/>
          <w:vertAlign w:val="superscript"/>
          <w:lang w:eastAsia="zh-CN"/>
        </w:rPr>
        <w:t>[6]</w:t>
      </w:r>
      <w:r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ind w:right="199" w:firstLineChars="100" w:firstLine="240"/>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Gastric neuroendocrine tumors are classified based on their location, syndromic association, clinical behavior and demographic profile, as follows</w:t>
      </w:r>
      <w:r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eastAsiaTheme="minorEastAsia" w:hAnsi="Book Antiqua"/>
          <w:color w:val="000000" w:themeColor="text1"/>
          <w:sz w:val="24"/>
          <w:szCs w:val="24"/>
          <w:lang w:eastAsia="zh-CN"/>
        </w:rPr>
      </w:pPr>
    </w:p>
    <w:p w:rsidR="008A7894" w:rsidRPr="00FE5422" w:rsidRDefault="008A7894"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w:t>
      </w:r>
    </w:p>
    <w:p w:rsidR="008A7894" w:rsidRPr="00FE5422" w:rsidRDefault="008A7894" w:rsidP="00631641">
      <w:pPr>
        <w:pStyle w:val="a3"/>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These lesions correspond to the majority of gNETs found in the stomach (70</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-80%), they are usually multiple small nodules/polyps in the gastric body and are limited to the mucosa and submucosa. These lesions are usually found in association with autoimmune chronic atrophic gastritis. The presence of anti-parietal cell or anti-intrinsic factor antibodies leads to the destruction of the parietal cells reducing the level of hydrochloric acid (achlorhydria), which in turn eliminates the negative feedback inhibition of gastrin production by G cells leading to hypergastrinemia, this excess hormone production favors </w:t>
      </w:r>
      <w:r w:rsidRPr="00FE5422">
        <w:rPr>
          <w:rFonts w:ascii="Book Antiqua" w:hAnsi="Book Antiqua"/>
          <w:color w:val="000000" w:themeColor="text1"/>
          <w:sz w:val="24"/>
          <w:szCs w:val="24"/>
        </w:rPr>
        <w:lastRenderedPageBreak/>
        <w:t>the appearance of multiple small lesions that are generally indolent and may regress. Lymph node metastases are very rare and occur only when the tumors are large (greater than 2 cm) and infiltrate</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muscularis</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propria.</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These</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characteristics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give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these</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10"/>
          <w:sz w:val="24"/>
          <w:szCs w:val="24"/>
        </w:rPr>
        <w:t xml:space="preserve"> </w:t>
      </w:r>
      <w:r w:rsidRPr="00FE5422">
        <w:rPr>
          <w:rFonts w:ascii="Book Antiqua" w:hAnsi="Book Antiqua"/>
          <w:color w:val="000000" w:themeColor="text1"/>
          <w:sz w:val="24"/>
          <w:szCs w:val="24"/>
        </w:rPr>
        <w:t>little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aggressive</w:t>
      </w:r>
      <w:r w:rsidRPr="00FE5422">
        <w:rPr>
          <w:rFonts w:ascii="Book Antiqua" w:hAnsi="Book Antiqua"/>
          <w:color w:val="000000" w:themeColor="text1"/>
          <w:spacing w:val="-15"/>
          <w:sz w:val="24"/>
          <w:szCs w:val="24"/>
        </w:rPr>
        <w:t xml:space="preserve"> </w:t>
      </w:r>
      <w:r w:rsidRPr="00FE5422">
        <w:rPr>
          <w:rFonts w:ascii="Book Antiqua" w:hAnsi="Book Antiqua"/>
          <w:color w:val="000000" w:themeColor="text1"/>
          <w:sz w:val="24"/>
          <w:szCs w:val="24"/>
        </w:rPr>
        <w:t>behavior;</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however,</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they</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have an</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overall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good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prognosis</w:t>
      </w:r>
      <w:r w:rsidR="007D0B5C" w:rsidRPr="00FE5422">
        <w:rPr>
          <w:rFonts w:ascii="Book Antiqua" w:eastAsiaTheme="minorEastAsia" w:hAnsi="Book Antiqua"/>
          <w:color w:val="000000" w:themeColor="text1"/>
          <w:sz w:val="24"/>
          <w:szCs w:val="24"/>
          <w:vertAlign w:val="superscript"/>
          <w:lang w:eastAsia="zh-CN"/>
        </w:rPr>
        <w:t>[7]</w:t>
      </w:r>
      <w:r w:rsidR="007D0B5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4"/>
          <w:sz w:val="24"/>
          <w:szCs w:val="24"/>
        </w:rPr>
        <w:t xml:space="preserve"> </w:t>
      </w:r>
      <w:r w:rsidRPr="00FE5422">
        <w:rPr>
          <w:rFonts w:ascii="Book Antiqua" w:hAnsi="Book Antiqua"/>
          <w:color w:val="000000" w:themeColor="text1"/>
          <w:sz w:val="24"/>
          <w:szCs w:val="24"/>
        </w:rPr>
        <w:t>They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clinically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associated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pernicious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megaloblastic</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anemia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due</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 xml:space="preserve">body’s inability to absorb vitamin B12 secondary to a decrease </w:t>
      </w:r>
      <w:r w:rsidRPr="00FE5422">
        <w:rPr>
          <w:rFonts w:ascii="Book Antiqua" w:hAnsi="Book Antiqua"/>
          <w:color w:val="000000" w:themeColor="text1"/>
          <w:spacing w:val="-3"/>
          <w:sz w:val="24"/>
          <w:szCs w:val="24"/>
        </w:rPr>
        <w:t xml:space="preserve">in </w:t>
      </w:r>
      <w:r w:rsidRPr="00FE5422">
        <w:rPr>
          <w:rFonts w:ascii="Book Antiqua" w:hAnsi="Book Antiqua"/>
          <w:color w:val="000000" w:themeColor="text1"/>
          <w:sz w:val="24"/>
          <w:szCs w:val="24"/>
        </w:rPr>
        <w:t>intrinsic factor</w:t>
      </w:r>
      <w:r w:rsidR="007D0B5C" w:rsidRPr="00FE5422">
        <w:rPr>
          <w:rFonts w:ascii="Book Antiqua" w:eastAsiaTheme="minorEastAsia" w:hAnsi="Book Antiqua"/>
          <w:color w:val="000000" w:themeColor="text1"/>
          <w:sz w:val="24"/>
          <w:szCs w:val="24"/>
          <w:vertAlign w:val="superscript"/>
          <w:lang w:eastAsia="zh-CN"/>
        </w:rPr>
        <w:t>[8]</w:t>
      </w:r>
      <w:r w:rsidR="007D0B5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The findings on upper GI endoscopy include soft yellowish and transparent vasculature seen in the antral mucosa, contrasting with the smooth, erythematous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looking</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normal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areas.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neuroendocrine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seen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minute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(less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1-2</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cm)</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 frequently multiple polyps (Figure 1). Histologic examination shows atrophied gastric oxyntic mucosa with occasional intestinal,</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pseudopyloric</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pancreatic</w:t>
      </w:r>
      <w:r w:rsidRPr="00FE5422">
        <w:rPr>
          <w:rFonts w:ascii="Book Antiqua" w:hAnsi="Book Antiqua"/>
          <w:color w:val="000000" w:themeColor="text1"/>
          <w:spacing w:val="45"/>
          <w:sz w:val="24"/>
          <w:szCs w:val="24"/>
        </w:rPr>
        <w:t xml:space="preserve"> </w:t>
      </w:r>
      <w:r w:rsidRPr="00FE5422">
        <w:rPr>
          <w:rFonts w:ascii="Book Antiqua" w:hAnsi="Book Antiqua"/>
          <w:color w:val="000000" w:themeColor="text1"/>
          <w:sz w:val="24"/>
          <w:szCs w:val="24"/>
        </w:rPr>
        <w:t>acinar</w:t>
      </w:r>
      <w:r w:rsidRPr="00FE5422">
        <w:rPr>
          <w:rFonts w:ascii="Book Antiqua" w:hAnsi="Book Antiqua"/>
          <w:color w:val="000000" w:themeColor="text1"/>
          <w:spacing w:val="38"/>
          <w:sz w:val="24"/>
          <w:szCs w:val="24"/>
        </w:rPr>
        <w:t xml:space="preserve"> </w:t>
      </w:r>
      <w:r w:rsidRPr="00FE5422">
        <w:rPr>
          <w:rFonts w:ascii="Book Antiqua" w:hAnsi="Book Antiqua"/>
          <w:color w:val="000000" w:themeColor="text1"/>
          <w:sz w:val="24"/>
          <w:szCs w:val="24"/>
        </w:rPr>
        <w:t>metaplasia</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nodules</w:t>
      </w:r>
      <w:r w:rsidRPr="00FE5422">
        <w:rPr>
          <w:rFonts w:ascii="Book Antiqua" w:hAnsi="Book Antiqua"/>
          <w:color w:val="000000" w:themeColor="text1"/>
          <w:spacing w:val="42"/>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42"/>
          <w:sz w:val="24"/>
          <w:szCs w:val="24"/>
        </w:rPr>
        <w:t xml:space="preserve"> </w:t>
      </w:r>
      <w:r w:rsidRPr="00FE5422">
        <w:rPr>
          <w:rFonts w:ascii="Book Antiqua" w:hAnsi="Book Antiqua"/>
          <w:color w:val="000000" w:themeColor="text1"/>
          <w:sz w:val="24"/>
          <w:szCs w:val="24"/>
        </w:rPr>
        <w:t>composed</w:t>
      </w:r>
      <w:r w:rsidRPr="00FE5422">
        <w:rPr>
          <w:rFonts w:ascii="Book Antiqua" w:hAnsi="Book Antiqua"/>
          <w:color w:val="000000" w:themeColor="text1"/>
          <w:spacing w:val="3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sheets</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41"/>
          <w:sz w:val="24"/>
          <w:szCs w:val="24"/>
        </w:rPr>
        <w:t xml:space="preserve"> </w:t>
      </w:r>
      <w:r w:rsidRPr="00FE5422">
        <w:rPr>
          <w:rFonts w:ascii="Book Antiqua" w:hAnsi="Book Antiqua"/>
          <w:color w:val="000000" w:themeColor="text1"/>
          <w:sz w:val="24"/>
          <w:szCs w:val="24"/>
        </w:rPr>
        <w:t>nests</w:t>
      </w:r>
      <w:r w:rsidRPr="00FE5422">
        <w:rPr>
          <w:rFonts w:ascii="Book Antiqua" w:hAnsi="Book Antiqua"/>
          <w:color w:val="000000" w:themeColor="text1"/>
          <w:spacing w:val="37"/>
          <w:sz w:val="24"/>
          <w:szCs w:val="24"/>
        </w:rPr>
        <w:t xml:space="preserve"> </w:t>
      </w:r>
      <w:r w:rsidRPr="00FE5422">
        <w:rPr>
          <w:rFonts w:ascii="Book Antiqua" w:hAnsi="Book Antiqua"/>
          <w:color w:val="000000" w:themeColor="text1"/>
          <w:sz w:val="24"/>
          <w:szCs w:val="24"/>
        </w:rPr>
        <w:t>of</w:t>
      </w:r>
      <w:r w:rsidR="007D0B5C"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 xml:space="preserve">neuroendocrine cells. When these nodules measure less than 5 mm in greatest linear dimension, they should be named neuroendocrine microadenomas, rather than neuroendocrine tumors. These tumors usually exhibit nil mitotic activity and a low Ki67 proliferation index of less than 3%, compatible with well differentiated neuroendocrine tumors, grade 1 (G1) </w:t>
      </w:r>
      <w:r w:rsidRPr="00FE5422">
        <w:rPr>
          <w:rFonts w:ascii="Book Antiqua" w:hAnsi="Book Antiqua"/>
          <w:bCs/>
          <w:color w:val="000000" w:themeColor="text1"/>
          <w:sz w:val="24"/>
          <w:szCs w:val="24"/>
        </w:rPr>
        <w:t xml:space="preserve">(Figure 1 and </w:t>
      </w:r>
      <w:r w:rsidR="007D0B5C" w:rsidRPr="00FE5422">
        <w:rPr>
          <w:rFonts w:ascii="Book Antiqua" w:hAnsi="Book Antiqua"/>
          <w:bCs/>
          <w:color w:val="000000" w:themeColor="text1"/>
          <w:sz w:val="24"/>
          <w:szCs w:val="24"/>
        </w:rPr>
        <w:t xml:space="preserve">Figure </w:t>
      </w:r>
      <w:r w:rsidRPr="00FE5422">
        <w:rPr>
          <w:rFonts w:ascii="Book Antiqua" w:hAnsi="Book Antiqua"/>
          <w:bCs/>
          <w:color w:val="000000" w:themeColor="text1"/>
          <w:sz w:val="24"/>
          <w:szCs w:val="24"/>
        </w:rPr>
        <w:t>2)</w:t>
      </w:r>
      <w:r w:rsidRPr="00FE5422">
        <w:rPr>
          <w:rFonts w:ascii="Book Antiqua" w:hAnsi="Book Antiqua"/>
          <w:color w:val="000000" w:themeColor="text1"/>
          <w:sz w:val="24"/>
          <w:szCs w:val="24"/>
        </w:rPr>
        <w:t>.</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7D0B5C" w:rsidRPr="00FE5422" w:rsidRDefault="007D0B5C"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II</w:t>
      </w:r>
    </w:p>
    <w:p w:rsidR="008A7894" w:rsidRPr="00FE5422" w:rsidRDefault="008A7894" w:rsidP="00631641">
      <w:pPr>
        <w:pStyle w:val="a3"/>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These lesions account for 7% of gNETS, they are usually small, multiple tumors and have a bimodal age distribution affecting young adults with multiple endocrine neoplasia type 1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 Zollinger-Ellison syndrome and older adults</w:t>
      </w:r>
      <w:r w:rsidR="00831E0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i/>
          <w:color w:val="000000" w:themeColor="text1"/>
          <w:sz w:val="24"/>
          <w:szCs w:val="24"/>
        </w:rPr>
        <w:t>MEN1</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suppressor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gene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present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at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11q13</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locus,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transcription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product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i/>
          <w:color w:val="000000" w:themeColor="text1"/>
          <w:sz w:val="24"/>
          <w:szCs w:val="24"/>
        </w:rPr>
        <w:t>MEN1</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gene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Menin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protein</w:t>
      </w:r>
      <w:r w:rsidR="004100BA" w:rsidRPr="00FE5422">
        <w:rPr>
          <w:rFonts w:ascii="Book Antiqua" w:eastAsiaTheme="minorEastAsia" w:hAnsi="Book Antiqua"/>
          <w:color w:val="000000" w:themeColor="text1"/>
          <w:sz w:val="24"/>
          <w:szCs w:val="24"/>
          <w:vertAlign w:val="superscript"/>
          <w:lang w:eastAsia="zh-CN"/>
        </w:rPr>
        <w:t>[9-13</w:t>
      </w:r>
      <w:r w:rsidR="004638BC" w:rsidRPr="00FE5422">
        <w:rPr>
          <w:rFonts w:ascii="Book Antiqua" w:eastAsiaTheme="minorEastAsia" w:hAnsi="Book Antiqua"/>
          <w:color w:val="000000" w:themeColor="text1"/>
          <w:sz w:val="24"/>
          <w:szCs w:val="24"/>
          <w:vertAlign w:val="superscript"/>
          <w:lang w:eastAsia="zh-CN"/>
        </w:rPr>
        <w:t>]</w:t>
      </w:r>
      <w:r w:rsidR="004638B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Biallelic inactivation through a mutation in 1 allele of MEN1, coupled with the loss of the remaining wild type allele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identified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about</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90%</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gNETS of this type</w:t>
      </w:r>
      <w:r w:rsidR="004100BA" w:rsidRPr="00FE5422">
        <w:rPr>
          <w:rFonts w:ascii="Book Antiqua" w:eastAsiaTheme="minorEastAsia" w:hAnsi="Book Antiqua"/>
          <w:color w:val="000000" w:themeColor="text1"/>
          <w:sz w:val="24"/>
          <w:szCs w:val="24"/>
          <w:vertAlign w:val="superscript"/>
          <w:lang w:eastAsia="zh-CN"/>
        </w:rPr>
        <w:t>[14</w:t>
      </w:r>
      <w:r w:rsidR="004638BC" w:rsidRPr="00FE5422">
        <w:rPr>
          <w:rFonts w:ascii="Book Antiqua" w:eastAsiaTheme="minorEastAsia" w:hAnsi="Book Antiqua"/>
          <w:color w:val="000000" w:themeColor="text1"/>
          <w:sz w:val="24"/>
          <w:szCs w:val="24"/>
          <w:vertAlign w:val="superscript"/>
          <w:lang w:eastAsia="zh-CN"/>
        </w:rPr>
        <w:t>]</w:t>
      </w:r>
      <w:r w:rsidR="004638BC"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3"/>
          <w:sz w:val="24"/>
          <w:szCs w:val="24"/>
        </w:rPr>
        <w:t xml:space="preserve"> </w:t>
      </w:r>
      <w:r w:rsidRPr="00FE5422">
        <w:rPr>
          <w:rFonts w:ascii="Book Antiqua" w:hAnsi="Book Antiqua"/>
          <w:color w:val="000000" w:themeColor="text1"/>
          <w:sz w:val="24"/>
          <w:szCs w:val="24"/>
        </w:rPr>
        <w:t>Upper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GI</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endoscopy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reveals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multiple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tumors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measuring less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2</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cm</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noted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 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body</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fundus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stomach</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3"/>
          <w:sz w:val="24"/>
          <w:szCs w:val="24"/>
        </w:rPr>
        <w:t xml:space="preserve"> an </w:t>
      </w:r>
      <w:r w:rsidRPr="00FE5422">
        <w:rPr>
          <w:rFonts w:ascii="Book Antiqua" w:hAnsi="Book Antiqua"/>
          <w:color w:val="000000" w:themeColor="text1"/>
          <w:sz w:val="24"/>
          <w:szCs w:val="24"/>
        </w:rPr>
        <w:t>adjacent</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normal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hypertrophic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gastric</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mucosa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4"/>
          <w:sz w:val="24"/>
          <w:szCs w:val="24"/>
        </w:rPr>
        <w:t xml:space="preserve"> clinical findings of </w:t>
      </w:r>
      <w:r w:rsidRPr="00FE5422">
        <w:rPr>
          <w:rFonts w:ascii="Book Antiqua" w:hAnsi="Book Antiqua"/>
          <w:color w:val="000000" w:themeColor="text1"/>
          <w:sz w:val="24"/>
          <w:szCs w:val="24"/>
        </w:rPr>
        <w:t>hypergastrinemia</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low gastric PH (hyperchlorhydria)</w:t>
      </w:r>
      <w:r w:rsidR="004100BA" w:rsidRPr="00FE5422">
        <w:rPr>
          <w:rFonts w:ascii="Book Antiqua" w:eastAsiaTheme="minorEastAsia" w:hAnsi="Book Antiqua"/>
          <w:color w:val="000000" w:themeColor="text1"/>
          <w:sz w:val="24"/>
          <w:szCs w:val="24"/>
          <w:vertAlign w:val="superscript"/>
          <w:lang w:eastAsia="zh-CN"/>
        </w:rPr>
        <w:t>[15</w:t>
      </w:r>
      <w:r w:rsidR="000100B9" w:rsidRPr="00FE5422">
        <w:rPr>
          <w:rFonts w:ascii="Book Antiqua" w:eastAsiaTheme="minorEastAsia" w:hAnsi="Book Antiqua"/>
          <w:color w:val="000000" w:themeColor="text1"/>
          <w:sz w:val="24"/>
          <w:szCs w:val="24"/>
          <w:vertAlign w:val="superscript"/>
          <w:lang w:eastAsia="zh-CN"/>
        </w:rPr>
        <w:t>]</w:t>
      </w:r>
      <w:r w:rsidR="000100B9"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Serial measurements of serum gastrin levels following intravenous administration of secretin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performed and show an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increase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gastrin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levels</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for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patients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with</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gastrinoma,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while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 decrease in gastrin levels is seen in</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healthy</w:t>
      </w:r>
      <w:r w:rsidRPr="00FE5422">
        <w:rPr>
          <w:rFonts w:ascii="Book Antiqua" w:hAnsi="Book Antiqua"/>
          <w:color w:val="000000" w:themeColor="text1"/>
          <w:spacing w:val="-7"/>
          <w:sz w:val="24"/>
          <w:szCs w:val="24"/>
        </w:rPr>
        <w:t xml:space="preserve"> individuals</w:t>
      </w:r>
      <w:r w:rsidR="00FD2CDA" w:rsidRPr="00FE5422">
        <w:rPr>
          <w:rFonts w:ascii="Book Antiqua" w:eastAsiaTheme="minorEastAsia" w:hAnsi="Book Antiqua"/>
          <w:color w:val="000000" w:themeColor="text1"/>
          <w:spacing w:val="-7"/>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Histopathologic examination demonstrates a gastric oxyntic mucosa with increased oxyntic cell mass due to uninhibited gastrin stimulation </w:t>
      </w:r>
      <w:r w:rsidRPr="00FE5422">
        <w:rPr>
          <w:rFonts w:ascii="Book Antiqua" w:hAnsi="Book Antiqua"/>
          <w:color w:val="000000" w:themeColor="text1"/>
          <w:sz w:val="24"/>
          <w:szCs w:val="24"/>
        </w:rPr>
        <w:lastRenderedPageBreak/>
        <w:t xml:space="preserve">along with nodules of neuroendocrine tumor nests that have negligible mitotic activity, absent necrosis and typically a low Ki67 proliferation index (less than 3%) compatible with a well differentiated neuroendocrine tumor, G1 and rarely a </w:t>
      </w:r>
      <w:r w:rsidR="00AC3435" w:rsidRPr="00FE5422">
        <w:rPr>
          <w:rFonts w:ascii="Book Antiqua" w:hAnsi="Book Antiqua"/>
          <w:color w:val="000000" w:themeColor="text1"/>
          <w:sz w:val="24"/>
          <w:szCs w:val="24"/>
        </w:rPr>
        <w:t>G2</w:t>
      </w:r>
      <w:r w:rsidRPr="00FE5422">
        <w:rPr>
          <w:rFonts w:ascii="Book Antiqua" w:hAnsi="Book Antiqua"/>
          <w:color w:val="000000" w:themeColor="text1"/>
          <w:sz w:val="24"/>
          <w:szCs w:val="24"/>
        </w:rPr>
        <w:t xml:space="preserve"> in the advent of a Ki67proliferation index between 3</w:t>
      </w:r>
      <w:r w:rsidR="00156547"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to 20%. In contrast to type </w:t>
      </w:r>
      <w:r w:rsidR="00AC4188" w:rsidRPr="00FE5422">
        <w:rPr>
          <w:rFonts w:ascii="Book Antiqua" w:eastAsiaTheme="minorEastAsia" w:hAnsi="Book Antiqua"/>
          <w:color w:val="000000" w:themeColor="text1"/>
          <w:sz w:val="24"/>
          <w:szCs w:val="24"/>
          <w:lang w:eastAsia="zh-CN"/>
        </w:rPr>
        <w:t>I</w:t>
      </w:r>
      <w:r w:rsidRPr="00FE5422">
        <w:rPr>
          <w:rFonts w:ascii="Book Antiqua" w:hAnsi="Book Antiqua"/>
          <w:color w:val="000000" w:themeColor="text1"/>
          <w:sz w:val="24"/>
          <w:szCs w:val="24"/>
        </w:rPr>
        <w:t xml:space="preserve"> tumors, 10</w:t>
      </w:r>
      <w:r w:rsidR="007F4544"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-30% metastasize. Neuroendocrine microadenomatosis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 common feature of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.Tumors greater than 2 cm that invade the muscularis propria and exhibit vascular invasion are more likely to</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metastasize.</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AC3435" w:rsidP="00631641">
      <w:pPr>
        <w:pStyle w:val="a3"/>
        <w:spacing w:line="360" w:lineRule="auto"/>
        <w:jc w:val="both"/>
        <w:rPr>
          <w:rFonts w:ascii="Book Antiqua" w:eastAsiaTheme="minorEastAsia" w:hAnsi="Book Antiqua"/>
          <w:b/>
          <w:i/>
          <w:color w:val="000000" w:themeColor="text1"/>
          <w:sz w:val="24"/>
          <w:szCs w:val="24"/>
          <w:lang w:eastAsia="zh-CN"/>
        </w:rPr>
      </w:pPr>
      <w:r w:rsidRPr="00FE5422">
        <w:rPr>
          <w:rFonts w:ascii="Book Antiqua" w:hAnsi="Book Antiqua"/>
          <w:b/>
          <w:i/>
          <w:color w:val="000000" w:themeColor="text1"/>
          <w:sz w:val="24"/>
          <w:szCs w:val="24"/>
        </w:rPr>
        <w:t>Type III</w:t>
      </w:r>
    </w:p>
    <w:p w:rsidR="008A7894" w:rsidRPr="00FE5422" w:rsidRDefault="008A7894" w:rsidP="00631641">
      <w:pPr>
        <w:pStyle w:val="a3"/>
        <w:spacing w:line="360" w:lineRule="auto"/>
        <w:ind w:right="193"/>
        <w:jc w:val="both"/>
        <w:rPr>
          <w:rFonts w:ascii="Book Antiqua" w:hAnsi="Book Antiqua"/>
          <w:color w:val="000000" w:themeColor="text1"/>
          <w:sz w:val="24"/>
          <w:szCs w:val="24"/>
        </w:rPr>
      </w:pPr>
      <w:r w:rsidRPr="00FE5422">
        <w:rPr>
          <w:rFonts w:ascii="Book Antiqua" w:hAnsi="Book Antiqua"/>
          <w:color w:val="000000" w:themeColor="text1"/>
          <w:sz w:val="24"/>
          <w:szCs w:val="24"/>
        </w:rPr>
        <w:t xml:space="preserve">These lesions are sporadic tumors and are the second most common gNET. They occur in the absence of ECL cell hyperplasia and are not associated with hypergastrinemia, chronic atrophic gastritis, </w:t>
      </w:r>
      <w:r w:rsidRPr="00FE5422">
        <w:rPr>
          <w:rFonts w:ascii="Book Antiqua" w:hAnsi="Book Antiqua"/>
          <w:i/>
          <w:color w:val="000000" w:themeColor="text1"/>
          <w:sz w:val="24"/>
          <w:szCs w:val="24"/>
        </w:rPr>
        <w:t>MEN1</w:t>
      </w:r>
      <w:r w:rsidRPr="00FE5422">
        <w:rPr>
          <w:rFonts w:ascii="Book Antiqua" w:hAnsi="Book Antiqua"/>
          <w:color w:val="000000" w:themeColor="text1"/>
          <w:sz w:val="24"/>
          <w:szCs w:val="24"/>
        </w:rPr>
        <w:t xml:space="preserve"> or Zollinger- Ellison syndrome</w:t>
      </w:r>
      <w:r w:rsidR="00AC4188"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Upper endoscopy reveals a single solitary lesion, greater than 2 cm, that can be located in any part of the stomach. Histopathologic examination shows cords and nests of tumor cells. Many cases show intermediate cytological atypia characterized </w:t>
      </w:r>
      <w:r w:rsidRPr="00FE5422">
        <w:rPr>
          <w:rFonts w:ascii="Book Antiqua" w:hAnsi="Book Antiqua"/>
          <w:color w:val="000000" w:themeColor="text1"/>
          <w:spacing w:val="5"/>
          <w:sz w:val="24"/>
          <w:szCs w:val="24"/>
        </w:rPr>
        <w:t xml:space="preserve">by </w:t>
      </w:r>
      <w:r w:rsidRPr="00FE5422">
        <w:rPr>
          <w:rFonts w:ascii="Book Antiqua" w:hAnsi="Book Antiqua"/>
          <w:color w:val="000000" w:themeColor="text1"/>
          <w:sz w:val="24"/>
          <w:szCs w:val="24"/>
        </w:rPr>
        <w:t>abundant amphophilic cytoplasm, enlarged nuclei with open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chromatin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2"/>
          <w:sz w:val="24"/>
          <w:szCs w:val="24"/>
        </w:rPr>
        <w:t xml:space="preserve"> prominent </w:t>
      </w:r>
      <w:r w:rsidRPr="00FE5422">
        <w:rPr>
          <w:rFonts w:ascii="Book Antiqua" w:hAnsi="Book Antiqua"/>
          <w:color w:val="000000" w:themeColor="text1"/>
          <w:sz w:val="24"/>
          <w:szCs w:val="24"/>
        </w:rPr>
        <w:t>nucleoli,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single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cell</w:t>
      </w:r>
      <w:r w:rsidRPr="00FE5422">
        <w:rPr>
          <w:rFonts w:ascii="Book Antiqua" w:hAnsi="Book Antiqua"/>
          <w:color w:val="000000" w:themeColor="text1"/>
          <w:spacing w:val="-12"/>
          <w:sz w:val="24"/>
          <w:szCs w:val="24"/>
        </w:rPr>
        <w:t xml:space="preserve"> apoptosis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extensive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necrosis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can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identified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along with a Ki67</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proliferation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index</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excess of 3%, thereby making these tumors G2 or in rare occasions </w:t>
      </w:r>
      <w:r w:rsidR="00940A7D" w:rsidRPr="00FE5422">
        <w:rPr>
          <w:rFonts w:ascii="Book Antiqua" w:hAnsi="Book Antiqua"/>
          <w:color w:val="000000" w:themeColor="text1"/>
          <w:sz w:val="24"/>
          <w:szCs w:val="24"/>
        </w:rPr>
        <w:t>G3</w:t>
      </w:r>
      <w:r w:rsidRPr="00FE5422">
        <w:rPr>
          <w:rFonts w:ascii="Book Antiqua" w:hAnsi="Book Antiqua"/>
          <w:color w:val="000000" w:themeColor="text1"/>
          <w:sz w:val="24"/>
          <w:szCs w:val="24"/>
        </w:rPr>
        <w:t xml:space="preserve"> when the Ki67 index exceeds the 20% threshold</w:t>
      </w:r>
      <w:r w:rsidR="00940A7D"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Metastases are common and are associated with larger size, angioinvasion, and invasion of the muscularis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propria.</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940A7D" w:rsidP="00631641">
      <w:pPr>
        <w:pStyle w:val="1"/>
        <w:spacing w:line="360" w:lineRule="auto"/>
        <w:ind w:left="0"/>
        <w:rPr>
          <w:rFonts w:ascii="Book Antiqua" w:hAnsi="Book Antiqua"/>
          <w:b w:val="0"/>
          <w:color w:val="000000" w:themeColor="text1"/>
          <w:sz w:val="24"/>
          <w:szCs w:val="24"/>
        </w:rPr>
      </w:pPr>
      <w:r w:rsidRPr="00FE5422">
        <w:rPr>
          <w:rFonts w:ascii="Book Antiqua" w:hAnsi="Book Antiqua"/>
          <w:color w:val="000000" w:themeColor="text1"/>
          <w:sz w:val="24"/>
          <w:szCs w:val="24"/>
        </w:rPr>
        <w:t>IMMUNOHISTOCHEMISTRY</w:t>
      </w:r>
    </w:p>
    <w:p w:rsidR="008A7894" w:rsidRPr="00FE5422" w:rsidRDefault="008A7894" w:rsidP="00631641">
      <w:pPr>
        <w:pStyle w:val="a3"/>
        <w:spacing w:line="360" w:lineRule="auto"/>
        <w:ind w:right="189"/>
        <w:jc w:val="both"/>
        <w:rPr>
          <w:rFonts w:ascii="Book Antiqua" w:hAnsi="Book Antiqua"/>
          <w:color w:val="000000" w:themeColor="text1"/>
          <w:sz w:val="24"/>
          <w:szCs w:val="24"/>
        </w:rPr>
      </w:pPr>
      <w:r w:rsidRPr="00FE5422">
        <w:rPr>
          <w:rFonts w:ascii="Book Antiqua" w:hAnsi="Book Antiqua"/>
          <w:color w:val="000000" w:themeColor="text1"/>
          <w:sz w:val="24"/>
          <w:szCs w:val="24"/>
        </w:rPr>
        <w:t xml:space="preserve">Endocrine cells of the GI and pancreaticobiliary tracts and </w:t>
      </w:r>
      <w:r w:rsidR="00F403B4" w:rsidRPr="00FE5422">
        <w:rPr>
          <w:rFonts w:ascii="Book Antiqua" w:hAnsi="Book Antiqua"/>
          <w:color w:val="000000" w:themeColor="text1"/>
          <w:sz w:val="24"/>
          <w:szCs w:val="24"/>
        </w:rPr>
        <w:t>NETs</w:t>
      </w:r>
      <w:r w:rsidRPr="00FE5422">
        <w:rPr>
          <w:rFonts w:ascii="Book Antiqua" w:hAnsi="Book Antiqua"/>
          <w:color w:val="000000" w:themeColor="text1"/>
          <w:sz w:val="24"/>
          <w:szCs w:val="24"/>
        </w:rPr>
        <w:t xml:space="preserve"> are labelled by neuroendocrine markers, including </w:t>
      </w:r>
      <w:r w:rsidRPr="00FE5422">
        <w:rPr>
          <w:rFonts w:ascii="Book Antiqua" w:hAnsi="Book Antiqua"/>
          <w:i/>
          <w:color w:val="000000" w:themeColor="text1"/>
          <w:sz w:val="24"/>
          <w:szCs w:val="24"/>
        </w:rPr>
        <w:t>CD56</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NCAM1</w:t>
      </w:r>
      <w:r w:rsidRPr="00FE5422">
        <w:rPr>
          <w:rFonts w:ascii="Book Antiqua" w:hAnsi="Book Antiqua"/>
          <w:color w:val="000000" w:themeColor="text1"/>
          <w:sz w:val="24"/>
          <w:szCs w:val="24"/>
        </w:rPr>
        <w:t xml:space="preserve">, </w:t>
      </w:r>
      <w:r w:rsidRPr="00FE5422">
        <w:rPr>
          <w:rFonts w:ascii="Book Antiqua" w:hAnsi="Book Antiqua"/>
          <w:i/>
          <w:color w:val="000000" w:themeColor="text1"/>
          <w:sz w:val="24"/>
          <w:szCs w:val="24"/>
        </w:rPr>
        <w:t>leu7</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B3GAT1</w:t>
      </w:r>
      <w:r w:rsidRPr="00FE5422">
        <w:rPr>
          <w:rFonts w:ascii="Book Antiqua" w:hAnsi="Book Antiqua"/>
          <w:color w:val="000000" w:themeColor="text1"/>
          <w:sz w:val="24"/>
          <w:szCs w:val="24"/>
        </w:rPr>
        <w:t>, protein gene product 9.5 (</w:t>
      </w:r>
      <w:r w:rsidRPr="00FE5422">
        <w:rPr>
          <w:rFonts w:ascii="Book Antiqua" w:hAnsi="Book Antiqua"/>
          <w:i/>
          <w:color w:val="000000" w:themeColor="text1"/>
          <w:sz w:val="24"/>
          <w:szCs w:val="24"/>
        </w:rPr>
        <w:t>PGP9.5</w:t>
      </w:r>
      <w:r w:rsidRPr="00FE5422">
        <w:rPr>
          <w:rFonts w:ascii="Book Antiqua" w:hAnsi="Book Antiqua"/>
          <w:color w:val="000000" w:themeColor="text1"/>
          <w:sz w:val="24"/>
          <w:szCs w:val="24"/>
        </w:rPr>
        <w:t xml:space="preserve">), neuron specific enolase, synaptophysin and chromogranin </w:t>
      </w:r>
      <w:r w:rsidRPr="00FE5422">
        <w:rPr>
          <w:rFonts w:ascii="Book Antiqua" w:hAnsi="Book Antiqua"/>
          <w:color w:val="000000" w:themeColor="text1"/>
          <w:spacing w:val="-3"/>
          <w:sz w:val="24"/>
          <w:szCs w:val="24"/>
        </w:rPr>
        <w:t xml:space="preserve">A. It is </w:t>
      </w:r>
      <w:r w:rsidRPr="00FE5422">
        <w:rPr>
          <w:rFonts w:ascii="Book Antiqua" w:hAnsi="Book Antiqua"/>
          <w:color w:val="000000" w:themeColor="text1"/>
          <w:sz w:val="24"/>
          <w:szCs w:val="24"/>
        </w:rPr>
        <w:t xml:space="preserve">considered that synaptophysin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the most sensitive, and chromogranin A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the most specific of the neuroendocrine markers. Therefore, in the majority of practices those two markers are used to determine neuroendocrine differentiation. The other stains mentioned are not commonly used, due to their low sensitivity and specificity</w:t>
      </w:r>
      <w:r w:rsidR="004100BA" w:rsidRPr="00FE5422">
        <w:rPr>
          <w:rFonts w:ascii="Book Antiqua" w:eastAsiaTheme="minorEastAsia" w:hAnsi="Book Antiqua"/>
          <w:color w:val="000000" w:themeColor="text1"/>
          <w:sz w:val="24"/>
          <w:szCs w:val="24"/>
          <w:vertAlign w:val="superscript"/>
          <w:lang w:eastAsia="zh-CN"/>
        </w:rPr>
        <w:t>[16</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Grading of NETs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done using the Ki67 proliferation index, as recommended by the </w:t>
      </w:r>
      <w:r w:rsidR="00F72356" w:rsidRPr="00FE5422">
        <w:rPr>
          <w:rFonts w:ascii="Book Antiqua" w:hAnsi="Book Antiqua"/>
          <w:color w:val="000000" w:themeColor="text1"/>
          <w:sz w:val="24"/>
          <w:szCs w:val="24"/>
        </w:rPr>
        <w:t xml:space="preserve">World Health Organization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3"/>
          <w:sz w:val="24"/>
          <w:szCs w:val="24"/>
        </w:rPr>
        <w:t>WHO</w:t>
      </w:r>
      <w:r w:rsidR="00F72356" w:rsidRPr="00FE5422">
        <w:rPr>
          <w:rFonts w:ascii="Book Antiqua" w:eastAsiaTheme="minorEastAsia" w:hAnsi="Book Antiqua"/>
          <w:color w:val="000000" w:themeColor="text1"/>
          <w:spacing w:val="3"/>
          <w:sz w:val="24"/>
          <w:szCs w:val="24"/>
          <w:lang w:eastAsia="zh-CN"/>
        </w:rPr>
        <w: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 xml:space="preserve">classification of neuroendocrine tumors (2010 and most recently in </w:t>
      </w:r>
      <w:r w:rsidRPr="00FE5422">
        <w:rPr>
          <w:rFonts w:ascii="Book Antiqua" w:hAnsi="Book Antiqua"/>
          <w:color w:val="000000" w:themeColor="text1"/>
          <w:sz w:val="24"/>
          <w:szCs w:val="24"/>
        </w:rPr>
        <w:lastRenderedPageBreak/>
        <w:t>2017), the labelling index should be measured</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500-2000</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in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most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proliferative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“hot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spot”</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areas</w:t>
      </w:r>
      <w:r w:rsidR="004100BA" w:rsidRPr="00FE5422">
        <w:rPr>
          <w:rFonts w:ascii="Book Antiqua" w:eastAsiaTheme="minorEastAsia" w:hAnsi="Book Antiqua"/>
          <w:color w:val="000000" w:themeColor="text1"/>
          <w:sz w:val="24"/>
          <w:szCs w:val="24"/>
          <w:vertAlign w:val="superscript"/>
          <w:lang w:eastAsia="zh-CN"/>
        </w:rPr>
        <w:t>[17</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8"/>
          <w:sz w:val="24"/>
          <w:szCs w:val="24"/>
        </w:rPr>
        <w:t xml:space="preserve"> </w:t>
      </w:r>
      <w:r w:rsidRPr="00FE5422">
        <w:rPr>
          <w:rFonts w:ascii="Book Antiqua" w:hAnsi="Book Antiqua"/>
          <w:color w:val="000000" w:themeColor="text1"/>
          <w:sz w:val="24"/>
          <w:szCs w:val="24"/>
        </w:rPr>
        <w:t>Indices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that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less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3%</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considered a G1 tumor, indices that are between 3% and 20% are considered </w:t>
      </w:r>
      <w:r w:rsidR="00E443D1" w:rsidRPr="00FE5422">
        <w:rPr>
          <w:rFonts w:ascii="Book Antiqua" w:eastAsiaTheme="minorEastAsia" w:hAnsi="Book Antiqua"/>
          <w:color w:val="000000" w:themeColor="text1"/>
          <w:sz w:val="24"/>
          <w:szCs w:val="24"/>
          <w:lang w:eastAsia="zh-CN"/>
        </w:rPr>
        <w:t xml:space="preserve">G2 </w:t>
      </w:r>
      <w:r w:rsidRPr="00FE5422">
        <w:rPr>
          <w:rFonts w:ascii="Book Antiqua" w:hAnsi="Book Antiqua"/>
          <w:color w:val="000000" w:themeColor="text1"/>
          <w:sz w:val="24"/>
          <w:szCs w:val="24"/>
        </w:rPr>
        <w:t xml:space="preserve">tumors </w:t>
      </w:r>
      <w:r w:rsidRPr="00FE5422">
        <w:rPr>
          <w:rFonts w:ascii="Book Antiqua" w:hAnsi="Book Antiqua"/>
          <w:color w:val="000000" w:themeColor="text1"/>
          <w:spacing w:val="-3"/>
          <w:sz w:val="24"/>
          <w:szCs w:val="24"/>
        </w:rPr>
        <w:t xml:space="preserve">and </w:t>
      </w:r>
      <w:r w:rsidRPr="00FE5422">
        <w:rPr>
          <w:rFonts w:ascii="Book Antiqua" w:hAnsi="Book Antiqua"/>
          <w:color w:val="000000" w:themeColor="text1"/>
          <w:sz w:val="24"/>
          <w:szCs w:val="24"/>
        </w:rPr>
        <w:t>those that have a</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Ki67</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proliferation</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index</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higher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than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20%</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considered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3"/>
          <w:sz w:val="24"/>
          <w:szCs w:val="24"/>
        </w:rPr>
        <w:t xml:space="preserve"> </w:t>
      </w:r>
      <w:r w:rsidR="00E443D1" w:rsidRPr="00FE5422">
        <w:rPr>
          <w:rFonts w:ascii="Book Antiqua" w:hAnsi="Book Antiqua"/>
          <w:color w:val="000000" w:themeColor="text1"/>
          <w:sz w:val="24"/>
          <w:szCs w:val="24"/>
        </w:rPr>
        <w:t>G3</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lesions,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based</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latest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(2017)</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pacing w:val="3"/>
          <w:sz w:val="24"/>
          <w:szCs w:val="24"/>
        </w:rPr>
        <w:t xml:space="preserve">WHO </w:t>
      </w:r>
      <w:r w:rsidRPr="00FE5422">
        <w:rPr>
          <w:rFonts w:ascii="Book Antiqua" w:hAnsi="Book Antiqua"/>
          <w:color w:val="000000" w:themeColor="text1"/>
          <w:sz w:val="24"/>
          <w:szCs w:val="24"/>
        </w:rPr>
        <w:t xml:space="preserve">recommendation. The mitotic count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also used in the grading of these tumors, grade 1 tumors have less than 2/10 HPF, grade 2 tumors have 2-20/10 HPF, and grade 3 tumors have more than 20/10 HPF (based on 2017 </w:t>
      </w:r>
      <w:r w:rsidRPr="00FE5422">
        <w:rPr>
          <w:rFonts w:ascii="Book Antiqua" w:hAnsi="Book Antiqua"/>
          <w:color w:val="000000" w:themeColor="text1"/>
          <w:spacing w:val="3"/>
          <w:sz w:val="24"/>
          <w:szCs w:val="24"/>
        </w:rPr>
        <w:t xml:space="preserve">WHO </w:t>
      </w:r>
      <w:r w:rsidRPr="00FE5422">
        <w:rPr>
          <w:rFonts w:ascii="Book Antiqua" w:hAnsi="Book Antiqua"/>
          <w:color w:val="000000" w:themeColor="text1"/>
          <w:sz w:val="24"/>
          <w:szCs w:val="24"/>
        </w:rPr>
        <w:t>recommendation). Cases with discrepancies between the Ki67 proliferation index and the mitotic count comprise one third of the cases; and in these cases, the higher grade should be selected</w:t>
      </w:r>
      <w:r w:rsidR="004100BA" w:rsidRPr="00FE5422">
        <w:rPr>
          <w:rFonts w:ascii="Book Antiqua" w:eastAsiaTheme="minorEastAsia" w:hAnsi="Book Antiqua"/>
          <w:color w:val="000000" w:themeColor="text1"/>
          <w:sz w:val="24"/>
          <w:szCs w:val="24"/>
          <w:vertAlign w:val="superscript"/>
          <w:lang w:eastAsia="zh-CN"/>
        </w:rPr>
        <w:t>[18</w:t>
      </w:r>
      <w:r w:rsidR="00E443D1" w:rsidRPr="00FE5422">
        <w:rPr>
          <w:rFonts w:ascii="Book Antiqua" w:eastAsiaTheme="minorEastAsia" w:hAnsi="Book Antiqua"/>
          <w:color w:val="000000" w:themeColor="text1"/>
          <w:sz w:val="24"/>
          <w:szCs w:val="24"/>
          <w:vertAlign w:val="superscript"/>
          <w:lang w:eastAsia="zh-CN"/>
        </w:rPr>
        <w:t>]</w:t>
      </w:r>
      <w:r w:rsidR="00E443D1"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Combined, these two features have been shown to reflect the clinical behavior and prognosis of these tumors</w:t>
      </w:r>
      <w:r w:rsidR="004100BA" w:rsidRPr="00FE5422">
        <w:rPr>
          <w:rFonts w:ascii="Book Antiqua" w:eastAsiaTheme="minorEastAsia" w:hAnsi="Book Antiqua"/>
          <w:color w:val="000000" w:themeColor="text1"/>
          <w:sz w:val="24"/>
          <w:szCs w:val="24"/>
          <w:vertAlign w:val="superscript"/>
          <w:lang w:eastAsia="zh-CN"/>
        </w:rPr>
        <w:t>[19,20</w:t>
      </w:r>
      <w:r w:rsidR="00F72356" w:rsidRPr="00FE5422">
        <w:rPr>
          <w:rFonts w:ascii="Book Antiqua" w:eastAsiaTheme="minorEastAsia" w:hAnsi="Book Antiqua"/>
          <w:color w:val="000000" w:themeColor="text1"/>
          <w:sz w:val="24"/>
          <w:szCs w:val="24"/>
          <w:vertAlign w:val="superscript"/>
          <w:lang w:eastAsia="zh-CN"/>
        </w:rPr>
        <w:t>]</w:t>
      </w:r>
      <w:r w:rsidR="00F72356"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eastAsiaTheme="minorEastAsia" w:hAnsi="Book Antiqua"/>
          <w:color w:val="000000" w:themeColor="text1"/>
          <w:sz w:val="24"/>
          <w:szCs w:val="24"/>
          <w:lang w:eastAsia="zh-CN"/>
        </w:rPr>
      </w:pPr>
    </w:p>
    <w:p w:rsidR="008A7894" w:rsidRPr="00FE5422" w:rsidRDefault="00F72356"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PROGNOSIS AND PREDICTIVE FACTORS</w:t>
      </w:r>
    </w:p>
    <w:p w:rsidR="008A7894" w:rsidRPr="00FE5422" w:rsidRDefault="008A7894" w:rsidP="00631641">
      <w:pPr>
        <w:pStyle w:val="a3"/>
        <w:spacing w:line="360" w:lineRule="auto"/>
        <w:ind w:right="201"/>
        <w:jc w:val="both"/>
        <w:rPr>
          <w:rFonts w:ascii="Book Antiqua" w:hAnsi="Book Antiqua"/>
          <w:b/>
          <w:color w:val="000000" w:themeColor="text1"/>
          <w:sz w:val="24"/>
          <w:szCs w:val="24"/>
        </w:rPr>
      </w:pPr>
      <w:r w:rsidRPr="00FE5422">
        <w:rPr>
          <w:rFonts w:ascii="Book Antiqua" w:hAnsi="Book Antiqua"/>
          <w:color w:val="000000" w:themeColor="text1"/>
          <w:sz w:val="24"/>
          <w:szCs w:val="24"/>
        </w:rPr>
        <w:t>The prognosis of patients with gNETs is highly variable. According to the WHO, these neoplasms are classified into different grades with distinct prognosis. Histologic features that correlate with a favorable prognosis include the</w:t>
      </w:r>
      <w:r w:rsidR="00F72356" w:rsidRPr="00FE5422">
        <w:rPr>
          <w:rFonts w:ascii="Book Antiqua" w:eastAsiaTheme="minorEastAsia" w:hAnsi="Book Antiqua"/>
          <w:color w:val="000000" w:themeColor="text1"/>
          <w:sz w:val="24"/>
          <w:szCs w:val="24"/>
          <w:lang w:eastAsia="zh-CN"/>
        </w:rPr>
        <w:t xml:space="preserve"> </w:t>
      </w:r>
      <w:r w:rsidR="00F72356" w:rsidRPr="00FE5422">
        <w:rPr>
          <w:rFonts w:ascii="Book Antiqua" w:hAnsi="Book Antiqua"/>
          <w:color w:val="000000" w:themeColor="text1"/>
          <w:sz w:val="24"/>
          <w:szCs w:val="24"/>
        </w:rPr>
        <w:t>following</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a) growth within the mucosa-submucosa interface</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b) absence of angioinvasion</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c) lesion size less than 1 cm</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00F72356" w:rsidRPr="00FE5422">
        <w:rPr>
          <w:rFonts w:ascii="Book Antiqua" w:eastAsiaTheme="minorEastAsia" w:hAnsi="Book Antiqua"/>
          <w:color w:val="000000" w:themeColor="text1"/>
          <w:spacing w:val="-2"/>
          <w:sz w:val="24"/>
          <w:szCs w:val="24"/>
          <w:lang w:eastAsia="zh-CN"/>
        </w:rPr>
        <w:t>(</w:t>
      </w:r>
      <w:r w:rsidRPr="00FE5422">
        <w:rPr>
          <w:rFonts w:ascii="Book Antiqua" w:hAnsi="Book Antiqua"/>
          <w:color w:val="000000" w:themeColor="text1"/>
          <w:sz w:val="24"/>
          <w:szCs w:val="24"/>
        </w:rPr>
        <w:t>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absence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endocrine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syndrome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evaluation</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2"/>
          <w:sz w:val="24"/>
          <w:szCs w:val="24"/>
        </w:rPr>
        <w:t xml:space="preserve"> </w:t>
      </w:r>
      <w:r w:rsidR="00F72356" w:rsidRPr="00FE5422">
        <w:rPr>
          <w:rFonts w:ascii="Book Antiqua" w:eastAsiaTheme="minorEastAsia" w:hAnsi="Book Antiqua"/>
          <w:color w:val="000000" w:themeColor="text1"/>
          <w:spacing w:val="-2"/>
          <w:sz w:val="24"/>
          <w:szCs w:val="24"/>
          <w:lang w:eastAsia="zh-CN"/>
        </w:rPr>
        <w:t>(</w:t>
      </w:r>
      <w:r w:rsidRPr="00FE5422">
        <w:rPr>
          <w:rFonts w:ascii="Book Antiqua" w:hAnsi="Book Antiqua"/>
          <w:color w:val="000000" w:themeColor="text1"/>
          <w:sz w:val="24"/>
          <w:szCs w:val="24"/>
        </w:rPr>
        <w:t>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low</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mitotic</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activity</w:t>
      </w:r>
      <w:r w:rsidR="004100BA" w:rsidRPr="00FE5422">
        <w:rPr>
          <w:rFonts w:ascii="Book Antiqua" w:eastAsiaTheme="minorEastAsia" w:hAnsi="Book Antiqua"/>
          <w:color w:val="000000" w:themeColor="text1"/>
          <w:sz w:val="24"/>
          <w:szCs w:val="24"/>
          <w:vertAlign w:val="superscript"/>
          <w:lang w:eastAsia="zh-CN"/>
        </w:rPr>
        <w:t>[21,22</w:t>
      </w:r>
      <w:r w:rsidR="00F72356" w:rsidRPr="00FE5422">
        <w:rPr>
          <w:rFonts w:ascii="Book Antiqua" w:eastAsiaTheme="minorEastAsia" w:hAnsi="Book Antiqua"/>
          <w:color w:val="000000" w:themeColor="text1"/>
          <w:sz w:val="24"/>
          <w:szCs w:val="24"/>
          <w:vertAlign w:val="superscript"/>
          <w:lang w:eastAsia="zh-CN"/>
        </w:rPr>
        <w:t>]</w:t>
      </w:r>
      <w:r w:rsidR="00F72356"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3"/>
          <w:sz w:val="24"/>
          <w:szCs w:val="24"/>
        </w:rPr>
        <w:t xml:space="preserve"> </w:t>
      </w:r>
      <w:r w:rsidRPr="00FE5422">
        <w:rPr>
          <w:rFonts w:ascii="Book Antiqua" w:hAnsi="Book Antiqua"/>
          <w:color w:val="000000" w:themeColor="text1"/>
          <w:sz w:val="24"/>
          <w:szCs w:val="24"/>
        </w:rPr>
        <w:t>Tumor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related</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 xml:space="preserve">deaths in Type I lesions are only observed in exceptional situations, while 1 out of 10 patients have died from Type II lesions. On the other hand, type III lesions carried a mortality rate of 27% with a mean survival of 28 </w:t>
      </w:r>
      <w:r w:rsidR="005448AA" w:rsidRPr="00FE5422">
        <w:rPr>
          <w:rFonts w:ascii="Book Antiqua" w:eastAsiaTheme="minorEastAsia" w:hAnsi="Book Antiqua"/>
          <w:color w:val="000000" w:themeColor="text1"/>
          <w:sz w:val="24"/>
          <w:szCs w:val="24"/>
          <w:lang w:eastAsia="zh-CN"/>
        </w:rPr>
        <w:t>mo</w:t>
      </w:r>
      <w:r w:rsidR="004100BA" w:rsidRPr="00FE5422">
        <w:rPr>
          <w:rFonts w:ascii="Book Antiqua" w:eastAsiaTheme="minorEastAsia" w:hAnsi="Book Antiqua"/>
          <w:color w:val="000000" w:themeColor="text1"/>
          <w:sz w:val="24"/>
          <w:szCs w:val="24"/>
          <w:vertAlign w:val="superscript"/>
          <w:lang w:eastAsia="zh-CN"/>
        </w:rPr>
        <w:t>[23</w:t>
      </w:r>
      <w:r w:rsidR="005448AA" w:rsidRPr="00FE5422">
        <w:rPr>
          <w:rFonts w:ascii="Book Antiqua" w:eastAsiaTheme="minorEastAsia" w:hAnsi="Book Antiqua"/>
          <w:color w:val="000000" w:themeColor="text1"/>
          <w:sz w:val="24"/>
          <w:szCs w:val="24"/>
          <w:vertAlign w:val="superscript"/>
          <w:lang w:eastAsia="zh-CN"/>
        </w:rPr>
        <w:t>]</w:t>
      </w:r>
      <w:r w:rsidR="005448AA"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jc w:val="both"/>
        <w:rPr>
          <w:rFonts w:ascii="Book Antiqua" w:hAnsi="Book Antiqua"/>
          <w:b/>
          <w:color w:val="000000" w:themeColor="text1"/>
          <w:sz w:val="24"/>
          <w:szCs w:val="24"/>
        </w:rPr>
      </w:pPr>
    </w:p>
    <w:p w:rsidR="008A7894" w:rsidRPr="00FE5422" w:rsidRDefault="003E4CB7"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STAGING AND TREATMENT</w:t>
      </w:r>
    </w:p>
    <w:p w:rsidR="008A7894" w:rsidRPr="00FE5422" w:rsidRDefault="008A7894" w:rsidP="00631641">
      <w:pPr>
        <w:pStyle w:val="a3"/>
        <w:spacing w:line="360" w:lineRule="auto"/>
        <w:ind w:right="195"/>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 xml:space="preserve">CT scan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recommended for type I and type II lesions that are larger than 2 cm and for all type III lesions. The use of </w:t>
      </w:r>
      <w:r w:rsidR="00644825" w:rsidRPr="00FE5422">
        <w:rPr>
          <w:rFonts w:ascii="Book Antiqua" w:hAnsi="Book Antiqua"/>
          <w:color w:val="000000" w:themeColor="text1"/>
          <w:sz w:val="24"/>
          <w:szCs w:val="24"/>
        </w:rPr>
        <w:t xml:space="preserve">magnetic resonance imaging </w:t>
      </w:r>
      <w:r w:rsidRPr="00FE5422">
        <w:rPr>
          <w:rFonts w:ascii="Book Antiqua" w:hAnsi="Book Antiqua"/>
          <w:color w:val="000000" w:themeColor="text1"/>
          <w:sz w:val="24"/>
          <w:szCs w:val="24"/>
        </w:rPr>
        <w:t xml:space="preserve">of the abdomen, octreotide scintigraphy and PET-CT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limited for specific cases</w:t>
      </w:r>
      <w:r w:rsidR="004100BA" w:rsidRPr="00FE5422">
        <w:rPr>
          <w:rFonts w:ascii="Book Antiqua" w:eastAsiaTheme="minorEastAsia" w:hAnsi="Book Antiqua"/>
          <w:color w:val="000000" w:themeColor="text1"/>
          <w:sz w:val="24"/>
          <w:szCs w:val="24"/>
          <w:vertAlign w:val="superscript"/>
          <w:lang w:eastAsia="zh-CN"/>
        </w:rPr>
        <w:t>[24</w:t>
      </w:r>
      <w:r w:rsidR="00644825" w:rsidRPr="00FE5422">
        <w:rPr>
          <w:rFonts w:ascii="Book Antiqua" w:eastAsiaTheme="minorEastAsia" w:hAnsi="Book Antiqua"/>
          <w:color w:val="000000" w:themeColor="text1"/>
          <w:sz w:val="24"/>
          <w:szCs w:val="24"/>
          <w:vertAlign w:val="superscript"/>
          <w:lang w:eastAsia="zh-CN"/>
        </w:rPr>
        <w:t>]</w:t>
      </w:r>
      <w:r w:rsidR="0064482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According to the AJCC (8</w:t>
      </w:r>
      <w:r w:rsidRPr="00FE5422">
        <w:rPr>
          <w:rFonts w:ascii="Book Antiqua" w:hAnsi="Book Antiqua"/>
          <w:color w:val="000000" w:themeColor="text1"/>
          <w:position w:val="6"/>
          <w:sz w:val="24"/>
          <w:szCs w:val="24"/>
        </w:rPr>
        <w:t xml:space="preserve">th </w:t>
      </w:r>
      <w:r w:rsidRPr="00FE5422">
        <w:rPr>
          <w:rFonts w:ascii="Book Antiqua" w:hAnsi="Book Antiqua"/>
          <w:color w:val="000000" w:themeColor="text1"/>
          <w:sz w:val="24"/>
          <w:szCs w:val="24"/>
        </w:rPr>
        <w:t xml:space="preserve">edition), lymph node metastases (N1) are detected in about 5% of type </w:t>
      </w:r>
      <w:r w:rsidRPr="00FE5422">
        <w:rPr>
          <w:rFonts w:ascii="Book Antiqua" w:hAnsi="Book Antiqua"/>
          <w:color w:val="000000" w:themeColor="text1"/>
          <w:spacing w:val="-3"/>
          <w:sz w:val="24"/>
          <w:szCs w:val="24"/>
        </w:rPr>
        <w:t xml:space="preserve">I, </w:t>
      </w:r>
      <w:r w:rsidRPr="00FE5422">
        <w:rPr>
          <w:rFonts w:ascii="Book Antiqua" w:hAnsi="Book Antiqua"/>
          <w:color w:val="000000" w:themeColor="text1"/>
          <w:sz w:val="24"/>
          <w:szCs w:val="24"/>
        </w:rPr>
        <w:t xml:space="preserve">30% of type II and 71% of type III, while distant (liver) metastases (M1) are </w:t>
      </w:r>
      <w:r w:rsidRPr="00FE5422">
        <w:rPr>
          <w:rFonts w:ascii="Book Antiqua" w:hAnsi="Book Antiqua"/>
          <w:color w:val="000000" w:themeColor="text1"/>
          <w:spacing w:val="-3"/>
          <w:sz w:val="24"/>
          <w:szCs w:val="24"/>
        </w:rPr>
        <w:t xml:space="preserve">found </w:t>
      </w:r>
      <w:r w:rsidRPr="00FE5422">
        <w:rPr>
          <w:rFonts w:ascii="Book Antiqua" w:hAnsi="Book Antiqua"/>
          <w:color w:val="000000" w:themeColor="text1"/>
          <w:sz w:val="24"/>
          <w:szCs w:val="24"/>
        </w:rPr>
        <w:t>in 2.5%, 10% and 69% of cases of type I, II and III, respectively</w:t>
      </w:r>
      <w:r w:rsidR="004100BA" w:rsidRPr="00FE5422">
        <w:rPr>
          <w:rFonts w:ascii="Book Antiqua" w:eastAsiaTheme="minorEastAsia" w:hAnsi="Book Antiqua"/>
          <w:color w:val="000000" w:themeColor="text1"/>
          <w:sz w:val="24"/>
          <w:szCs w:val="24"/>
          <w:vertAlign w:val="superscript"/>
          <w:lang w:eastAsia="zh-CN"/>
        </w:rPr>
        <w:t>[25</w:t>
      </w:r>
      <w:r w:rsidR="00CE3920" w:rsidRPr="00FE5422">
        <w:rPr>
          <w:rFonts w:ascii="Book Antiqua" w:eastAsiaTheme="minorEastAsia" w:hAnsi="Book Antiqua"/>
          <w:color w:val="000000" w:themeColor="text1"/>
          <w:sz w:val="24"/>
          <w:szCs w:val="24"/>
          <w:vertAlign w:val="superscript"/>
          <w:lang w:eastAsia="zh-CN"/>
        </w:rPr>
        <w:t>]</w:t>
      </w:r>
      <w:r w:rsidR="00CE3920"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 xml:space="preserve"> Therefore, 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majority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ECL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NETs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II</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considered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be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stage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pacing w:val="-3"/>
          <w:sz w:val="24"/>
          <w:szCs w:val="24"/>
        </w:rPr>
        <w:t>I,</w:t>
      </w:r>
      <w:r w:rsidRPr="00FE5422">
        <w:rPr>
          <w:rFonts w:ascii="Book Antiqua" w:hAnsi="Book Antiqua"/>
          <w:color w:val="000000" w:themeColor="text1"/>
          <w:sz w:val="24"/>
          <w:szCs w:val="24"/>
        </w:rPr>
        <w:t xml:space="preserve"> </w:t>
      </w:r>
      <w:r w:rsidRPr="00FE5422">
        <w:rPr>
          <w:rFonts w:ascii="Book Antiqua" w:hAnsi="Book Antiqua"/>
          <w:i/>
          <w:color w:val="000000" w:themeColor="text1"/>
          <w:sz w:val="24"/>
          <w:szCs w:val="24"/>
        </w:rPr>
        <w:t>i.e.</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pacing w:val="-3"/>
          <w:sz w:val="24"/>
          <w:szCs w:val="24"/>
        </w:rPr>
        <w:t>T1</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N0</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M0,</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only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selected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few</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 xml:space="preserve">would be stage IIa or </w:t>
      </w:r>
      <w:r w:rsidRPr="00FE5422">
        <w:rPr>
          <w:rFonts w:ascii="Book Antiqua" w:hAnsi="Book Antiqua"/>
          <w:color w:val="000000" w:themeColor="text1"/>
          <w:spacing w:val="-3"/>
          <w:sz w:val="24"/>
          <w:szCs w:val="24"/>
        </w:rPr>
        <w:t xml:space="preserve">T2 </w:t>
      </w:r>
      <w:r w:rsidRPr="00FE5422">
        <w:rPr>
          <w:rFonts w:ascii="Book Antiqua" w:hAnsi="Book Antiqua"/>
          <w:color w:val="000000" w:themeColor="text1"/>
          <w:sz w:val="24"/>
          <w:szCs w:val="24"/>
        </w:rPr>
        <w:t xml:space="preserve">N0 M0. On the other hand, most type III lesions fit stages IIa, IIb (T3 N0 </w:t>
      </w:r>
      <w:r w:rsidRPr="00FE5422">
        <w:rPr>
          <w:rFonts w:ascii="Book Antiqua" w:hAnsi="Book Antiqua"/>
          <w:color w:val="000000" w:themeColor="text1"/>
          <w:sz w:val="24"/>
          <w:szCs w:val="24"/>
        </w:rPr>
        <w:lastRenderedPageBreak/>
        <w:t xml:space="preserve">M0), IIIa (T4 N0 M0), IIIb (T1 N1 M0) or even </w:t>
      </w:r>
      <w:r w:rsidRPr="00FE5422">
        <w:rPr>
          <w:rFonts w:ascii="Book Antiqua" w:hAnsi="Book Antiqua"/>
          <w:color w:val="000000" w:themeColor="text1"/>
          <w:spacing w:val="-3"/>
          <w:sz w:val="24"/>
          <w:szCs w:val="24"/>
        </w:rPr>
        <w:t xml:space="preserve">IV </w:t>
      </w:r>
      <w:r w:rsidRPr="00FE5422">
        <w:rPr>
          <w:rFonts w:ascii="Book Antiqua" w:hAnsi="Book Antiqua"/>
          <w:color w:val="000000" w:themeColor="text1"/>
          <w:sz w:val="24"/>
          <w:szCs w:val="24"/>
        </w:rPr>
        <w:t xml:space="preserve">(any </w:t>
      </w:r>
      <w:r w:rsidRPr="00FE5422">
        <w:rPr>
          <w:rFonts w:ascii="Book Antiqua" w:hAnsi="Book Antiqua"/>
          <w:color w:val="000000" w:themeColor="text1"/>
          <w:spacing w:val="-3"/>
          <w:sz w:val="24"/>
          <w:szCs w:val="24"/>
        </w:rPr>
        <w:t xml:space="preserve">T, </w:t>
      </w:r>
      <w:r w:rsidRPr="00FE5422">
        <w:rPr>
          <w:rFonts w:ascii="Book Antiqua" w:hAnsi="Book Antiqua"/>
          <w:color w:val="000000" w:themeColor="text1"/>
          <w:sz w:val="24"/>
          <w:szCs w:val="24"/>
        </w:rPr>
        <w:t>any N, M0)</w:t>
      </w:r>
      <w:r w:rsidR="004100BA" w:rsidRPr="00FE5422">
        <w:rPr>
          <w:rFonts w:ascii="Book Antiqua" w:eastAsiaTheme="minorEastAsia" w:hAnsi="Book Antiqua"/>
          <w:color w:val="000000" w:themeColor="text1"/>
          <w:sz w:val="24"/>
          <w:szCs w:val="24"/>
          <w:vertAlign w:val="superscript"/>
          <w:lang w:eastAsia="zh-CN"/>
        </w:rPr>
        <w:t>[26</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p>
    <w:p w:rsidR="008A7894" w:rsidRPr="00FE5422" w:rsidRDefault="008A7894" w:rsidP="00631641">
      <w:pPr>
        <w:pStyle w:val="a3"/>
        <w:spacing w:line="360" w:lineRule="auto"/>
        <w:ind w:right="193" w:firstLineChars="100" w:firstLine="240"/>
        <w:jc w:val="both"/>
        <w:rPr>
          <w:rFonts w:ascii="Book Antiqua" w:hAnsi="Book Antiqua"/>
          <w:color w:val="000000" w:themeColor="text1"/>
          <w:sz w:val="24"/>
          <w:szCs w:val="24"/>
        </w:rPr>
      </w:pPr>
      <w:r w:rsidRPr="00FE5422">
        <w:rPr>
          <w:rFonts w:ascii="Book Antiqua" w:hAnsi="Book Antiqua"/>
          <w:color w:val="000000" w:themeColor="text1"/>
          <w:sz w:val="24"/>
          <w:szCs w:val="24"/>
        </w:rPr>
        <w:t>Treatment</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gNETs</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multifaceted</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approach,</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depending</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on</w:t>
      </w:r>
      <w:r w:rsidRPr="00FE5422">
        <w:rPr>
          <w:rFonts w:ascii="Book Antiqua" w:hAnsi="Book Antiqua"/>
          <w:color w:val="000000" w:themeColor="text1"/>
          <w:spacing w:val="-1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clinical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disease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extent,</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degree</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differentiation of</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lesion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and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presence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absence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poor</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prognostic</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indicators.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lesions</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treated</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by</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endoscopic</w:t>
      </w:r>
      <w:r w:rsidRPr="00FE5422">
        <w:rPr>
          <w:rFonts w:ascii="Book Antiqua" w:hAnsi="Book Antiqua"/>
          <w:color w:val="000000" w:themeColor="text1"/>
          <w:spacing w:val="-5"/>
          <w:sz w:val="24"/>
          <w:szCs w:val="24"/>
        </w:rPr>
        <w:t xml:space="preserve"> </w:t>
      </w:r>
      <w:r w:rsidRPr="00FE5422">
        <w:rPr>
          <w:rFonts w:ascii="Book Antiqua" w:hAnsi="Book Antiqua"/>
          <w:color w:val="000000" w:themeColor="text1"/>
          <w:sz w:val="24"/>
          <w:szCs w:val="24"/>
        </w:rPr>
        <w:t>mucosal resection as most of these lesions are small, well differentiated and exhibits excellent prognosis</w:t>
      </w:r>
      <w:r w:rsidR="004100BA" w:rsidRPr="00FE5422">
        <w:rPr>
          <w:rFonts w:ascii="Book Antiqua" w:eastAsiaTheme="minorEastAsia" w:hAnsi="Book Antiqua"/>
          <w:color w:val="000000" w:themeColor="text1"/>
          <w:sz w:val="24"/>
          <w:szCs w:val="24"/>
          <w:vertAlign w:val="superscript"/>
          <w:lang w:eastAsia="zh-CN"/>
        </w:rPr>
        <w:t>[27</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Supplementing Vit B12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also recommended. Surgical treatment of type I gNETs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reserved for cases in which endoscopic resection </w:t>
      </w:r>
      <w:r w:rsidRPr="00FE5422">
        <w:rPr>
          <w:rFonts w:ascii="Book Antiqua" w:hAnsi="Book Antiqua"/>
          <w:color w:val="000000" w:themeColor="text1"/>
          <w:spacing w:val="-3"/>
          <w:sz w:val="24"/>
          <w:szCs w:val="24"/>
        </w:rPr>
        <w:t>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not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feasible</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when</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poor</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prognostic</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indicators</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are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present.</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choice</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best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surgery</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w:t>
      </w:r>
      <w:r w:rsidRPr="00FE5422">
        <w:rPr>
          <w:rFonts w:ascii="Book Antiqua" w:hAnsi="Book Antiqua"/>
          <w:i/>
          <w:color w:val="000000" w:themeColor="text1"/>
          <w:sz w:val="24"/>
          <w:szCs w:val="24"/>
        </w:rPr>
        <w:t>i.e.</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pacing w:val="-2"/>
          <w:sz w:val="24"/>
          <w:szCs w:val="24"/>
        </w:rPr>
        <w:t xml:space="preserve"> </w:t>
      </w:r>
      <w:r w:rsidRPr="00FE5422">
        <w:rPr>
          <w:rFonts w:ascii="Book Antiqua" w:hAnsi="Book Antiqua"/>
          <w:color w:val="000000" w:themeColor="text1"/>
          <w:sz w:val="24"/>
          <w:szCs w:val="24"/>
        </w:rPr>
        <w:t>antrectomy,</w:t>
      </w:r>
      <w:r w:rsidRPr="00FE5422">
        <w:rPr>
          <w:rFonts w:ascii="Book Antiqua" w:hAnsi="Book Antiqua"/>
          <w:color w:val="000000" w:themeColor="text1"/>
          <w:spacing w:val="-3"/>
          <w:sz w:val="24"/>
          <w:szCs w:val="24"/>
        </w:rPr>
        <w:t xml:space="preserve"> </w:t>
      </w:r>
      <w:r w:rsidRPr="00FE5422">
        <w:rPr>
          <w:rFonts w:ascii="Book Antiqua" w:hAnsi="Book Antiqua"/>
          <w:color w:val="000000" w:themeColor="text1"/>
          <w:sz w:val="24"/>
          <w:szCs w:val="24"/>
        </w:rPr>
        <w:t>subtotal</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 xml:space="preserve">or total gastrectomy) for these lesions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also controversial</w:t>
      </w:r>
      <w:r w:rsidR="004100BA" w:rsidRPr="00FE5422">
        <w:rPr>
          <w:rFonts w:ascii="Book Antiqua" w:eastAsiaTheme="minorEastAsia" w:hAnsi="Book Antiqua"/>
          <w:color w:val="000000" w:themeColor="text1"/>
          <w:sz w:val="24"/>
          <w:szCs w:val="24"/>
          <w:vertAlign w:val="superscript"/>
          <w:lang w:eastAsia="zh-CN"/>
        </w:rPr>
        <w:t>[28</w:t>
      </w:r>
      <w:r w:rsidR="00E948FE" w:rsidRPr="00FE5422">
        <w:rPr>
          <w:rFonts w:ascii="Book Antiqua" w:eastAsiaTheme="minorEastAsia" w:hAnsi="Book Antiqua"/>
          <w:color w:val="000000" w:themeColor="text1"/>
          <w:sz w:val="24"/>
          <w:szCs w:val="24"/>
          <w:vertAlign w:val="superscript"/>
          <w:lang w:eastAsia="zh-CN"/>
        </w:rPr>
        <w:t>]</w:t>
      </w:r>
      <w:r w:rsidR="00E948FE"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Antrectomy has been proposed to remove the gastrin producing G cells; however, failure may occur due to improper removal of those cells or because the ECL cells have become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autonomous.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This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led</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suggestion</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subtotal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gastrectomy</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to</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allow</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adequate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removal</w:t>
      </w:r>
      <w:r w:rsidRPr="00FE5422">
        <w:rPr>
          <w:rFonts w:ascii="Book Antiqua" w:hAnsi="Book Antiqua"/>
          <w:color w:val="000000" w:themeColor="text1"/>
          <w:spacing w:val="-12"/>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the</w:t>
      </w:r>
      <w:r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G</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cells</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while reserving total gastrectomy for those cases with substantial disease in the gastric fundus</w:t>
      </w:r>
      <w:r w:rsidR="004100BA" w:rsidRPr="00FE5422">
        <w:rPr>
          <w:rFonts w:ascii="Book Antiqua" w:eastAsiaTheme="minorEastAsia" w:hAnsi="Book Antiqua"/>
          <w:color w:val="000000" w:themeColor="text1"/>
          <w:sz w:val="24"/>
          <w:szCs w:val="24"/>
          <w:vertAlign w:val="superscript"/>
          <w:lang w:eastAsia="zh-CN"/>
        </w:rPr>
        <w:t>[29</w:t>
      </w:r>
      <w:r w:rsidR="00EE4015" w:rsidRPr="00FE5422">
        <w:rPr>
          <w:rFonts w:ascii="Book Antiqua" w:eastAsiaTheme="minorEastAsia" w:hAnsi="Book Antiqua"/>
          <w:color w:val="000000" w:themeColor="text1"/>
          <w:sz w:val="24"/>
          <w:szCs w:val="24"/>
          <w:vertAlign w:val="superscript"/>
          <w:lang w:eastAsia="zh-CN"/>
        </w:rPr>
        <w:t>]</w:t>
      </w:r>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Clinical management for type I gNETs while available,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hardly an effective option for long term management. The use of somatostatin analogue (octreotide) has been attempted by some authors; however, following discontinuation of the treatment </w:t>
      </w:r>
      <w:r w:rsidRPr="00FE5422">
        <w:rPr>
          <w:rFonts w:ascii="Book Antiqua" w:hAnsi="Book Antiqua"/>
          <w:color w:val="000000" w:themeColor="text1"/>
          <w:spacing w:val="-3"/>
          <w:sz w:val="24"/>
          <w:szCs w:val="24"/>
        </w:rPr>
        <w:t xml:space="preserve">it </w:t>
      </w:r>
      <w:r w:rsidRPr="00FE5422">
        <w:rPr>
          <w:rFonts w:ascii="Book Antiqua" w:hAnsi="Book Antiqua"/>
          <w:color w:val="000000" w:themeColor="text1"/>
          <w:sz w:val="24"/>
          <w:szCs w:val="24"/>
        </w:rPr>
        <w:t>was noted that follow-up serum gastrin levels increased, and the tumor progressed</w:t>
      </w:r>
      <w:r w:rsidR="004100BA" w:rsidRPr="00FE5422">
        <w:rPr>
          <w:rFonts w:ascii="Book Antiqua" w:eastAsiaTheme="minorEastAsia" w:hAnsi="Book Antiqua"/>
          <w:color w:val="000000" w:themeColor="text1"/>
          <w:sz w:val="24"/>
          <w:szCs w:val="24"/>
          <w:vertAlign w:val="superscript"/>
          <w:lang w:eastAsia="zh-CN"/>
        </w:rPr>
        <w:t>[30,31</w:t>
      </w:r>
      <w:r w:rsidR="00EE4015" w:rsidRPr="00FE5422">
        <w:rPr>
          <w:rFonts w:ascii="Book Antiqua" w:eastAsiaTheme="minorEastAsia" w:hAnsi="Book Antiqua"/>
          <w:color w:val="000000" w:themeColor="text1"/>
          <w:sz w:val="24"/>
          <w:szCs w:val="24"/>
          <w:vertAlign w:val="superscript"/>
          <w:lang w:eastAsia="zh-CN"/>
        </w:rPr>
        <w:t>]</w:t>
      </w:r>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z w:val="24"/>
          <w:szCs w:val="24"/>
        </w:rPr>
        <w:t xml:space="preserve"> </w:t>
      </w:r>
      <w:r w:rsidRPr="00FE5422">
        <w:rPr>
          <w:rFonts w:ascii="Book Antiqua" w:hAnsi="Book Antiqua"/>
          <w:color w:val="000000" w:themeColor="text1"/>
          <w:sz w:val="24"/>
          <w:szCs w:val="24"/>
        </w:rPr>
        <w:t xml:space="preserve">Type II lesions are usually treated by localizing and resecting the gastrinoma. Type III lesions are treated more aggressively with treatments including but not limited to subtotal, or total gastrectomies (depending on the location) with associated lymphadenectomy. The presence of metastatic disease in the liver </w:t>
      </w:r>
      <w:r w:rsidRPr="00FE5422">
        <w:rPr>
          <w:rFonts w:ascii="Book Antiqua" w:hAnsi="Book Antiqua"/>
          <w:color w:val="000000" w:themeColor="text1"/>
          <w:spacing w:val="-3"/>
          <w:sz w:val="24"/>
          <w:szCs w:val="24"/>
        </w:rPr>
        <w:t xml:space="preserve">is </w:t>
      </w:r>
      <w:r w:rsidRPr="00FE5422">
        <w:rPr>
          <w:rFonts w:ascii="Book Antiqua" w:hAnsi="Book Antiqua"/>
          <w:color w:val="000000" w:themeColor="text1"/>
          <w:sz w:val="24"/>
          <w:szCs w:val="24"/>
        </w:rPr>
        <w:t xml:space="preserve">treated by resection </w:t>
      </w:r>
      <w:r w:rsidRPr="00FE5422">
        <w:rPr>
          <w:rFonts w:ascii="Book Antiqua" w:hAnsi="Book Antiqua"/>
          <w:color w:val="000000" w:themeColor="text1"/>
          <w:spacing w:val="-3"/>
          <w:sz w:val="24"/>
          <w:szCs w:val="24"/>
        </w:rPr>
        <w:t xml:space="preserve">if </w:t>
      </w:r>
      <w:r w:rsidRPr="00FE5422">
        <w:rPr>
          <w:rFonts w:ascii="Book Antiqua" w:hAnsi="Book Antiqua"/>
          <w:color w:val="000000" w:themeColor="text1"/>
          <w:sz w:val="24"/>
          <w:szCs w:val="24"/>
        </w:rPr>
        <w:t>present in a resectable location</w:t>
      </w:r>
      <w:r w:rsidRPr="00FE5422">
        <w:rPr>
          <w:rFonts w:ascii="Book Antiqua" w:hAnsi="Book Antiqua"/>
          <w:color w:val="000000" w:themeColor="text1"/>
          <w:spacing w:val="-14"/>
          <w:sz w:val="24"/>
          <w:szCs w:val="24"/>
        </w:rPr>
        <w:t xml:space="preserve"> </w:t>
      </w:r>
      <w:r w:rsidRPr="00FE5422">
        <w:rPr>
          <w:rFonts w:ascii="Book Antiqua" w:hAnsi="Book Antiqua"/>
          <w:color w:val="000000" w:themeColor="text1"/>
          <w:sz w:val="24"/>
          <w:szCs w:val="24"/>
        </w:rPr>
        <w:t>otherwise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arterial</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embolization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or</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radioablation</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have</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a</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success</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rate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50%</w:t>
      </w:r>
      <w:r w:rsidR="004100BA" w:rsidRPr="00FE5422">
        <w:rPr>
          <w:rFonts w:ascii="Book Antiqua" w:eastAsiaTheme="minorEastAsia" w:hAnsi="Book Antiqua"/>
          <w:color w:val="000000" w:themeColor="text1"/>
          <w:sz w:val="24"/>
          <w:szCs w:val="24"/>
          <w:vertAlign w:val="superscript"/>
          <w:lang w:eastAsia="zh-CN"/>
        </w:rPr>
        <w:t>[</w:t>
      </w:r>
      <w:bookmarkStart w:id="0" w:name="_GoBack"/>
      <w:r w:rsidR="004100BA" w:rsidRPr="00FE5422">
        <w:rPr>
          <w:rFonts w:ascii="Book Antiqua" w:eastAsiaTheme="minorEastAsia" w:hAnsi="Book Antiqua"/>
          <w:color w:val="000000" w:themeColor="text1"/>
          <w:sz w:val="24"/>
          <w:szCs w:val="24"/>
          <w:vertAlign w:val="superscript"/>
          <w:lang w:eastAsia="zh-CN"/>
        </w:rPr>
        <w:t>32</w:t>
      </w:r>
      <w:r w:rsidR="00EE4015" w:rsidRPr="00FE5422">
        <w:rPr>
          <w:rFonts w:ascii="Book Antiqua" w:eastAsiaTheme="minorEastAsia" w:hAnsi="Book Antiqua"/>
          <w:color w:val="000000" w:themeColor="text1"/>
          <w:sz w:val="24"/>
          <w:szCs w:val="24"/>
          <w:vertAlign w:val="superscript"/>
          <w:lang w:eastAsia="zh-CN"/>
        </w:rPr>
        <w:t>]</w:t>
      </w:r>
      <w:bookmarkEnd w:id="0"/>
      <w:r w:rsidR="00EE4015" w:rsidRPr="00FE5422">
        <w:rPr>
          <w:rFonts w:ascii="Book Antiqua" w:eastAsiaTheme="minorEastAsia" w:hAnsi="Book Antiqua"/>
          <w:color w:val="000000" w:themeColor="text1"/>
          <w:sz w:val="24"/>
          <w:szCs w:val="24"/>
          <w:lang w:eastAsia="zh-CN"/>
        </w:rPr>
        <w:t>.</w:t>
      </w:r>
      <w:r w:rsidRPr="00FE5422">
        <w:rPr>
          <w:rFonts w:ascii="Book Antiqua" w:hAnsi="Book Antiqua"/>
          <w:b/>
          <w:color w:val="000000" w:themeColor="text1"/>
          <w:spacing w:val="-8"/>
          <w:sz w:val="24"/>
          <w:szCs w:val="24"/>
        </w:rPr>
        <w:t xml:space="preserve"> </w:t>
      </w:r>
      <w:r w:rsidRPr="00FE5422">
        <w:rPr>
          <w:rFonts w:ascii="Book Antiqua" w:hAnsi="Book Antiqua"/>
          <w:color w:val="000000" w:themeColor="text1"/>
          <w:spacing w:val="-3"/>
          <w:sz w:val="24"/>
          <w:szCs w:val="24"/>
        </w:rPr>
        <w:t>In</w:t>
      </w:r>
      <w:r w:rsidRPr="00FE5422">
        <w:rPr>
          <w:rFonts w:ascii="Book Antiqua" w:hAnsi="Book Antiqua"/>
          <w:color w:val="000000" w:themeColor="text1"/>
          <w:spacing w:val="-13"/>
          <w:sz w:val="24"/>
          <w:szCs w:val="24"/>
        </w:rPr>
        <w:t xml:space="preserve"> </w:t>
      </w:r>
      <w:r w:rsidRPr="00FE5422">
        <w:rPr>
          <w:rFonts w:ascii="Book Antiqua" w:hAnsi="Book Antiqua"/>
          <w:color w:val="000000" w:themeColor="text1"/>
          <w:sz w:val="24"/>
          <w:szCs w:val="24"/>
        </w:rPr>
        <w:t>cases</w:t>
      </w:r>
      <w:r w:rsidRPr="00FE5422">
        <w:rPr>
          <w:rFonts w:ascii="Book Antiqua" w:hAnsi="Book Antiqua"/>
          <w:color w:val="000000" w:themeColor="text1"/>
          <w:spacing w:val="-9"/>
          <w:sz w:val="24"/>
          <w:szCs w:val="24"/>
        </w:rPr>
        <w:t xml:space="preserve"> </w:t>
      </w:r>
      <w:r w:rsidRPr="00FE5422">
        <w:rPr>
          <w:rFonts w:ascii="Book Antiqua" w:hAnsi="Book Antiqua"/>
          <w:color w:val="000000" w:themeColor="text1"/>
          <w:sz w:val="24"/>
          <w:szCs w:val="24"/>
        </w:rPr>
        <w:t>of</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type</w:t>
      </w:r>
      <w:r w:rsidRPr="00FE5422">
        <w:rPr>
          <w:rFonts w:ascii="Book Antiqua" w:hAnsi="Book Antiqua"/>
          <w:color w:val="000000" w:themeColor="text1"/>
          <w:spacing w:val="-8"/>
          <w:sz w:val="24"/>
          <w:szCs w:val="24"/>
        </w:rPr>
        <w:t xml:space="preserve"> </w:t>
      </w:r>
      <w:r w:rsidRPr="00FE5422">
        <w:rPr>
          <w:rFonts w:ascii="Book Antiqua" w:hAnsi="Book Antiqua"/>
          <w:color w:val="000000" w:themeColor="text1"/>
          <w:sz w:val="24"/>
          <w:szCs w:val="24"/>
        </w:rPr>
        <w:t>III</w:t>
      </w:r>
      <w:r w:rsidRPr="00FE5422">
        <w:rPr>
          <w:rFonts w:ascii="Book Antiqua" w:hAnsi="Book Antiqua"/>
          <w:color w:val="000000" w:themeColor="text1"/>
          <w:spacing w:val="-7"/>
          <w:sz w:val="24"/>
          <w:szCs w:val="24"/>
        </w:rPr>
        <w:t xml:space="preserve"> </w:t>
      </w:r>
      <w:r w:rsidRPr="00FE5422">
        <w:rPr>
          <w:rFonts w:ascii="Book Antiqua" w:hAnsi="Book Antiqua"/>
          <w:color w:val="000000" w:themeColor="text1"/>
          <w:sz w:val="24"/>
          <w:szCs w:val="24"/>
        </w:rPr>
        <w:t>lesions with extrahepatic metastasis or recurrent disease, systemic cytotoxic chemotherapy or molecular targeted agents can be</w:t>
      </w:r>
      <w:r w:rsidRPr="00FE5422">
        <w:rPr>
          <w:rFonts w:ascii="Book Antiqua" w:hAnsi="Book Antiqua"/>
          <w:color w:val="000000" w:themeColor="text1"/>
          <w:spacing w:val="-1"/>
          <w:sz w:val="24"/>
          <w:szCs w:val="24"/>
        </w:rPr>
        <w:t xml:space="preserve"> </w:t>
      </w:r>
      <w:r w:rsidRPr="00FE5422">
        <w:rPr>
          <w:rFonts w:ascii="Book Antiqua" w:hAnsi="Book Antiqua"/>
          <w:color w:val="000000" w:themeColor="text1"/>
          <w:sz w:val="24"/>
          <w:szCs w:val="24"/>
        </w:rPr>
        <w:t>introduced.</w:t>
      </w:r>
    </w:p>
    <w:p w:rsidR="008A7894" w:rsidRPr="00FE5422" w:rsidRDefault="008A7894" w:rsidP="00631641">
      <w:pPr>
        <w:pStyle w:val="a3"/>
        <w:spacing w:line="360" w:lineRule="auto"/>
        <w:jc w:val="both"/>
        <w:rPr>
          <w:rFonts w:ascii="Book Antiqua" w:hAnsi="Book Antiqua"/>
          <w:color w:val="000000" w:themeColor="text1"/>
          <w:sz w:val="24"/>
          <w:szCs w:val="24"/>
        </w:rPr>
      </w:pPr>
    </w:p>
    <w:p w:rsidR="008A7894" w:rsidRPr="00FE5422" w:rsidRDefault="00EE4015"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CONCLUSION</w:t>
      </w:r>
    </w:p>
    <w:p w:rsidR="008A7894" w:rsidRPr="00FE5422" w:rsidRDefault="00EE4015" w:rsidP="00631641">
      <w:pPr>
        <w:pStyle w:val="a3"/>
        <w:spacing w:line="360" w:lineRule="auto"/>
        <w:ind w:right="203"/>
        <w:jc w:val="both"/>
        <w:rPr>
          <w:rFonts w:ascii="Book Antiqua" w:hAnsi="Book Antiqua"/>
          <w:color w:val="000000" w:themeColor="text1"/>
          <w:sz w:val="24"/>
          <w:szCs w:val="24"/>
        </w:rPr>
      </w:pPr>
      <w:r w:rsidRPr="00FE5422">
        <w:rPr>
          <w:rFonts w:ascii="Book Antiqua" w:hAnsi="Book Antiqua"/>
          <w:color w:val="000000" w:themeColor="text1"/>
          <w:sz w:val="24"/>
          <w:szCs w:val="24"/>
        </w:rPr>
        <w:t>gNETs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are</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group</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tumors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that</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are witnessing</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rise</w:t>
      </w:r>
      <w:r w:rsidR="008A7894" w:rsidRPr="00FE5422">
        <w:rPr>
          <w:rFonts w:ascii="Book Antiqua" w:hAnsi="Book Antiqua"/>
          <w:color w:val="000000" w:themeColor="text1"/>
          <w:spacing w:val="1"/>
          <w:sz w:val="24"/>
          <w:szCs w:val="24"/>
        </w:rPr>
        <w:t xml:space="preserve"> </w:t>
      </w:r>
      <w:r w:rsidR="008A7894" w:rsidRPr="00FE5422">
        <w:rPr>
          <w:rFonts w:ascii="Book Antiqua" w:hAnsi="Book Antiqua"/>
          <w:color w:val="000000" w:themeColor="text1"/>
          <w:sz w:val="24"/>
          <w:szCs w:val="24"/>
        </w:rPr>
        <w:t>in</w:t>
      </w:r>
      <w:r w:rsidR="008A7894" w:rsidRPr="00FE5422">
        <w:rPr>
          <w:rFonts w:ascii="Book Antiqua" w:hAnsi="Book Antiqua"/>
          <w:color w:val="000000" w:themeColor="text1"/>
          <w:spacing w:val="-4"/>
          <w:sz w:val="24"/>
          <w:szCs w:val="24"/>
        </w:rPr>
        <w:t xml:space="preserve"> </w:t>
      </w:r>
      <w:r w:rsidR="008A7894" w:rsidRPr="00FE5422">
        <w:rPr>
          <w:rFonts w:ascii="Book Antiqua" w:hAnsi="Book Antiqua"/>
          <w:color w:val="000000" w:themeColor="text1"/>
          <w:sz w:val="24"/>
          <w:szCs w:val="24"/>
        </w:rPr>
        <w:t>incidence</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diagnosis</w:t>
      </w:r>
      <w:r w:rsidR="008A7894" w:rsidRPr="00FE5422">
        <w:rPr>
          <w:rFonts w:ascii="Book Antiqua" w:hAnsi="Book Antiqua"/>
          <w:color w:val="000000" w:themeColor="text1"/>
          <w:spacing w:val="-3"/>
          <w:sz w:val="24"/>
          <w:szCs w:val="24"/>
        </w:rPr>
        <w:t xml:space="preserve"> </w:t>
      </w:r>
      <w:r w:rsidR="008A7894" w:rsidRPr="00FE5422">
        <w:rPr>
          <w:rFonts w:ascii="Book Antiqua" w:hAnsi="Book Antiqua"/>
          <w:color w:val="000000" w:themeColor="text1"/>
          <w:sz w:val="24"/>
          <w:szCs w:val="24"/>
        </w:rPr>
        <w:t>due to an increase in upper GI endoscopy, and refinement of the endoscopic techniques. Those lesions while arise from the same group of cells, are different in etiology and therefore differ in the natural disease progression. Identifying the type</w:t>
      </w:r>
      <w:r w:rsidR="008A7894" w:rsidRPr="00FE5422">
        <w:rPr>
          <w:rFonts w:ascii="Book Antiqua" w:hAnsi="Book Antiqua"/>
          <w:color w:val="000000" w:themeColor="text1"/>
          <w:spacing w:val="-9"/>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gNETs</w:t>
      </w:r>
      <w:r w:rsidR="008A7894" w:rsidRPr="00FE5422">
        <w:rPr>
          <w:rFonts w:ascii="Book Antiqua" w:hAnsi="Book Antiqua"/>
          <w:color w:val="000000" w:themeColor="text1"/>
          <w:spacing w:val="-4"/>
          <w:sz w:val="24"/>
          <w:szCs w:val="24"/>
        </w:rPr>
        <w:t xml:space="preserve"> </w:t>
      </w:r>
      <w:r w:rsidR="008A7894" w:rsidRPr="00FE5422">
        <w:rPr>
          <w:rFonts w:ascii="Book Antiqua" w:hAnsi="Book Antiqua"/>
          <w:color w:val="000000" w:themeColor="text1"/>
          <w:spacing w:val="-3"/>
          <w:sz w:val="24"/>
          <w:szCs w:val="24"/>
        </w:rPr>
        <w:t>is</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a</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collective</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effort</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clinical</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and</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pathologic</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correlation,</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the</w:t>
      </w:r>
      <w:r w:rsidR="008A7894" w:rsidRPr="00FE5422">
        <w:rPr>
          <w:rFonts w:ascii="Book Antiqua" w:hAnsi="Book Antiqua"/>
          <w:color w:val="000000" w:themeColor="text1"/>
          <w:spacing w:val="-12"/>
          <w:sz w:val="24"/>
          <w:szCs w:val="24"/>
        </w:rPr>
        <w:t xml:space="preserve"> </w:t>
      </w:r>
      <w:r w:rsidR="008A7894" w:rsidRPr="00FE5422">
        <w:rPr>
          <w:rFonts w:ascii="Book Antiqua" w:hAnsi="Book Antiqua"/>
          <w:color w:val="000000" w:themeColor="text1"/>
          <w:sz w:val="24"/>
          <w:szCs w:val="24"/>
        </w:rPr>
        <w:t>correct</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grading</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and</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staging</w:t>
      </w:r>
      <w:r w:rsidR="008A7894" w:rsidRPr="00FE5422">
        <w:rPr>
          <w:rFonts w:ascii="Book Antiqua" w:hAnsi="Book Antiqua"/>
          <w:color w:val="000000" w:themeColor="text1"/>
          <w:spacing w:val="-13"/>
          <w:sz w:val="24"/>
          <w:szCs w:val="24"/>
        </w:rPr>
        <w:t xml:space="preserve"> </w:t>
      </w:r>
      <w:r w:rsidR="008A7894" w:rsidRPr="00FE5422">
        <w:rPr>
          <w:rFonts w:ascii="Book Antiqua" w:hAnsi="Book Antiqua"/>
          <w:color w:val="000000" w:themeColor="text1"/>
          <w:sz w:val="24"/>
          <w:szCs w:val="24"/>
        </w:rPr>
        <w:t>of</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these</w:t>
      </w:r>
      <w:r w:rsidR="008A7894" w:rsidRPr="00FE5422">
        <w:rPr>
          <w:rFonts w:ascii="Book Antiqua" w:hAnsi="Book Antiqua"/>
          <w:color w:val="000000" w:themeColor="text1"/>
          <w:spacing w:val="-8"/>
          <w:sz w:val="24"/>
          <w:szCs w:val="24"/>
        </w:rPr>
        <w:t xml:space="preserve"> </w:t>
      </w:r>
      <w:r w:rsidR="008A7894" w:rsidRPr="00FE5422">
        <w:rPr>
          <w:rFonts w:ascii="Book Antiqua" w:hAnsi="Book Antiqua"/>
          <w:color w:val="000000" w:themeColor="text1"/>
          <w:sz w:val="24"/>
          <w:szCs w:val="24"/>
        </w:rPr>
        <w:t xml:space="preserve">lesions </w:t>
      </w:r>
      <w:r w:rsidR="008A7894" w:rsidRPr="00FE5422">
        <w:rPr>
          <w:rFonts w:ascii="Book Antiqua" w:hAnsi="Book Antiqua"/>
          <w:color w:val="000000" w:themeColor="text1"/>
          <w:spacing w:val="-3"/>
          <w:sz w:val="24"/>
          <w:szCs w:val="24"/>
        </w:rPr>
        <w:t xml:space="preserve">is </w:t>
      </w:r>
      <w:r w:rsidR="008A7894" w:rsidRPr="00FE5422">
        <w:rPr>
          <w:rFonts w:ascii="Book Antiqua" w:hAnsi="Book Antiqua"/>
          <w:color w:val="000000" w:themeColor="text1"/>
          <w:sz w:val="24"/>
          <w:szCs w:val="24"/>
        </w:rPr>
        <w:t xml:space="preserve">of </w:t>
      </w:r>
      <w:r w:rsidR="008A7894" w:rsidRPr="00FE5422">
        <w:rPr>
          <w:rFonts w:ascii="Book Antiqua" w:hAnsi="Book Antiqua"/>
          <w:color w:val="000000" w:themeColor="text1"/>
          <w:sz w:val="24"/>
          <w:szCs w:val="24"/>
        </w:rPr>
        <w:lastRenderedPageBreak/>
        <w:t xml:space="preserve">paramount significance, due its impact on patient management and prognosis. Finally, </w:t>
      </w:r>
      <w:r w:rsidR="008A7894" w:rsidRPr="00FE5422">
        <w:rPr>
          <w:rFonts w:ascii="Book Antiqua" w:hAnsi="Book Antiqua"/>
          <w:color w:val="000000" w:themeColor="text1"/>
          <w:spacing w:val="-3"/>
          <w:sz w:val="24"/>
          <w:szCs w:val="24"/>
        </w:rPr>
        <w:t xml:space="preserve">it is </w:t>
      </w:r>
      <w:r w:rsidR="008A7894" w:rsidRPr="00FE5422">
        <w:rPr>
          <w:rFonts w:ascii="Book Antiqua" w:hAnsi="Book Antiqua"/>
          <w:color w:val="000000" w:themeColor="text1"/>
          <w:sz w:val="24"/>
          <w:szCs w:val="24"/>
        </w:rPr>
        <w:t xml:space="preserve">worth noting that this area of digestive pathology </w:t>
      </w:r>
      <w:r w:rsidR="008A7894" w:rsidRPr="00FE5422">
        <w:rPr>
          <w:rFonts w:ascii="Book Antiqua" w:hAnsi="Book Antiqua"/>
          <w:color w:val="000000" w:themeColor="text1"/>
          <w:spacing w:val="-3"/>
          <w:sz w:val="24"/>
          <w:szCs w:val="24"/>
        </w:rPr>
        <w:t xml:space="preserve">is </w:t>
      </w:r>
      <w:r w:rsidR="008A7894" w:rsidRPr="00FE5422">
        <w:rPr>
          <w:rFonts w:ascii="Book Antiqua" w:hAnsi="Book Antiqua"/>
          <w:color w:val="000000" w:themeColor="text1"/>
          <w:sz w:val="24"/>
          <w:szCs w:val="24"/>
        </w:rPr>
        <w:t>an active area of research and studies that will clarify the disease biology and improve its</w:t>
      </w:r>
      <w:r w:rsidR="008A7894" w:rsidRPr="00FE5422">
        <w:rPr>
          <w:rFonts w:ascii="Book Antiqua" w:hAnsi="Book Antiqua"/>
          <w:color w:val="000000" w:themeColor="text1"/>
          <w:spacing w:val="-1"/>
          <w:sz w:val="24"/>
          <w:szCs w:val="24"/>
        </w:rPr>
        <w:t xml:space="preserve"> </w:t>
      </w:r>
      <w:r w:rsidR="008A7894" w:rsidRPr="00FE5422">
        <w:rPr>
          <w:rFonts w:ascii="Book Antiqua" w:hAnsi="Book Antiqua"/>
          <w:color w:val="000000" w:themeColor="text1"/>
          <w:sz w:val="24"/>
          <w:szCs w:val="24"/>
        </w:rPr>
        <w:t>management.</w:t>
      </w:r>
    </w:p>
    <w:p w:rsidR="00DC3097" w:rsidRPr="00FE5422" w:rsidRDefault="00DC3097" w:rsidP="00631641">
      <w:pPr>
        <w:pStyle w:val="1"/>
        <w:spacing w:line="360" w:lineRule="auto"/>
        <w:ind w:left="0"/>
        <w:rPr>
          <w:rFonts w:ascii="Book Antiqua" w:eastAsiaTheme="minorEastAsia" w:hAnsi="Book Antiqua"/>
          <w:color w:val="000000" w:themeColor="text1"/>
          <w:sz w:val="24"/>
          <w:szCs w:val="24"/>
          <w:lang w:eastAsia="zh-CN"/>
        </w:rPr>
      </w:pPr>
    </w:p>
    <w:p w:rsidR="009C6234" w:rsidRPr="00FE5422" w:rsidRDefault="00DC3097" w:rsidP="00631641">
      <w:pPr>
        <w:pStyle w:val="1"/>
        <w:spacing w:line="360" w:lineRule="auto"/>
        <w:ind w:left="0"/>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REFERENCES</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 </w:t>
      </w:r>
      <w:r w:rsidRPr="00FE5422">
        <w:rPr>
          <w:rFonts w:ascii="Book Antiqua" w:hAnsi="Book Antiqua"/>
          <w:b/>
          <w:sz w:val="24"/>
          <w:szCs w:val="24"/>
        </w:rPr>
        <w:t>Gastrointestinal Pathology Study Group of</w:t>
      </w:r>
      <w:r w:rsidR="00BC2705" w:rsidRPr="00FE5422">
        <w:rPr>
          <w:rFonts w:ascii="Book Antiqua" w:hAnsi="Book Antiqua"/>
          <w:b/>
          <w:sz w:val="24"/>
          <w:szCs w:val="24"/>
        </w:rPr>
        <w:t xml:space="preserve"> Korean Society of Pathologists</w:t>
      </w:r>
      <w:r w:rsidRPr="00FE5422">
        <w:rPr>
          <w:rFonts w:ascii="Book Antiqua" w:hAnsi="Book Antiqua"/>
          <w:sz w:val="24"/>
          <w:szCs w:val="24"/>
        </w:rPr>
        <w:t xml:space="preserve">, Cho MY, Kim JM, Sohn JH, Kim MJ, Kim KM, Kim WH, Kim H, Kook MC, Park DY, Lee JH, Chang H, Jung ES, Kim HK, Jin SY, Choi JH, Gu MJ, Kim S, Kang MS, Cho CH, Park MI, Kang YK, Kim YW, Yoon SO, Bae HI, Joo M, Moon WS, Kang DY, Chang SJ. Current Trends of the Incidence and Pathological Diagnosis of Gastroenteropancreatic Neuroendocrine Tumors (GEP-NETs) in Korea 2000-2009: Multicenter Study. </w:t>
      </w:r>
      <w:r w:rsidRPr="00FE5422">
        <w:rPr>
          <w:rFonts w:ascii="Book Antiqua" w:hAnsi="Book Antiqua"/>
          <w:i/>
          <w:sz w:val="24"/>
          <w:szCs w:val="24"/>
        </w:rPr>
        <w:t>Cancer Res Treat</w:t>
      </w:r>
      <w:r w:rsidRPr="00FE5422">
        <w:rPr>
          <w:rFonts w:ascii="Book Antiqua" w:hAnsi="Book Antiqua"/>
          <w:sz w:val="24"/>
          <w:szCs w:val="24"/>
        </w:rPr>
        <w:t xml:space="preserve"> 2012; </w:t>
      </w:r>
      <w:r w:rsidRPr="00FE5422">
        <w:rPr>
          <w:rFonts w:ascii="Book Antiqua" w:hAnsi="Book Antiqua"/>
          <w:b/>
          <w:sz w:val="24"/>
          <w:szCs w:val="24"/>
        </w:rPr>
        <w:t>44</w:t>
      </w:r>
      <w:r w:rsidRPr="00FE5422">
        <w:rPr>
          <w:rFonts w:ascii="Book Antiqua" w:hAnsi="Book Antiqua"/>
          <w:sz w:val="24"/>
          <w:szCs w:val="24"/>
        </w:rPr>
        <w:t>: 157-165 [PMID: 23091441 DOI: 10.4143/crt.2012.44.3.157]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 </w:t>
      </w:r>
      <w:r w:rsidRPr="00FE5422">
        <w:rPr>
          <w:rFonts w:ascii="Book Antiqua" w:hAnsi="Book Antiqua"/>
          <w:b/>
          <w:sz w:val="24"/>
          <w:szCs w:val="24"/>
        </w:rPr>
        <w:t>Klimstra DS</w:t>
      </w:r>
      <w:r w:rsidRPr="00FE5422">
        <w:rPr>
          <w:rFonts w:ascii="Book Antiqua" w:hAnsi="Book Antiqua"/>
          <w:sz w:val="24"/>
          <w:szCs w:val="24"/>
        </w:rPr>
        <w:t xml:space="preserve">, Modlin IR, Coppola D, Lloyd RV, Suster S. The pathologic classification of neuroendocrine tumors: a review of nomenclature, grading, and staging systems. </w:t>
      </w:r>
      <w:r w:rsidRPr="00FE5422">
        <w:rPr>
          <w:rFonts w:ascii="Book Antiqua" w:hAnsi="Book Antiqua"/>
          <w:i/>
          <w:sz w:val="24"/>
          <w:szCs w:val="24"/>
        </w:rPr>
        <w:t>Pancreas</w:t>
      </w:r>
      <w:r w:rsidRPr="00FE5422">
        <w:rPr>
          <w:rFonts w:ascii="Book Antiqua" w:hAnsi="Book Antiqua"/>
          <w:sz w:val="24"/>
          <w:szCs w:val="24"/>
        </w:rPr>
        <w:t xml:space="preserve"> 2010; </w:t>
      </w:r>
      <w:r w:rsidRPr="00FE5422">
        <w:rPr>
          <w:rFonts w:ascii="Book Antiqua" w:hAnsi="Book Antiqua"/>
          <w:b/>
          <w:sz w:val="24"/>
          <w:szCs w:val="24"/>
        </w:rPr>
        <w:t>39</w:t>
      </w:r>
      <w:r w:rsidRPr="00FE5422">
        <w:rPr>
          <w:rFonts w:ascii="Book Antiqua" w:hAnsi="Book Antiqua"/>
          <w:sz w:val="24"/>
          <w:szCs w:val="24"/>
        </w:rPr>
        <w:t>: 707-712 [PMID: 20664470 DOI: 10.1097/MPA.0b013e3181ec124e]</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 </w:t>
      </w:r>
      <w:r w:rsidRPr="00FE5422">
        <w:rPr>
          <w:rFonts w:ascii="Book Antiqua" w:hAnsi="Book Antiqua"/>
          <w:b/>
          <w:sz w:val="24"/>
          <w:szCs w:val="24"/>
        </w:rPr>
        <w:t>Klöppel G</w:t>
      </w:r>
      <w:r w:rsidRPr="00FE5422">
        <w:rPr>
          <w:rFonts w:ascii="Book Antiqua" w:hAnsi="Book Antiqua"/>
          <w:sz w:val="24"/>
          <w:szCs w:val="24"/>
        </w:rPr>
        <w:t xml:space="preserve">, Couvelard A, Perren A, Komminoth P, McNicol AM, Nilsson O, Scarpa A, Scoazec JY, Wiedenmann B, Papotti M, Rindi G, Plöckinger U; Mallorca Consensus Conference participants; European Neuroendocrine Tumor Society. ENETS Consensus Guidelines for the Standards of Care in Neuroendocrine Tumors: towards a standardized approach to the diagnosis of gastroenteropancreatic neuroendocrine tumors and their prognostic stratification. </w:t>
      </w:r>
      <w:r w:rsidRPr="00FE5422">
        <w:rPr>
          <w:rFonts w:ascii="Book Antiqua" w:hAnsi="Book Antiqua"/>
          <w:i/>
          <w:sz w:val="24"/>
          <w:szCs w:val="24"/>
        </w:rPr>
        <w:t>Neuroendocrinology</w:t>
      </w:r>
      <w:r w:rsidRPr="00FE5422">
        <w:rPr>
          <w:rFonts w:ascii="Book Antiqua" w:hAnsi="Book Antiqua"/>
          <w:sz w:val="24"/>
          <w:szCs w:val="24"/>
        </w:rPr>
        <w:t xml:space="preserve"> 2009; </w:t>
      </w:r>
      <w:r w:rsidRPr="00FE5422">
        <w:rPr>
          <w:rFonts w:ascii="Book Antiqua" w:hAnsi="Book Antiqua"/>
          <w:b/>
          <w:sz w:val="24"/>
          <w:szCs w:val="24"/>
        </w:rPr>
        <w:t>90</w:t>
      </w:r>
      <w:r w:rsidRPr="00FE5422">
        <w:rPr>
          <w:rFonts w:ascii="Book Antiqua" w:hAnsi="Book Antiqua"/>
          <w:sz w:val="24"/>
          <w:szCs w:val="24"/>
        </w:rPr>
        <w:t>: 162-166 [PMID: 19060454 DOI: 10.1159/000182196]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4 </w:t>
      </w:r>
      <w:r w:rsidRPr="00FE5422">
        <w:rPr>
          <w:rFonts w:ascii="Book Antiqua" w:hAnsi="Book Antiqua"/>
          <w:b/>
          <w:sz w:val="24"/>
          <w:szCs w:val="24"/>
        </w:rPr>
        <w:t>Klöppel G</w:t>
      </w:r>
      <w:r w:rsidRPr="00FE5422">
        <w:rPr>
          <w:rFonts w:ascii="Book Antiqua" w:hAnsi="Book Antiqua"/>
          <w:sz w:val="24"/>
          <w:szCs w:val="24"/>
        </w:rPr>
        <w:t xml:space="preserve">, Perren A, Heitz PU. The gastroenteropancreatic neuroendocrine cell system and its tumors: the WHO classification. </w:t>
      </w:r>
      <w:r w:rsidRPr="00FE5422">
        <w:rPr>
          <w:rFonts w:ascii="Book Antiqua" w:hAnsi="Book Antiqua"/>
          <w:i/>
          <w:sz w:val="24"/>
          <w:szCs w:val="24"/>
        </w:rPr>
        <w:t>Ann N Y Acad Sci</w:t>
      </w:r>
      <w:r w:rsidRPr="00FE5422">
        <w:rPr>
          <w:rFonts w:ascii="Book Antiqua" w:hAnsi="Book Antiqua"/>
          <w:sz w:val="24"/>
          <w:szCs w:val="24"/>
        </w:rPr>
        <w:t xml:space="preserve"> 2004; </w:t>
      </w:r>
      <w:r w:rsidRPr="00FE5422">
        <w:rPr>
          <w:rFonts w:ascii="Book Antiqua" w:hAnsi="Book Antiqua"/>
          <w:b/>
          <w:sz w:val="24"/>
          <w:szCs w:val="24"/>
        </w:rPr>
        <w:t>1014</w:t>
      </w:r>
      <w:r w:rsidRPr="00FE5422">
        <w:rPr>
          <w:rFonts w:ascii="Book Antiqua" w:hAnsi="Book Antiqua"/>
          <w:sz w:val="24"/>
          <w:szCs w:val="24"/>
        </w:rPr>
        <w:t>: 13-27 [PMID: 15153416 DOI: 10.1196/annals.1294.002]</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5 </w:t>
      </w:r>
      <w:r w:rsidRPr="00FE5422">
        <w:rPr>
          <w:rFonts w:ascii="Book Antiqua" w:hAnsi="Book Antiqua"/>
          <w:b/>
          <w:sz w:val="24"/>
          <w:szCs w:val="24"/>
        </w:rPr>
        <w:t>Burkitt MD</w:t>
      </w:r>
      <w:r w:rsidRPr="00FE5422">
        <w:rPr>
          <w:rFonts w:ascii="Book Antiqua" w:hAnsi="Book Antiqua"/>
          <w:sz w:val="24"/>
          <w:szCs w:val="24"/>
        </w:rPr>
        <w:t xml:space="preserve">, Pritchard DM. Review article: Pathogenesis and management of gastric carcinoid tumours. </w:t>
      </w:r>
      <w:r w:rsidRPr="00FE5422">
        <w:rPr>
          <w:rFonts w:ascii="Book Antiqua" w:hAnsi="Book Antiqua"/>
          <w:i/>
          <w:sz w:val="24"/>
          <w:szCs w:val="24"/>
        </w:rPr>
        <w:t>Aliment Pharmacol Ther</w:t>
      </w:r>
      <w:r w:rsidRPr="00FE5422">
        <w:rPr>
          <w:rFonts w:ascii="Book Antiqua" w:hAnsi="Book Antiqua"/>
          <w:sz w:val="24"/>
          <w:szCs w:val="24"/>
        </w:rPr>
        <w:t xml:space="preserve"> 2006; </w:t>
      </w:r>
      <w:r w:rsidRPr="00FE5422">
        <w:rPr>
          <w:rFonts w:ascii="Book Antiqua" w:hAnsi="Book Antiqua"/>
          <w:b/>
          <w:sz w:val="24"/>
          <w:szCs w:val="24"/>
        </w:rPr>
        <w:t>24</w:t>
      </w:r>
      <w:r w:rsidRPr="00FE5422">
        <w:rPr>
          <w:rFonts w:ascii="Book Antiqua" w:hAnsi="Book Antiqua"/>
          <w:sz w:val="24"/>
          <w:szCs w:val="24"/>
        </w:rPr>
        <w:t>: 1305-1320 [PMID: 17059512 DOI: 10.1111/j.1365-2036.2006.03130.x]</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6 </w:t>
      </w:r>
      <w:r w:rsidRPr="00FE5422">
        <w:rPr>
          <w:rFonts w:ascii="Book Antiqua" w:hAnsi="Book Antiqua"/>
          <w:b/>
          <w:sz w:val="24"/>
          <w:szCs w:val="24"/>
        </w:rPr>
        <w:t>Dias AR</w:t>
      </w:r>
      <w:r w:rsidRPr="00FE5422">
        <w:rPr>
          <w:rFonts w:ascii="Book Antiqua" w:hAnsi="Book Antiqua"/>
          <w:sz w:val="24"/>
          <w:szCs w:val="24"/>
        </w:rPr>
        <w:t xml:space="preserve">, Azevedo BC, Alban LBV, Yagi OK, Ramos MFKP, Jacob CE, Barchi LC, Cecconello I, Ribeiro U Jr, Zilberstein B. </w:t>
      </w:r>
      <w:r w:rsidR="00BC2705" w:rsidRPr="00FE5422">
        <w:rPr>
          <w:rFonts w:ascii="Book Antiqua" w:hAnsi="Book Antiqua"/>
          <w:sz w:val="24"/>
          <w:szCs w:val="24"/>
        </w:rPr>
        <w:t>Gastric Neuroendocrine Tumor: Review and Update</w:t>
      </w:r>
      <w:r w:rsidRPr="00FE5422">
        <w:rPr>
          <w:rFonts w:ascii="Book Antiqua" w:hAnsi="Book Antiqua"/>
          <w:sz w:val="24"/>
          <w:szCs w:val="24"/>
        </w:rPr>
        <w:t xml:space="preserve">. </w:t>
      </w:r>
      <w:r w:rsidRPr="00FE5422">
        <w:rPr>
          <w:rFonts w:ascii="Book Antiqua" w:hAnsi="Book Antiqua"/>
          <w:i/>
          <w:sz w:val="24"/>
          <w:szCs w:val="24"/>
        </w:rPr>
        <w:t>Arq Bras Cir Dig</w:t>
      </w:r>
      <w:r w:rsidRPr="00FE5422">
        <w:rPr>
          <w:rFonts w:ascii="Book Antiqua" w:hAnsi="Book Antiqua"/>
          <w:sz w:val="24"/>
          <w:szCs w:val="24"/>
        </w:rPr>
        <w:t xml:space="preserve"> 2017; </w:t>
      </w:r>
      <w:r w:rsidRPr="00FE5422">
        <w:rPr>
          <w:rFonts w:ascii="Book Antiqua" w:hAnsi="Book Antiqua"/>
          <w:b/>
          <w:sz w:val="24"/>
          <w:szCs w:val="24"/>
        </w:rPr>
        <w:t>30</w:t>
      </w:r>
      <w:r w:rsidRPr="00FE5422">
        <w:rPr>
          <w:rFonts w:ascii="Book Antiqua" w:hAnsi="Book Antiqua"/>
          <w:sz w:val="24"/>
          <w:szCs w:val="24"/>
        </w:rPr>
        <w:t>: 150-154 [PMID: 29257854 DOI: 10.1590/0102-</w:t>
      </w:r>
      <w:r w:rsidRPr="00FE5422">
        <w:rPr>
          <w:rFonts w:ascii="Book Antiqua" w:hAnsi="Book Antiqua"/>
          <w:sz w:val="24"/>
          <w:szCs w:val="24"/>
        </w:rPr>
        <w:lastRenderedPageBreak/>
        <w:t>6720201700020016]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7 </w:t>
      </w:r>
      <w:r w:rsidRPr="00FE5422">
        <w:rPr>
          <w:rFonts w:ascii="Book Antiqua" w:hAnsi="Book Antiqua"/>
          <w:b/>
          <w:sz w:val="24"/>
          <w:szCs w:val="24"/>
        </w:rPr>
        <w:t>Modlin IM</w:t>
      </w:r>
      <w:r w:rsidRPr="00FE5422">
        <w:rPr>
          <w:rFonts w:ascii="Book Antiqua" w:hAnsi="Book Antiqua"/>
          <w:sz w:val="24"/>
          <w:szCs w:val="24"/>
        </w:rPr>
        <w:t xml:space="preserve">, Kidd M, Latich I, Zikusoka MN, Shapiro MD. Current status of gastrointestinal carcinoids. </w:t>
      </w:r>
      <w:r w:rsidRPr="00FE5422">
        <w:rPr>
          <w:rFonts w:ascii="Book Antiqua" w:hAnsi="Book Antiqua"/>
          <w:i/>
          <w:sz w:val="24"/>
          <w:szCs w:val="24"/>
        </w:rPr>
        <w:t>Gastroenterology</w:t>
      </w:r>
      <w:r w:rsidRPr="00FE5422">
        <w:rPr>
          <w:rFonts w:ascii="Book Antiqua" w:hAnsi="Book Antiqua"/>
          <w:sz w:val="24"/>
          <w:szCs w:val="24"/>
        </w:rPr>
        <w:t xml:space="preserve"> 2005; </w:t>
      </w:r>
      <w:r w:rsidRPr="00FE5422">
        <w:rPr>
          <w:rFonts w:ascii="Book Antiqua" w:hAnsi="Book Antiqua"/>
          <w:b/>
          <w:sz w:val="24"/>
          <w:szCs w:val="24"/>
        </w:rPr>
        <w:t>128</w:t>
      </w:r>
      <w:r w:rsidRPr="00FE5422">
        <w:rPr>
          <w:rFonts w:ascii="Book Antiqua" w:hAnsi="Book Antiqua"/>
          <w:sz w:val="24"/>
          <w:szCs w:val="24"/>
        </w:rPr>
        <w:t>: 1717-1751 [PMID: 15887161 DOI: 10.1053/j.gastro.2005.03.038]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8 </w:t>
      </w:r>
      <w:r w:rsidRPr="00FE5422">
        <w:rPr>
          <w:rFonts w:ascii="Book Antiqua" w:hAnsi="Book Antiqua"/>
          <w:b/>
          <w:sz w:val="24"/>
          <w:szCs w:val="24"/>
        </w:rPr>
        <w:t>Hung OY</w:t>
      </w:r>
      <w:r w:rsidRPr="00FE5422">
        <w:rPr>
          <w:rFonts w:ascii="Book Antiqua" w:hAnsi="Book Antiqua"/>
          <w:sz w:val="24"/>
          <w:szCs w:val="24"/>
        </w:rPr>
        <w:t xml:space="preserve">, Maithel SK, Willingham FF, Farris AB 3rd, Kauh JS. Hypergastrinemia, type 1 gastric carcinoid tumors: diagnosis and management. </w:t>
      </w:r>
      <w:r w:rsidRPr="00FE5422">
        <w:rPr>
          <w:rFonts w:ascii="Book Antiqua" w:hAnsi="Book Antiqua"/>
          <w:i/>
          <w:sz w:val="24"/>
          <w:szCs w:val="24"/>
        </w:rPr>
        <w:t>J Clin Oncol</w:t>
      </w:r>
      <w:r w:rsidRPr="00FE5422">
        <w:rPr>
          <w:rFonts w:ascii="Book Antiqua" w:hAnsi="Book Antiqua"/>
          <w:sz w:val="24"/>
          <w:szCs w:val="24"/>
        </w:rPr>
        <w:t xml:space="preserve"> 2011; </w:t>
      </w:r>
      <w:r w:rsidRPr="00FE5422">
        <w:rPr>
          <w:rFonts w:ascii="Book Antiqua" w:hAnsi="Book Antiqua"/>
          <w:b/>
          <w:sz w:val="24"/>
          <w:szCs w:val="24"/>
        </w:rPr>
        <w:t>29</w:t>
      </w:r>
      <w:r w:rsidRPr="00FE5422">
        <w:rPr>
          <w:rFonts w:ascii="Book Antiqua" w:hAnsi="Book Antiqua"/>
          <w:sz w:val="24"/>
          <w:szCs w:val="24"/>
        </w:rPr>
        <w:t>: e713-e715 [PMID: 21747088 DOI: 10.1200/JCO.2011.35.3235]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9 </w:t>
      </w:r>
      <w:r w:rsidRPr="00FE5422">
        <w:rPr>
          <w:rFonts w:ascii="Book Antiqua" w:hAnsi="Book Antiqua"/>
          <w:b/>
          <w:sz w:val="24"/>
          <w:szCs w:val="24"/>
        </w:rPr>
        <w:t>Bale SJ</w:t>
      </w:r>
      <w:r w:rsidRPr="00FE5422">
        <w:rPr>
          <w:rFonts w:ascii="Book Antiqua" w:hAnsi="Book Antiqua"/>
          <w:sz w:val="24"/>
          <w:szCs w:val="24"/>
        </w:rPr>
        <w:t xml:space="preserve">, Bale AE, Stewart K, Dachowski L, McBride OW, Glaser T, Green JE 3rd, Mulvihill JJ, Brandi ML, Sakaguchi K. Linkage analysis of multiple endocrine neoplasia type 1 with INT2 and other markers on chromosome 11. </w:t>
      </w:r>
      <w:r w:rsidRPr="00FE5422">
        <w:rPr>
          <w:rFonts w:ascii="Book Antiqua" w:hAnsi="Book Antiqua"/>
          <w:i/>
          <w:sz w:val="24"/>
          <w:szCs w:val="24"/>
        </w:rPr>
        <w:t>Genomics</w:t>
      </w:r>
      <w:r w:rsidRPr="00FE5422">
        <w:rPr>
          <w:rFonts w:ascii="Book Antiqua" w:hAnsi="Book Antiqua"/>
          <w:sz w:val="24"/>
          <w:szCs w:val="24"/>
        </w:rPr>
        <w:t xml:space="preserve"> 1989; </w:t>
      </w:r>
      <w:r w:rsidRPr="00FE5422">
        <w:rPr>
          <w:rFonts w:ascii="Book Antiqua" w:hAnsi="Book Antiqua"/>
          <w:b/>
          <w:sz w:val="24"/>
          <w:szCs w:val="24"/>
        </w:rPr>
        <w:t>4</w:t>
      </w:r>
      <w:r w:rsidRPr="00FE5422">
        <w:rPr>
          <w:rFonts w:ascii="Book Antiqua" w:hAnsi="Book Antiqua"/>
          <w:sz w:val="24"/>
          <w:szCs w:val="24"/>
        </w:rPr>
        <w:t>: 320-322 [PMID: 2565877 DOI: 10.1016/0888-7543(89)90336-4]</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10 </w:t>
      </w:r>
      <w:r w:rsidRPr="00FE5422">
        <w:rPr>
          <w:rFonts w:ascii="Book Antiqua" w:hAnsi="Book Antiqua"/>
          <w:b/>
          <w:sz w:val="24"/>
          <w:szCs w:val="24"/>
        </w:rPr>
        <w:t>Chandrasekharappa SC</w:t>
      </w:r>
      <w:r w:rsidRPr="00FE5422">
        <w:rPr>
          <w:rFonts w:ascii="Book Antiqua" w:hAnsi="Book Antiqua"/>
          <w:sz w:val="24"/>
          <w:szCs w:val="24"/>
        </w:rPr>
        <w:t xml:space="preserve">, Guru SC, Manickam P, Olufemi SE, Collins FS, Emmert-Buck MR, Debelenko LV, Zhuang Z, Lubensky IA, Liotta LA, Crabtree JS, Wang Y, Roe BA, Weisemann J, Boguski MS, Agarwal SK, Kester MB, Kim YS, Heppner C, Dong Q, Spiegel AM, Burns AL, Marx SJ. Positional cloning of the gene for multiple endocrine neoplasia-type 1. </w:t>
      </w:r>
      <w:r w:rsidRPr="00FE5422">
        <w:rPr>
          <w:rFonts w:ascii="Book Antiqua" w:hAnsi="Book Antiqua"/>
          <w:i/>
          <w:sz w:val="24"/>
          <w:szCs w:val="24"/>
        </w:rPr>
        <w:t>Science</w:t>
      </w:r>
      <w:r w:rsidRPr="00FE5422">
        <w:rPr>
          <w:rFonts w:ascii="Book Antiqua" w:hAnsi="Book Antiqua"/>
          <w:sz w:val="24"/>
          <w:szCs w:val="24"/>
        </w:rPr>
        <w:t xml:space="preserve"> 1997; </w:t>
      </w:r>
      <w:r w:rsidRPr="00FE5422">
        <w:rPr>
          <w:rFonts w:ascii="Book Antiqua" w:hAnsi="Book Antiqua"/>
          <w:b/>
          <w:sz w:val="24"/>
          <w:szCs w:val="24"/>
        </w:rPr>
        <w:t>276</w:t>
      </w:r>
      <w:r w:rsidRPr="00FE5422">
        <w:rPr>
          <w:rFonts w:ascii="Book Antiqua" w:hAnsi="Book Antiqua"/>
          <w:sz w:val="24"/>
          <w:szCs w:val="24"/>
        </w:rPr>
        <w:t>: 404-407 [PMID: 9103196 DOI: 10.1126/science.276.5311.404]</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11 </w:t>
      </w:r>
      <w:r w:rsidRPr="00FE5422">
        <w:rPr>
          <w:rFonts w:ascii="Book Antiqua" w:hAnsi="Book Antiqua"/>
          <w:b/>
          <w:sz w:val="24"/>
          <w:szCs w:val="24"/>
        </w:rPr>
        <w:t>Debelenko LV</w:t>
      </w:r>
      <w:r w:rsidRPr="00FE5422">
        <w:rPr>
          <w:rFonts w:ascii="Book Antiqua" w:hAnsi="Book Antiqua"/>
          <w:sz w:val="24"/>
          <w:szCs w:val="24"/>
        </w:rPr>
        <w:t xml:space="preserve">, Emmert-Buck MR, Zhuang Z, Epshteyn E, Moskaluk CA, Jensen RT, Liotta LA, Lubensky IA. The multiple endocrine neoplasia type I gene locus is involved in the pathogenesis of type II gastric carcinoids. </w:t>
      </w:r>
      <w:r w:rsidRPr="00FE5422">
        <w:rPr>
          <w:rFonts w:ascii="Book Antiqua" w:hAnsi="Book Antiqua"/>
          <w:i/>
          <w:sz w:val="24"/>
          <w:szCs w:val="24"/>
        </w:rPr>
        <w:t>Gastroenterology</w:t>
      </w:r>
      <w:r w:rsidRPr="00FE5422">
        <w:rPr>
          <w:rFonts w:ascii="Book Antiqua" w:hAnsi="Book Antiqua"/>
          <w:sz w:val="24"/>
          <w:szCs w:val="24"/>
        </w:rPr>
        <w:t xml:space="preserve"> 1997; </w:t>
      </w:r>
      <w:r w:rsidRPr="00FE5422">
        <w:rPr>
          <w:rFonts w:ascii="Book Antiqua" w:hAnsi="Book Antiqua"/>
          <w:b/>
          <w:sz w:val="24"/>
          <w:szCs w:val="24"/>
        </w:rPr>
        <w:t>113</w:t>
      </w:r>
      <w:r w:rsidRPr="00FE5422">
        <w:rPr>
          <w:rFonts w:ascii="Book Antiqua" w:hAnsi="Book Antiqua"/>
          <w:sz w:val="24"/>
          <w:szCs w:val="24"/>
        </w:rPr>
        <w:t>: 773-781 [PMID: 9287968 DOI: 10.1016/S0016-5085(97)70171-9]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12 </w:t>
      </w:r>
      <w:r w:rsidRPr="00FE5422">
        <w:rPr>
          <w:rFonts w:ascii="Book Antiqua" w:hAnsi="Book Antiqua"/>
          <w:b/>
          <w:sz w:val="24"/>
          <w:szCs w:val="24"/>
        </w:rPr>
        <w:t>Larsson C</w:t>
      </w:r>
      <w:r w:rsidRPr="00FE5422">
        <w:rPr>
          <w:rFonts w:ascii="Book Antiqua" w:hAnsi="Book Antiqua"/>
          <w:sz w:val="24"/>
          <w:szCs w:val="24"/>
        </w:rPr>
        <w:t xml:space="preserve">, Skogseid B, Oberg K, Nakamura Y, Nordenskjöld M. Multiple endocrine neoplasia type 1 gene maps to chromosome 11 and is lost in insulinoma. </w:t>
      </w:r>
      <w:r w:rsidRPr="00FE5422">
        <w:rPr>
          <w:rFonts w:ascii="Book Antiqua" w:hAnsi="Book Antiqua"/>
          <w:i/>
          <w:sz w:val="24"/>
          <w:szCs w:val="24"/>
        </w:rPr>
        <w:t>Nature</w:t>
      </w:r>
      <w:r w:rsidRPr="00FE5422">
        <w:rPr>
          <w:rFonts w:ascii="Book Antiqua" w:hAnsi="Book Antiqua"/>
          <w:sz w:val="24"/>
          <w:szCs w:val="24"/>
        </w:rPr>
        <w:t xml:space="preserve"> 1988; </w:t>
      </w:r>
      <w:r w:rsidRPr="00FE5422">
        <w:rPr>
          <w:rFonts w:ascii="Book Antiqua" w:hAnsi="Book Antiqua"/>
          <w:b/>
          <w:sz w:val="24"/>
          <w:szCs w:val="24"/>
        </w:rPr>
        <w:t>332</w:t>
      </w:r>
      <w:r w:rsidRPr="00FE5422">
        <w:rPr>
          <w:rFonts w:ascii="Book Antiqua" w:hAnsi="Book Antiqua"/>
          <w:sz w:val="24"/>
          <w:szCs w:val="24"/>
        </w:rPr>
        <w:t>: 85-87 [PMID: 2894610 DOI: 10.1038/332085a0]</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13 </w:t>
      </w:r>
      <w:r w:rsidRPr="00FE5422">
        <w:rPr>
          <w:rFonts w:ascii="Book Antiqua" w:hAnsi="Book Antiqua"/>
          <w:b/>
          <w:sz w:val="24"/>
          <w:szCs w:val="24"/>
        </w:rPr>
        <w:t>Agarwal SK</w:t>
      </w:r>
      <w:r w:rsidRPr="00FE5422">
        <w:rPr>
          <w:rFonts w:ascii="Book Antiqua" w:hAnsi="Book Antiqua"/>
          <w:sz w:val="24"/>
          <w:szCs w:val="24"/>
        </w:rPr>
        <w:t xml:space="preserve">, Guru SC, Heppner C, Erdos MR, Collins RM, Park SY, Saggar S, Chandrasekharappa SC, Collins FS, Spiegel AM, Marx SJ, Burns AL. Menin interacts with the AP1 transcription factor JunD and represses JunD-activated transcription. </w:t>
      </w:r>
      <w:r w:rsidRPr="00FE5422">
        <w:rPr>
          <w:rFonts w:ascii="Book Antiqua" w:hAnsi="Book Antiqua"/>
          <w:i/>
          <w:sz w:val="24"/>
          <w:szCs w:val="24"/>
        </w:rPr>
        <w:t>Cell</w:t>
      </w:r>
      <w:r w:rsidRPr="00FE5422">
        <w:rPr>
          <w:rFonts w:ascii="Book Antiqua" w:hAnsi="Book Antiqua"/>
          <w:sz w:val="24"/>
          <w:szCs w:val="24"/>
        </w:rPr>
        <w:t xml:space="preserve"> 1999; </w:t>
      </w:r>
      <w:r w:rsidRPr="00FE5422">
        <w:rPr>
          <w:rFonts w:ascii="Book Antiqua" w:hAnsi="Book Antiqua"/>
          <w:b/>
          <w:sz w:val="24"/>
          <w:szCs w:val="24"/>
        </w:rPr>
        <w:t>96</w:t>
      </w:r>
      <w:r w:rsidRPr="00FE5422">
        <w:rPr>
          <w:rFonts w:ascii="Book Antiqua" w:hAnsi="Book Antiqua"/>
          <w:sz w:val="24"/>
          <w:szCs w:val="24"/>
        </w:rPr>
        <w:t>: 143-152 [PMID: 9989505 DOI: 10.1016/S0092-8674(00)80967-8]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14 </w:t>
      </w:r>
      <w:r w:rsidRPr="00FE5422">
        <w:rPr>
          <w:rFonts w:ascii="Book Antiqua" w:hAnsi="Book Antiqua"/>
          <w:b/>
          <w:sz w:val="24"/>
          <w:szCs w:val="24"/>
        </w:rPr>
        <w:t>Kim JY</w:t>
      </w:r>
      <w:r w:rsidRPr="00FE5422">
        <w:rPr>
          <w:rFonts w:ascii="Book Antiqua" w:hAnsi="Book Antiqua"/>
          <w:sz w:val="24"/>
          <w:szCs w:val="24"/>
        </w:rPr>
        <w:t xml:space="preserve">, Hong SM. Recent Updates on Neuroendocrine Tumors From the Gastrointestinal and Pancreatobiliary Tracts. </w:t>
      </w:r>
      <w:r w:rsidRPr="00FE5422">
        <w:rPr>
          <w:rFonts w:ascii="Book Antiqua" w:hAnsi="Book Antiqua"/>
          <w:i/>
          <w:sz w:val="24"/>
          <w:szCs w:val="24"/>
        </w:rPr>
        <w:t>Arch Pathol Lab Med</w:t>
      </w:r>
      <w:r w:rsidRPr="00FE5422">
        <w:rPr>
          <w:rFonts w:ascii="Book Antiqua" w:hAnsi="Book Antiqua"/>
          <w:sz w:val="24"/>
          <w:szCs w:val="24"/>
        </w:rPr>
        <w:t xml:space="preserve"> 2016; </w:t>
      </w:r>
      <w:r w:rsidRPr="00FE5422">
        <w:rPr>
          <w:rFonts w:ascii="Book Antiqua" w:hAnsi="Book Antiqua"/>
          <w:b/>
          <w:sz w:val="24"/>
          <w:szCs w:val="24"/>
        </w:rPr>
        <w:t>140</w:t>
      </w:r>
      <w:r w:rsidRPr="00FE5422">
        <w:rPr>
          <w:rFonts w:ascii="Book Antiqua" w:hAnsi="Book Antiqua"/>
          <w:sz w:val="24"/>
          <w:szCs w:val="24"/>
        </w:rPr>
        <w:t>: 437-448 [PMID: 27128301 DOI: 10.5858/arpa.2015-0314-RA]</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15 </w:t>
      </w:r>
      <w:r w:rsidRPr="00FE5422">
        <w:rPr>
          <w:rFonts w:ascii="Book Antiqua" w:hAnsi="Book Antiqua"/>
          <w:b/>
          <w:sz w:val="24"/>
          <w:szCs w:val="24"/>
        </w:rPr>
        <w:t>Pritchard DM</w:t>
      </w:r>
      <w:r w:rsidRPr="00FE5422">
        <w:rPr>
          <w:rFonts w:ascii="Book Antiqua" w:hAnsi="Book Antiqua"/>
          <w:sz w:val="24"/>
          <w:szCs w:val="24"/>
        </w:rPr>
        <w:t xml:space="preserve">. Zollinger-Ellison syndrome: still a diagnostic challenge in the 21st </w:t>
      </w:r>
      <w:r w:rsidRPr="00FE5422">
        <w:rPr>
          <w:rFonts w:ascii="Book Antiqua" w:hAnsi="Book Antiqua"/>
          <w:sz w:val="24"/>
          <w:szCs w:val="24"/>
        </w:rPr>
        <w:lastRenderedPageBreak/>
        <w:t xml:space="preserve">century? </w:t>
      </w:r>
      <w:r w:rsidRPr="00FE5422">
        <w:rPr>
          <w:rFonts w:ascii="Book Antiqua" w:hAnsi="Book Antiqua"/>
          <w:i/>
          <w:sz w:val="24"/>
          <w:szCs w:val="24"/>
        </w:rPr>
        <w:t>Gastroenterology</w:t>
      </w:r>
      <w:r w:rsidRPr="00FE5422">
        <w:rPr>
          <w:rFonts w:ascii="Book Antiqua" w:hAnsi="Book Antiqua"/>
          <w:sz w:val="24"/>
          <w:szCs w:val="24"/>
        </w:rPr>
        <w:t xml:space="preserve"> 2011; </w:t>
      </w:r>
      <w:r w:rsidRPr="00FE5422">
        <w:rPr>
          <w:rFonts w:ascii="Book Antiqua" w:hAnsi="Book Antiqua"/>
          <w:b/>
          <w:sz w:val="24"/>
          <w:szCs w:val="24"/>
        </w:rPr>
        <w:t>140</w:t>
      </w:r>
      <w:r w:rsidRPr="00FE5422">
        <w:rPr>
          <w:rFonts w:ascii="Book Antiqua" w:hAnsi="Book Antiqua"/>
          <w:sz w:val="24"/>
          <w:szCs w:val="24"/>
        </w:rPr>
        <w:t>: 1380-1383 [PMID: 21443889 DOI: 10.1053/j.gastro.2011.03.026]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16 </w:t>
      </w:r>
      <w:r w:rsidRPr="00FE5422">
        <w:rPr>
          <w:rFonts w:ascii="Book Antiqua" w:hAnsi="Book Antiqua"/>
          <w:b/>
          <w:sz w:val="24"/>
          <w:szCs w:val="24"/>
        </w:rPr>
        <w:t>Cockburn AN</w:t>
      </w:r>
      <w:r w:rsidRPr="00FE5422">
        <w:rPr>
          <w:rFonts w:ascii="Book Antiqua" w:hAnsi="Book Antiqua"/>
          <w:sz w:val="24"/>
          <w:szCs w:val="24"/>
        </w:rPr>
        <w:t xml:space="preserve">, Morgan CJ, Genta RM. Neuroendocrine proliferations of the stomach: a pragmatic approach for the perplexed pathologist. </w:t>
      </w:r>
      <w:r w:rsidRPr="00FE5422">
        <w:rPr>
          <w:rFonts w:ascii="Book Antiqua" w:hAnsi="Book Antiqua"/>
          <w:i/>
          <w:sz w:val="24"/>
          <w:szCs w:val="24"/>
        </w:rPr>
        <w:t>Adv Anat Pathol</w:t>
      </w:r>
      <w:r w:rsidRPr="00FE5422">
        <w:rPr>
          <w:rFonts w:ascii="Book Antiqua" w:hAnsi="Book Antiqua"/>
          <w:sz w:val="24"/>
          <w:szCs w:val="24"/>
        </w:rPr>
        <w:t xml:space="preserve"> 2013; </w:t>
      </w:r>
      <w:r w:rsidRPr="00FE5422">
        <w:rPr>
          <w:rFonts w:ascii="Book Antiqua" w:hAnsi="Book Antiqua"/>
          <w:b/>
          <w:sz w:val="24"/>
          <w:szCs w:val="24"/>
        </w:rPr>
        <w:t>20</w:t>
      </w:r>
      <w:r w:rsidRPr="00FE5422">
        <w:rPr>
          <w:rFonts w:ascii="Book Antiqua" w:hAnsi="Book Antiqua"/>
          <w:sz w:val="24"/>
          <w:szCs w:val="24"/>
        </w:rPr>
        <w:t>: 148-157 [PMID: 23574771 DOI: 10.1097/PAP.0b013e31828d185d]</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17 </w:t>
      </w:r>
      <w:r w:rsidRPr="00FE5422">
        <w:rPr>
          <w:rFonts w:ascii="Book Antiqua" w:hAnsi="Book Antiqua"/>
          <w:b/>
          <w:sz w:val="24"/>
          <w:szCs w:val="24"/>
        </w:rPr>
        <w:t>Klimstra DS</w:t>
      </w:r>
      <w:r w:rsidRPr="00FE5422">
        <w:rPr>
          <w:rFonts w:ascii="Book Antiqua" w:hAnsi="Book Antiqua"/>
          <w:sz w:val="24"/>
          <w:szCs w:val="24"/>
        </w:rPr>
        <w:t xml:space="preserve">, Modlin IR, Adsay NV, Chetty R, Deshpande V, Gönen M, Jensen RT, Kidd M, Kulke MH, Lloyd RV, Moran C, Moss SF, Oberg K, O'Toole D, Rindi G, Robert ME, Suster S, Tang LH, Tzen CY, Washington MK, Wiedenmann B, Yao J. Pathology reporting of neuroendocrine tumors: application of the Delphic consensus process to the development of a minimum pathology data set. </w:t>
      </w:r>
      <w:r w:rsidRPr="00FE5422">
        <w:rPr>
          <w:rFonts w:ascii="Book Antiqua" w:hAnsi="Book Antiqua"/>
          <w:i/>
          <w:sz w:val="24"/>
          <w:szCs w:val="24"/>
        </w:rPr>
        <w:t>Am J Surg Pathol</w:t>
      </w:r>
      <w:r w:rsidRPr="00FE5422">
        <w:rPr>
          <w:rFonts w:ascii="Book Antiqua" w:hAnsi="Book Antiqua"/>
          <w:sz w:val="24"/>
          <w:szCs w:val="24"/>
        </w:rPr>
        <w:t xml:space="preserve"> 2010; </w:t>
      </w:r>
      <w:r w:rsidRPr="00FE5422">
        <w:rPr>
          <w:rFonts w:ascii="Book Antiqua" w:hAnsi="Book Antiqua"/>
          <w:b/>
          <w:sz w:val="24"/>
          <w:szCs w:val="24"/>
        </w:rPr>
        <w:t>34</w:t>
      </w:r>
      <w:r w:rsidRPr="00FE5422">
        <w:rPr>
          <w:rFonts w:ascii="Book Antiqua" w:hAnsi="Book Antiqua"/>
          <w:sz w:val="24"/>
          <w:szCs w:val="24"/>
        </w:rPr>
        <w:t>: 300-313 [PMID: 20118772 DOI: 10.1097/PAS.0b013e3181ce1447]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18 </w:t>
      </w:r>
      <w:r w:rsidRPr="00FE5422">
        <w:rPr>
          <w:rFonts w:ascii="Book Antiqua" w:hAnsi="Book Antiqua"/>
          <w:b/>
          <w:sz w:val="24"/>
          <w:szCs w:val="24"/>
        </w:rPr>
        <w:t>Rindi G</w:t>
      </w:r>
      <w:r w:rsidRPr="00FE5422">
        <w:rPr>
          <w:rFonts w:ascii="Book Antiqua" w:hAnsi="Book Antiqua"/>
          <w:sz w:val="24"/>
          <w:szCs w:val="24"/>
        </w:rPr>
        <w:t xml:space="preserve">, Klöppel G, Couvelard A, Komminoth P, Körner M, Lopes JM, McNicol AM, Nilsson O, Perren A, Scarpa A, Scoazec JY, Wiedenmann B. TNM staging of midgut and hindgut (neuro) endocrine tumors: a consensus proposal including a grading system. </w:t>
      </w:r>
      <w:r w:rsidRPr="00FE5422">
        <w:rPr>
          <w:rFonts w:ascii="Book Antiqua" w:hAnsi="Book Antiqua"/>
          <w:i/>
          <w:sz w:val="24"/>
          <w:szCs w:val="24"/>
        </w:rPr>
        <w:t>Virchows Arch</w:t>
      </w:r>
      <w:r w:rsidRPr="00FE5422">
        <w:rPr>
          <w:rFonts w:ascii="Book Antiqua" w:hAnsi="Book Antiqua"/>
          <w:sz w:val="24"/>
          <w:szCs w:val="24"/>
        </w:rPr>
        <w:t xml:space="preserve"> 2007; </w:t>
      </w:r>
      <w:r w:rsidRPr="00FE5422">
        <w:rPr>
          <w:rFonts w:ascii="Book Antiqua" w:hAnsi="Book Antiqua"/>
          <w:b/>
          <w:sz w:val="24"/>
          <w:szCs w:val="24"/>
        </w:rPr>
        <w:t>451</w:t>
      </w:r>
      <w:r w:rsidRPr="00FE5422">
        <w:rPr>
          <w:rFonts w:ascii="Book Antiqua" w:hAnsi="Book Antiqua"/>
          <w:sz w:val="24"/>
          <w:szCs w:val="24"/>
        </w:rPr>
        <w:t>: 757-762 [PMID: 17674042 DOI: 10.1007/s00428-007-0452-1]</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19 </w:t>
      </w:r>
      <w:r w:rsidRPr="00FE5422">
        <w:rPr>
          <w:rFonts w:ascii="Book Antiqua" w:hAnsi="Book Antiqua"/>
          <w:b/>
          <w:sz w:val="24"/>
          <w:szCs w:val="24"/>
        </w:rPr>
        <w:t>McCall CM</w:t>
      </w:r>
      <w:r w:rsidRPr="00FE5422">
        <w:rPr>
          <w:rFonts w:ascii="Book Antiqua" w:hAnsi="Book Antiqua"/>
          <w:sz w:val="24"/>
          <w:szCs w:val="24"/>
        </w:rPr>
        <w:t xml:space="preserve">, Shi C, Cornish TC, Klimstra DS, Tang LH, Basturk O, Mun LJ, Ellison TA, Wolfgang CL, Choti MA, Schulick RD, Edil BH, Hruban RH. Grading of well-differentiated pancreatic neuroendocrine tumors is improved by the inclusion of both Ki67 proliferative index and mitotic rate. </w:t>
      </w:r>
      <w:r w:rsidRPr="00FE5422">
        <w:rPr>
          <w:rFonts w:ascii="Book Antiqua" w:hAnsi="Book Antiqua"/>
          <w:i/>
          <w:sz w:val="24"/>
          <w:szCs w:val="24"/>
        </w:rPr>
        <w:t>Am J Surg Pathol</w:t>
      </w:r>
      <w:r w:rsidRPr="00FE5422">
        <w:rPr>
          <w:rFonts w:ascii="Book Antiqua" w:hAnsi="Book Antiqua"/>
          <w:sz w:val="24"/>
          <w:szCs w:val="24"/>
        </w:rPr>
        <w:t xml:space="preserve"> 2013; </w:t>
      </w:r>
      <w:r w:rsidRPr="00FE5422">
        <w:rPr>
          <w:rFonts w:ascii="Book Antiqua" w:hAnsi="Book Antiqua"/>
          <w:b/>
          <w:sz w:val="24"/>
          <w:szCs w:val="24"/>
        </w:rPr>
        <w:t>37</w:t>
      </w:r>
      <w:r w:rsidRPr="00FE5422">
        <w:rPr>
          <w:rFonts w:ascii="Book Antiqua" w:hAnsi="Book Antiqua"/>
          <w:sz w:val="24"/>
          <w:szCs w:val="24"/>
        </w:rPr>
        <w:t>: 1671-1677 [PMID: 24121170 DOI: 10.1097/PAS.0000000000000089]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20 </w:t>
      </w:r>
      <w:r w:rsidRPr="00FE5422">
        <w:rPr>
          <w:rFonts w:ascii="Book Antiqua" w:hAnsi="Book Antiqua"/>
          <w:b/>
          <w:sz w:val="24"/>
          <w:szCs w:val="24"/>
        </w:rPr>
        <w:t>Hochwald SN</w:t>
      </w:r>
      <w:r w:rsidRPr="00FE5422">
        <w:rPr>
          <w:rFonts w:ascii="Book Antiqua" w:hAnsi="Book Antiqua"/>
          <w:sz w:val="24"/>
          <w:szCs w:val="24"/>
        </w:rPr>
        <w:t xml:space="preserve">, Zee S, Conlon KC, Colleoni R, Louie O, Brennan MF, Klimstra DS. Prognostic factors in pancreatic endocrine neoplasms: an analysis of 136 cases with a proposal for low-grade and intermediate-grade groups. </w:t>
      </w:r>
      <w:r w:rsidRPr="00FE5422">
        <w:rPr>
          <w:rFonts w:ascii="Book Antiqua" w:hAnsi="Book Antiqua"/>
          <w:i/>
          <w:sz w:val="24"/>
          <w:szCs w:val="24"/>
        </w:rPr>
        <w:t>J Clin Oncol</w:t>
      </w:r>
      <w:r w:rsidRPr="00FE5422">
        <w:rPr>
          <w:rFonts w:ascii="Book Antiqua" w:hAnsi="Book Antiqua"/>
          <w:sz w:val="24"/>
          <w:szCs w:val="24"/>
        </w:rPr>
        <w:t xml:space="preserve"> 2002; </w:t>
      </w:r>
      <w:r w:rsidRPr="00FE5422">
        <w:rPr>
          <w:rFonts w:ascii="Book Antiqua" w:hAnsi="Book Antiqua"/>
          <w:b/>
          <w:sz w:val="24"/>
          <w:szCs w:val="24"/>
        </w:rPr>
        <w:t>20</w:t>
      </w:r>
      <w:r w:rsidRPr="00FE5422">
        <w:rPr>
          <w:rFonts w:ascii="Book Antiqua" w:hAnsi="Book Antiqua"/>
          <w:sz w:val="24"/>
          <w:szCs w:val="24"/>
        </w:rPr>
        <w:t>: 2633-2642 [PMID: 12039924 DOI: 10.1200/JCO.2002.10.030]</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21 </w:t>
      </w:r>
      <w:r w:rsidRPr="00FE5422">
        <w:rPr>
          <w:rFonts w:ascii="Book Antiqua" w:hAnsi="Book Antiqua"/>
          <w:b/>
          <w:sz w:val="24"/>
          <w:szCs w:val="24"/>
        </w:rPr>
        <w:t>Pape UF</w:t>
      </w:r>
      <w:r w:rsidRPr="00FE5422">
        <w:rPr>
          <w:rFonts w:ascii="Book Antiqua" w:hAnsi="Book Antiqua"/>
          <w:sz w:val="24"/>
          <w:szCs w:val="24"/>
        </w:rPr>
        <w:t xml:space="preserve">, Jann H, Müller-Nordhorn J, Bockelbrink A, Berndt U, Willich SN, Koch M, Röcken C, Rindi G, Wiedenmann B. Prognostic relevance of a novel TNM classification system for upper gastroenteropancreatic neuroendocrine tumors. </w:t>
      </w:r>
      <w:r w:rsidRPr="00FE5422">
        <w:rPr>
          <w:rFonts w:ascii="Book Antiqua" w:hAnsi="Book Antiqua"/>
          <w:i/>
          <w:sz w:val="24"/>
          <w:szCs w:val="24"/>
        </w:rPr>
        <w:t>Cancer</w:t>
      </w:r>
      <w:r w:rsidRPr="00FE5422">
        <w:rPr>
          <w:rFonts w:ascii="Book Antiqua" w:hAnsi="Book Antiqua"/>
          <w:sz w:val="24"/>
          <w:szCs w:val="24"/>
        </w:rPr>
        <w:t xml:space="preserve"> 2008; </w:t>
      </w:r>
      <w:r w:rsidRPr="00FE5422">
        <w:rPr>
          <w:rFonts w:ascii="Book Antiqua" w:hAnsi="Book Antiqua"/>
          <w:b/>
          <w:sz w:val="24"/>
          <w:szCs w:val="24"/>
        </w:rPr>
        <w:t>113</w:t>
      </w:r>
      <w:r w:rsidRPr="00FE5422">
        <w:rPr>
          <w:rFonts w:ascii="Book Antiqua" w:hAnsi="Book Antiqua"/>
          <w:sz w:val="24"/>
          <w:szCs w:val="24"/>
        </w:rPr>
        <w:t>: 256-265 [PMID: 18506737 DOI: 10.1002/cncr.23549]</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22 </w:t>
      </w:r>
      <w:r w:rsidRPr="00FE5422">
        <w:rPr>
          <w:rFonts w:ascii="Book Antiqua" w:hAnsi="Book Antiqua"/>
          <w:b/>
          <w:sz w:val="24"/>
          <w:szCs w:val="24"/>
        </w:rPr>
        <w:t>Norton JA</w:t>
      </w:r>
      <w:r w:rsidRPr="00FE5422">
        <w:rPr>
          <w:rFonts w:ascii="Book Antiqua" w:hAnsi="Book Antiqua"/>
          <w:sz w:val="24"/>
          <w:szCs w:val="24"/>
        </w:rPr>
        <w:t xml:space="preserve">, Melcher ML, Gibril F, Jensen RT. Gastric carcinoid tumors in multiple endocrine neoplasia-1 patients with Zollinger-Ellison syndrome can be symptomatic, demonstrate aggressive growth, and require surgical treatment. </w:t>
      </w:r>
      <w:r w:rsidRPr="00FE5422">
        <w:rPr>
          <w:rFonts w:ascii="Book Antiqua" w:hAnsi="Book Antiqua"/>
          <w:i/>
          <w:sz w:val="24"/>
          <w:szCs w:val="24"/>
        </w:rPr>
        <w:t>Surgery</w:t>
      </w:r>
      <w:r w:rsidRPr="00FE5422">
        <w:rPr>
          <w:rFonts w:ascii="Book Antiqua" w:hAnsi="Book Antiqua"/>
          <w:sz w:val="24"/>
          <w:szCs w:val="24"/>
        </w:rPr>
        <w:t xml:space="preserve"> 2004; </w:t>
      </w:r>
      <w:r w:rsidRPr="00FE5422">
        <w:rPr>
          <w:rFonts w:ascii="Book Antiqua" w:hAnsi="Book Antiqua"/>
          <w:b/>
          <w:sz w:val="24"/>
          <w:szCs w:val="24"/>
        </w:rPr>
        <w:t>136</w:t>
      </w:r>
      <w:r w:rsidRPr="00FE5422">
        <w:rPr>
          <w:rFonts w:ascii="Book Antiqua" w:hAnsi="Book Antiqua"/>
          <w:sz w:val="24"/>
          <w:szCs w:val="24"/>
        </w:rPr>
        <w:t>: 1267-</w:t>
      </w:r>
      <w:r w:rsidRPr="00FE5422">
        <w:rPr>
          <w:rFonts w:ascii="Book Antiqua" w:hAnsi="Book Antiqua"/>
          <w:sz w:val="24"/>
          <w:szCs w:val="24"/>
        </w:rPr>
        <w:lastRenderedPageBreak/>
        <w:t>1274 [PMID: 15657586 DOI: 10.1016/j.surg.2004.06.057]</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23 </w:t>
      </w:r>
      <w:r w:rsidRPr="00FE5422">
        <w:rPr>
          <w:rFonts w:ascii="Book Antiqua" w:hAnsi="Book Antiqua"/>
          <w:b/>
          <w:sz w:val="24"/>
          <w:szCs w:val="24"/>
        </w:rPr>
        <w:t>Rindi G</w:t>
      </w:r>
      <w:r w:rsidRPr="00FE5422">
        <w:rPr>
          <w:rFonts w:ascii="Book Antiqua" w:hAnsi="Book Antiqua"/>
          <w:sz w:val="24"/>
          <w:szCs w:val="24"/>
        </w:rPr>
        <w:t xml:space="preserve">, Azzoni C, La Rosa S, Klersy C, Paolotti D, Rappel S, Stolte M, Capella C, Bordi C, Solcia E. ECL cell tumor and poorly differentiated endocrine carcinoma of the stomach: prognostic evaluation by pathological analysis. </w:t>
      </w:r>
      <w:r w:rsidRPr="00FE5422">
        <w:rPr>
          <w:rFonts w:ascii="Book Antiqua" w:hAnsi="Book Antiqua"/>
          <w:i/>
          <w:sz w:val="24"/>
          <w:szCs w:val="24"/>
        </w:rPr>
        <w:t>Gastroenterology</w:t>
      </w:r>
      <w:r w:rsidRPr="00FE5422">
        <w:rPr>
          <w:rFonts w:ascii="Book Antiqua" w:hAnsi="Book Antiqua"/>
          <w:sz w:val="24"/>
          <w:szCs w:val="24"/>
        </w:rPr>
        <w:t xml:space="preserve"> 1999; </w:t>
      </w:r>
      <w:r w:rsidRPr="00FE5422">
        <w:rPr>
          <w:rFonts w:ascii="Book Antiqua" w:hAnsi="Book Antiqua"/>
          <w:b/>
          <w:sz w:val="24"/>
          <w:szCs w:val="24"/>
        </w:rPr>
        <w:t>116</w:t>
      </w:r>
      <w:r w:rsidRPr="00FE5422">
        <w:rPr>
          <w:rFonts w:ascii="Book Antiqua" w:hAnsi="Book Antiqua"/>
          <w:sz w:val="24"/>
          <w:szCs w:val="24"/>
        </w:rPr>
        <w:t>: 532-542 [PMID: 10029611 DOI: 10.1016/S0016-5085(99)70174-5]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24 </w:t>
      </w:r>
      <w:r w:rsidRPr="00FE5422">
        <w:rPr>
          <w:rFonts w:ascii="Book Antiqua" w:hAnsi="Book Antiqua"/>
          <w:b/>
          <w:sz w:val="24"/>
          <w:szCs w:val="24"/>
        </w:rPr>
        <w:t>Rindi G</w:t>
      </w:r>
      <w:r w:rsidRPr="00FE5422">
        <w:rPr>
          <w:rFonts w:ascii="Book Antiqua" w:hAnsi="Book Antiqua"/>
          <w:sz w:val="24"/>
          <w:szCs w:val="24"/>
        </w:rPr>
        <w:t xml:space="preserve">, Bordi C, Rappel S, La Rosa S, Stolte M, Solcia E. Gastric carcinoids and neuroendocrine carcinomas: pathogenesis, pathology, and behavior. </w:t>
      </w:r>
      <w:r w:rsidRPr="00FE5422">
        <w:rPr>
          <w:rFonts w:ascii="Book Antiqua" w:hAnsi="Book Antiqua"/>
          <w:i/>
          <w:sz w:val="24"/>
          <w:szCs w:val="24"/>
        </w:rPr>
        <w:t>World J Surg</w:t>
      </w:r>
      <w:r w:rsidRPr="00FE5422">
        <w:rPr>
          <w:rFonts w:ascii="Book Antiqua" w:hAnsi="Book Antiqua"/>
          <w:sz w:val="24"/>
          <w:szCs w:val="24"/>
        </w:rPr>
        <w:t xml:space="preserve"> 1996; </w:t>
      </w:r>
      <w:r w:rsidRPr="00FE5422">
        <w:rPr>
          <w:rFonts w:ascii="Book Antiqua" w:hAnsi="Book Antiqua"/>
          <w:b/>
          <w:sz w:val="24"/>
          <w:szCs w:val="24"/>
        </w:rPr>
        <w:t>20</w:t>
      </w:r>
      <w:r w:rsidRPr="00FE5422">
        <w:rPr>
          <w:rFonts w:ascii="Book Antiqua" w:hAnsi="Book Antiqua"/>
          <w:sz w:val="24"/>
          <w:szCs w:val="24"/>
        </w:rPr>
        <w:t>: 168-172 [PMID: 8661813 DOI: 10.1007/s002689900026]</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25 </w:t>
      </w:r>
      <w:r w:rsidRPr="00FE5422">
        <w:rPr>
          <w:rFonts w:ascii="Book Antiqua" w:hAnsi="Book Antiqua"/>
          <w:b/>
          <w:sz w:val="24"/>
          <w:szCs w:val="24"/>
        </w:rPr>
        <w:t>Rindi G</w:t>
      </w:r>
      <w:r w:rsidRPr="00FE5422">
        <w:rPr>
          <w:rFonts w:ascii="Book Antiqua" w:hAnsi="Book Antiqua"/>
          <w:sz w:val="24"/>
          <w:szCs w:val="24"/>
        </w:rPr>
        <w:t xml:space="preserve">, Luinetti O, Cornaggia M, Capella C, Solcia E. Three subtypes of gastric argyrophil carcinoid and the gastric neuroendocrine carcinoma: a clinicopathologic study. </w:t>
      </w:r>
      <w:r w:rsidRPr="00FE5422">
        <w:rPr>
          <w:rFonts w:ascii="Book Antiqua" w:hAnsi="Book Antiqua"/>
          <w:i/>
          <w:sz w:val="24"/>
          <w:szCs w:val="24"/>
        </w:rPr>
        <w:t>Gastroenterology</w:t>
      </w:r>
      <w:r w:rsidRPr="00FE5422">
        <w:rPr>
          <w:rFonts w:ascii="Book Antiqua" w:hAnsi="Book Antiqua"/>
          <w:sz w:val="24"/>
          <w:szCs w:val="24"/>
        </w:rPr>
        <w:t xml:space="preserve"> 1993; </w:t>
      </w:r>
      <w:r w:rsidRPr="00FE5422">
        <w:rPr>
          <w:rFonts w:ascii="Book Antiqua" w:hAnsi="Book Antiqua"/>
          <w:b/>
          <w:sz w:val="24"/>
          <w:szCs w:val="24"/>
        </w:rPr>
        <w:t>104</w:t>
      </w:r>
      <w:r w:rsidRPr="00FE5422">
        <w:rPr>
          <w:rFonts w:ascii="Book Antiqua" w:hAnsi="Book Antiqua"/>
          <w:sz w:val="24"/>
          <w:szCs w:val="24"/>
        </w:rPr>
        <w:t>: 994-1006 [PMID: 7681798 DOI: 10.1016/0016-5085(93)90266-F]</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26 </w:t>
      </w:r>
      <w:r w:rsidRPr="00FE5422">
        <w:rPr>
          <w:rFonts w:ascii="Book Antiqua" w:hAnsi="Book Antiqua"/>
          <w:b/>
          <w:sz w:val="24"/>
          <w:szCs w:val="24"/>
        </w:rPr>
        <w:t>Borch K</w:t>
      </w:r>
      <w:r w:rsidRPr="00FE5422">
        <w:rPr>
          <w:rFonts w:ascii="Book Antiqua" w:hAnsi="Book Antiqua"/>
          <w:sz w:val="24"/>
          <w:szCs w:val="24"/>
        </w:rPr>
        <w:t xml:space="preserve">, Ahrén B, Ahlman H, Falkmer S, Granérus G, Grimelius L. Gastric carcinoids: biologic behavior and prognosis after differentiated treatment in relation to type. </w:t>
      </w:r>
      <w:r w:rsidRPr="00FE5422">
        <w:rPr>
          <w:rFonts w:ascii="Book Antiqua" w:hAnsi="Book Antiqua"/>
          <w:i/>
          <w:sz w:val="24"/>
          <w:szCs w:val="24"/>
        </w:rPr>
        <w:t>Ann Surg</w:t>
      </w:r>
      <w:r w:rsidRPr="00FE5422">
        <w:rPr>
          <w:rFonts w:ascii="Book Antiqua" w:hAnsi="Book Antiqua"/>
          <w:sz w:val="24"/>
          <w:szCs w:val="24"/>
        </w:rPr>
        <w:t xml:space="preserve"> 2005; </w:t>
      </w:r>
      <w:r w:rsidRPr="00FE5422">
        <w:rPr>
          <w:rFonts w:ascii="Book Antiqua" w:hAnsi="Book Antiqua"/>
          <w:b/>
          <w:sz w:val="24"/>
          <w:szCs w:val="24"/>
        </w:rPr>
        <w:t>242</w:t>
      </w:r>
      <w:r w:rsidRPr="00FE5422">
        <w:rPr>
          <w:rFonts w:ascii="Book Antiqua" w:hAnsi="Book Antiqua"/>
          <w:sz w:val="24"/>
          <w:szCs w:val="24"/>
        </w:rPr>
        <w:t>: 64-73 [PMID: 15973103 DOI: 10.1097/01.sla.0000167862.52309.7d]</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27 </w:t>
      </w:r>
      <w:r w:rsidRPr="00FE5422">
        <w:rPr>
          <w:rFonts w:ascii="Book Antiqua" w:hAnsi="Book Antiqua"/>
          <w:b/>
          <w:sz w:val="24"/>
          <w:szCs w:val="24"/>
        </w:rPr>
        <w:t>Sundin A</w:t>
      </w:r>
      <w:r w:rsidRPr="00FE5422">
        <w:rPr>
          <w:rFonts w:ascii="Book Antiqua" w:hAnsi="Book Antiqua"/>
          <w:sz w:val="24"/>
          <w:szCs w:val="24"/>
        </w:rPr>
        <w:t xml:space="preserve">, Vullierme MP, Kaltsas G, Plöckinger U; Mallorca Consensus Conference participants; European Neuroendocrine Tumor Society. ENETS Consensus Guidelines for the Standards of Care in Neuroendocrine Tumors: radiological examinations. </w:t>
      </w:r>
      <w:r w:rsidRPr="00FE5422">
        <w:rPr>
          <w:rFonts w:ascii="Book Antiqua" w:hAnsi="Book Antiqua"/>
          <w:i/>
          <w:sz w:val="24"/>
          <w:szCs w:val="24"/>
        </w:rPr>
        <w:t>Neuroendocrinology</w:t>
      </w:r>
      <w:r w:rsidRPr="00FE5422">
        <w:rPr>
          <w:rFonts w:ascii="Book Antiqua" w:hAnsi="Book Antiqua"/>
          <w:sz w:val="24"/>
          <w:szCs w:val="24"/>
        </w:rPr>
        <w:t xml:space="preserve"> 2009; </w:t>
      </w:r>
      <w:r w:rsidRPr="00FE5422">
        <w:rPr>
          <w:rFonts w:ascii="Book Antiqua" w:hAnsi="Book Antiqua"/>
          <w:b/>
          <w:sz w:val="24"/>
          <w:szCs w:val="24"/>
        </w:rPr>
        <w:t>90</w:t>
      </w:r>
      <w:r w:rsidRPr="00FE5422">
        <w:rPr>
          <w:rFonts w:ascii="Book Antiqua" w:hAnsi="Book Antiqua"/>
          <w:sz w:val="24"/>
          <w:szCs w:val="24"/>
        </w:rPr>
        <w:t>: 167-183 [PMID: 19077417 DOI: 10.1159/000184855]</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28 </w:t>
      </w:r>
      <w:r w:rsidRPr="00FE5422">
        <w:rPr>
          <w:rFonts w:ascii="Book Antiqua" w:hAnsi="Book Antiqua"/>
          <w:b/>
          <w:sz w:val="24"/>
          <w:szCs w:val="24"/>
        </w:rPr>
        <w:t>Rindi G</w:t>
      </w:r>
      <w:r w:rsidRPr="00FE5422">
        <w:rPr>
          <w:rFonts w:ascii="Book Antiqua" w:hAnsi="Book Antiqua"/>
          <w:sz w:val="24"/>
          <w:szCs w:val="24"/>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sidRPr="00FE5422">
        <w:rPr>
          <w:rFonts w:ascii="Book Antiqua" w:hAnsi="Book Antiqua"/>
          <w:i/>
          <w:sz w:val="24"/>
          <w:szCs w:val="24"/>
        </w:rPr>
        <w:t>Virchows Arch</w:t>
      </w:r>
      <w:r w:rsidRPr="00FE5422">
        <w:rPr>
          <w:rFonts w:ascii="Book Antiqua" w:hAnsi="Book Antiqua"/>
          <w:sz w:val="24"/>
          <w:szCs w:val="24"/>
        </w:rPr>
        <w:t xml:space="preserve"> 2006; </w:t>
      </w:r>
      <w:r w:rsidRPr="00FE5422">
        <w:rPr>
          <w:rFonts w:ascii="Book Antiqua" w:hAnsi="Book Antiqua"/>
          <w:b/>
          <w:sz w:val="24"/>
          <w:szCs w:val="24"/>
        </w:rPr>
        <w:t>449</w:t>
      </w:r>
      <w:r w:rsidRPr="00FE5422">
        <w:rPr>
          <w:rFonts w:ascii="Book Antiqua" w:hAnsi="Book Antiqua"/>
          <w:sz w:val="24"/>
          <w:szCs w:val="24"/>
        </w:rPr>
        <w:t>: 395-401 [PMID: 16967267 DOI: 10.1007/s00428-006-0250-1]</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29 </w:t>
      </w:r>
      <w:r w:rsidRPr="00FE5422">
        <w:rPr>
          <w:rFonts w:ascii="Book Antiqua" w:hAnsi="Book Antiqua"/>
          <w:b/>
          <w:sz w:val="24"/>
          <w:szCs w:val="24"/>
        </w:rPr>
        <w:t>Gladdy RA</w:t>
      </w:r>
      <w:r w:rsidRPr="00FE5422">
        <w:rPr>
          <w:rFonts w:ascii="Book Antiqua" w:hAnsi="Book Antiqua"/>
          <w:sz w:val="24"/>
          <w:szCs w:val="24"/>
        </w:rPr>
        <w:t xml:space="preserve">, Strong VE, Coit D, Allen PJ, Gerdes H, Shia J, Klimstra DS, Brennan MF, Tang LH. Defining surgical indications for type I gastric carcinoid tumor. </w:t>
      </w:r>
      <w:r w:rsidRPr="00FE5422">
        <w:rPr>
          <w:rFonts w:ascii="Book Antiqua" w:hAnsi="Book Antiqua"/>
          <w:i/>
          <w:sz w:val="24"/>
          <w:szCs w:val="24"/>
        </w:rPr>
        <w:t>Ann Surg Oncol</w:t>
      </w:r>
      <w:r w:rsidRPr="00FE5422">
        <w:rPr>
          <w:rFonts w:ascii="Book Antiqua" w:hAnsi="Book Antiqua"/>
          <w:sz w:val="24"/>
          <w:szCs w:val="24"/>
        </w:rPr>
        <w:t xml:space="preserve"> 2009; </w:t>
      </w:r>
      <w:r w:rsidRPr="00FE5422">
        <w:rPr>
          <w:rFonts w:ascii="Book Antiqua" w:hAnsi="Book Antiqua"/>
          <w:b/>
          <w:sz w:val="24"/>
          <w:szCs w:val="24"/>
        </w:rPr>
        <w:t>16</w:t>
      </w:r>
      <w:r w:rsidRPr="00FE5422">
        <w:rPr>
          <w:rFonts w:ascii="Book Antiqua" w:hAnsi="Book Antiqua"/>
          <w:sz w:val="24"/>
          <w:szCs w:val="24"/>
        </w:rPr>
        <w:t>: 3154-3160 [PMID: 19727959 DOI: 10.1245/s10434-009-0687-y]</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30 </w:t>
      </w:r>
      <w:r w:rsidRPr="00FE5422">
        <w:rPr>
          <w:rFonts w:ascii="Book Antiqua" w:hAnsi="Book Antiqua"/>
          <w:b/>
          <w:sz w:val="24"/>
          <w:szCs w:val="24"/>
        </w:rPr>
        <w:t>Zilberstein B</w:t>
      </w:r>
      <w:r w:rsidRPr="00FE5422">
        <w:rPr>
          <w:rFonts w:ascii="Book Antiqua" w:hAnsi="Book Antiqua"/>
          <w:sz w:val="24"/>
          <w:szCs w:val="24"/>
        </w:rPr>
        <w:t xml:space="preserve">, Malheiros C, Lourenço LG, Kassab P, Jacob CE, Weston AC, Bresciani CJ, Castro O, Gama-Rodrigues J; Grupo do Consenso, Borin AA, Buchpiegel C, Montagnini A, Leite CV, Deutsch CR, Kruel CD, Mucerino D, Wohnrath D, Ilias E, Mrué F, Maluf-Filho F, Rocha F, de Souza F, Tomasich FS, Ishak G, Laporte G, de Souza HP, Cecconello I, Eisig J, </w:t>
      </w:r>
      <w:r w:rsidRPr="00FE5422">
        <w:rPr>
          <w:rFonts w:ascii="Book Antiqua" w:hAnsi="Book Antiqua"/>
          <w:sz w:val="24"/>
          <w:szCs w:val="24"/>
        </w:rPr>
        <w:lastRenderedPageBreak/>
        <w:t xml:space="preserve">Ohana J, Sabagga J, del Grande JC, de Jesus JP, Soares J, Dias LA, Moreira LF, Correa M, Carvalho M, Andreollo NA, Áquila ND, Czeczko NG, Kruel N, Forones NM, da Motta OM, Malafaia O, Assumpção P, Leonardi P, Sakai P, Rocha PR, Colleoni R, Gurgel R, Coral RP, Chalub S, Ribeiro- Junior U, Alves VA, Vasquez Vde L, Nadalin V; Brazilian Association of Gastric Cancer. Brazilian consensus in gastric cancer: guidelines for gastric cancer in Brazil. </w:t>
      </w:r>
      <w:r w:rsidRPr="00FE5422">
        <w:rPr>
          <w:rFonts w:ascii="Book Antiqua" w:hAnsi="Book Antiqua"/>
          <w:i/>
          <w:sz w:val="24"/>
          <w:szCs w:val="24"/>
        </w:rPr>
        <w:t>Arq Bras Cir Dig</w:t>
      </w:r>
      <w:r w:rsidRPr="00FE5422">
        <w:rPr>
          <w:rFonts w:ascii="Book Antiqua" w:hAnsi="Book Antiqua"/>
          <w:sz w:val="24"/>
          <w:szCs w:val="24"/>
        </w:rPr>
        <w:t xml:space="preserve"> 2013; </w:t>
      </w:r>
      <w:r w:rsidRPr="00FE5422">
        <w:rPr>
          <w:rFonts w:ascii="Book Antiqua" w:hAnsi="Book Antiqua"/>
          <w:b/>
          <w:sz w:val="24"/>
          <w:szCs w:val="24"/>
        </w:rPr>
        <w:t>26</w:t>
      </w:r>
      <w:r w:rsidRPr="00FE5422">
        <w:rPr>
          <w:rFonts w:ascii="Book Antiqua" w:hAnsi="Book Antiqua"/>
          <w:sz w:val="24"/>
          <w:szCs w:val="24"/>
        </w:rPr>
        <w:t>: 2-6 [PMID: 23702862 DOI: 10.1590/S0102-67202013000100002]</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31 </w:t>
      </w:r>
      <w:r w:rsidRPr="00FE5422">
        <w:rPr>
          <w:rFonts w:ascii="Book Antiqua" w:hAnsi="Book Antiqua"/>
          <w:b/>
          <w:sz w:val="24"/>
          <w:szCs w:val="24"/>
        </w:rPr>
        <w:t>Dakin GF</w:t>
      </w:r>
      <w:r w:rsidRPr="00FE5422">
        <w:rPr>
          <w:rFonts w:ascii="Book Antiqua" w:hAnsi="Book Antiqua"/>
          <w:sz w:val="24"/>
          <w:szCs w:val="24"/>
        </w:rPr>
        <w:t xml:space="preserve">, Warner RR, Pomp A, Salky B, Inabnet WB. Presentation, treatment, and outcome of type 1 gastric carcinoid tumors. </w:t>
      </w:r>
      <w:r w:rsidRPr="00FE5422">
        <w:rPr>
          <w:rFonts w:ascii="Book Antiqua" w:hAnsi="Book Antiqua"/>
          <w:i/>
          <w:sz w:val="24"/>
          <w:szCs w:val="24"/>
        </w:rPr>
        <w:t>J Surg Oncol</w:t>
      </w:r>
      <w:r w:rsidRPr="00FE5422">
        <w:rPr>
          <w:rFonts w:ascii="Book Antiqua" w:hAnsi="Book Antiqua"/>
          <w:sz w:val="24"/>
          <w:szCs w:val="24"/>
        </w:rPr>
        <w:t xml:space="preserve"> 2006; </w:t>
      </w:r>
      <w:r w:rsidRPr="00FE5422">
        <w:rPr>
          <w:rFonts w:ascii="Book Antiqua" w:hAnsi="Book Antiqua"/>
          <w:b/>
          <w:sz w:val="24"/>
          <w:szCs w:val="24"/>
        </w:rPr>
        <w:t>93</w:t>
      </w:r>
      <w:r w:rsidRPr="00FE5422">
        <w:rPr>
          <w:rFonts w:ascii="Book Antiqua" w:hAnsi="Book Antiqua"/>
          <w:sz w:val="24"/>
          <w:szCs w:val="24"/>
        </w:rPr>
        <w:t>: 368-372 [PMID: 16550587 DOI: 10.1002/jso.20468]</w:t>
      </w:r>
    </w:p>
    <w:p w:rsidR="00631641" w:rsidRPr="00FE5422" w:rsidRDefault="00631641" w:rsidP="00631641">
      <w:pPr>
        <w:spacing w:line="360" w:lineRule="auto"/>
        <w:jc w:val="both"/>
        <w:rPr>
          <w:rFonts w:ascii="Book Antiqua" w:hAnsi="Book Antiqua"/>
          <w:sz w:val="24"/>
          <w:szCs w:val="24"/>
        </w:rPr>
      </w:pPr>
      <w:r w:rsidRPr="00FE5422">
        <w:rPr>
          <w:rFonts w:ascii="Book Antiqua" w:hAnsi="Book Antiqua"/>
          <w:sz w:val="24"/>
          <w:szCs w:val="24"/>
        </w:rPr>
        <w:t xml:space="preserve">32 </w:t>
      </w:r>
      <w:r w:rsidRPr="00FE5422">
        <w:rPr>
          <w:rFonts w:ascii="Book Antiqua" w:hAnsi="Book Antiqua"/>
          <w:b/>
          <w:sz w:val="24"/>
          <w:szCs w:val="24"/>
        </w:rPr>
        <w:t>Grozinsky-Glasberg S</w:t>
      </w:r>
      <w:r w:rsidRPr="00FE5422">
        <w:rPr>
          <w:rFonts w:ascii="Book Antiqua" w:hAnsi="Book Antiqua"/>
          <w:sz w:val="24"/>
          <w:szCs w:val="24"/>
        </w:rPr>
        <w:t xml:space="preserve">, Kaltsas G, Gur C, Gal E, Thomas D, Fichman S, Alexandraki K, Barak D, Glaser B, Shimon I, Gross DJ. Long-acting somatostatin analogues are an effective treatment for type 1 gastric carcinoid tumours. </w:t>
      </w:r>
      <w:r w:rsidRPr="00FE5422">
        <w:rPr>
          <w:rFonts w:ascii="Book Antiqua" w:hAnsi="Book Antiqua"/>
          <w:i/>
          <w:sz w:val="24"/>
          <w:szCs w:val="24"/>
        </w:rPr>
        <w:t>Eur J Endocrinol</w:t>
      </w:r>
      <w:r w:rsidRPr="00FE5422">
        <w:rPr>
          <w:rFonts w:ascii="Book Antiqua" w:hAnsi="Book Antiqua"/>
          <w:sz w:val="24"/>
          <w:szCs w:val="24"/>
        </w:rPr>
        <w:t xml:space="preserve"> 2008; </w:t>
      </w:r>
      <w:r w:rsidRPr="00FE5422">
        <w:rPr>
          <w:rFonts w:ascii="Book Antiqua" w:hAnsi="Book Antiqua"/>
          <w:b/>
          <w:sz w:val="24"/>
          <w:szCs w:val="24"/>
        </w:rPr>
        <w:t>159</w:t>
      </w:r>
      <w:r w:rsidRPr="00FE5422">
        <w:rPr>
          <w:rFonts w:ascii="Book Antiqua" w:hAnsi="Book Antiqua"/>
          <w:sz w:val="24"/>
          <w:szCs w:val="24"/>
        </w:rPr>
        <w:t>: 475-482 [PMID: 18662970 DOI: 10.1530/EJE-08-0420]</w:t>
      </w:r>
    </w:p>
    <w:p w:rsidR="00DC3097" w:rsidRPr="00FE5422" w:rsidRDefault="00DC3097" w:rsidP="00BC2705">
      <w:pPr>
        <w:spacing w:line="360" w:lineRule="auto"/>
        <w:jc w:val="right"/>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P-Reviewer: </w:t>
      </w:r>
      <w:r w:rsidR="000C27C4" w:rsidRPr="00FE5422">
        <w:rPr>
          <w:rFonts w:ascii="Book Antiqua" w:hAnsi="Book Antiqua"/>
          <w:color w:val="000000" w:themeColor="text1"/>
          <w:sz w:val="24"/>
          <w:szCs w:val="24"/>
        </w:rPr>
        <w:t>Aoyagi</w:t>
      </w:r>
      <w:r w:rsidR="000C27C4" w:rsidRPr="00FE5422">
        <w:rPr>
          <w:rFonts w:ascii="Book Antiqua" w:eastAsiaTheme="minorEastAsia" w:hAnsi="Book Antiqua"/>
          <w:color w:val="000000" w:themeColor="text1"/>
          <w:sz w:val="24"/>
          <w:szCs w:val="24"/>
          <w:lang w:eastAsia="zh-CN"/>
        </w:rPr>
        <w:t xml:space="preserve"> K, </w:t>
      </w:r>
      <w:r w:rsidR="000C27C4" w:rsidRPr="00FE5422">
        <w:rPr>
          <w:rFonts w:ascii="Book Antiqua" w:hAnsi="Book Antiqua"/>
          <w:color w:val="000000" w:themeColor="text1"/>
          <w:sz w:val="24"/>
          <w:szCs w:val="24"/>
        </w:rPr>
        <w:t>Goral</w:t>
      </w:r>
      <w:r w:rsidR="000C27C4" w:rsidRPr="00FE5422">
        <w:rPr>
          <w:rFonts w:ascii="Book Antiqua" w:eastAsiaTheme="minorEastAsia" w:hAnsi="Book Antiqua"/>
          <w:color w:val="000000" w:themeColor="text1"/>
          <w:sz w:val="24"/>
          <w:szCs w:val="24"/>
          <w:lang w:eastAsia="zh-CN"/>
        </w:rPr>
        <w:t xml:space="preserve"> V</w:t>
      </w:r>
      <w:r w:rsidRPr="00FE5422">
        <w:rPr>
          <w:rFonts w:ascii="Book Antiqua" w:hAnsi="Book Antiqua"/>
          <w:color w:val="000000" w:themeColor="text1"/>
          <w:sz w:val="24"/>
          <w:szCs w:val="24"/>
        </w:rPr>
        <w:t xml:space="preserve"> </w:t>
      </w:r>
      <w:r w:rsidRPr="00FE5422">
        <w:rPr>
          <w:rFonts w:ascii="Book Antiqua" w:hAnsi="Book Antiqua"/>
          <w:b/>
          <w:color w:val="000000" w:themeColor="text1"/>
          <w:sz w:val="24"/>
          <w:szCs w:val="24"/>
        </w:rPr>
        <w:t xml:space="preserve">S-Editor: </w:t>
      </w:r>
      <w:r w:rsidRPr="00FE5422">
        <w:rPr>
          <w:rFonts w:ascii="Book Antiqua" w:hAnsi="Book Antiqua"/>
          <w:color w:val="000000" w:themeColor="text1"/>
          <w:sz w:val="24"/>
          <w:szCs w:val="24"/>
        </w:rPr>
        <w:t>Wang JL</w:t>
      </w:r>
      <w:r w:rsidRPr="00FE5422">
        <w:rPr>
          <w:rFonts w:ascii="Book Antiqua" w:hAnsi="Book Antiqua"/>
          <w:b/>
          <w:color w:val="000000" w:themeColor="text1"/>
          <w:sz w:val="24"/>
          <w:szCs w:val="24"/>
        </w:rPr>
        <w:t xml:space="preserve"> L-Editor: E-Editor:</w:t>
      </w:r>
    </w:p>
    <w:p w:rsidR="00DC3097" w:rsidRPr="00FE5422" w:rsidRDefault="00DC3097" w:rsidP="00631641">
      <w:pPr>
        <w:pStyle w:val="a7"/>
        <w:spacing w:line="360" w:lineRule="auto"/>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 </w:t>
      </w:r>
    </w:p>
    <w:p w:rsidR="00DC3097" w:rsidRPr="00FE5422" w:rsidRDefault="00DC3097" w:rsidP="00631641">
      <w:pPr>
        <w:snapToGrid w:val="0"/>
        <w:spacing w:line="360" w:lineRule="auto"/>
        <w:jc w:val="both"/>
        <w:rPr>
          <w:rFonts w:ascii="Book Antiqua" w:hAnsi="Book Antiqua" w:cs="Helvetica"/>
          <w:b/>
          <w:color w:val="000000" w:themeColor="text1"/>
          <w:sz w:val="24"/>
          <w:szCs w:val="24"/>
        </w:rPr>
      </w:pPr>
      <w:r w:rsidRPr="00FE5422">
        <w:rPr>
          <w:rFonts w:ascii="Book Antiqua" w:hAnsi="Book Antiqua" w:cs="Helvetica"/>
          <w:b/>
          <w:color w:val="000000" w:themeColor="text1"/>
          <w:sz w:val="24"/>
          <w:szCs w:val="24"/>
        </w:rPr>
        <w:t xml:space="preserve">Specialty type: </w:t>
      </w:r>
      <w:r w:rsidRPr="00FE5422">
        <w:rPr>
          <w:rFonts w:ascii="Book Antiqua" w:eastAsia="微软雅黑" w:hAnsi="Book Antiqua"/>
          <w:color w:val="000000" w:themeColor="text1"/>
          <w:sz w:val="24"/>
          <w:szCs w:val="24"/>
        </w:rPr>
        <w:t>Medicine, research and experimental</w:t>
      </w:r>
    </w:p>
    <w:p w:rsidR="00DC3097" w:rsidRPr="00FE5422" w:rsidRDefault="00DC3097" w:rsidP="00631641">
      <w:pPr>
        <w:snapToGrid w:val="0"/>
        <w:spacing w:line="360" w:lineRule="auto"/>
        <w:jc w:val="both"/>
        <w:rPr>
          <w:rFonts w:ascii="Book Antiqua" w:eastAsiaTheme="minorEastAsia" w:hAnsi="Book Antiqua" w:cs="Helvetica"/>
          <w:b/>
          <w:color w:val="000000" w:themeColor="text1"/>
          <w:sz w:val="24"/>
          <w:szCs w:val="24"/>
          <w:lang w:eastAsia="zh-CN"/>
        </w:rPr>
      </w:pPr>
      <w:r w:rsidRPr="00FE5422">
        <w:rPr>
          <w:rFonts w:ascii="Book Antiqua" w:hAnsi="Book Antiqua" w:cs="Helvetica"/>
          <w:b/>
          <w:color w:val="000000" w:themeColor="text1"/>
          <w:sz w:val="24"/>
          <w:szCs w:val="24"/>
        </w:rPr>
        <w:t xml:space="preserve">Country of origin: </w:t>
      </w:r>
      <w:r w:rsidR="000C27C4" w:rsidRPr="00FE5422">
        <w:rPr>
          <w:rFonts w:ascii="Book Antiqua" w:eastAsiaTheme="minorEastAsia" w:hAnsi="Book Antiqua"/>
          <w:color w:val="000000" w:themeColor="text1"/>
          <w:sz w:val="24"/>
          <w:szCs w:val="24"/>
          <w:lang w:eastAsia="zh-CN"/>
        </w:rPr>
        <w:t>United States</w:t>
      </w:r>
    </w:p>
    <w:p w:rsidR="00DC3097" w:rsidRPr="00FE5422" w:rsidRDefault="00DC3097" w:rsidP="00631641">
      <w:pPr>
        <w:snapToGrid w:val="0"/>
        <w:spacing w:line="360" w:lineRule="auto"/>
        <w:jc w:val="both"/>
        <w:rPr>
          <w:rFonts w:ascii="Book Antiqua" w:hAnsi="Book Antiqua" w:cs="Helvetica"/>
          <w:b/>
          <w:color w:val="000000" w:themeColor="text1"/>
          <w:sz w:val="24"/>
          <w:szCs w:val="24"/>
        </w:rPr>
      </w:pPr>
      <w:r w:rsidRPr="00FE5422">
        <w:rPr>
          <w:rFonts w:ascii="Book Antiqua" w:hAnsi="Book Antiqua" w:cs="Helvetica"/>
          <w:b/>
          <w:color w:val="000000" w:themeColor="text1"/>
          <w:sz w:val="24"/>
          <w:szCs w:val="24"/>
        </w:rPr>
        <w:t>Peer-review report classification</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A (Excellent): </w:t>
      </w:r>
      <w:r w:rsidRPr="00FE5422">
        <w:rPr>
          <w:rFonts w:ascii="Book Antiqua" w:eastAsiaTheme="minorEastAsia" w:hAnsi="Book Antiqua" w:cs="Helvetica"/>
          <w:color w:val="000000" w:themeColor="text1"/>
          <w:sz w:val="24"/>
          <w:szCs w:val="24"/>
          <w:lang w:eastAsia="zh-CN"/>
        </w:rPr>
        <w:t>0</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B (Very good): </w:t>
      </w:r>
      <w:r w:rsidRPr="00FE5422">
        <w:rPr>
          <w:rFonts w:ascii="Book Antiqua" w:eastAsiaTheme="minorEastAsia" w:hAnsi="Book Antiqua" w:cs="Helvetica"/>
          <w:color w:val="000000" w:themeColor="text1"/>
          <w:sz w:val="24"/>
          <w:szCs w:val="24"/>
          <w:lang w:eastAsia="zh-CN"/>
        </w:rPr>
        <w:t>0</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C (Good): </w:t>
      </w:r>
      <w:r w:rsidRPr="00FE5422">
        <w:rPr>
          <w:rFonts w:ascii="Book Antiqua" w:eastAsiaTheme="minorEastAsia" w:hAnsi="Book Antiqua" w:cs="Helvetica"/>
          <w:color w:val="000000" w:themeColor="text1"/>
          <w:sz w:val="24"/>
          <w:szCs w:val="24"/>
          <w:lang w:eastAsia="zh-CN"/>
        </w:rPr>
        <w:t>C</w:t>
      </w:r>
    </w:p>
    <w:p w:rsidR="00DC3097" w:rsidRPr="00FE5422" w:rsidRDefault="000C27C4" w:rsidP="00631641">
      <w:pPr>
        <w:snapToGrid w:val="0"/>
        <w:spacing w:line="360" w:lineRule="auto"/>
        <w:jc w:val="both"/>
        <w:rPr>
          <w:rFonts w:ascii="Book Antiqua" w:eastAsiaTheme="minorEastAsia" w:hAnsi="Book Antiqua" w:cs="Helvetica"/>
          <w:color w:val="000000" w:themeColor="text1"/>
          <w:sz w:val="24"/>
          <w:szCs w:val="24"/>
          <w:lang w:eastAsia="zh-CN"/>
        </w:rPr>
      </w:pPr>
      <w:r w:rsidRPr="00FE5422">
        <w:rPr>
          <w:rFonts w:ascii="Book Antiqua" w:hAnsi="Book Antiqua" w:cs="Helvetica"/>
          <w:color w:val="000000" w:themeColor="text1"/>
          <w:sz w:val="24"/>
          <w:szCs w:val="24"/>
        </w:rPr>
        <w:t xml:space="preserve">Grade D (Fair): </w:t>
      </w:r>
      <w:r w:rsidRPr="00FE5422">
        <w:rPr>
          <w:rFonts w:ascii="Book Antiqua" w:eastAsiaTheme="minorEastAsia" w:hAnsi="Book Antiqua" w:cs="Helvetica"/>
          <w:color w:val="000000" w:themeColor="text1"/>
          <w:sz w:val="24"/>
          <w:szCs w:val="24"/>
          <w:lang w:eastAsia="zh-CN"/>
        </w:rPr>
        <w:t>D</w:t>
      </w:r>
    </w:p>
    <w:p w:rsidR="00DC3097" w:rsidRPr="00FE5422" w:rsidRDefault="00DC3097" w:rsidP="00631641">
      <w:pPr>
        <w:snapToGrid w:val="0"/>
        <w:spacing w:line="360" w:lineRule="auto"/>
        <w:jc w:val="both"/>
        <w:rPr>
          <w:rFonts w:ascii="Book Antiqua" w:hAnsi="Book Antiqua" w:cs="Helvetica"/>
          <w:color w:val="000000" w:themeColor="text1"/>
          <w:sz w:val="24"/>
          <w:szCs w:val="24"/>
        </w:rPr>
      </w:pPr>
      <w:r w:rsidRPr="00FE5422">
        <w:rPr>
          <w:rFonts w:ascii="Book Antiqua" w:hAnsi="Book Antiqua" w:cs="Helvetica"/>
          <w:color w:val="000000" w:themeColor="text1"/>
          <w:sz w:val="24"/>
          <w:szCs w:val="24"/>
        </w:rPr>
        <w:t>Grade E (Poor): 0</w:t>
      </w:r>
    </w:p>
    <w:p w:rsidR="00DC3097" w:rsidRPr="00FE5422" w:rsidRDefault="00DC3097" w:rsidP="00631641">
      <w:pPr>
        <w:spacing w:line="360" w:lineRule="auto"/>
        <w:jc w:val="both"/>
        <w:rPr>
          <w:rFonts w:ascii="Book Antiqua" w:hAnsi="Book Antiqua"/>
          <w:color w:val="000000" w:themeColor="text1"/>
          <w:sz w:val="24"/>
          <w:szCs w:val="24"/>
        </w:rPr>
        <w:sectPr w:rsidR="00DC3097" w:rsidRPr="00FE5422" w:rsidSect="007D0B5C">
          <w:pgSz w:w="12240" w:h="15840"/>
          <w:pgMar w:top="1500" w:right="1240" w:bottom="280" w:left="1418" w:header="720" w:footer="720" w:gutter="0"/>
          <w:cols w:space="720"/>
        </w:sectPr>
      </w:pPr>
    </w:p>
    <w:p w:rsidR="00DC3097" w:rsidRPr="00FE5422" w:rsidRDefault="00DC3097" w:rsidP="00631641">
      <w:pPr>
        <w:pStyle w:val="a3"/>
        <w:spacing w:line="360" w:lineRule="auto"/>
        <w:jc w:val="both"/>
        <w:rPr>
          <w:rFonts w:ascii="Book Antiqua" w:eastAsiaTheme="minorEastAsia" w:hAnsi="Book Antiqua"/>
          <w:color w:val="000000" w:themeColor="text1"/>
          <w:sz w:val="24"/>
          <w:szCs w:val="24"/>
          <w:lang w:eastAsia="zh-CN"/>
        </w:rPr>
      </w:pPr>
    </w:p>
    <w:p w:rsidR="00132ACA" w:rsidRPr="00FE5422" w:rsidRDefault="00132ACA"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t>Table 1 Features of Types I, II and III gastric neuroendocrine tumors</w:t>
      </w:r>
    </w:p>
    <w:tbl>
      <w:tblPr>
        <w:tblW w:w="5000" w:type="pct"/>
        <w:tblBorders>
          <w:top w:val="single" w:sz="12" w:space="0" w:color="000000"/>
          <w:bottom w:val="single" w:sz="12" w:space="0" w:color="000000"/>
        </w:tblBorders>
        <w:tblCellMar>
          <w:left w:w="0" w:type="dxa"/>
          <w:right w:w="0" w:type="dxa"/>
        </w:tblCellMar>
        <w:tblLook w:val="01E0" w:firstRow="1" w:lastRow="1" w:firstColumn="1" w:lastColumn="1" w:noHBand="0" w:noVBand="0"/>
      </w:tblPr>
      <w:tblGrid>
        <w:gridCol w:w="994"/>
        <w:gridCol w:w="1308"/>
        <w:gridCol w:w="1759"/>
        <w:gridCol w:w="1384"/>
        <w:gridCol w:w="1558"/>
        <w:gridCol w:w="1552"/>
        <w:gridCol w:w="1027"/>
      </w:tblGrid>
      <w:tr w:rsidR="008A7894" w:rsidRPr="00FE5422" w:rsidTr="006C51A8">
        <w:trPr>
          <w:trHeight w:val="690"/>
        </w:trPr>
        <w:tc>
          <w:tcPr>
            <w:tcW w:w="518" w:type="pct"/>
            <w:tcBorders>
              <w:top w:val="single" w:sz="12" w:space="0" w:color="000000"/>
              <w:bottom w:val="single" w:sz="12" w:space="0" w:color="000000"/>
            </w:tcBorders>
          </w:tcPr>
          <w:p w:rsidR="00DC3097" w:rsidRPr="00FE5422" w:rsidRDefault="00DC3097" w:rsidP="00631641">
            <w:pPr>
              <w:pStyle w:val="TableParagraph"/>
              <w:spacing w:line="360" w:lineRule="auto"/>
              <w:jc w:val="both"/>
              <w:rPr>
                <w:rFonts w:ascii="Book Antiqua" w:hAnsi="Book Antiqua"/>
                <w:color w:val="000000" w:themeColor="text1"/>
                <w:sz w:val="24"/>
                <w:szCs w:val="24"/>
              </w:rPr>
            </w:pPr>
          </w:p>
        </w:tc>
        <w:tc>
          <w:tcPr>
            <w:tcW w:w="682" w:type="pct"/>
            <w:tcBorders>
              <w:top w:val="single" w:sz="12" w:space="0" w:color="000000"/>
              <w:bottom w:val="single" w:sz="12" w:space="0" w:color="000000"/>
            </w:tcBorders>
          </w:tcPr>
          <w:p w:rsidR="00DC3097" w:rsidRPr="00FE5422" w:rsidRDefault="00DC3097" w:rsidP="00631641">
            <w:pPr>
              <w:pStyle w:val="TableParagraph"/>
              <w:spacing w:line="360" w:lineRule="auto"/>
              <w:ind w:right="172"/>
              <w:jc w:val="both"/>
              <w:rPr>
                <w:rFonts w:ascii="Book Antiqua" w:hAnsi="Book Antiqua"/>
                <w:b/>
                <w:color w:val="000000" w:themeColor="text1"/>
                <w:sz w:val="24"/>
                <w:szCs w:val="24"/>
              </w:rPr>
            </w:pPr>
            <w:r w:rsidRPr="00FE5422">
              <w:rPr>
                <w:rFonts w:ascii="Book Antiqua" w:hAnsi="Book Antiqua"/>
                <w:b/>
                <w:color w:val="000000" w:themeColor="text1"/>
                <w:sz w:val="24"/>
                <w:szCs w:val="24"/>
              </w:rPr>
              <w:t>Location</w:t>
            </w:r>
          </w:p>
        </w:tc>
        <w:tc>
          <w:tcPr>
            <w:tcW w:w="918" w:type="pct"/>
            <w:tcBorders>
              <w:top w:val="single" w:sz="12" w:space="0" w:color="000000"/>
              <w:bottom w:val="single" w:sz="12" w:space="0" w:color="000000"/>
            </w:tcBorders>
          </w:tcPr>
          <w:p w:rsidR="00DC3097" w:rsidRPr="00FE5422" w:rsidRDefault="00DC3097" w:rsidP="00631641">
            <w:pPr>
              <w:pStyle w:val="TableParagraph"/>
              <w:spacing w:line="360" w:lineRule="auto"/>
              <w:ind w:right="240"/>
              <w:jc w:val="both"/>
              <w:rPr>
                <w:rFonts w:ascii="Book Antiqua" w:hAnsi="Book Antiqua"/>
                <w:b/>
                <w:color w:val="000000" w:themeColor="text1"/>
                <w:sz w:val="24"/>
                <w:szCs w:val="24"/>
              </w:rPr>
            </w:pPr>
            <w:r w:rsidRPr="00FE5422">
              <w:rPr>
                <w:rFonts w:ascii="Book Antiqua" w:hAnsi="Book Antiqua"/>
                <w:b/>
                <w:color w:val="000000" w:themeColor="text1"/>
                <w:sz w:val="24"/>
                <w:szCs w:val="24"/>
              </w:rPr>
              <w:t xml:space="preserve">Clinical </w:t>
            </w:r>
            <w:r w:rsidR="00132ACA" w:rsidRPr="00FE5422">
              <w:rPr>
                <w:rFonts w:ascii="Book Antiqua" w:hAnsi="Book Antiqua"/>
                <w:b/>
                <w:color w:val="000000" w:themeColor="text1"/>
                <w:sz w:val="24"/>
                <w:szCs w:val="24"/>
              </w:rPr>
              <w:t>association</w:t>
            </w:r>
          </w:p>
        </w:tc>
        <w:tc>
          <w:tcPr>
            <w:tcW w:w="722" w:type="pct"/>
            <w:tcBorders>
              <w:top w:val="single" w:sz="12" w:space="0" w:color="000000"/>
              <w:bottom w:val="single" w:sz="12" w:space="0" w:color="000000"/>
            </w:tcBorders>
          </w:tcPr>
          <w:p w:rsidR="00DC3097" w:rsidRPr="00FE5422" w:rsidRDefault="00DC3097" w:rsidP="00631641">
            <w:pPr>
              <w:pStyle w:val="TableParagraph"/>
              <w:spacing w:line="360" w:lineRule="auto"/>
              <w:ind w:right="94"/>
              <w:jc w:val="both"/>
              <w:rPr>
                <w:rFonts w:ascii="Book Antiqua" w:hAnsi="Book Antiqua"/>
                <w:b/>
                <w:color w:val="000000" w:themeColor="text1"/>
                <w:sz w:val="24"/>
                <w:szCs w:val="24"/>
              </w:rPr>
            </w:pPr>
            <w:r w:rsidRPr="00FE5422">
              <w:rPr>
                <w:rFonts w:ascii="Book Antiqua" w:hAnsi="Book Antiqua"/>
                <w:b/>
                <w:color w:val="000000" w:themeColor="text1"/>
                <w:sz w:val="24"/>
                <w:szCs w:val="24"/>
              </w:rPr>
              <w:t>Metastasis</w:t>
            </w:r>
          </w:p>
        </w:tc>
        <w:tc>
          <w:tcPr>
            <w:tcW w:w="813" w:type="pct"/>
            <w:tcBorders>
              <w:top w:val="single" w:sz="12" w:space="0" w:color="000000"/>
              <w:bottom w:val="single" w:sz="12" w:space="0" w:color="000000"/>
            </w:tcBorders>
          </w:tcPr>
          <w:p w:rsidR="00DC3097" w:rsidRPr="00FE5422" w:rsidRDefault="00DC3097" w:rsidP="00631641">
            <w:pPr>
              <w:pStyle w:val="TableParagraph"/>
              <w:spacing w:line="360" w:lineRule="auto"/>
              <w:ind w:right="98"/>
              <w:jc w:val="both"/>
              <w:rPr>
                <w:rFonts w:ascii="Book Antiqua" w:hAnsi="Book Antiqua"/>
                <w:b/>
                <w:color w:val="000000" w:themeColor="text1"/>
                <w:sz w:val="24"/>
                <w:szCs w:val="24"/>
              </w:rPr>
            </w:pPr>
            <w:r w:rsidRPr="00FE5422">
              <w:rPr>
                <w:rFonts w:ascii="Book Antiqua" w:hAnsi="Book Antiqua"/>
                <w:b/>
                <w:color w:val="000000" w:themeColor="text1"/>
                <w:sz w:val="24"/>
                <w:szCs w:val="24"/>
              </w:rPr>
              <w:t>Ki67</w:t>
            </w:r>
            <w:r w:rsidR="00132ACA" w:rsidRPr="00FE5422">
              <w:rPr>
                <w:rFonts w:ascii="Book Antiqua" w:eastAsiaTheme="minorEastAsia" w:hAnsi="Book Antiqua"/>
                <w:b/>
                <w:color w:val="000000" w:themeColor="text1"/>
                <w:sz w:val="24"/>
                <w:szCs w:val="24"/>
                <w:lang w:eastAsia="zh-CN"/>
              </w:rPr>
              <w:t xml:space="preserve"> </w:t>
            </w:r>
            <w:r w:rsidR="00132ACA" w:rsidRPr="00FE5422">
              <w:rPr>
                <w:rFonts w:ascii="Book Antiqua" w:hAnsi="Book Antiqua"/>
                <w:b/>
                <w:color w:val="000000" w:themeColor="text1"/>
                <w:sz w:val="24"/>
                <w:szCs w:val="24"/>
              </w:rPr>
              <w:t>proliferation index</w:t>
            </w:r>
          </w:p>
        </w:tc>
        <w:tc>
          <w:tcPr>
            <w:tcW w:w="810" w:type="pct"/>
            <w:tcBorders>
              <w:top w:val="single" w:sz="12" w:space="0" w:color="000000"/>
              <w:bottom w:val="single" w:sz="12" w:space="0" w:color="000000"/>
            </w:tcBorders>
          </w:tcPr>
          <w:p w:rsidR="00DC3097" w:rsidRPr="00FE5422" w:rsidRDefault="00DC3097" w:rsidP="00631641">
            <w:pPr>
              <w:pStyle w:val="TableParagraph"/>
              <w:spacing w:line="360" w:lineRule="auto"/>
              <w:ind w:right="214"/>
              <w:jc w:val="both"/>
              <w:rPr>
                <w:rFonts w:ascii="Book Antiqua" w:hAnsi="Book Antiqua"/>
                <w:b/>
                <w:color w:val="000000" w:themeColor="text1"/>
                <w:sz w:val="24"/>
                <w:szCs w:val="24"/>
              </w:rPr>
            </w:pPr>
            <w:r w:rsidRPr="00FE5422">
              <w:rPr>
                <w:rFonts w:ascii="Book Antiqua" w:hAnsi="Book Antiqua"/>
                <w:b/>
                <w:color w:val="000000" w:themeColor="text1"/>
                <w:sz w:val="24"/>
                <w:szCs w:val="24"/>
              </w:rPr>
              <w:t>Prognosis</w:t>
            </w:r>
          </w:p>
        </w:tc>
        <w:tc>
          <w:tcPr>
            <w:tcW w:w="536" w:type="pct"/>
            <w:tcBorders>
              <w:top w:val="single" w:sz="12" w:space="0" w:color="000000"/>
              <w:bottom w:val="single" w:sz="12" w:space="0" w:color="000000"/>
            </w:tcBorders>
          </w:tcPr>
          <w:p w:rsidR="00DC3097" w:rsidRPr="00FE5422" w:rsidRDefault="00DC3097" w:rsidP="00631641">
            <w:pPr>
              <w:pStyle w:val="TableParagraph"/>
              <w:spacing w:line="360" w:lineRule="auto"/>
              <w:jc w:val="both"/>
              <w:rPr>
                <w:rFonts w:ascii="Book Antiqua" w:hAnsi="Book Antiqua"/>
                <w:b/>
                <w:color w:val="000000" w:themeColor="text1"/>
                <w:sz w:val="24"/>
                <w:szCs w:val="24"/>
              </w:rPr>
            </w:pPr>
            <w:r w:rsidRPr="00FE5422">
              <w:rPr>
                <w:rFonts w:ascii="Book Antiqua" w:hAnsi="Book Antiqua"/>
                <w:b/>
                <w:color w:val="000000" w:themeColor="text1"/>
                <w:sz w:val="24"/>
                <w:szCs w:val="24"/>
              </w:rPr>
              <w:t>Size</w:t>
            </w:r>
          </w:p>
        </w:tc>
      </w:tr>
      <w:tr w:rsidR="008A7894" w:rsidRPr="00FE5422" w:rsidTr="006C51A8">
        <w:trPr>
          <w:trHeight w:val="918"/>
        </w:trPr>
        <w:tc>
          <w:tcPr>
            <w:tcW w:w="518" w:type="pct"/>
            <w:tcBorders>
              <w:top w:val="single" w:sz="12" w:space="0" w:color="000000"/>
            </w:tcBorders>
          </w:tcPr>
          <w:p w:rsidR="00DC3097" w:rsidRPr="00FE5422" w:rsidRDefault="00DC3097" w:rsidP="00631641">
            <w:pPr>
              <w:pStyle w:val="TableParagraph"/>
              <w:spacing w:line="360" w:lineRule="auto"/>
              <w:ind w:right="167"/>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w:t>
            </w:r>
          </w:p>
        </w:tc>
        <w:tc>
          <w:tcPr>
            <w:tcW w:w="682" w:type="pct"/>
            <w:tcBorders>
              <w:top w:val="single" w:sz="12" w:space="0" w:color="000000"/>
            </w:tcBorders>
          </w:tcPr>
          <w:p w:rsidR="00DC3097" w:rsidRPr="00FE5422" w:rsidRDefault="00DC3097" w:rsidP="00631641">
            <w:pPr>
              <w:pStyle w:val="TableParagraph"/>
              <w:spacing w:line="360" w:lineRule="auto"/>
              <w:ind w:right="169"/>
              <w:jc w:val="both"/>
              <w:rPr>
                <w:rFonts w:ascii="Book Antiqua" w:hAnsi="Book Antiqua"/>
                <w:color w:val="000000" w:themeColor="text1"/>
                <w:sz w:val="24"/>
                <w:szCs w:val="24"/>
              </w:rPr>
            </w:pPr>
            <w:r w:rsidRPr="00FE5422">
              <w:rPr>
                <w:rFonts w:ascii="Book Antiqua" w:hAnsi="Book Antiqua"/>
                <w:color w:val="000000" w:themeColor="text1"/>
                <w:sz w:val="24"/>
                <w:szCs w:val="24"/>
              </w:rPr>
              <w:t>Body</w:t>
            </w:r>
          </w:p>
        </w:tc>
        <w:tc>
          <w:tcPr>
            <w:tcW w:w="918" w:type="pct"/>
            <w:tcBorders>
              <w:top w:val="single" w:sz="12" w:space="0" w:color="000000"/>
            </w:tcBorders>
          </w:tcPr>
          <w:p w:rsidR="00DC3097" w:rsidRPr="00FE5422" w:rsidRDefault="00DC3097" w:rsidP="00631641">
            <w:pPr>
              <w:pStyle w:val="TableParagraph"/>
              <w:spacing w:line="360" w:lineRule="auto"/>
              <w:ind w:right="76"/>
              <w:jc w:val="both"/>
              <w:rPr>
                <w:rFonts w:ascii="Book Antiqua" w:hAnsi="Book Antiqua"/>
                <w:color w:val="000000" w:themeColor="text1"/>
                <w:sz w:val="24"/>
                <w:szCs w:val="24"/>
              </w:rPr>
            </w:pPr>
            <w:r w:rsidRPr="00FE5422">
              <w:rPr>
                <w:rFonts w:ascii="Book Antiqua" w:hAnsi="Book Antiqua"/>
                <w:color w:val="000000" w:themeColor="text1"/>
                <w:sz w:val="24"/>
                <w:szCs w:val="24"/>
              </w:rPr>
              <w:t>Pernicious anemia</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Atrophic Gastritis</w:t>
            </w:r>
          </w:p>
        </w:tc>
        <w:tc>
          <w:tcPr>
            <w:tcW w:w="722" w:type="pct"/>
            <w:tcBorders>
              <w:top w:val="single" w:sz="12" w:space="0" w:color="000000"/>
            </w:tcBorders>
          </w:tcPr>
          <w:p w:rsidR="00DC3097" w:rsidRPr="00FE5422" w:rsidRDefault="00DC3097" w:rsidP="00631641">
            <w:pPr>
              <w:pStyle w:val="TableParagraph"/>
              <w:spacing w:line="360" w:lineRule="auto"/>
              <w:ind w:right="92"/>
              <w:jc w:val="both"/>
              <w:rPr>
                <w:rFonts w:ascii="Book Antiqua" w:hAnsi="Book Antiqua"/>
                <w:color w:val="000000" w:themeColor="text1"/>
                <w:sz w:val="24"/>
                <w:szCs w:val="24"/>
              </w:rPr>
            </w:pPr>
            <w:r w:rsidRPr="00FE5422">
              <w:rPr>
                <w:rFonts w:ascii="Book Antiqua" w:hAnsi="Book Antiqua"/>
                <w:color w:val="000000" w:themeColor="text1"/>
                <w:sz w:val="24"/>
                <w:szCs w:val="24"/>
              </w:rPr>
              <w:t>Rare</w:t>
            </w:r>
          </w:p>
        </w:tc>
        <w:tc>
          <w:tcPr>
            <w:tcW w:w="813" w:type="pct"/>
            <w:tcBorders>
              <w:top w:val="single" w:sz="12" w:space="0" w:color="000000"/>
            </w:tcBorders>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p>
        </w:tc>
        <w:tc>
          <w:tcPr>
            <w:tcW w:w="810" w:type="pct"/>
            <w:tcBorders>
              <w:top w:val="single" w:sz="12" w:space="0" w:color="000000"/>
            </w:tcBorders>
          </w:tcPr>
          <w:p w:rsidR="00DC3097" w:rsidRPr="00FE5422" w:rsidRDefault="00DC3097" w:rsidP="00631641">
            <w:pPr>
              <w:pStyle w:val="TableParagraph"/>
              <w:spacing w:line="360" w:lineRule="auto"/>
              <w:ind w:right="213"/>
              <w:jc w:val="both"/>
              <w:rPr>
                <w:rFonts w:ascii="Book Antiqua" w:hAnsi="Book Antiqua"/>
                <w:color w:val="000000" w:themeColor="text1"/>
                <w:sz w:val="24"/>
                <w:szCs w:val="24"/>
              </w:rPr>
            </w:pPr>
            <w:r w:rsidRPr="00FE5422">
              <w:rPr>
                <w:rFonts w:ascii="Book Antiqua" w:hAnsi="Book Antiqua"/>
                <w:color w:val="000000" w:themeColor="text1"/>
                <w:sz w:val="24"/>
                <w:szCs w:val="24"/>
              </w:rPr>
              <w:t>Good</w:t>
            </w:r>
          </w:p>
        </w:tc>
        <w:tc>
          <w:tcPr>
            <w:tcW w:w="536" w:type="pct"/>
            <w:tcBorders>
              <w:top w:val="single" w:sz="12" w:space="0" w:color="000000"/>
            </w:tcBorders>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Variable</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1-2</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cm</w:t>
            </w:r>
          </w:p>
        </w:tc>
      </w:tr>
      <w:tr w:rsidR="008A7894" w:rsidRPr="00FE5422" w:rsidTr="006C51A8">
        <w:trPr>
          <w:trHeight w:val="1378"/>
        </w:trPr>
        <w:tc>
          <w:tcPr>
            <w:tcW w:w="518" w:type="pct"/>
          </w:tcPr>
          <w:p w:rsidR="00DC3097" w:rsidRPr="00FE5422" w:rsidRDefault="00DC3097" w:rsidP="00631641">
            <w:pPr>
              <w:pStyle w:val="TableParagraph"/>
              <w:spacing w:line="360" w:lineRule="auto"/>
              <w:ind w:right="143"/>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II</w:t>
            </w:r>
          </w:p>
        </w:tc>
        <w:tc>
          <w:tcPr>
            <w:tcW w:w="682" w:type="pct"/>
          </w:tcPr>
          <w:p w:rsidR="00DC3097" w:rsidRPr="00FE5422" w:rsidRDefault="00DC3097" w:rsidP="00631641">
            <w:pPr>
              <w:pStyle w:val="TableParagraph"/>
              <w:spacing w:line="360" w:lineRule="auto"/>
              <w:ind w:right="169"/>
              <w:jc w:val="both"/>
              <w:rPr>
                <w:rFonts w:ascii="Book Antiqua" w:hAnsi="Book Antiqua"/>
                <w:color w:val="000000" w:themeColor="text1"/>
                <w:sz w:val="24"/>
                <w:szCs w:val="24"/>
              </w:rPr>
            </w:pPr>
            <w:r w:rsidRPr="00FE5422">
              <w:rPr>
                <w:rFonts w:ascii="Book Antiqua" w:hAnsi="Book Antiqua"/>
                <w:color w:val="000000" w:themeColor="text1"/>
                <w:sz w:val="24"/>
                <w:szCs w:val="24"/>
              </w:rPr>
              <w:t>Body</w:t>
            </w:r>
          </w:p>
        </w:tc>
        <w:tc>
          <w:tcPr>
            <w:tcW w:w="918" w:type="pct"/>
          </w:tcPr>
          <w:p w:rsidR="00DC3097" w:rsidRPr="00FE5422" w:rsidRDefault="00DC3097" w:rsidP="00631641">
            <w:pPr>
              <w:pStyle w:val="TableParagraph"/>
              <w:spacing w:line="360" w:lineRule="auto"/>
              <w:ind w:right="111" w:firstLine="5"/>
              <w:jc w:val="both"/>
              <w:rPr>
                <w:rFonts w:ascii="Book Antiqua" w:eastAsiaTheme="minorEastAsia" w:hAnsi="Book Antiqua"/>
                <w:color w:val="000000" w:themeColor="text1"/>
                <w:sz w:val="24"/>
                <w:szCs w:val="24"/>
                <w:lang w:eastAsia="zh-CN"/>
              </w:rPr>
            </w:pPr>
            <w:r w:rsidRPr="00FE5422">
              <w:rPr>
                <w:rFonts w:ascii="Book Antiqua" w:hAnsi="Book Antiqua"/>
                <w:color w:val="000000" w:themeColor="text1"/>
                <w:sz w:val="24"/>
                <w:szCs w:val="24"/>
              </w:rPr>
              <w:t>Multiple Endocrine Neoplasia</w:t>
            </w:r>
            <w:r w:rsidRPr="00FE5422">
              <w:rPr>
                <w:rFonts w:ascii="Book Antiqua" w:hAnsi="Book Antiqua"/>
                <w:color w:val="000000" w:themeColor="text1"/>
                <w:spacing w:val="-11"/>
                <w:sz w:val="24"/>
                <w:szCs w:val="24"/>
              </w:rPr>
              <w:t xml:space="preserve"> </w:t>
            </w:r>
            <w:r w:rsidRPr="00FE5422">
              <w:rPr>
                <w:rFonts w:ascii="Book Antiqua" w:hAnsi="Book Antiqua"/>
                <w:color w:val="000000" w:themeColor="text1"/>
                <w:sz w:val="24"/>
                <w:szCs w:val="24"/>
              </w:rPr>
              <w:t>type</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1,</w:t>
            </w:r>
            <w:r w:rsidR="00132ACA" w:rsidRPr="00FE5422">
              <w:rPr>
                <w:rFonts w:ascii="Book Antiqua" w:eastAsiaTheme="minorEastAsia" w:hAnsi="Book Antiqua"/>
                <w:color w:val="000000" w:themeColor="text1"/>
                <w:sz w:val="24"/>
                <w:szCs w:val="24"/>
                <w:lang w:eastAsia="zh-CN"/>
              </w:rPr>
              <w:t xml:space="preserve"> </w:t>
            </w:r>
            <w:r w:rsidR="00132ACA" w:rsidRPr="00FE5422">
              <w:rPr>
                <w:rFonts w:ascii="Book Antiqua" w:hAnsi="Book Antiqua"/>
                <w:color w:val="000000" w:themeColor="text1"/>
                <w:sz w:val="24"/>
                <w:szCs w:val="24"/>
              </w:rPr>
              <w:t>Zollinger-Ellison syndrome</w:t>
            </w:r>
          </w:p>
        </w:tc>
        <w:tc>
          <w:tcPr>
            <w:tcW w:w="722" w:type="pct"/>
          </w:tcPr>
          <w:p w:rsidR="00DC3097" w:rsidRPr="00FE5422" w:rsidRDefault="00DC3097" w:rsidP="00631641">
            <w:pPr>
              <w:pStyle w:val="TableParagraph"/>
              <w:spacing w:line="360" w:lineRule="auto"/>
              <w:ind w:right="90"/>
              <w:jc w:val="both"/>
              <w:rPr>
                <w:rFonts w:ascii="Book Antiqua" w:hAnsi="Book Antiqua"/>
                <w:color w:val="000000" w:themeColor="text1"/>
                <w:sz w:val="24"/>
                <w:szCs w:val="24"/>
              </w:rPr>
            </w:pPr>
            <w:r w:rsidRPr="00FE5422">
              <w:rPr>
                <w:rFonts w:ascii="Book Antiqua" w:hAnsi="Book Antiqua"/>
                <w:color w:val="000000" w:themeColor="text1"/>
                <w:sz w:val="24"/>
                <w:szCs w:val="24"/>
              </w:rPr>
              <w:t>10</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-30%</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metastasize</w:t>
            </w:r>
          </w:p>
        </w:tc>
        <w:tc>
          <w:tcPr>
            <w:tcW w:w="813" w:type="pct"/>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Rarely 3</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p>
        </w:tc>
        <w:tc>
          <w:tcPr>
            <w:tcW w:w="810" w:type="pct"/>
          </w:tcPr>
          <w:p w:rsidR="00DC3097" w:rsidRPr="00FE5422" w:rsidRDefault="00DC3097" w:rsidP="00631641">
            <w:pPr>
              <w:pStyle w:val="TableParagraph"/>
              <w:spacing w:line="360" w:lineRule="auto"/>
              <w:ind w:right="93"/>
              <w:jc w:val="both"/>
              <w:rPr>
                <w:rFonts w:ascii="Book Antiqua" w:hAnsi="Book Antiqua"/>
                <w:color w:val="000000" w:themeColor="text1"/>
                <w:sz w:val="24"/>
                <w:szCs w:val="24"/>
              </w:rPr>
            </w:pPr>
            <w:r w:rsidRPr="00FE5422">
              <w:rPr>
                <w:rFonts w:ascii="Book Antiqua" w:hAnsi="Book Antiqua"/>
                <w:color w:val="000000" w:themeColor="text1"/>
                <w:sz w:val="24"/>
                <w:szCs w:val="24"/>
              </w:rPr>
              <w:t>Variable prognosis but overall benign behavior</w:t>
            </w:r>
          </w:p>
        </w:tc>
        <w:tc>
          <w:tcPr>
            <w:tcW w:w="536" w:type="pct"/>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&lt;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2cm</w:t>
            </w:r>
          </w:p>
        </w:tc>
      </w:tr>
      <w:tr w:rsidR="007D0B5C" w:rsidRPr="00FE5422" w:rsidTr="006C51A8">
        <w:trPr>
          <w:trHeight w:val="598"/>
        </w:trPr>
        <w:tc>
          <w:tcPr>
            <w:tcW w:w="518" w:type="pct"/>
          </w:tcPr>
          <w:p w:rsidR="00DC3097" w:rsidRPr="00FE5422" w:rsidRDefault="00DC3097" w:rsidP="00631641">
            <w:pPr>
              <w:pStyle w:val="TableParagraph"/>
              <w:spacing w:line="360" w:lineRule="auto"/>
              <w:ind w:right="112"/>
              <w:jc w:val="both"/>
              <w:rPr>
                <w:rFonts w:ascii="Book Antiqua" w:hAnsi="Book Antiqua"/>
                <w:b/>
                <w:color w:val="000000" w:themeColor="text1"/>
                <w:sz w:val="24"/>
                <w:szCs w:val="24"/>
              </w:rPr>
            </w:pPr>
            <w:r w:rsidRPr="00FE5422">
              <w:rPr>
                <w:rFonts w:ascii="Book Antiqua" w:hAnsi="Book Antiqua"/>
                <w:b/>
                <w:color w:val="000000" w:themeColor="text1"/>
                <w:sz w:val="24"/>
                <w:szCs w:val="24"/>
              </w:rPr>
              <w:t>Type III</w:t>
            </w:r>
          </w:p>
        </w:tc>
        <w:tc>
          <w:tcPr>
            <w:tcW w:w="682" w:type="pct"/>
          </w:tcPr>
          <w:p w:rsidR="00DC3097" w:rsidRPr="00FE5422" w:rsidRDefault="00DC3097" w:rsidP="00631641">
            <w:pPr>
              <w:pStyle w:val="TableParagraph"/>
              <w:spacing w:line="360" w:lineRule="auto"/>
              <w:ind w:hanging="105"/>
              <w:jc w:val="both"/>
              <w:rPr>
                <w:rFonts w:ascii="Book Antiqua" w:hAnsi="Book Antiqua"/>
                <w:color w:val="000000" w:themeColor="text1"/>
                <w:sz w:val="24"/>
                <w:szCs w:val="24"/>
              </w:rPr>
            </w:pPr>
            <w:r w:rsidRPr="00FE5422">
              <w:rPr>
                <w:rFonts w:ascii="Book Antiqua" w:hAnsi="Book Antiqua"/>
                <w:color w:val="000000" w:themeColor="text1"/>
                <w:sz w:val="24"/>
                <w:szCs w:val="24"/>
              </w:rPr>
              <w:t>Any part of stomach</w:t>
            </w:r>
          </w:p>
        </w:tc>
        <w:tc>
          <w:tcPr>
            <w:tcW w:w="918" w:type="pct"/>
          </w:tcPr>
          <w:p w:rsidR="00DC3097" w:rsidRPr="00FE5422" w:rsidRDefault="00DC3097" w:rsidP="00631641">
            <w:pPr>
              <w:pStyle w:val="TableParagraph"/>
              <w:spacing w:line="360" w:lineRule="auto"/>
              <w:ind w:right="308" w:firstLine="50"/>
              <w:jc w:val="both"/>
              <w:rPr>
                <w:rFonts w:ascii="Book Antiqua" w:hAnsi="Book Antiqua"/>
                <w:color w:val="000000" w:themeColor="text1"/>
                <w:sz w:val="24"/>
                <w:szCs w:val="24"/>
              </w:rPr>
            </w:pPr>
            <w:r w:rsidRPr="00FE5422">
              <w:rPr>
                <w:rFonts w:ascii="Book Antiqua" w:hAnsi="Book Antiqua"/>
                <w:color w:val="000000" w:themeColor="text1"/>
                <w:sz w:val="24"/>
                <w:szCs w:val="24"/>
              </w:rPr>
              <w:t>No clinical association</w:t>
            </w:r>
          </w:p>
        </w:tc>
        <w:tc>
          <w:tcPr>
            <w:tcW w:w="722" w:type="pct"/>
          </w:tcPr>
          <w:p w:rsidR="00DC3097" w:rsidRPr="00FE5422" w:rsidRDefault="00DC3097" w:rsidP="00631641">
            <w:pPr>
              <w:pStyle w:val="TableParagraph"/>
              <w:spacing w:line="360" w:lineRule="auto"/>
              <w:ind w:right="241" w:firstLine="180"/>
              <w:jc w:val="both"/>
              <w:rPr>
                <w:rFonts w:ascii="Book Antiqua" w:hAnsi="Book Antiqua"/>
                <w:color w:val="000000" w:themeColor="text1"/>
                <w:sz w:val="24"/>
                <w:szCs w:val="24"/>
              </w:rPr>
            </w:pPr>
            <w:r w:rsidRPr="00FE5422">
              <w:rPr>
                <w:rFonts w:ascii="Book Antiqua" w:hAnsi="Book Antiqua"/>
                <w:color w:val="000000" w:themeColor="text1"/>
                <w:sz w:val="24"/>
                <w:szCs w:val="24"/>
              </w:rPr>
              <w:t>Very common</w:t>
            </w:r>
          </w:p>
        </w:tc>
        <w:tc>
          <w:tcPr>
            <w:tcW w:w="813" w:type="pct"/>
          </w:tcPr>
          <w:p w:rsidR="00DC3097" w:rsidRPr="00FE5422" w:rsidRDefault="00DC3097" w:rsidP="00631641">
            <w:pPr>
              <w:pStyle w:val="TableParagraph"/>
              <w:spacing w:line="360" w:lineRule="auto"/>
              <w:ind w:right="103"/>
              <w:jc w:val="both"/>
              <w:rPr>
                <w:rFonts w:ascii="Book Antiqua" w:hAnsi="Book Antiqua"/>
                <w:color w:val="000000" w:themeColor="text1"/>
                <w:sz w:val="24"/>
                <w:szCs w:val="24"/>
              </w:rPr>
            </w:pPr>
            <w:r w:rsidRPr="00FE5422">
              <w:rPr>
                <w:rFonts w:ascii="Book Antiqua" w:hAnsi="Book Antiqua"/>
                <w:color w:val="000000" w:themeColor="text1"/>
                <w:sz w:val="24"/>
                <w:szCs w:val="24"/>
              </w:rPr>
              <w:t>3</w:t>
            </w:r>
            <w:r w:rsidR="00132ACA"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Rarely &gt;20%</w:t>
            </w:r>
          </w:p>
        </w:tc>
        <w:tc>
          <w:tcPr>
            <w:tcW w:w="810" w:type="pct"/>
          </w:tcPr>
          <w:p w:rsidR="00DC3097" w:rsidRPr="00FE5422" w:rsidRDefault="00DC3097" w:rsidP="00631641">
            <w:pPr>
              <w:pStyle w:val="TableParagraph"/>
              <w:spacing w:line="360" w:lineRule="auto"/>
              <w:ind w:hanging="110"/>
              <w:jc w:val="both"/>
              <w:rPr>
                <w:rFonts w:ascii="Book Antiqua" w:hAnsi="Book Antiqua"/>
                <w:color w:val="000000" w:themeColor="text1"/>
                <w:sz w:val="24"/>
                <w:szCs w:val="24"/>
              </w:rPr>
            </w:pPr>
            <w:r w:rsidRPr="00FE5422">
              <w:rPr>
                <w:rFonts w:ascii="Book Antiqua" w:hAnsi="Book Antiqua"/>
                <w:color w:val="000000" w:themeColor="text1"/>
                <w:sz w:val="24"/>
                <w:szCs w:val="24"/>
              </w:rPr>
              <w:t>Aggressive behavior</w:t>
            </w:r>
          </w:p>
        </w:tc>
        <w:tc>
          <w:tcPr>
            <w:tcW w:w="536" w:type="pct"/>
          </w:tcPr>
          <w:p w:rsidR="00DC3097" w:rsidRPr="00FE5422" w:rsidRDefault="00DC3097" w:rsidP="00631641">
            <w:pPr>
              <w:pStyle w:val="TableParagraph"/>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t>&gt;</w:t>
            </w:r>
            <w:r w:rsidR="00132ACA"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2cm</w:t>
            </w:r>
          </w:p>
        </w:tc>
      </w:tr>
    </w:tbl>
    <w:p w:rsidR="006C51A8" w:rsidRPr="00FE5422" w:rsidRDefault="006C51A8" w:rsidP="00631641">
      <w:pPr>
        <w:pStyle w:val="a3"/>
        <w:spacing w:line="360" w:lineRule="auto"/>
        <w:jc w:val="both"/>
        <w:rPr>
          <w:rFonts w:ascii="Book Antiqua" w:hAnsi="Book Antiqua"/>
          <w:color w:val="000000" w:themeColor="text1"/>
          <w:sz w:val="24"/>
          <w:szCs w:val="24"/>
        </w:rPr>
      </w:pPr>
    </w:p>
    <w:p w:rsidR="006C51A8" w:rsidRPr="00FE5422" w:rsidRDefault="006C51A8" w:rsidP="00631641">
      <w:pPr>
        <w:spacing w:line="360" w:lineRule="auto"/>
        <w:jc w:val="both"/>
        <w:rPr>
          <w:rFonts w:ascii="Book Antiqua" w:hAnsi="Book Antiqua"/>
          <w:color w:val="000000" w:themeColor="text1"/>
          <w:sz w:val="24"/>
          <w:szCs w:val="24"/>
        </w:rPr>
      </w:pPr>
      <w:r w:rsidRPr="00FE5422">
        <w:rPr>
          <w:rFonts w:ascii="Book Antiqua" w:hAnsi="Book Antiqua"/>
          <w:color w:val="000000" w:themeColor="text1"/>
          <w:sz w:val="24"/>
          <w:szCs w:val="24"/>
        </w:rPr>
        <w:br w:type="page"/>
      </w: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lastRenderedPageBreak/>
        <w:t>Table 2 Grading system of well-differentiated neuroendocrine tumors according to the 2017 World Health Organization classification</w:t>
      </w:r>
    </w:p>
    <w:tbl>
      <w:tblPr>
        <w:tblStyle w:val="a9"/>
        <w:tblpPr w:leftFromText="180" w:rightFromText="180" w:vertAnchor="text" w:horzAnchor="margin" w:tblpY="25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01"/>
        <w:gridCol w:w="2977"/>
      </w:tblGrid>
      <w:tr w:rsidR="008A7894" w:rsidRPr="00FE5422" w:rsidTr="006C51A8">
        <w:tc>
          <w:tcPr>
            <w:tcW w:w="4077"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b/>
                <w:color w:val="000000" w:themeColor="text1"/>
                <w:sz w:val="24"/>
                <w:szCs w:val="24"/>
              </w:rPr>
              <w:t>Neuroendocrine tumor</w:t>
            </w:r>
          </w:p>
        </w:tc>
        <w:tc>
          <w:tcPr>
            <w:tcW w:w="1701"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eastAsiaTheme="minorEastAsia" w:hAnsi="Book Antiqua"/>
                <w:b/>
                <w:color w:val="000000" w:themeColor="text1"/>
                <w:sz w:val="24"/>
                <w:szCs w:val="24"/>
                <w:lang w:eastAsia="zh-CN"/>
              </w:rPr>
              <w:t>Mitotic index</w:t>
            </w:r>
          </w:p>
        </w:tc>
        <w:tc>
          <w:tcPr>
            <w:tcW w:w="2977" w:type="dxa"/>
            <w:tcBorders>
              <w:top w:val="single" w:sz="4" w:space="0" w:color="auto"/>
              <w:bottom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eastAsiaTheme="minorEastAsia" w:hAnsi="Book Antiqua"/>
                <w:b/>
                <w:color w:val="000000" w:themeColor="text1"/>
                <w:sz w:val="24"/>
                <w:szCs w:val="24"/>
                <w:lang w:eastAsia="zh-CN"/>
              </w:rPr>
              <w:t>Ki67 proliferation index</w:t>
            </w:r>
          </w:p>
        </w:tc>
      </w:tr>
      <w:tr w:rsidR="008A7894" w:rsidRPr="00FE5422" w:rsidTr="006C51A8">
        <w:tc>
          <w:tcPr>
            <w:tcW w:w="4077"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(G1) (well differentiated)</w:t>
            </w:r>
          </w:p>
        </w:tc>
        <w:tc>
          <w:tcPr>
            <w:tcW w:w="1701"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&lt;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w:t>
            </w:r>
          </w:p>
        </w:tc>
        <w:tc>
          <w:tcPr>
            <w:tcW w:w="2977" w:type="dxa"/>
            <w:tcBorders>
              <w:top w:val="single" w:sz="4" w:space="0" w:color="auto"/>
            </w:tcBorders>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&lt;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3%</w:t>
            </w:r>
          </w:p>
        </w:tc>
      </w:tr>
      <w:tr w:rsidR="008A7894" w:rsidRPr="00FE5422" w:rsidTr="006C51A8">
        <w:tc>
          <w:tcPr>
            <w:tcW w:w="4077" w:type="dxa"/>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(G2) (well differentiated)</w:t>
            </w:r>
          </w:p>
        </w:tc>
        <w:tc>
          <w:tcPr>
            <w:tcW w:w="1701"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2-20</w:t>
            </w:r>
          </w:p>
        </w:tc>
        <w:tc>
          <w:tcPr>
            <w:tcW w:w="2977"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3</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-20%</w:t>
            </w:r>
          </w:p>
        </w:tc>
      </w:tr>
      <w:tr w:rsidR="008A7894" w:rsidRPr="00FE5422" w:rsidTr="006C51A8">
        <w:tc>
          <w:tcPr>
            <w:tcW w:w="4077" w:type="dxa"/>
          </w:tcPr>
          <w:p w:rsidR="006C51A8" w:rsidRPr="00FE5422" w:rsidRDefault="006C51A8" w:rsidP="00631641">
            <w:pPr>
              <w:pStyle w:val="a3"/>
              <w:spacing w:line="360" w:lineRule="auto"/>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color w:val="000000" w:themeColor="text1"/>
                <w:sz w:val="24"/>
                <w:szCs w:val="24"/>
                <w:lang w:eastAsia="zh-CN"/>
              </w:rPr>
              <w:t>Neuroendocrine tumor (G3) (well</w:t>
            </w:r>
          </w:p>
        </w:tc>
        <w:tc>
          <w:tcPr>
            <w:tcW w:w="1701"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&gt;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20</w:t>
            </w:r>
          </w:p>
        </w:tc>
        <w:tc>
          <w:tcPr>
            <w:tcW w:w="2977" w:type="dxa"/>
          </w:tcPr>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r w:rsidRPr="00FE5422">
              <w:rPr>
                <w:rFonts w:ascii="Book Antiqua" w:hAnsi="Book Antiqua"/>
                <w:color w:val="000000" w:themeColor="text1"/>
                <w:sz w:val="24"/>
                <w:szCs w:val="24"/>
              </w:rPr>
              <w:t>&gt;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20%</w:t>
            </w:r>
          </w:p>
        </w:tc>
      </w:tr>
    </w:tbl>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6C51A8" w:rsidRPr="00FE5422" w:rsidRDefault="006C51A8" w:rsidP="00631641">
      <w:pPr>
        <w:pStyle w:val="a3"/>
        <w:spacing w:line="360" w:lineRule="auto"/>
        <w:jc w:val="both"/>
        <w:rPr>
          <w:rFonts w:ascii="Book Antiqua" w:eastAsiaTheme="minorEastAsia" w:hAnsi="Book Antiqua"/>
          <w:b/>
          <w:color w:val="000000" w:themeColor="text1"/>
          <w:sz w:val="24"/>
          <w:szCs w:val="24"/>
          <w:lang w:eastAsia="zh-CN"/>
        </w:rPr>
      </w:pPr>
    </w:p>
    <w:p w:rsidR="00DC3097" w:rsidRPr="00FE5422" w:rsidRDefault="00DC3097" w:rsidP="00631641">
      <w:pPr>
        <w:spacing w:line="360" w:lineRule="auto"/>
        <w:jc w:val="both"/>
        <w:rPr>
          <w:rFonts w:ascii="Book Antiqua" w:hAnsi="Book Antiqua"/>
          <w:color w:val="000000" w:themeColor="text1"/>
          <w:sz w:val="24"/>
          <w:szCs w:val="24"/>
        </w:rPr>
        <w:sectPr w:rsidR="00DC3097" w:rsidRPr="00FE5422" w:rsidSect="007D0B5C">
          <w:pgSz w:w="12240" w:h="15840"/>
          <w:pgMar w:top="1500" w:right="1240" w:bottom="280" w:left="1418" w:header="720" w:footer="720" w:gutter="0"/>
          <w:cols w:space="720"/>
        </w:sectPr>
      </w:pPr>
    </w:p>
    <w:p w:rsidR="00A54EF5" w:rsidRPr="00FE5422" w:rsidRDefault="009F73AA" w:rsidP="00631641">
      <w:pPr>
        <w:pStyle w:val="a3"/>
        <w:spacing w:line="360" w:lineRule="auto"/>
        <w:ind w:right="198"/>
        <w:jc w:val="both"/>
        <w:rPr>
          <w:rFonts w:ascii="Book Antiqua" w:eastAsiaTheme="minorEastAsia" w:hAnsi="Book Antiqua"/>
          <w:color w:val="000000" w:themeColor="text1"/>
          <w:sz w:val="24"/>
          <w:szCs w:val="24"/>
          <w:lang w:eastAsia="zh-CN"/>
        </w:rPr>
      </w:pPr>
      <w:r w:rsidRPr="00FE5422">
        <w:rPr>
          <w:rFonts w:ascii="Book Antiqua" w:eastAsiaTheme="minorEastAsia" w:hAnsi="Book Antiqua"/>
          <w:noProof/>
          <w:color w:val="000000" w:themeColor="text1"/>
          <w:sz w:val="24"/>
          <w:szCs w:val="24"/>
          <w:lang w:eastAsia="zh-CN" w:bidi="ar-SA"/>
        </w:rPr>
        <w:lastRenderedPageBreak/>
        <w:drawing>
          <wp:inline distT="0" distB="0" distL="0" distR="0" wp14:anchorId="4D62465D" wp14:editId="4E3230CE">
            <wp:extent cx="5486400" cy="4231640"/>
            <wp:effectExtent l="0" t="0" r="0" b="0"/>
            <wp:docPr id="205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Content Placeholder 4"/>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231640"/>
                    </a:xfrm>
                    <a:prstGeom prst="rect">
                      <a:avLst/>
                    </a:prstGeom>
                    <a:noFill/>
                    <a:ln>
                      <a:noFill/>
                    </a:ln>
                    <a:extLst/>
                  </pic:spPr>
                </pic:pic>
              </a:graphicData>
            </a:graphic>
          </wp:inline>
        </w:drawing>
      </w:r>
    </w:p>
    <w:p w:rsidR="009F73AA" w:rsidRPr="00FE5422" w:rsidRDefault="009F73AA" w:rsidP="00631641">
      <w:pPr>
        <w:pStyle w:val="a3"/>
        <w:spacing w:line="360" w:lineRule="auto"/>
        <w:ind w:right="198"/>
        <w:jc w:val="both"/>
        <w:rPr>
          <w:rFonts w:ascii="Book Antiqua" w:eastAsiaTheme="minorEastAsia" w:hAnsi="Book Antiqua"/>
          <w:color w:val="000000" w:themeColor="text1"/>
          <w:sz w:val="24"/>
          <w:szCs w:val="24"/>
          <w:lang w:eastAsia="zh-CN"/>
        </w:rPr>
      </w:pPr>
    </w:p>
    <w:p w:rsidR="00DC3097" w:rsidRPr="00FE5422" w:rsidRDefault="00A54EF5" w:rsidP="00631641">
      <w:pPr>
        <w:pStyle w:val="a3"/>
        <w:spacing w:line="360" w:lineRule="auto"/>
        <w:ind w:right="198"/>
        <w:jc w:val="both"/>
        <w:rPr>
          <w:rFonts w:ascii="Book Antiqua" w:hAnsi="Book Antiqua"/>
          <w:color w:val="000000" w:themeColor="text1"/>
          <w:sz w:val="24"/>
          <w:szCs w:val="24"/>
        </w:rPr>
      </w:pPr>
      <w:r w:rsidRPr="00FE5422">
        <w:rPr>
          <w:rFonts w:ascii="Book Antiqua" w:eastAsiaTheme="minorEastAsia" w:hAnsi="Book Antiqua"/>
          <w:b/>
          <w:color w:val="000000" w:themeColor="text1"/>
          <w:sz w:val="24"/>
          <w:szCs w:val="24"/>
          <w:lang w:eastAsia="zh-CN"/>
        </w:rPr>
        <w:t xml:space="preserve">Figure 1 </w:t>
      </w:r>
      <w:r w:rsidRPr="00FE5422">
        <w:rPr>
          <w:rFonts w:ascii="Book Antiqua" w:hAnsi="Book Antiqua"/>
          <w:b/>
          <w:color w:val="000000" w:themeColor="text1"/>
          <w:sz w:val="24"/>
          <w:szCs w:val="24"/>
        </w:rPr>
        <w:t>The</w:t>
      </w:r>
      <w:r w:rsidRPr="00FE5422">
        <w:rPr>
          <w:rFonts w:ascii="Book Antiqua" w:hAnsi="Book Antiqua"/>
          <w:b/>
          <w:color w:val="000000" w:themeColor="text1"/>
          <w:spacing w:val="-2"/>
          <w:sz w:val="24"/>
          <w:szCs w:val="24"/>
        </w:rPr>
        <w:t xml:space="preserve"> </w:t>
      </w:r>
      <w:r w:rsidRPr="00FE5422">
        <w:rPr>
          <w:rFonts w:ascii="Book Antiqua" w:hAnsi="Book Antiqua"/>
          <w:b/>
          <w:color w:val="000000" w:themeColor="text1"/>
          <w:sz w:val="24"/>
          <w:szCs w:val="24"/>
        </w:rPr>
        <w:t>neuroendocrine</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tumors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are</w:t>
      </w:r>
      <w:r w:rsidRPr="00FE5422">
        <w:rPr>
          <w:rFonts w:ascii="Book Antiqua" w:hAnsi="Book Antiqua"/>
          <w:b/>
          <w:color w:val="000000" w:themeColor="text1"/>
          <w:spacing w:val="-8"/>
          <w:sz w:val="24"/>
          <w:szCs w:val="24"/>
        </w:rPr>
        <w:t xml:space="preserve"> </w:t>
      </w:r>
      <w:r w:rsidRPr="00FE5422">
        <w:rPr>
          <w:rFonts w:ascii="Book Antiqua" w:hAnsi="Book Antiqua"/>
          <w:b/>
          <w:color w:val="000000" w:themeColor="text1"/>
          <w:sz w:val="24"/>
          <w:szCs w:val="24"/>
        </w:rPr>
        <w:t>seen</w:t>
      </w:r>
      <w:r w:rsidRPr="00FE5422">
        <w:rPr>
          <w:rFonts w:ascii="Book Antiqua" w:hAnsi="Book Antiqua"/>
          <w:b/>
          <w:color w:val="000000" w:themeColor="text1"/>
          <w:spacing w:val="-12"/>
          <w:sz w:val="24"/>
          <w:szCs w:val="24"/>
        </w:rPr>
        <w:t xml:space="preserve"> </w:t>
      </w:r>
      <w:r w:rsidRPr="00FE5422">
        <w:rPr>
          <w:rFonts w:ascii="Book Antiqua" w:hAnsi="Book Antiqua"/>
          <w:b/>
          <w:color w:val="000000" w:themeColor="text1"/>
          <w:sz w:val="24"/>
          <w:szCs w:val="24"/>
        </w:rPr>
        <w:t>as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minute</w:t>
      </w:r>
      <w:r w:rsidRPr="00FE5422">
        <w:rPr>
          <w:rFonts w:ascii="Book Antiqua" w:hAnsi="Book Antiqua"/>
          <w:b/>
          <w:color w:val="000000" w:themeColor="text1"/>
          <w:spacing w:val="2"/>
          <w:sz w:val="24"/>
          <w:szCs w:val="24"/>
        </w:rPr>
        <w:t xml:space="preserve"> </w:t>
      </w:r>
      <w:r w:rsidRPr="00FE5422">
        <w:rPr>
          <w:rFonts w:ascii="Book Antiqua" w:hAnsi="Book Antiqua"/>
          <w:b/>
          <w:color w:val="000000" w:themeColor="text1"/>
          <w:sz w:val="24"/>
          <w:szCs w:val="24"/>
        </w:rPr>
        <w:t>(less</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than</w:t>
      </w:r>
      <w:r w:rsidRPr="00FE5422">
        <w:rPr>
          <w:rFonts w:ascii="Book Antiqua" w:hAnsi="Book Antiqua"/>
          <w:b/>
          <w:color w:val="000000" w:themeColor="text1"/>
          <w:spacing w:val="-13"/>
          <w:sz w:val="24"/>
          <w:szCs w:val="24"/>
        </w:rPr>
        <w:t xml:space="preserve"> </w:t>
      </w:r>
      <w:r w:rsidRPr="00FE5422">
        <w:rPr>
          <w:rFonts w:ascii="Book Antiqua" w:hAnsi="Book Antiqua"/>
          <w:b/>
          <w:color w:val="000000" w:themeColor="text1"/>
          <w:sz w:val="24"/>
          <w:szCs w:val="24"/>
        </w:rPr>
        <w:t>1-2</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cm)</w:t>
      </w:r>
      <w:r w:rsidRPr="00FE5422">
        <w:rPr>
          <w:rFonts w:ascii="Book Antiqua" w:hAnsi="Book Antiqua"/>
          <w:b/>
          <w:color w:val="000000" w:themeColor="text1"/>
          <w:spacing w:val="-7"/>
          <w:sz w:val="24"/>
          <w:szCs w:val="24"/>
        </w:rPr>
        <w:t xml:space="preserve"> </w:t>
      </w:r>
      <w:r w:rsidRPr="00FE5422">
        <w:rPr>
          <w:rFonts w:ascii="Book Antiqua" w:hAnsi="Book Antiqua"/>
          <w:b/>
          <w:color w:val="000000" w:themeColor="text1"/>
          <w:sz w:val="24"/>
          <w:szCs w:val="24"/>
        </w:rPr>
        <w:t>and frequently multiple polyps</w:t>
      </w:r>
      <w:r w:rsidRPr="00FE5422">
        <w:rPr>
          <w:rFonts w:ascii="Book Antiqua" w:eastAsiaTheme="minorEastAsia" w:hAnsi="Book Antiqua"/>
          <w:b/>
          <w:color w:val="000000" w:themeColor="text1"/>
          <w:sz w:val="24"/>
          <w:szCs w:val="24"/>
          <w:lang w:eastAsia="zh-CN"/>
        </w:rPr>
        <w:t xml:space="preserve">. </w:t>
      </w:r>
      <w:r w:rsidRPr="00FE5422">
        <w:rPr>
          <w:rFonts w:ascii="Book Antiqua" w:hAnsi="Book Antiqua"/>
          <w:color w:val="000000" w:themeColor="text1"/>
          <w:spacing w:val="-3"/>
          <w:sz w:val="24"/>
          <w:szCs w:val="24"/>
        </w:rPr>
        <w:t>A</w:t>
      </w:r>
      <w:r w:rsidRPr="00FE5422">
        <w:rPr>
          <w:rFonts w:ascii="Book Antiqua" w:eastAsiaTheme="minorEastAsia" w:hAnsi="Book Antiqua"/>
          <w:color w:val="000000" w:themeColor="text1"/>
          <w:spacing w:val="-3"/>
          <w:sz w:val="24"/>
          <w:szCs w:val="24"/>
          <w:lang w:eastAsia="zh-CN"/>
        </w:rPr>
        <w:t>:</w:t>
      </w:r>
      <w:r w:rsidR="00DC3097" w:rsidRPr="00FE5422">
        <w:rPr>
          <w:rFonts w:ascii="Book Antiqua" w:hAnsi="Book Antiqua"/>
          <w:color w:val="000000" w:themeColor="text1"/>
          <w:spacing w:val="-3"/>
          <w:sz w:val="24"/>
          <w:szCs w:val="24"/>
        </w:rPr>
        <w:t xml:space="preserve"> </w:t>
      </w:r>
      <w:r w:rsidR="00DC3097" w:rsidRPr="00FE5422">
        <w:rPr>
          <w:rFonts w:ascii="Book Antiqua" w:hAnsi="Book Antiqua"/>
          <w:color w:val="000000" w:themeColor="text1"/>
          <w:sz w:val="24"/>
          <w:szCs w:val="24"/>
        </w:rPr>
        <w:t>Gastrectomy specimen with multiple nodules/polyps, ranging in size from 0.5 mm to 2 cm</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B</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Gastric mucosa</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showing</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a</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neuroendocrine</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tumor</w:t>
      </w:r>
      <w:r w:rsidR="00DC3097" w:rsidRPr="00FE5422">
        <w:rPr>
          <w:rFonts w:ascii="Book Antiqua" w:hAnsi="Book Antiqua"/>
          <w:color w:val="000000" w:themeColor="text1"/>
          <w:spacing w:val="-6"/>
          <w:sz w:val="24"/>
          <w:szCs w:val="24"/>
        </w:rPr>
        <w:t xml:space="preserve"> </w:t>
      </w:r>
      <w:r w:rsidRPr="00FE5422">
        <w:rPr>
          <w:rFonts w:ascii="Book Antiqua" w:hAnsi="Book Antiqua"/>
          <w:color w:val="000000" w:themeColor="text1"/>
          <w:sz w:val="24"/>
          <w:szCs w:val="24"/>
        </w:rPr>
        <w:t>(H</w:t>
      </w:r>
      <w:r w:rsidR="00DC3097" w:rsidRPr="00FE5422">
        <w:rPr>
          <w:rFonts w:ascii="Book Antiqua" w:hAnsi="Book Antiqua"/>
          <w:color w:val="000000" w:themeColor="text1"/>
          <w:sz w:val="24"/>
          <w:szCs w:val="24"/>
        </w:rPr>
        <w:t>E,</w:t>
      </w:r>
      <w:r w:rsidR="00DC3097" w:rsidRPr="00FE5422">
        <w:rPr>
          <w:rFonts w:ascii="Book Antiqua" w:hAnsi="Book Antiqua"/>
          <w:color w:val="000000" w:themeColor="text1"/>
          <w:spacing w:val="-4"/>
          <w:sz w:val="24"/>
          <w:szCs w:val="24"/>
        </w:rPr>
        <w:t xml:space="preserve"> </w:t>
      </w:r>
      <w:r w:rsidRPr="00FE5422">
        <w:rPr>
          <w:rFonts w:ascii="Book Antiqua" w:hAnsi="Book Antiqua"/>
          <w:color w:val="000000" w:themeColor="text1"/>
          <w:sz w:val="24"/>
          <w:szCs w:val="24"/>
        </w:rPr>
        <w:t>4</w:t>
      </w:r>
      <w:r w:rsidRPr="00FE5422">
        <w:rPr>
          <w:rFonts w:ascii="Book Antiqua" w:eastAsiaTheme="minorEastAsia" w:hAnsi="Book Antiqua"/>
          <w:color w:val="000000" w:themeColor="text1"/>
          <w:sz w:val="24"/>
          <w:szCs w:val="24"/>
          <w:lang w:eastAsia="zh-CN"/>
        </w:rPr>
        <w:t>0×</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 xml:space="preserve">; </w:t>
      </w:r>
      <w:r w:rsidRPr="00FE5422">
        <w:rPr>
          <w:rFonts w:ascii="Book Antiqua" w:hAnsi="Book Antiqua"/>
          <w:color w:val="000000" w:themeColor="text1"/>
          <w:sz w:val="24"/>
          <w:szCs w:val="24"/>
        </w:rPr>
        <w:t>C</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Nested</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groups</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of</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cells</w:t>
      </w:r>
      <w:r w:rsidR="00DC3097" w:rsidRPr="00FE5422">
        <w:rPr>
          <w:rFonts w:ascii="Book Antiqua" w:hAnsi="Book Antiqua"/>
          <w:color w:val="000000" w:themeColor="text1"/>
          <w:spacing w:val="-1"/>
          <w:sz w:val="24"/>
          <w:szCs w:val="24"/>
        </w:rPr>
        <w:t xml:space="preserve"> </w:t>
      </w:r>
      <w:r w:rsidR="00DC3097" w:rsidRPr="00FE5422">
        <w:rPr>
          <w:rFonts w:ascii="Book Antiqua" w:hAnsi="Book Antiqua"/>
          <w:color w:val="000000" w:themeColor="text1"/>
          <w:sz w:val="24"/>
          <w:szCs w:val="24"/>
        </w:rPr>
        <w:t>with</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nuclei</w:t>
      </w:r>
      <w:r w:rsidR="00DC3097" w:rsidRPr="00FE5422">
        <w:rPr>
          <w:rFonts w:ascii="Book Antiqua" w:hAnsi="Book Antiqua"/>
          <w:color w:val="000000" w:themeColor="text1"/>
          <w:spacing w:val="-10"/>
          <w:sz w:val="24"/>
          <w:szCs w:val="24"/>
        </w:rPr>
        <w:t xml:space="preserve"> </w:t>
      </w:r>
      <w:r w:rsidR="00DC3097" w:rsidRPr="00FE5422">
        <w:rPr>
          <w:rFonts w:ascii="Book Antiqua" w:hAnsi="Book Antiqua"/>
          <w:color w:val="000000" w:themeColor="text1"/>
          <w:sz w:val="24"/>
          <w:szCs w:val="24"/>
        </w:rPr>
        <w:t>showing</w:t>
      </w:r>
      <w:r w:rsidR="00DC3097" w:rsidRPr="00FE5422">
        <w:rPr>
          <w:rFonts w:ascii="Book Antiqua" w:hAnsi="Book Antiqua"/>
          <w:color w:val="000000" w:themeColor="text1"/>
          <w:spacing w:val="-5"/>
          <w:sz w:val="24"/>
          <w:szCs w:val="24"/>
        </w:rPr>
        <w:t xml:space="preserve"> </w:t>
      </w:r>
      <w:r w:rsidR="00DC3097" w:rsidRPr="00FE5422">
        <w:rPr>
          <w:rFonts w:ascii="Book Antiqua" w:hAnsi="Book Antiqua"/>
          <w:color w:val="000000" w:themeColor="text1"/>
          <w:sz w:val="24"/>
          <w:szCs w:val="24"/>
        </w:rPr>
        <w:t>“salt</w:t>
      </w:r>
      <w:r w:rsidR="00DC3097" w:rsidRPr="00FE5422">
        <w:rPr>
          <w:rFonts w:ascii="Book Antiqua" w:hAnsi="Book Antiqua"/>
          <w:color w:val="000000" w:themeColor="text1"/>
          <w:spacing w:val="-4"/>
          <w:sz w:val="24"/>
          <w:szCs w:val="24"/>
        </w:rPr>
        <w:t xml:space="preserve"> </w:t>
      </w:r>
      <w:r w:rsidR="00DC3097" w:rsidRPr="00FE5422">
        <w:rPr>
          <w:rFonts w:ascii="Book Antiqua" w:hAnsi="Book Antiqua"/>
          <w:color w:val="000000" w:themeColor="text1"/>
          <w:sz w:val="24"/>
          <w:szCs w:val="24"/>
        </w:rPr>
        <w:t>and</w:t>
      </w:r>
      <w:r w:rsidR="00DC3097" w:rsidRPr="00FE5422">
        <w:rPr>
          <w:rFonts w:ascii="Book Antiqua" w:hAnsi="Book Antiqua"/>
          <w:color w:val="000000" w:themeColor="text1"/>
          <w:spacing w:val="-6"/>
          <w:sz w:val="24"/>
          <w:szCs w:val="24"/>
        </w:rPr>
        <w:t xml:space="preserve"> </w:t>
      </w:r>
      <w:r w:rsidR="00DC3097" w:rsidRPr="00FE5422">
        <w:rPr>
          <w:rFonts w:ascii="Book Antiqua" w:hAnsi="Book Antiqua"/>
          <w:color w:val="000000" w:themeColor="text1"/>
          <w:sz w:val="24"/>
          <w:szCs w:val="24"/>
        </w:rPr>
        <w:t xml:space="preserve">pepper” chromatin and </w:t>
      </w:r>
      <w:r w:rsidR="00DC3097" w:rsidRPr="00FE5422">
        <w:rPr>
          <w:rFonts w:ascii="Book Antiqua" w:hAnsi="Book Antiqua"/>
          <w:color w:val="000000" w:themeColor="text1"/>
          <w:spacing w:val="-3"/>
          <w:sz w:val="24"/>
          <w:szCs w:val="24"/>
        </w:rPr>
        <w:t xml:space="preserve">no </w:t>
      </w:r>
      <w:r w:rsidRPr="00FE5422">
        <w:rPr>
          <w:rFonts w:ascii="Book Antiqua" w:hAnsi="Book Antiqua"/>
          <w:color w:val="000000" w:themeColor="text1"/>
          <w:sz w:val="24"/>
          <w:szCs w:val="24"/>
        </w:rPr>
        <w:t>mitotic activity (H</w:t>
      </w:r>
      <w:r w:rsidR="00DC3097" w:rsidRPr="00FE5422">
        <w:rPr>
          <w:rFonts w:ascii="Book Antiqua" w:hAnsi="Book Antiqua"/>
          <w:color w:val="000000" w:themeColor="text1"/>
          <w:sz w:val="24"/>
          <w:szCs w:val="24"/>
        </w:rPr>
        <w:t>E,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D</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Ki67 proliferation index of less than 3%, consistent with a well differentiated neuroendocrine tumor G1 (Ki67 immunostain,</w:t>
      </w:r>
      <w:r w:rsidR="00DC3097" w:rsidRPr="00FE5422">
        <w:rPr>
          <w:rFonts w:ascii="Book Antiqua" w:hAnsi="Book Antiqua"/>
          <w:color w:val="000000" w:themeColor="text1"/>
          <w:spacing w:val="8"/>
          <w:sz w:val="24"/>
          <w:szCs w:val="24"/>
        </w:rPr>
        <w:t xml:space="preserve"> </w:t>
      </w:r>
      <w:r w:rsidR="00DC3097" w:rsidRPr="00FE5422">
        <w:rPr>
          <w:rFonts w:ascii="Book Antiqua" w:hAnsi="Book Antiqua"/>
          <w:color w:val="000000" w:themeColor="text1"/>
          <w:sz w:val="24"/>
          <w:szCs w:val="24"/>
        </w:rPr>
        <w:t>200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p>
    <w:p w:rsidR="00A54EF5" w:rsidRPr="00FE5422" w:rsidRDefault="00A54EF5" w:rsidP="00631641">
      <w:pPr>
        <w:pStyle w:val="a3"/>
        <w:spacing w:line="360" w:lineRule="auto"/>
        <w:ind w:right="193"/>
        <w:jc w:val="both"/>
        <w:rPr>
          <w:rFonts w:ascii="Book Antiqua" w:eastAsiaTheme="minorEastAsia" w:hAnsi="Book Antiqua"/>
          <w:b/>
          <w:color w:val="000000" w:themeColor="text1"/>
          <w:sz w:val="24"/>
          <w:szCs w:val="24"/>
          <w:lang w:eastAsia="zh-CN"/>
        </w:rPr>
      </w:pPr>
    </w:p>
    <w:p w:rsidR="009F73AA" w:rsidRPr="00FE5422" w:rsidRDefault="009F73AA" w:rsidP="00631641">
      <w:pPr>
        <w:pStyle w:val="a3"/>
        <w:spacing w:line="360" w:lineRule="auto"/>
        <w:ind w:right="193"/>
        <w:jc w:val="both"/>
        <w:rPr>
          <w:rFonts w:ascii="Book Antiqua" w:eastAsiaTheme="minorEastAsia" w:hAnsi="Book Antiqua"/>
          <w:b/>
          <w:color w:val="000000" w:themeColor="text1"/>
          <w:sz w:val="24"/>
          <w:szCs w:val="24"/>
          <w:lang w:eastAsia="zh-CN"/>
        </w:rPr>
      </w:pPr>
    </w:p>
    <w:p w:rsidR="009F73AA" w:rsidRPr="00FE5422" w:rsidRDefault="009F73AA" w:rsidP="00631641">
      <w:pPr>
        <w:pStyle w:val="a3"/>
        <w:spacing w:line="360" w:lineRule="auto"/>
        <w:ind w:right="193"/>
        <w:jc w:val="both"/>
        <w:rPr>
          <w:rFonts w:ascii="Book Antiqua" w:eastAsiaTheme="minorEastAsia" w:hAnsi="Book Antiqua"/>
          <w:b/>
          <w:color w:val="000000" w:themeColor="text1"/>
          <w:sz w:val="24"/>
          <w:szCs w:val="24"/>
          <w:lang w:eastAsia="zh-CN"/>
        </w:rPr>
      </w:pPr>
      <w:r w:rsidRPr="00FE5422">
        <w:rPr>
          <w:rFonts w:ascii="Book Antiqua" w:hAnsi="Book Antiqua"/>
          <w:b/>
          <w:noProof/>
          <w:color w:val="000000" w:themeColor="text1"/>
          <w:sz w:val="24"/>
          <w:szCs w:val="24"/>
          <w:lang w:eastAsia="zh-CN" w:bidi="ar-SA"/>
        </w:rPr>
        <w:lastRenderedPageBreak/>
        <w:drawing>
          <wp:inline distT="0" distB="0" distL="0" distR="0" wp14:anchorId="76873290" wp14:editId="3BABB573">
            <wp:extent cx="5486400" cy="4119880"/>
            <wp:effectExtent l="0" t="0" r="0" b="0"/>
            <wp:docPr id="3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a:extLst/>
                  </pic:spPr>
                </pic:pic>
              </a:graphicData>
            </a:graphic>
          </wp:inline>
        </w:drawing>
      </w:r>
    </w:p>
    <w:p w:rsidR="00DC3097" w:rsidRPr="00631641" w:rsidRDefault="00A54EF5" w:rsidP="00631641">
      <w:pPr>
        <w:pStyle w:val="a3"/>
        <w:spacing w:line="360" w:lineRule="auto"/>
        <w:ind w:right="193"/>
        <w:jc w:val="both"/>
        <w:rPr>
          <w:rFonts w:ascii="Book Antiqua" w:hAnsi="Book Antiqua"/>
          <w:color w:val="000000" w:themeColor="text1"/>
          <w:sz w:val="24"/>
          <w:szCs w:val="24"/>
        </w:rPr>
      </w:pPr>
      <w:r w:rsidRPr="00FE5422">
        <w:rPr>
          <w:rFonts w:ascii="Book Antiqua" w:hAnsi="Book Antiqua"/>
          <w:b/>
          <w:color w:val="000000" w:themeColor="text1"/>
          <w:sz w:val="24"/>
          <w:szCs w:val="24"/>
        </w:rPr>
        <w:t>Figure 2</w:t>
      </w:r>
      <w:r w:rsidR="00DC3097" w:rsidRPr="00FE5422">
        <w:rPr>
          <w:rFonts w:ascii="Book Antiqua" w:hAnsi="Book Antiqua"/>
          <w:b/>
          <w:color w:val="000000" w:themeColor="text1"/>
          <w:sz w:val="24"/>
          <w:szCs w:val="24"/>
        </w:rPr>
        <w:t xml:space="preserve"> </w:t>
      </w:r>
      <w:r w:rsidR="009F73AA" w:rsidRPr="00FE5422">
        <w:rPr>
          <w:rFonts w:ascii="Book Antiqua" w:hAnsi="Book Antiqua"/>
          <w:b/>
          <w:color w:val="000000" w:themeColor="text1"/>
          <w:sz w:val="24"/>
          <w:szCs w:val="24"/>
        </w:rPr>
        <w:t>Tumors usually exhibit nil mitotic activity and a low Ki67 proliferation index of less than 3%, compatible with well differentiated neuroendocrine tumors, grade 1</w:t>
      </w:r>
      <w:r w:rsidR="009F73AA" w:rsidRPr="00FE5422">
        <w:rPr>
          <w:rFonts w:ascii="Book Antiqua" w:eastAsiaTheme="minorEastAsia" w:hAnsi="Book Antiqua"/>
          <w:b/>
          <w:color w:val="000000" w:themeColor="text1"/>
          <w:sz w:val="24"/>
          <w:szCs w:val="24"/>
          <w:lang w:eastAsia="zh-CN"/>
        </w:rPr>
        <w:t xml:space="preserve">. </w:t>
      </w:r>
      <w:r w:rsidRPr="00FE5422">
        <w:rPr>
          <w:rFonts w:ascii="Book Antiqua" w:hAnsi="Book Antiqua"/>
          <w:color w:val="000000" w:themeColor="text1"/>
          <w:sz w:val="24"/>
          <w:szCs w:val="24"/>
        </w:rPr>
        <w:t>A</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 xml:space="preserve">A nodule of neuroendocrine tumor nest of cells with nuclei showing “salt and pepper” chromatin with negligible mitotic </w:t>
      </w:r>
      <w:r w:rsidRPr="00FE5422">
        <w:rPr>
          <w:rFonts w:ascii="Book Antiqua" w:hAnsi="Book Antiqua"/>
          <w:color w:val="000000" w:themeColor="text1"/>
          <w:sz w:val="24"/>
          <w:szCs w:val="24"/>
        </w:rPr>
        <w:t>activity and absent necrosis (HE, 400</w:t>
      </w:r>
      <w:r w:rsidRPr="00FE5422">
        <w:rPr>
          <w:rFonts w:ascii="Book Antiqua" w:eastAsiaTheme="minorEastAsia" w:hAnsi="Book Antiqua"/>
          <w:color w:val="000000" w:themeColor="text1"/>
          <w:sz w:val="24"/>
          <w:szCs w:val="24"/>
          <w:lang w:eastAsia="zh-CN"/>
        </w:rPr>
        <w:t>×</w:t>
      </w:r>
      <w:r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B</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Ki67 proliferation index of 5%, consistent with a well differentiated neuroendocrine tumor G2 (Ki67 immunostain,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C</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Nest of tumors cells, arranged in nodules, showing intermediate grade cytological atypia characterized by abundant amphophilic cytoplasm, enlarged nuclei wi</w:t>
      </w:r>
      <w:r w:rsidRPr="00FE5422">
        <w:rPr>
          <w:rFonts w:ascii="Book Antiqua" w:hAnsi="Book Antiqua"/>
          <w:color w:val="000000" w:themeColor="text1"/>
          <w:sz w:val="24"/>
          <w:szCs w:val="24"/>
        </w:rPr>
        <w:t>th open chromatin and nucleoli</w:t>
      </w:r>
      <w:r w:rsidRPr="00FE5422">
        <w:rPr>
          <w:rFonts w:ascii="Book Antiqua" w:eastAsiaTheme="minorEastAsia" w:hAnsi="Book Antiqua"/>
          <w:color w:val="000000" w:themeColor="text1"/>
          <w:sz w:val="24"/>
          <w:szCs w:val="24"/>
          <w:lang w:eastAsia="zh-CN"/>
        </w:rPr>
        <w:t xml:space="preserve">; </w:t>
      </w:r>
      <w:r w:rsidR="00DC3097" w:rsidRPr="00FE5422">
        <w:rPr>
          <w:rFonts w:ascii="Book Antiqua" w:hAnsi="Book Antiqua"/>
          <w:color w:val="000000" w:themeColor="text1"/>
          <w:sz w:val="24"/>
          <w:szCs w:val="24"/>
        </w:rPr>
        <w:t>D</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 xml:space="preserve"> Ki67 proliferation index of more than 20%, consistent with a well differentiated neuroendocrine tumor G3 (Ki67 immunostain, 400</w:t>
      </w:r>
      <w:r w:rsidRPr="00FE5422">
        <w:rPr>
          <w:rFonts w:ascii="Book Antiqua" w:eastAsiaTheme="minorEastAsia" w:hAnsi="Book Antiqua"/>
          <w:color w:val="000000" w:themeColor="text1"/>
          <w:sz w:val="24"/>
          <w:szCs w:val="24"/>
          <w:lang w:eastAsia="zh-CN"/>
        </w:rPr>
        <w:t>×</w:t>
      </w:r>
      <w:r w:rsidR="00DC3097" w:rsidRPr="00FE5422">
        <w:rPr>
          <w:rFonts w:ascii="Book Antiqua" w:hAnsi="Book Antiqua"/>
          <w:color w:val="000000" w:themeColor="text1"/>
          <w:sz w:val="24"/>
          <w:szCs w:val="24"/>
        </w:rPr>
        <w:t>).</w:t>
      </w:r>
    </w:p>
    <w:p w:rsidR="00DC3097" w:rsidRPr="00631641" w:rsidRDefault="00DC3097" w:rsidP="00631641">
      <w:pPr>
        <w:pStyle w:val="a3"/>
        <w:spacing w:line="360" w:lineRule="auto"/>
        <w:jc w:val="both"/>
        <w:rPr>
          <w:rFonts w:ascii="Book Antiqua" w:hAnsi="Book Antiqua"/>
          <w:color w:val="000000" w:themeColor="text1"/>
          <w:sz w:val="24"/>
          <w:szCs w:val="24"/>
        </w:rPr>
      </w:pPr>
    </w:p>
    <w:p w:rsidR="00DC3097" w:rsidRPr="00631641" w:rsidRDefault="00DC3097" w:rsidP="00631641">
      <w:pPr>
        <w:tabs>
          <w:tab w:val="left" w:pos="531"/>
        </w:tabs>
        <w:spacing w:line="360" w:lineRule="auto"/>
        <w:ind w:right="203"/>
        <w:jc w:val="both"/>
        <w:rPr>
          <w:rFonts w:ascii="Book Antiqua" w:eastAsiaTheme="minorEastAsia" w:hAnsi="Book Antiqua"/>
          <w:color w:val="000000" w:themeColor="text1"/>
          <w:sz w:val="24"/>
          <w:szCs w:val="24"/>
          <w:lang w:eastAsia="zh-CN"/>
        </w:rPr>
      </w:pPr>
    </w:p>
    <w:sectPr w:rsidR="00DC3097" w:rsidRPr="00631641" w:rsidSect="007D0B5C">
      <w:pgSz w:w="12240" w:h="15840"/>
      <w:pgMar w:top="1360" w:right="1240" w:bottom="280"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B14" w:rsidRDefault="00661B14" w:rsidP="00A54EF5">
      <w:r>
        <w:separator/>
      </w:r>
    </w:p>
  </w:endnote>
  <w:endnote w:type="continuationSeparator" w:id="0">
    <w:p w:rsidR="00661B14" w:rsidRDefault="00661B14" w:rsidP="00A54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B14" w:rsidRDefault="00661B14" w:rsidP="00A54EF5">
      <w:r>
        <w:separator/>
      </w:r>
    </w:p>
  </w:footnote>
  <w:footnote w:type="continuationSeparator" w:id="0">
    <w:p w:rsidR="00661B14" w:rsidRDefault="00661B14" w:rsidP="00A54EF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12270"/>
    <w:multiLevelType w:val="hybridMultilevel"/>
    <w:tmpl w:val="90ACA028"/>
    <w:lvl w:ilvl="0" w:tplc="CFF445D4">
      <w:start w:val="39"/>
      <w:numFmt w:val="decimal"/>
      <w:lvlText w:val="%1."/>
      <w:lvlJc w:val="left"/>
      <w:pPr>
        <w:ind w:left="220" w:hanging="252"/>
      </w:pPr>
      <w:rPr>
        <w:rFonts w:ascii="Arial" w:eastAsia="Arial" w:hAnsi="Arial" w:cs="Arial" w:hint="default"/>
        <w:w w:val="99"/>
        <w:sz w:val="16"/>
        <w:szCs w:val="16"/>
        <w:lang w:val="en-US" w:eastAsia="en-US" w:bidi="en-US"/>
      </w:rPr>
    </w:lvl>
    <w:lvl w:ilvl="1" w:tplc="244CD230">
      <w:numFmt w:val="bullet"/>
      <w:lvlText w:val="•"/>
      <w:lvlJc w:val="left"/>
      <w:pPr>
        <w:ind w:left="1176" w:hanging="252"/>
      </w:pPr>
      <w:rPr>
        <w:rFonts w:hint="default"/>
        <w:lang w:val="en-US" w:eastAsia="en-US" w:bidi="en-US"/>
      </w:rPr>
    </w:lvl>
    <w:lvl w:ilvl="2" w:tplc="F1BAF8B8">
      <w:numFmt w:val="bullet"/>
      <w:lvlText w:val="•"/>
      <w:lvlJc w:val="left"/>
      <w:pPr>
        <w:ind w:left="2132" w:hanging="252"/>
      </w:pPr>
      <w:rPr>
        <w:rFonts w:hint="default"/>
        <w:lang w:val="en-US" w:eastAsia="en-US" w:bidi="en-US"/>
      </w:rPr>
    </w:lvl>
    <w:lvl w:ilvl="3" w:tplc="5F7EE9C8">
      <w:numFmt w:val="bullet"/>
      <w:lvlText w:val="•"/>
      <w:lvlJc w:val="left"/>
      <w:pPr>
        <w:ind w:left="3088" w:hanging="252"/>
      </w:pPr>
      <w:rPr>
        <w:rFonts w:hint="default"/>
        <w:lang w:val="en-US" w:eastAsia="en-US" w:bidi="en-US"/>
      </w:rPr>
    </w:lvl>
    <w:lvl w:ilvl="4" w:tplc="538EFF9C">
      <w:numFmt w:val="bullet"/>
      <w:lvlText w:val="•"/>
      <w:lvlJc w:val="left"/>
      <w:pPr>
        <w:ind w:left="4044" w:hanging="252"/>
      </w:pPr>
      <w:rPr>
        <w:rFonts w:hint="default"/>
        <w:lang w:val="en-US" w:eastAsia="en-US" w:bidi="en-US"/>
      </w:rPr>
    </w:lvl>
    <w:lvl w:ilvl="5" w:tplc="A23A3E30">
      <w:numFmt w:val="bullet"/>
      <w:lvlText w:val="•"/>
      <w:lvlJc w:val="left"/>
      <w:pPr>
        <w:ind w:left="5000" w:hanging="252"/>
      </w:pPr>
      <w:rPr>
        <w:rFonts w:hint="default"/>
        <w:lang w:val="en-US" w:eastAsia="en-US" w:bidi="en-US"/>
      </w:rPr>
    </w:lvl>
    <w:lvl w:ilvl="6" w:tplc="09D46E18">
      <w:numFmt w:val="bullet"/>
      <w:lvlText w:val="•"/>
      <w:lvlJc w:val="left"/>
      <w:pPr>
        <w:ind w:left="5956" w:hanging="252"/>
      </w:pPr>
      <w:rPr>
        <w:rFonts w:hint="default"/>
        <w:lang w:val="en-US" w:eastAsia="en-US" w:bidi="en-US"/>
      </w:rPr>
    </w:lvl>
    <w:lvl w:ilvl="7" w:tplc="2E4443CE">
      <w:numFmt w:val="bullet"/>
      <w:lvlText w:val="•"/>
      <w:lvlJc w:val="left"/>
      <w:pPr>
        <w:ind w:left="6912" w:hanging="252"/>
      </w:pPr>
      <w:rPr>
        <w:rFonts w:hint="default"/>
        <w:lang w:val="en-US" w:eastAsia="en-US" w:bidi="en-US"/>
      </w:rPr>
    </w:lvl>
    <w:lvl w:ilvl="8" w:tplc="86EA5BB4">
      <w:numFmt w:val="bullet"/>
      <w:lvlText w:val="•"/>
      <w:lvlJc w:val="left"/>
      <w:pPr>
        <w:ind w:left="7868" w:hanging="252"/>
      </w:pPr>
      <w:rPr>
        <w:rFonts w:hint="default"/>
        <w:lang w:val="en-US" w:eastAsia="en-US" w:bidi="en-US"/>
      </w:rPr>
    </w:lvl>
  </w:abstractNum>
  <w:abstractNum w:abstractNumId="1" w15:restartNumberingAfterBreak="0">
    <w:nsid w:val="35095FF9"/>
    <w:multiLevelType w:val="hybridMultilevel"/>
    <w:tmpl w:val="27321CBC"/>
    <w:lvl w:ilvl="0" w:tplc="B704AFA8">
      <w:start w:val="10"/>
      <w:numFmt w:val="decimal"/>
      <w:lvlText w:val="%1."/>
      <w:lvlJc w:val="left"/>
      <w:pPr>
        <w:ind w:left="220" w:hanging="252"/>
      </w:pPr>
      <w:rPr>
        <w:rFonts w:ascii="Arial" w:eastAsia="Arial" w:hAnsi="Arial" w:cs="Arial" w:hint="default"/>
        <w:spacing w:val="-1"/>
        <w:w w:val="99"/>
        <w:sz w:val="16"/>
        <w:szCs w:val="16"/>
        <w:lang w:val="en-US" w:eastAsia="en-US" w:bidi="en-US"/>
      </w:rPr>
    </w:lvl>
    <w:lvl w:ilvl="1" w:tplc="57165C7E">
      <w:numFmt w:val="bullet"/>
      <w:lvlText w:val="•"/>
      <w:lvlJc w:val="left"/>
      <w:pPr>
        <w:ind w:left="1176" w:hanging="252"/>
      </w:pPr>
      <w:rPr>
        <w:rFonts w:hint="default"/>
        <w:lang w:val="en-US" w:eastAsia="en-US" w:bidi="en-US"/>
      </w:rPr>
    </w:lvl>
    <w:lvl w:ilvl="2" w:tplc="BA526CE0">
      <w:numFmt w:val="bullet"/>
      <w:lvlText w:val="•"/>
      <w:lvlJc w:val="left"/>
      <w:pPr>
        <w:ind w:left="2132" w:hanging="252"/>
      </w:pPr>
      <w:rPr>
        <w:rFonts w:hint="default"/>
        <w:lang w:val="en-US" w:eastAsia="en-US" w:bidi="en-US"/>
      </w:rPr>
    </w:lvl>
    <w:lvl w:ilvl="3" w:tplc="4EA21E30">
      <w:numFmt w:val="bullet"/>
      <w:lvlText w:val="•"/>
      <w:lvlJc w:val="left"/>
      <w:pPr>
        <w:ind w:left="3088" w:hanging="252"/>
      </w:pPr>
      <w:rPr>
        <w:rFonts w:hint="default"/>
        <w:lang w:val="en-US" w:eastAsia="en-US" w:bidi="en-US"/>
      </w:rPr>
    </w:lvl>
    <w:lvl w:ilvl="4" w:tplc="71A09A84">
      <w:numFmt w:val="bullet"/>
      <w:lvlText w:val="•"/>
      <w:lvlJc w:val="left"/>
      <w:pPr>
        <w:ind w:left="4044" w:hanging="252"/>
      </w:pPr>
      <w:rPr>
        <w:rFonts w:hint="default"/>
        <w:lang w:val="en-US" w:eastAsia="en-US" w:bidi="en-US"/>
      </w:rPr>
    </w:lvl>
    <w:lvl w:ilvl="5" w:tplc="646AD6DE">
      <w:numFmt w:val="bullet"/>
      <w:lvlText w:val="•"/>
      <w:lvlJc w:val="left"/>
      <w:pPr>
        <w:ind w:left="5000" w:hanging="252"/>
      </w:pPr>
      <w:rPr>
        <w:rFonts w:hint="default"/>
        <w:lang w:val="en-US" w:eastAsia="en-US" w:bidi="en-US"/>
      </w:rPr>
    </w:lvl>
    <w:lvl w:ilvl="6" w:tplc="A218073E">
      <w:numFmt w:val="bullet"/>
      <w:lvlText w:val="•"/>
      <w:lvlJc w:val="left"/>
      <w:pPr>
        <w:ind w:left="5956" w:hanging="252"/>
      </w:pPr>
      <w:rPr>
        <w:rFonts w:hint="default"/>
        <w:lang w:val="en-US" w:eastAsia="en-US" w:bidi="en-US"/>
      </w:rPr>
    </w:lvl>
    <w:lvl w:ilvl="7" w:tplc="0EECB60C">
      <w:numFmt w:val="bullet"/>
      <w:lvlText w:val="•"/>
      <w:lvlJc w:val="left"/>
      <w:pPr>
        <w:ind w:left="6912" w:hanging="252"/>
      </w:pPr>
      <w:rPr>
        <w:rFonts w:hint="default"/>
        <w:lang w:val="en-US" w:eastAsia="en-US" w:bidi="en-US"/>
      </w:rPr>
    </w:lvl>
    <w:lvl w:ilvl="8" w:tplc="9AAC3252">
      <w:numFmt w:val="bullet"/>
      <w:lvlText w:val="•"/>
      <w:lvlJc w:val="left"/>
      <w:pPr>
        <w:ind w:left="7868" w:hanging="252"/>
      </w:pPr>
      <w:rPr>
        <w:rFonts w:hint="default"/>
        <w:lang w:val="en-US" w:eastAsia="en-US" w:bidi="en-US"/>
      </w:rPr>
    </w:lvl>
  </w:abstractNum>
  <w:abstractNum w:abstractNumId="2" w15:restartNumberingAfterBreak="0">
    <w:nsid w:val="70890C0E"/>
    <w:multiLevelType w:val="hybridMultilevel"/>
    <w:tmpl w:val="436612BA"/>
    <w:lvl w:ilvl="0" w:tplc="E6A62A9E">
      <w:start w:val="1"/>
      <w:numFmt w:val="decimal"/>
      <w:lvlText w:val="%1."/>
      <w:lvlJc w:val="left"/>
      <w:pPr>
        <w:ind w:left="220" w:hanging="195"/>
      </w:pPr>
      <w:rPr>
        <w:rFonts w:ascii="Arial" w:eastAsia="Arial" w:hAnsi="Arial" w:cs="Arial" w:hint="default"/>
        <w:w w:val="100"/>
        <w:sz w:val="18"/>
        <w:szCs w:val="18"/>
        <w:lang w:val="en-US" w:eastAsia="en-US" w:bidi="en-US"/>
      </w:rPr>
    </w:lvl>
    <w:lvl w:ilvl="1" w:tplc="463278E6">
      <w:numFmt w:val="bullet"/>
      <w:lvlText w:val="•"/>
      <w:lvlJc w:val="left"/>
      <w:pPr>
        <w:ind w:left="1176" w:hanging="195"/>
      </w:pPr>
      <w:rPr>
        <w:rFonts w:hint="default"/>
        <w:lang w:val="en-US" w:eastAsia="en-US" w:bidi="en-US"/>
      </w:rPr>
    </w:lvl>
    <w:lvl w:ilvl="2" w:tplc="AF06136E">
      <w:numFmt w:val="bullet"/>
      <w:lvlText w:val="•"/>
      <w:lvlJc w:val="left"/>
      <w:pPr>
        <w:ind w:left="2132" w:hanging="195"/>
      </w:pPr>
      <w:rPr>
        <w:rFonts w:hint="default"/>
        <w:lang w:val="en-US" w:eastAsia="en-US" w:bidi="en-US"/>
      </w:rPr>
    </w:lvl>
    <w:lvl w:ilvl="3" w:tplc="C7F0E3A2">
      <w:numFmt w:val="bullet"/>
      <w:lvlText w:val="•"/>
      <w:lvlJc w:val="left"/>
      <w:pPr>
        <w:ind w:left="3088" w:hanging="195"/>
      </w:pPr>
      <w:rPr>
        <w:rFonts w:hint="default"/>
        <w:lang w:val="en-US" w:eastAsia="en-US" w:bidi="en-US"/>
      </w:rPr>
    </w:lvl>
    <w:lvl w:ilvl="4" w:tplc="78605DB8">
      <w:numFmt w:val="bullet"/>
      <w:lvlText w:val="•"/>
      <w:lvlJc w:val="left"/>
      <w:pPr>
        <w:ind w:left="4044" w:hanging="195"/>
      </w:pPr>
      <w:rPr>
        <w:rFonts w:hint="default"/>
        <w:lang w:val="en-US" w:eastAsia="en-US" w:bidi="en-US"/>
      </w:rPr>
    </w:lvl>
    <w:lvl w:ilvl="5" w:tplc="F0C2E82C">
      <w:numFmt w:val="bullet"/>
      <w:lvlText w:val="•"/>
      <w:lvlJc w:val="left"/>
      <w:pPr>
        <w:ind w:left="5000" w:hanging="195"/>
      </w:pPr>
      <w:rPr>
        <w:rFonts w:hint="default"/>
        <w:lang w:val="en-US" w:eastAsia="en-US" w:bidi="en-US"/>
      </w:rPr>
    </w:lvl>
    <w:lvl w:ilvl="6" w:tplc="A00A1A38">
      <w:numFmt w:val="bullet"/>
      <w:lvlText w:val="•"/>
      <w:lvlJc w:val="left"/>
      <w:pPr>
        <w:ind w:left="5956" w:hanging="195"/>
      </w:pPr>
      <w:rPr>
        <w:rFonts w:hint="default"/>
        <w:lang w:val="en-US" w:eastAsia="en-US" w:bidi="en-US"/>
      </w:rPr>
    </w:lvl>
    <w:lvl w:ilvl="7" w:tplc="2EC212FC">
      <w:numFmt w:val="bullet"/>
      <w:lvlText w:val="•"/>
      <w:lvlJc w:val="left"/>
      <w:pPr>
        <w:ind w:left="6912" w:hanging="195"/>
      </w:pPr>
      <w:rPr>
        <w:rFonts w:hint="default"/>
        <w:lang w:val="en-US" w:eastAsia="en-US" w:bidi="en-US"/>
      </w:rPr>
    </w:lvl>
    <w:lvl w:ilvl="8" w:tplc="B9E8965E">
      <w:numFmt w:val="bullet"/>
      <w:lvlText w:val="•"/>
      <w:lvlJc w:val="left"/>
      <w:pPr>
        <w:ind w:left="7868" w:hanging="195"/>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34"/>
    <w:rsid w:val="000100B9"/>
    <w:rsid w:val="000932D4"/>
    <w:rsid w:val="000C07B4"/>
    <w:rsid w:val="000C27C4"/>
    <w:rsid w:val="0010736D"/>
    <w:rsid w:val="0012511B"/>
    <w:rsid w:val="00132ACA"/>
    <w:rsid w:val="00156547"/>
    <w:rsid w:val="00175001"/>
    <w:rsid w:val="00182A5A"/>
    <w:rsid w:val="002121CA"/>
    <w:rsid w:val="00247C55"/>
    <w:rsid w:val="00263E60"/>
    <w:rsid w:val="002D412E"/>
    <w:rsid w:val="002F5C1C"/>
    <w:rsid w:val="003C315F"/>
    <w:rsid w:val="003C6259"/>
    <w:rsid w:val="003D356A"/>
    <w:rsid w:val="003E4CB7"/>
    <w:rsid w:val="00407676"/>
    <w:rsid w:val="004100BA"/>
    <w:rsid w:val="004638BC"/>
    <w:rsid w:val="00466E39"/>
    <w:rsid w:val="004F67B2"/>
    <w:rsid w:val="005448AA"/>
    <w:rsid w:val="005871D5"/>
    <w:rsid w:val="005A463A"/>
    <w:rsid w:val="005C1488"/>
    <w:rsid w:val="00631641"/>
    <w:rsid w:val="00636B23"/>
    <w:rsid w:val="00644825"/>
    <w:rsid w:val="00661B14"/>
    <w:rsid w:val="006A3800"/>
    <w:rsid w:val="006C51A8"/>
    <w:rsid w:val="007152D0"/>
    <w:rsid w:val="00720E0D"/>
    <w:rsid w:val="00741A36"/>
    <w:rsid w:val="00761C42"/>
    <w:rsid w:val="00771ABE"/>
    <w:rsid w:val="007B2600"/>
    <w:rsid w:val="007D0B5C"/>
    <w:rsid w:val="007F4544"/>
    <w:rsid w:val="00831E0E"/>
    <w:rsid w:val="00856862"/>
    <w:rsid w:val="008A7894"/>
    <w:rsid w:val="008D3CC9"/>
    <w:rsid w:val="008F18B6"/>
    <w:rsid w:val="00933919"/>
    <w:rsid w:val="00940A7D"/>
    <w:rsid w:val="0097455C"/>
    <w:rsid w:val="009C6234"/>
    <w:rsid w:val="009F73AA"/>
    <w:rsid w:val="00A54EF5"/>
    <w:rsid w:val="00A77614"/>
    <w:rsid w:val="00AC3435"/>
    <w:rsid w:val="00AC4188"/>
    <w:rsid w:val="00AE12FD"/>
    <w:rsid w:val="00B145DA"/>
    <w:rsid w:val="00B227FC"/>
    <w:rsid w:val="00B9424F"/>
    <w:rsid w:val="00BA0FFF"/>
    <w:rsid w:val="00BB5F01"/>
    <w:rsid w:val="00BC2705"/>
    <w:rsid w:val="00BF2F18"/>
    <w:rsid w:val="00C77E67"/>
    <w:rsid w:val="00CB2B90"/>
    <w:rsid w:val="00CE3920"/>
    <w:rsid w:val="00CF10F9"/>
    <w:rsid w:val="00DC3097"/>
    <w:rsid w:val="00E40931"/>
    <w:rsid w:val="00E443D1"/>
    <w:rsid w:val="00E81E8E"/>
    <w:rsid w:val="00E948FE"/>
    <w:rsid w:val="00EA2BD3"/>
    <w:rsid w:val="00EB396B"/>
    <w:rsid w:val="00ED392A"/>
    <w:rsid w:val="00EE4015"/>
    <w:rsid w:val="00EE714D"/>
    <w:rsid w:val="00F143E9"/>
    <w:rsid w:val="00F403B4"/>
    <w:rsid w:val="00F72356"/>
    <w:rsid w:val="00FD2CDA"/>
    <w:rsid w:val="00FE54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64894A-3313-40D8-BDD1-2A74457CC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eastAsia="Arial" w:hAnsi="Arial" w:cs="Arial"/>
      <w:lang w:bidi="en-US"/>
    </w:rPr>
  </w:style>
  <w:style w:type="paragraph" w:styleId="1">
    <w:name w:val="heading 1"/>
    <w:basedOn w:val="a"/>
    <w:link w:val="10"/>
    <w:uiPriority w:val="9"/>
    <w:qFormat/>
    <w:pPr>
      <w:ind w:left="220"/>
      <w:jc w:val="both"/>
      <w:outlineLvl w:val="0"/>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18"/>
      <w:szCs w:val="18"/>
    </w:rPr>
  </w:style>
  <w:style w:type="paragraph" w:styleId="a5">
    <w:name w:val="List Paragraph"/>
    <w:basedOn w:val="a"/>
    <w:uiPriority w:val="1"/>
    <w:qFormat/>
    <w:pPr>
      <w:ind w:left="220" w:right="198"/>
      <w:jc w:val="both"/>
    </w:pPr>
  </w:style>
  <w:style w:type="paragraph" w:customStyle="1" w:styleId="TableParagraph">
    <w:name w:val="Table Paragraph"/>
    <w:basedOn w:val="a"/>
    <w:uiPriority w:val="1"/>
    <w:qFormat/>
  </w:style>
  <w:style w:type="character" w:styleId="a6">
    <w:name w:val="Hyperlink"/>
    <w:basedOn w:val="a0"/>
    <w:uiPriority w:val="99"/>
    <w:unhideWhenUsed/>
    <w:rsid w:val="00CB2B90"/>
    <w:rPr>
      <w:color w:val="0000FF" w:themeColor="hyperlink"/>
      <w:u w:val="single"/>
    </w:rPr>
  </w:style>
  <w:style w:type="paragraph" w:customStyle="1" w:styleId="Default">
    <w:name w:val="Default"/>
    <w:rsid w:val="00466E39"/>
    <w:pPr>
      <w:adjustRightInd w:val="0"/>
    </w:pPr>
    <w:rPr>
      <w:rFonts w:ascii="Arial" w:hAnsi="Arial" w:cs="Arial"/>
      <w:color w:val="000000"/>
      <w:sz w:val="24"/>
      <w:szCs w:val="24"/>
    </w:rPr>
  </w:style>
  <w:style w:type="paragraph" w:styleId="a7">
    <w:name w:val="Plain Text"/>
    <w:basedOn w:val="a"/>
    <w:link w:val="a8"/>
    <w:unhideWhenUsed/>
    <w:rsid w:val="00DC3097"/>
    <w:pPr>
      <w:autoSpaceDE/>
      <w:autoSpaceDN/>
      <w:jc w:val="both"/>
    </w:pPr>
    <w:rPr>
      <w:rFonts w:ascii="宋体" w:eastAsia="宋体" w:hAnsi="Courier New" w:cs="Courier New"/>
      <w:kern w:val="2"/>
      <w:sz w:val="21"/>
      <w:szCs w:val="21"/>
      <w:lang w:eastAsia="zh-CN" w:bidi="ar-SA"/>
    </w:rPr>
  </w:style>
  <w:style w:type="character" w:customStyle="1" w:styleId="a8">
    <w:name w:val="纯文本 字符"/>
    <w:basedOn w:val="a0"/>
    <w:link w:val="a7"/>
    <w:rsid w:val="00DC3097"/>
    <w:rPr>
      <w:rFonts w:ascii="宋体" w:eastAsia="宋体" w:hAnsi="Courier New" w:cs="Courier New"/>
      <w:kern w:val="2"/>
      <w:sz w:val="21"/>
      <w:szCs w:val="21"/>
      <w:lang w:eastAsia="zh-CN"/>
    </w:rPr>
  </w:style>
  <w:style w:type="table" w:styleId="a9">
    <w:name w:val="Table Grid"/>
    <w:basedOn w:val="a1"/>
    <w:uiPriority w:val="39"/>
    <w:rsid w:val="006C5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54EF5"/>
    <w:rPr>
      <w:sz w:val="18"/>
      <w:szCs w:val="18"/>
    </w:rPr>
  </w:style>
  <w:style w:type="character" w:customStyle="1" w:styleId="ab">
    <w:name w:val="批注框文本 字符"/>
    <w:basedOn w:val="a0"/>
    <w:link w:val="aa"/>
    <w:uiPriority w:val="99"/>
    <w:semiHidden/>
    <w:rsid w:val="00A54EF5"/>
    <w:rPr>
      <w:rFonts w:ascii="Arial" w:eastAsia="Arial" w:hAnsi="Arial" w:cs="Arial"/>
      <w:sz w:val="18"/>
      <w:szCs w:val="18"/>
      <w:lang w:bidi="en-US"/>
    </w:rPr>
  </w:style>
  <w:style w:type="character" w:styleId="ac">
    <w:name w:val="annotation reference"/>
    <w:basedOn w:val="a0"/>
    <w:uiPriority w:val="99"/>
    <w:semiHidden/>
    <w:unhideWhenUsed/>
    <w:rsid w:val="00A54EF5"/>
    <w:rPr>
      <w:sz w:val="21"/>
      <w:szCs w:val="21"/>
    </w:rPr>
  </w:style>
  <w:style w:type="paragraph" w:styleId="ad">
    <w:name w:val="annotation text"/>
    <w:basedOn w:val="a"/>
    <w:link w:val="ae"/>
    <w:uiPriority w:val="99"/>
    <w:semiHidden/>
    <w:unhideWhenUsed/>
    <w:rsid w:val="00A54EF5"/>
  </w:style>
  <w:style w:type="character" w:customStyle="1" w:styleId="ae">
    <w:name w:val="批注文字 字符"/>
    <w:basedOn w:val="a0"/>
    <w:link w:val="ad"/>
    <w:uiPriority w:val="99"/>
    <w:semiHidden/>
    <w:rsid w:val="00A54EF5"/>
    <w:rPr>
      <w:rFonts w:ascii="Arial" w:eastAsia="Arial" w:hAnsi="Arial" w:cs="Arial"/>
      <w:lang w:bidi="en-US"/>
    </w:rPr>
  </w:style>
  <w:style w:type="paragraph" w:styleId="af">
    <w:name w:val="annotation subject"/>
    <w:basedOn w:val="ad"/>
    <w:next w:val="ad"/>
    <w:link w:val="af0"/>
    <w:uiPriority w:val="99"/>
    <w:semiHidden/>
    <w:unhideWhenUsed/>
    <w:rsid w:val="00A54EF5"/>
    <w:rPr>
      <w:b/>
      <w:bCs/>
    </w:rPr>
  </w:style>
  <w:style w:type="character" w:customStyle="1" w:styleId="af0">
    <w:name w:val="批注主题 字符"/>
    <w:basedOn w:val="ae"/>
    <w:link w:val="af"/>
    <w:uiPriority w:val="99"/>
    <w:semiHidden/>
    <w:rsid w:val="00A54EF5"/>
    <w:rPr>
      <w:rFonts w:ascii="Arial" w:eastAsia="Arial" w:hAnsi="Arial" w:cs="Arial"/>
      <w:b/>
      <w:bCs/>
      <w:lang w:bidi="en-US"/>
    </w:rPr>
  </w:style>
  <w:style w:type="paragraph" w:styleId="af1">
    <w:name w:val="header"/>
    <w:basedOn w:val="a"/>
    <w:link w:val="af2"/>
    <w:uiPriority w:val="99"/>
    <w:unhideWhenUsed/>
    <w:rsid w:val="00A54EF5"/>
    <w:pPr>
      <w:pBdr>
        <w:bottom w:val="single" w:sz="6" w:space="1" w:color="auto"/>
      </w:pBdr>
      <w:tabs>
        <w:tab w:val="center" w:pos="4153"/>
        <w:tab w:val="right" w:pos="8306"/>
      </w:tabs>
      <w:snapToGrid w:val="0"/>
      <w:jc w:val="center"/>
    </w:pPr>
    <w:rPr>
      <w:sz w:val="18"/>
      <w:szCs w:val="18"/>
    </w:rPr>
  </w:style>
  <w:style w:type="character" w:customStyle="1" w:styleId="af2">
    <w:name w:val="页眉 字符"/>
    <w:basedOn w:val="a0"/>
    <w:link w:val="af1"/>
    <w:uiPriority w:val="99"/>
    <w:rsid w:val="00A54EF5"/>
    <w:rPr>
      <w:rFonts w:ascii="Arial" w:eastAsia="Arial" w:hAnsi="Arial" w:cs="Arial"/>
      <w:sz w:val="18"/>
      <w:szCs w:val="18"/>
      <w:lang w:bidi="en-US"/>
    </w:rPr>
  </w:style>
  <w:style w:type="paragraph" w:styleId="af3">
    <w:name w:val="footer"/>
    <w:basedOn w:val="a"/>
    <w:link w:val="af4"/>
    <w:uiPriority w:val="99"/>
    <w:unhideWhenUsed/>
    <w:rsid w:val="00A54EF5"/>
    <w:pPr>
      <w:tabs>
        <w:tab w:val="center" w:pos="4153"/>
        <w:tab w:val="right" w:pos="8306"/>
      </w:tabs>
      <w:snapToGrid w:val="0"/>
    </w:pPr>
    <w:rPr>
      <w:sz w:val="18"/>
      <w:szCs w:val="18"/>
    </w:rPr>
  </w:style>
  <w:style w:type="character" w:customStyle="1" w:styleId="af4">
    <w:name w:val="页脚 字符"/>
    <w:basedOn w:val="a0"/>
    <w:link w:val="af3"/>
    <w:uiPriority w:val="99"/>
    <w:rsid w:val="00A54EF5"/>
    <w:rPr>
      <w:rFonts w:ascii="Arial" w:eastAsia="Arial" w:hAnsi="Arial" w:cs="Arial"/>
      <w:sz w:val="18"/>
      <w:szCs w:val="18"/>
      <w:lang w:bidi="en-US"/>
    </w:rPr>
  </w:style>
  <w:style w:type="character" w:customStyle="1" w:styleId="10">
    <w:name w:val="标题 1 字符"/>
    <w:basedOn w:val="a0"/>
    <w:link w:val="1"/>
    <w:uiPriority w:val="9"/>
    <w:rsid w:val="008A7894"/>
    <w:rPr>
      <w:rFonts w:ascii="Arial" w:eastAsia="Arial" w:hAnsi="Arial" w:cs="Arial"/>
      <w:b/>
      <w:bCs/>
      <w:sz w:val="18"/>
      <w:szCs w:val="18"/>
      <w:lang w:bidi="en-US"/>
    </w:rPr>
  </w:style>
  <w:style w:type="character" w:customStyle="1" w:styleId="a4">
    <w:name w:val="正文文本 字符"/>
    <w:basedOn w:val="a0"/>
    <w:link w:val="a3"/>
    <w:uiPriority w:val="1"/>
    <w:rsid w:val="008A7894"/>
    <w:rPr>
      <w:rFonts w:ascii="Arial" w:eastAsia="Arial" w:hAnsi="Arial" w:cs="Arial"/>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0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khaled.algashaamy@jhsmiam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4305</Words>
  <Characters>24543</Characters>
  <Application>Microsoft Office Word</Application>
  <DocSecurity>0</DocSecurity>
  <Lines>204</Lines>
  <Paragraphs>57</Paragraphs>
  <ScaleCrop>false</ScaleCrop>
  <Company/>
  <LinksUpToDate>false</LinksUpToDate>
  <CharactersWithSpaces>28791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Khaled Algashaamy</dc:creator>
  <cp:lastModifiedBy>HP</cp:lastModifiedBy>
  <cp:revision>2</cp:revision>
  <dcterms:created xsi:type="dcterms:W3CDTF">2019-08-20T02:25:00Z</dcterms:created>
  <dcterms:modified xsi:type="dcterms:W3CDTF">2019-08-20T02:25:00Z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2019-07-14T00:00:00Z</vt:filetime>
  </property>
  <property fmtid="{D5CDD505-2E9C-101B-9397-08002B2CF9AE}" pid="3" name="Creator">
    <vt:lpwstr>Microsoft Word</vt:lpwstr>
  </property>
  <property fmtid="{D5CDD505-2E9C-101B-9397-08002B2CF9AE}" pid="4" name="LastSaved">
    <vt:filetime>2019-07-25T00:00:00Z</vt:filetime>
  </property>
</Properties>
</file>