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9092" w14:textId="45019C88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A169E7">
        <w:rPr>
          <w:rFonts w:ascii="Book Antiqua" w:hAnsi="Book Antiqua" w:cs="Times New Roman"/>
          <w:bCs/>
          <w:i/>
          <w:sz w:val="24"/>
          <w:szCs w:val="24"/>
        </w:rPr>
        <w:t>World Journal of Hepatology</w:t>
      </w:r>
    </w:p>
    <w:p w14:paraId="16AC512E" w14:textId="72BC35BF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Manuscript NO: </w:t>
      </w:r>
      <w:r w:rsidRPr="00A169E7">
        <w:rPr>
          <w:rFonts w:ascii="Book Antiqua" w:hAnsi="Book Antiqua" w:cs="Times New Roman"/>
          <w:bCs/>
          <w:sz w:val="24"/>
          <w:szCs w:val="24"/>
        </w:rPr>
        <w:t>48762</w:t>
      </w:r>
    </w:p>
    <w:p w14:paraId="2F32A21B" w14:textId="075B490B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Pr="00A169E7">
        <w:rPr>
          <w:rFonts w:ascii="Book Antiqua" w:hAnsi="Book Antiqua"/>
          <w:sz w:val="24"/>
          <w:szCs w:val="24"/>
          <w:lang w:val="it-IT"/>
        </w:rPr>
        <w:t>ORIGINAL ARTICLE</w:t>
      </w:r>
    </w:p>
    <w:p w14:paraId="53EB2022" w14:textId="77777777" w:rsidR="007B46CF" w:rsidRPr="00A169E7" w:rsidRDefault="007B46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1F00D80" w14:textId="36E03F5A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Retrospective Cohort Study</w:t>
      </w:r>
    </w:p>
    <w:p w14:paraId="0FE8D552" w14:textId="0722A1DC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Efficacy of </w:t>
      </w:r>
      <w:r w:rsidR="002615F8" w:rsidRPr="00A169E7">
        <w:rPr>
          <w:rFonts w:ascii="Book Antiqua" w:hAnsi="Book Antiqua" w:cs="Times New Roman"/>
          <w:b/>
          <w:sz w:val="24"/>
          <w:szCs w:val="24"/>
        </w:rPr>
        <w:t xml:space="preserve">long-term 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rifaximin treatment </w:t>
      </w:r>
      <w:r w:rsidR="002615F8" w:rsidRPr="00A169E7">
        <w:rPr>
          <w:rFonts w:ascii="Book Antiqua" w:hAnsi="Book Antiqua" w:cs="Times New Roman"/>
          <w:b/>
          <w:sz w:val="24"/>
          <w:szCs w:val="24"/>
        </w:rPr>
        <w:t>for hepatic encephalopathy in the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Japanese</w:t>
      </w:r>
    </w:p>
    <w:p w14:paraId="0FE8D553" w14:textId="743FDF6F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ADAB3D9" w14:textId="57812184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Nishida S </w:t>
      </w:r>
      <w:r w:rsidRPr="00A169E7">
        <w:rPr>
          <w:rFonts w:ascii="Book Antiqua" w:hAnsi="Book Antiqua" w:cs="Times New Roman"/>
          <w:i/>
          <w:sz w:val="24"/>
          <w:szCs w:val="24"/>
        </w:rPr>
        <w:t>et al</w:t>
      </w:r>
      <w:r w:rsidRPr="00A169E7">
        <w:rPr>
          <w:rFonts w:ascii="Book Antiqua" w:hAnsi="Book Antiqua" w:cs="Times New Roman"/>
          <w:sz w:val="24"/>
          <w:szCs w:val="24"/>
        </w:rPr>
        <w:t>. Efficacy of rifaximin in the Japanese</w:t>
      </w:r>
    </w:p>
    <w:p w14:paraId="0FEFABAF" w14:textId="789A0D2C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F83E74" w14:textId="2D3C7432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Shinya Nishida, Koichi Hamada, Noriyuki Nishino,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Fukushima,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Yoshinori Horikawa,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Yoshiki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Satoshi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</w:p>
    <w:p w14:paraId="3A7142D6" w14:textId="77777777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AB17A3" w14:textId="64FF7E64" w:rsidR="007579E4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Hlk7523924"/>
      <w:r w:rsidRPr="00A169E7">
        <w:rPr>
          <w:rFonts w:ascii="Book Antiqua" w:hAnsi="Book Antiqua" w:cs="Times New Roman"/>
          <w:b/>
          <w:sz w:val="24"/>
          <w:szCs w:val="24"/>
        </w:rPr>
        <w:t>Shinya Nishida</w:t>
      </w:r>
      <w:r w:rsidR="00422F3D" w:rsidRPr="00A169E7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7579E4" w:rsidRPr="00A169E7">
        <w:rPr>
          <w:rFonts w:ascii="Book Antiqua" w:hAnsi="Book Antiqua" w:cs="Times New Roman"/>
          <w:sz w:val="24"/>
          <w:szCs w:val="24"/>
        </w:rPr>
        <w:t>Department of Gastroenterology, S</w:t>
      </w:r>
      <w:r w:rsidR="00EA3684" w:rsidRPr="00A169E7">
        <w:rPr>
          <w:rFonts w:ascii="Book Antiqua" w:hAnsi="Book Antiqua" w:cs="Times New Roman"/>
          <w:sz w:val="24"/>
          <w:szCs w:val="24"/>
        </w:rPr>
        <w:t>hin</w:t>
      </w:r>
      <w:r w:rsidR="007579E4" w:rsidRPr="00A169E7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422F3D" w:rsidRPr="00A169E7">
        <w:rPr>
          <w:rFonts w:ascii="Book Antiqua" w:hAnsi="Book Antiqua" w:cs="Times New Roman"/>
          <w:sz w:val="24"/>
          <w:szCs w:val="24"/>
        </w:rPr>
        <w:t>Y</w:t>
      </w:r>
      <w:r w:rsidR="0003025A" w:rsidRPr="00A169E7">
        <w:rPr>
          <w:rFonts w:ascii="Book Antiqua" w:hAnsi="Book Antiqua" w:cs="Times New Roman"/>
          <w:sz w:val="24"/>
          <w:szCs w:val="24"/>
        </w:rPr>
        <w:t>urigaoka</w:t>
      </w:r>
      <w:proofErr w:type="spellEnd"/>
      <w:r w:rsidR="007579E4" w:rsidRPr="00A169E7">
        <w:rPr>
          <w:rFonts w:ascii="Book Antiqua" w:hAnsi="Book Antiqua" w:cs="Times New Roman"/>
          <w:sz w:val="24"/>
          <w:szCs w:val="24"/>
        </w:rPr>
        <w:t xml:space="preserve"> General Hospital, Kawasaki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579E4" w:rsidRPr="00A169E7">
        <w:rPr>
          <w:rFonts w:ascii="Book Antiqua" w:hAnsi="Book Antiqua" w:cs="Times New Roman"/>
          <w:sz w:val="24"/>
          <w:szCs w:val="24"/>
        </w:rPr>
        <w:t>215-0026, Japan</w:t>
      </w:r>
    </w:p>
    <w:p w14:paraId="6717C8E5" w14:textId="77777777" w:rsidR="007579E4" w:rsidRPr="00A169E7" w:rsidRDefault="007579E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E8D558" w14:textId="40F2140F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Koichi Hamad</w:t>
      </w:r>
      <w:r w:rsidR="008475B0" w:rsidRPr="00A169E7">
        <w:rPr>
          <w:rFonts w:ascii="Book Antiqua" w:hAnsi="Book Antiqua" w:cs="Times New Roman"/>
          <w:b/>
          <w:sz w:val="24"/>
          <w:szCs w:val="24"/>
        </w:rPr>
        <w:t>a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1" w:name="_Hlk5729533"/>
      <w:r w:rsidRPr="00A169E7">
        <w:rPr>
          <w:rFonts w:ascii="Book Antiqua" w:hAnsi="Book Antiqua" w:cs="Times New Roman"/>
          <w:b/>
          <w:sz w:val="24"/>
          <w:szCs w:val="24"/>
        </w:rPr>
        <w:t>Noriyuki Nishino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Fukushima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Koyanagi</w:t>
      </w:r>
      <w:proofErr w:type="spellEnd"/>
      <w:r w:rsidR="003927E3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Yoshinori Horikawa</w:t>
      </w:r>
      <w:r w:rsidR="00AB1AA6" w:rsidRPr="00A169E7">
        <w:rPr>
          <w:rFonts w:ascii="Book Antiqua" w:hAnsi="Book Antiqua" w:cs="Times New Roman"/>
          <w:b/>
          <w:sz w:val="24"/>
          <w:szCs w:val="24"/>
        </w:rPr>
        <w:t>,</w:t>
      </w:r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B1AA6" w:rsidRPr="00A169E7">
        <w:rPr>
          <w:rFonts w:ascii="Book Antiqua" w:hAnsi="Book Antiqua" w:cs="Times New Roman"/>
          <w:b/>
          <w:sz w:val="24"/>
          <w:szCs w:val="24"/>
        </w:rPr>
        <w:t>Yoshiki</w:t>
      </w:r>
      <w:proofErr w:type="spellEnd"/>
      <w:r w:rsidR="00AB1AA6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B1AA6" w:rsidRPr="00A169E7">
        <w:rPr>
          <w:rFonts w:ascii="Book Antiqua" w:hAnsi="Book Antiqua" w:cs="Times New Roman"/>
          <w:b/>
          <w:sz w:val="24"/>
          <w:szCs w:val="24"/>
        </w:rPr>
        <w:t>Shiwa</w:t>
      </w:r>
      <w:bookmarkEnd w:id="1"/>
      <w:proofErr w:type="spellEnd"/>
      <w:r w:rsidR="00D91F7B"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7579E4" w:rsidRPr="00A169E7">
        <w:rPr>
          <w:rFonts w:ascii="Book Antiqua" w:hAnsi="Book Antiqua" w:cs="Times New Roman"/>
          <w:b/>
          <w:sz w:val="24"/>
          <w:szCs w:val="24"/>
        </w:rPr>
        <w:t xml:space="preserve"> Satoshi </w:t>
      </w:r>
      <w:proofErr w:type="spellStart"/>
      <w:r w:rsidR="007579E4" w:rsidRPr="00A169E7">
        <w:rPr>
          <w:rFonts w:ascii="Book Antiqua" w:hAnsi="Book Antiqua" w:cs="Times New Roman"/>
          <w:b/>
          <w:sz w:val="24"/>
          <w:szCs w:val="24"/>
        </w:rPr>
        <w:t>Saitoh</w:t>
      </w:r>
      <w:bookmarkEnd w:id="0"/>
      <w:proofErr w:type="spellEnd"/>
      <w:r w:rsidR="00422F3D" w:rsidRPr="00A169E7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, </w:t>
      </w:r>
      <w:r w:rsidRPr="00A169E7">
        <w:rPr>
          <w:rFonts w:ascii="Book Antiqua" w:hAnsi="Book Antiqua" w:cs="Times New Roman"/>
          <w:sz w:val="24"/>
          <w:szCs w:val="24"/>
        </w:rPr>
        <w:t xml:space="preserve">Department of Gastroenterology, </w:t>
      </w:r>
      <w:bookmarkStart w:id="2" w:name="_Hlk3879495"/>
      <w:r w:rsidRPr="00A169E7">
        <w:rPr>
          <w:rFonts w:ascii="Book Antiqua" w:hAnsi="Book Antiqua" w:cs="Times New Roman"/>
          <w:sz w:val="24"/>
          <w:szCs w:val="24"/>
        </w:rPr>
        <w:t>Southern-Tohoku General Hospital</w:t>
      </w:r>
      <w:bookmarkEnd w:id="2"/>
      <w:r w:rsidRPr="00A169E7">
        <w:rPr>
          <w:rFonts w:ascii="Book Antiqua" w:hAnsi="Book Antiqua" w:cs="Times New Roman"/>
          <w:sz w:val="24"/>
          <w:szCs w:val="24"/>
        </w:rPr>
        <w:t>, Koriyama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963-8563, Japan </w:t>
      </w:r>
    </w:p>
    <w:p w14:paraId="28FF98E0" w14:textId="7098883D" w:rsidR="00916B62" w:rsidRPr="00A169E7" w:rsidRDefault="00916B6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FE8D559" w14:textId="7CA1CB50" w:rsidR="00B521A7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Koichi Hamada,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422F3D" w:rsidRPr="00A169E7">
        <w:rPr>
          <w:rFonts w:ascii="Book Antiqua" w:eastAsia="DengXian" w:hAnsi="Book Antiqua" w:cs="Times New Roman"/>
          <w:b/>
          <w:i/>
          <w:sz w:val="24"/>
          <w:szCs w:val="24"/>
          <w:lang w:eastAsia="zh-CN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Department of Minimally Invasive Surgical and Medical Oncology, Fukushima Medical University,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Fukushima 960-1295, Japan</w:t>
      </w:r>
    </w:p>
    <w:p w14:paraId="594576E4" w14:textId="58EEEE6E" w:rsidR="00D91F7B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FE8D55A" w14:textId="0F15E4A5" w:rsidR="00B521A7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Satoshi </w:t>
      </w:r>
      <w:proofErr w:type="spellStart"/>
      <w:r w:rsidRPr="00A169E7">
        <w:rPr>
          <w:rFonts w:ascii="Book Antiqua" w:hAnsi="Book Antiqua" w:cs="Times New Roman"/>
          <w:b/>
          <w:sz w:val="24"/>
          <w:szCs w:val="24"/>
        </w:rPr>
        <w:t>Saitoh</w:t>
      </w:r>
      <w:proofErr w:type="spellEnd"/>
      <w:r w:rsidRPr="00A169E7">
        <w:rPr>
          <w:rFonts w:ascii="Book Antiqua" w:hAnsi="Book Antiqua" w:cs="Times New Roman"/>
          <w:b/>
          <w:sz w:val="24"/>
          <w:szCs w:val="24"/>
        </w:rPr>
        <w:t>,</w:t>
      </w:r>
      <w:r w:rsidR="00422F3D" w:rsidRPr="00A169E7">
        <w:rPr>
          <w:rFonts w:ascii="Book Antiqua" w:eastAsia="DengXian" w:hAnsi="Book Antiqua" w:cs="Times New Roman"/>
          <w:b/>
          <w:i/>
          <w:sz w:val="24"/>
          <w:szCs w:val="24"/>
          <w:lang w:eastAsia="zh-CN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 xml:space="preserve">Department of Hepatology, </w:t>
      </w:r>
      <w:proofErr w:type="spellStart"/>
      <w:r w:rsidR="00B521A7" w:rsidRPr="00A169E7">
        <w:rPr>
          <w:rFonts w:ascii="Book Antiqua" w:hAnsi="Book Antiqua" w:cs="Times New Roman"/>
          <w:sz w:val="24"/>
          <w:szCs w:val="24"/>
        </w:rPr>
        <w:t>Toranomon</w:t>
      </w:r>
      <w:proofErr w:type="spellEnd"/>
      <w:r w:rsidR="00B521A7" w:rsidRPr="00A169E7">
        <w:rPr>
          <w:rFonts w:ascii="Book Antiqua" w:hAnsi="Book Antiqua" w:cs="Times New Roman"/>
          <w:sz w:val="24"/>
          <w:szCs w:val="24"/>
        </w:rPr>
        <w:t xml:space="preserve"> Hospital, Tokyo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21A7" w:rsidRPr="00A169E7">
        <w:rPr>
          <w:rFonts w:ascii="Book Antiqua" w:hAnsi="Book Antiqua" w:cs="Times New Roman"/>
          <w:sz w:val="24"/>
          <w:szCs w:val="24"/>
        </w:rPr>
        <w:t>105-8470, Japan</w:t>
      </w:r>
    </w:p>
    <w:p w14:paraId="0FE8D55B" w14:textId="14102BE6" w:rsidR="00B521A7" w:rsidRPr="00A169E7" w:rsidRDefault="00B521A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B70D39F" w14:textId="2BAF6578" w:rsidR="00D91F7B" w:rsidRPr="00A169E7" w:rsidRDefault="00D91F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ORCID number: </w:t>
      </w:r>
      <w:r w:rsidRPr="00A169E7">
        <w:rPr>
          <w:rFonts w:ascii="Book Antiqua" w:hAnsi="Book Antiqua" w:cs="Times New Roman"/>
          <w:sz w:val="24"/>
          <w:szCs w:val="24"/>
        </w:rPr>
        <w:t>Shinya Nishida 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0000-0001-6651-2066</w:t>
      </w:r>
      <w:r w:rsidRPr="00A169E7">
        <w:rPr>
          <w:rFonts w:ascii="Book Antiqua" w:hAnsi="Book Antiqua" w:cs="Times New Roman"/>
          <w:sz w:val="24"/>
          <w:szCs w:val="24"/>
        </w:rPr>
        <w:t>); Koichi Hamada (0000-0002-4669-5501); Noriyuki Nishino 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0000-0001-6934-8580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Daizo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Fukushima </w:t>
      </w:r>
      <w:r w:rsidRPr="00A169E7">
        <w:rPr>
          <w:rFonts w:ascii="Book Antiqua" w:hAnsi="Book Antiqua" w:cs="Times New Roman"/>
          <w:sz w:val="24"/>
          <w:szCs w:val="24"/>
        </w:rPr>
        <w:lastRenderedPageBreak/>
        <w:t>(</w:t>
      </w:r>
      <w:r w:rsidR="007C0967" w:rsidRPr="00A169E7">
        <w:rPr>
          <w:rFonts w:ascii="Book Antiqua" w:hAnsi="Book Antiqua" w:cs="Times New Roman"/>
          <w:sz w:val="24"/>
          <w:szCs w:val="24"/>
        </w:rPr>
        <w:t>0000-0001-7056-4686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Ryota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7C0967" w:rsidRPr="00A169E7">
        <w:rPr>
          <w:rFonts w:ascii="Book Antiqua" w:hAnsi="Book Antiqua" w:cs="Times New Roman"/>
          <w:sz w:val="24"/>
          <w:szCs w:val="24"/>
        </w:rPr>
        <w:t>000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-0002-9880-1716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Yoshinori Horikawa </w:t>
      </w:r>
      <w:r w:rsidR="007C0967" w:rsidRPr="00A169E7">
        <w:rPr>
          <w:rFonts w:ascii="Book Antiqua" w:hAnsi="Book Antiqua" w:cs="Times New Roman"/>
          <w:sz w:val="24"/>
          <w:szCs w:val="24"/>
        </w:rPr>
        <w:t>(000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-0002-6361-4654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5818C1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Yoshiki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7C0967" w:rsidRPr="00A169E7">
        <w:rPr>
          <w:rFonts w:ascii="Book Antiqua" w:hAnsi="Book Antiqua" w:cs="Times New Roman"/>
          <w:sz w:val="24"/>
          <w:szCs w:val="24"/>
        </w:rPr>
        <w:t>0</w:t>
      </w:r>
      <w:r w:rsidR="00BE30DA" w:rsidRPr="00A169E7">
        <w:rPr>
          <w:rFonts w:ascii="Book Antiqua" w:hAnsi="Book Antiqua" w:cs="Times New Roman"/>
          <w:sz w:val="24"/>
          <w:szCs w:val="24"/>
        </w:rPr>
        <w:t>0</w:t>
      </w:r>
      <w:r w:rsidR="007C0967" w:rsidRPr="00A169E7">
        <w:rPr>
          <w:rFonts w:ascii="Book Antiqua" w:hAnsi="Book Antiqua" w:cs="Times New Roman"/>
          <w:sz w:val="24"/>
          <w:szCs w:val="24"/>
        </w:rPr>
        <w:t>00-0003-0819-0163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7C0967" w:rsidRPr="00A169E7">
        <w:rPr>
          <w:rFonts w:ascii="Book Antiqua" w:hAnsi="Book Antiqua" w:cs="Times New Roman"/>
          <w:sz w:val="24"/>
          <w:szCs w:val="24"/>
        </w:rPr>
        <w:t xml:space="preserve">; </w:t>
      </w:r>
      <w:r w:rsidR="008811DC" w:rsidRPr="00A169E7">
        <w:rPr>
          <w:rFonts w:ascii="Book Antiqua" w:hAnsi="Book Antiqua" w:cs="Times New Roman"/>
          <w:sz w:val="24"/>
          <w:szCs w:val="24"/>
        </w:rPr>
        <w:t xml:space="preserve">Satoshi </w:t>
      </w:r>
      <w:proofErr w:type="spellStart"/>
      <w:r w:rsidR="008811DC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8811DC" w:rsidRPr="00A169E7">
        <w:rPr>
          <w:rFonts w:ascii="Book Antiqua" w:hAnsi="Book Antiqua" w:cs="Times New Roman"/>
          <w:sz w:val="24"/>
          <w:szCs w:val="24"/>
        </w:rPr>
        <w:t xml:space="preserve"> (0000-0003-0897-9439)</w:t>
      </w:r>
      <w:r w:rsidR="00D345B6">
        <w:rPr>
          <w:rFonts w:ascii="Book Antiqua" w:hAnsi="Book Antiqua" w:cs="Times New Roman"/>
          <w:sz w:val="24"/>
          <w:szCs w:val="24"/>
        </w:rPr>
        <w:t>.</w:t>
      </w:r>
    </w:p>
    <w:p w14:paraId="614D380E" w14:textId="77777777" w:rsidR="008811DC" w:rsidRPr="00A169E7" w:rsidRDefault="008811D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CAF4FDD" w14:textId="6F6467EB" w:rsidR="00B226CA" w:rsidRPr="00A169E7" w:rsidRDefault="00B226C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1767B" w:rsidRPr="00A169E7">
        <w:rPr>
          <w:rFonts w:ascii="Book Antiqua" w:hAnsi="Book Antiqua" w:cs="Times New Roman"/>
          <w:sz w:val="24"/>
          <w:szCs w:val="24"/>
        </w:rPr>
        <w:t>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>, 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designed the research; </w:t>
      </w:r>
      <w:r w:rsidR="00422F3D" w:rsidRPr="00A169E7">
        <w:rPr>
          <w:rFonts w:ascii="Book Antiqua" w:hAnsi="Book Antiqua" w:cs="Times New Roman"/>
          <w:sz w:val="24"/>
          <w:szCs w:val="24"/>
        </w:rPr>
        <w:t>Nishida S, Hamada K</w:t>
      </w:r>
      <w:r w:rsidR="00A1767B" w:rsidRPr="00A169E7">
        <w:rPr>
          <w:rFonts w:ascii="Book Antiqua" w:hAnsi="Book Antiqua" w:cs="Times New Roman"/>
          <w:sz w:val="24"/>
          <w:szCs w:val="24"/>
        </w:rPr>
        <w:t>, Fukushima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D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="00422F3D" w:rsidRPr="00A169E7">
        <w:rPr>
          <w:rFonts w:ascii="Book Antiqua" w:hAnsi="Book Antiqua" w:cs="Times New Roman"/>
          <w:sz w:val="24"/>
          <w:szCs w:val="24"/>
        </w:rPr>
        <w:t xml:space="preserve"> R</w:t>
      </w:r>
      <w:r w:rsidR="00A1767B" w:rsidRPr="00A169E7">
        <w:rPr>
          <w:rFonts w:ascii="Book Antiqua" w:hAnsi="Book Antiqua" w:cs="Times New Roman"/>
          <w:sz w:val="24"/>
          <w:szCs w:val="24"/>
        </w:rPr>
        <w:t>, Horikawa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Y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Y </w:t>
      </w:r>
      <w:r w:rsidR="00A1767B" w:rsidRPr="00A169E7">
        <w:rPr>
          <w:rFonts w:ascii="Book Antiqua" w:hAnsi="Book Antiqua" w:cs="Times New Roman"/>
          <w:sz w:val="24"/>
          <w:szCs w:val="24"/>
        </w:rPr>
        <w:t>performed the research</w:t>
      </w:r>
      <w:r w:rsidR="00DC7628" w:rsidRPr="00A169E7">
        <w:rPr>
          <w:rFonts w:ascii="Book Antiqua" w:hAnsi="Book Antiqua" w:cs="Times New Roman"/>
          <w:sz w:val="24"/>
          <w:szCs w:val="24"/>
        </w:rPr>
        <w:t xml:space="preserve"> and collected the data</w:t>
      </w:r>
      <w:r w:rsidR="00A1767B" w:rsidRPr="00A169E7">
        <w:rPr>
          <w:rFonts w:ascii="Book Antiqua" w:hAnsi="Book Antiqua" w:cs="Times New Roman"/>
          <w:sz w:val="24"/>
          <w:szCs w:val="24"/>
        </w:rPr>
        <w:t>; 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DB367C" w:rsidRPr="00A169E7">
        <w:rPr>
          <w:rFonts w:ascii="Book Antiqua" w:hAnsi="Book Antiqua" w:cs="Times New Roman"/>
          <w:sz w:val="24"/>
          <w:szCs w:val="24"/>
        </w:rPr>
        <w:t>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 </w:t>
      </w:r>
      <w:r w:rsidR="00DB367C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DB367C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DB367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>analyzed the data; Nishida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S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 wrote the paper</w:t>
      </w:r>
      <w:r w:rsidR="00081921">
        <w:rPr>
          <w:rFonts w:ascii="Book Antiqua" w:hAnsi="Book Antiqua" w:cs="Times New Roman"/>
          <w:sz w:val="24"/>
          <w:szCs w:val="24"/>
        </w:rPr>
        <w:t>;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 Hamada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K</w:t>
      </w:r>
      <w:r w:rsidR="00A1767B" w:rsidRPr="00A169E7">
        <w:rPr>
          <w:rFonts w:ascii="Book Antiqua" w:hAnsi="Book Antiqua" w:cs="Times New Roman"/>
          <w:sz w:val="24"/>
          <w:szCs w:val="24"/>
        </w:rPr>
        <w:t>, Nishino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N </w:t>
      </w:r>
      <w:r w:rsidR="00A1767B" w:rsidRPr="00A169E7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1767B"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="00A1767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A1767B" w:rsidRPr="00A169E7">
        <w:rPr>
          <w:rFonts w:ascii="Book Antiqua" w:hAnsi="Book Antiqua" w:cs="Times New Roman"/>
          <w:sz w:val="24"/>
          <w:szCs w:val="24"/>
        </w:rPr>
        <w:t>revised the manuscript for important intellectual content.</w:t>
      </w:r>
    </w:p>
    <w:p w14:paraId="4D31046D" w14:textId="77777777" w:rsidR="00A1767B" w:rsidRPr="00A169E7" w:rsidRDefault="00A1767B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DD0D601" w14:textId="65AEBDB1" w:rsidR="00FB759F" w:rsidRPr="00A169E7" w:rsidRDefault="00FB759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Institutional review bo</w:t>
      </w:r>
      <w:r w:rsidR="00303C92" w:rsidRPr="00A169E7">
        <w:rPr>
          <w:rFonts w:ascii="Book Antiqua" w:hAnsi="Book Antiqua" w:cs="Times New Roman"/>
          <w:b/>
          <w:sz w:val="24"/>
          <w:szCs w:val="24"/>
        </w:rPr>
        <w:t>ard statement:</w:t>
      </w:r>
      <w:r w:rsidR="00303C92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This study was approved by the </w:t>
      </w:r>
      <w:r w:rsidR="00422F3D" w:rsidRPr="00A169E7">
        <w:rPr>
          <w:rFonts w:ascii="Book Antiqua" w:hAnsi="Book Antiqua" w:cs="Times New Roman"/>
          <w:sz w:val="24"/>
          <w:szCs w:val="24"/>
        </w:rPr>
        <w:t>E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thics </w:t>
      </w:r>
      <w:r w:rsidR="00422F3D" w:rsidRPr="00A169E7">
        <w:rPr>
          <w:rFonts w:ascii="Book Antiqua" w:hAnsi="Book Antiqua" w:cs="Times New Roman"/>
          <w:sz w:val="24"/>
          <w:szCs w:val="24"/>
        </w:rPr>
        <w:t>C</w:t>
      </w:r>
      <w:r w:rsidR="008E4C99" w:rsidRPr="00A169E7">
        <w:rPr>
          <w:rFonts w:ascii="Book Antiqua" w:hAnsi="Book Antiqua" w:cs="Times New Roman"/>
          <w:sz w:val="24"/>
          <w:szCs w:val="24"/>
        </w:rPr>
        <w:t>ommittee of the Southern-Tohoku General Hospital.</w:t>
      </w:r>
    </w:p>
    <w:p w14:paraId="695C2490" w14:textId="77777777" w:rsidR="00D0256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53680C6" w14:textId="0AAD37CA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Informed consent statement:</w:t>
      </w:r>
      <w:r w:rsidR="008E4C9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434CD" w:rsidRPr="00A169E7">
        <w:rPr>
          <w:rFonts w:ascii="Book Antiqua" w:hAnsi="Book Antiqua" w:cs="Times New Roman"/>
          <w:sz w:val="24"/>
          <w:szCs w:val="24"/>
        </w:rPr>
        <w:t>This study was retrospective in nature, thus this</w:t>
      </w:r>
      <w:r w:rsidR="00545D9E" w:rsidRPr="00A169E7">
        <w:rPr>
          <w:rFonts w:ascii="Book Antiqua" w:hAnsi="Book Antiqua" w:cs="Times New Roman"/>
          <w:sz w:val="24"/>
          <w:szCs w:val="24"/>
        </w:rPr>
        <w:t xml:space="preserve"> study received ethical approval for the use of an opt-out methodology.</w:t>
      </w:r>
    </w:p>
    <w:p w14:paraId="2FB519C1" w14:textId="77777777" w:rsidR="00D0256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5B746D" w14:textId="7CE9222A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Conflict-of-interest statement: </w:t>
      </w:r>
      <w:r w:rsidR="008E4C99" w:rsidRPr="00A169E7">
        <w:rPr>
          <w:rFonts w:ascii="Book Antiqua" w:hAnsi="Book Antiqua" w:cs="Times New Roman"/>
          <w:sz w:val="24"/>
          <w:szCs w:val="24"/>
        </w:rPr>
        <w:t>The authors declare that they have no conflicts of interest.</w:t>
      </w:r>
    </w:p>
    <w:p w14:paraId="16D08DC9" w14:textId="59DC1A7B" w:rsidR="00C860B7" w:rsidRPr="00A169E7" w:rsidRDefault="00C860B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F0BEF1" w14:textId="5B365F14" w:rsidR="00C860B7" w:rsidRPr="00A169E7" w:rsidRDefault="00C860B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STROBE statement:</w:t>
      </w:r>
      <w:r w:rsidRPr="00A169E7">
        <w:rPr>
          <w:rFonts w:ascii="Book Antiqua" w:hAnsi="Book Antiqua" w:cs="Times New Roman"/>
          <w:sz w:val="24"/>
          <w:szCs w:val="24"/>
        </w:rPr>
        <w:t xml:space="preserve"> The authors have read the STROBE statement, and the manuscript was prepared according to the STROBE statement checklist of items.</w:t>
      </w:r>
    </w:p>
    <w:p w14:paraId="29E4473C" w14:textId="77777777" w:rsidR="00556F1F" w:rsidRPr="00A169E7" w:rsidRDefault="00556F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3F8A500" w14:textId="001E9E9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</w:pPr>
      <w:r w:rsidRPr="00A169E7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pl-PL"/>
        </w:rPr>
        <w:t>Open-Access: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  <w:t xml:space="preserve"> </w:t>
      </w:r>
      <w:bookmarkStart w:id="3" w:name="OLE_LINK507"/>
      <w:bookmarkStart w:id="4" w:name="OLE_LINK506"/>
      <w:bookmarkStart w:id="5" w:name="OLE_LINK496"/>
      <w:bookmarkStart w:id="6" w:name="OLE_LINK479"/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  <w:t>This article is an open-access article which was selected by an in-house editor and fully peer-reviewed by external reviewers. It is distributed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  <w:t>in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A169E7">
        <w:rPr>
          <w:rFonts w:ascii="Book Antiqua" w:eastAsia="SimSun" w:hAnsi="Book Antiqua" w:cs="Times New Roman"/>
          <w:kern w:val="0"/>
          <w:sz w:val="24"/>
          <w:szCs w:val="24"/>
          <w:lang w:eastAsia="pl-PL"/>
        </w:rPr>
        <w:t>http://creativecommons.org/licenses/by-nc/4.0/</w:t>
      </w:r>
      <w:bookmarkEnd w:id="3"/>
      <w:bookmarkEnd w:id="4"/>
      <w:bookmarkEnd w:id="5"/>
      <w:bookmarkEnd w:id="6"/>
    </w:p>
    <w:p w14:paraId="04DED781" w14:textId="7777777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</w:pPr>
    </w:p>
    <w:p w14:paraId="73FE35EB" w14:textId="77777777" w:rsidR="00422F3D" w:rsidRPr="00A169E7" w:rsidRDefault="00422F3D" w:rsidP="00A169E7">
      <w:pPr>
        <w:widowControl/>
        <w:snapToGrid w:val="0"/>
        <w:spacing w:line="360" w:lineRule="auto"/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pl-PL"/>
        </w:rPr>
      </w:pPr>
      <w:r w:rsidRPr="00A169E7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pl-PL"/>
        </w:rPr>
        <w:lastRenderedPageBreak/>
        <w:t>Manuscript source:</w:t>
      </w:r>
      <w:r w:rsidRPr="00A169E7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 xml:space="preserve"> </w:t>
      </w:r>
      <w:r w:rsidRPr="00A169E7">
        <w:rPr>
          <w:rFonts w:ascii="Book Antiqua" w:eastAsia="SimSun" w:hAnsi="Book Antiqua" w:cs="Times New Roman"/>
          <w:bCs/>
          <w:kern w:val="0"/>
          <w:sz w:val="24"/>
          <w:szCs w:val="24"/>
          <w:lang w:eastAsia="pl-PL"/>
        </w:rPr>
        <w:t xml:space="preserve">Unsolicited manuscript </w:t>
      </w:r>
    </w:p>
    <w:p w14:paraId="677CBAE0" w14:textId="77777777" w:rsidR="00422F3D" w:rsidRPr="00A169E7" w:rsidRDefault="00422F3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E705D52" w14:textId="7784040A" w:rsidR="00422F3D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Corresponding author:</w:t>
      </w:r>
      <w:r w:rsidR="00422F3D" w:rsidRPr="00A169E7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Koichi Hamada</w:t>
      </w:r>
      <w:r w:rsidRPr="00A169E7">
        <w:rPr>
          <w:rFonts w:ascii="Book Antiqua" w:hAnsi="Book Antiqua" w:cs="Times New Roman"/>
          <w:sz w:val="24"/>
          <w:szCs w:val="24"/>
        </w:rPr>
        <w:t>,</w:t>
      </w:r>
      <w:r w:rsidR="006B511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B511D" w:rsidRPr="00A744F4">
        <w:rPr>
          <w:rFonts w:ascii="Book Antiqua" w:hAnsi="Book Antiqua" w:cs="Times New Roman"/>
          <w:b/>
          <w:bCs/>
          <w:sz w:val="24"/>
          <w:szCs w:val="24"/>
        </w:rPr>
        <w:t xml:space="preserve">MD, </w:t>
      </w:r>
      <w:r w:rsidR="00A744F4" w:rsidRPr="00A744F4">
        <w:rPr>
          <w:rFonts w:ascii="Book Antiqua" w:hAnsi="Book Antiqua" w:cs="Times New Roman"/>
          <w:b/>
          <w:bCs/>
          <w:sz w:val="24"/>
          <w:szCs w:val="24"/>
        </w:rPr>
        <w:t xml:space="preserve">Doctor, 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Department of Gastroenterology, Southern-Tohoku General Hospital, </w:t>
      </w:r>
      <w:r w:rsidR="00ED6ACE" w:rsidRPr="00A169E7">
        <w:rPr>
          <w:rFonts w:ascii="Book Antiqua" w:hAnsi="Book Antiqua" w:cs="Times New Roman"/>
          <w:sz w:val="24"/>
          <w:szCs w:val="24"/>
        </w:rPr>
        <w:t xml:space="preserve">7-115 </w:t>
      </w:r>
      <w:proofErr w:type="spellStart"/>
      <w:r w:rsidR="00ED6ACE" w:rsidRPr="00A169E7">
        <w:rPr>
          <w:rFonts w:ascii="Book Antiqua" w:hAnsi="Book Antiqua" w:cs="Times New Roman"/>
          <w:sz w:val="24"/>
          <w:szCs w:val="24"/>
        </w:rPr>
        <w:t>Yatsuyamada</w:t>
      </w:r>
      <w:proofErr w:type="spellEnd"/>
      <w:r w:rsidR="00ED6ACE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422F3D" w:rsidRPr="00A169E7">
        <w:rPr>
          <w:rFonts w:ascii="Book Antiqua" w:hAnsi="Book Antiqua" w:cs="Times New Roman"/>
          <w:sz w:val="24"/>
          <w:szCs w:val="24"/>
        </w:rPr>
        <w:t>Koriyama 963-8563, Japan</w:t>
      </w:r>
      <w:r w:rsidR="00ED6ACE" w:rsidRPr="00A169E7">
        <w:rPr>
          <w:rFonts w:ascii="Book Antiqua" w:hAnsi="Book Antiqua" w:cs="Times New Roman"/>
          <w:sz w:val="24"/>
          <w:szCs w:val="24"/>
        </w:rPr>
        <w:t>. koichi.hamada@mt.strins.or.jp</w:t>
      </w:r>
      <w:r w:rsidR="00422F3D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68BF23F" w14:textId="7183F12D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</w:rPr>
        <w:t xml:space="preserve">Telephone: </w:t>
      </w:r>
      <w:r w:rsidRPr="00A169E7">
        <w:rPr>
          <w:rFonts w:ascii="Book Antiqua" w:hAnsi="Book Antiqua" w:cs="Times New Roman"/>
          <w:sz w:val="24"/>
          <w:szCs w:val="24"/>
        </w:rPr>
        <w:t>+81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24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9345322</w:t>
      </w:r>
    </w:p>
    <w:p w14:paraId="4332CF85" w14:textId="34865A52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</w:rPr>
        <w:t>Fax: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92F92" w:rsidRPr="00A169E7">
        <w:rPr>
          <w:rFonts w:ascii="Book Antiqua" w:hAnsi="Book Antiqua" w:cs="Times New Roman"/>
          <w:sz w:val="24"/>
          <w:szCs w:val="24"/>
        </w:rPr>
        <w:t>+</w:t>
      </w:r>
      <w:r w:rsidRPr="00A169E7">
        <w:rPr>
          <w:rFonts w:ascii="Book Antiqua" w:hAnsi="Book Antiqua" w:cs="Times New Roman"/>
          <w:sz w:val="24"/>
          <w:szCs w:val="24"/>
        </w:rPr>
        <w:t>81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24</w:t>
      </w:r>
      <w:r w:rsidR="00C92F92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>9345328</w:t>
      </w:r>
    </w:p>
    <w:p w14:paraId="7F32189E" w14:textId="77777777" w:rsidR="00303C92" w:rsidRPr="00A169E7" w:rsidRDefault="00303C9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06BDA8F" w14:textId="2826BC8D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Received: </w:t>
      </w:r>
      <w:r w:rsidRPr="00A169E7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May 8</w:t>
      </w:r>
      <w:r w:rsidRPr="00ED6ACE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2019</w:t>
      </w:r>
    </w:p>
    <w:p w14:paraId="74ACA445" w14:textId="633F04DD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Peer-review started: </w:t>
      </w:r>
      <w:r w:rsidRPr="00A169E7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May 10</w:t>
      </w:r>
      <w:r w:rsidRPr="00ED6ACE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2019</w:t>
      </w:r>
    </w:p>
    <w:p w14:paraId="1E26E2E1" w14:textId="534B9622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First decision: </w:t>
      </w:r>
      <w:r w:rsidRPr="00A169E7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June 3</w:t>
      </w:r>
      <w:r w:rsidRPr="00ED6ACE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2019</w:t>
      </w:r>
    </w:p>
    <w:p w14:paraId="54DA964C" w14:textId="587227D3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Revised: </w:t>
      </w:r>
      <w:r w:rsidRPr="00A169E7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June 9</w:t>
      </w:r>
      <w:r w:rsidRPr="00ED6ACE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2019</w:t>
      </w:r>
    </w:p>
    <w:p w14:paraId="60C4C32A" w14:textId="53AC9973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Accepted:</w:t>
      </w:r>
      <w:r w:rsidR="00980F9C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 </w:t>
      </w:r>
      <w:r w:rsidR="00980F9C" w:rsidRPr="001E659F">
        <w:rPr>
          <w:rFonts w:ascii="Book Antiqua" w:eastAsia="SimSun" w:hAnsi="Book Antiqua" w:cs="SimSun"/>
          <w:bCs/>
          <w:kern w:val="0"/>
          <w:sz w:val="24"/>
          <w:szCs w:val="24"/>
          <w:lang w:eastAsia="zh-CN"/>
        </w:rPr>
        <w:t>June 17, 2019</w:t>
      </w:r>
    </w:p>
    <w:p w14:paraId="77800F20" w14:textId="77777777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D6ACE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Article in press:</w:t>
      </w:r>
    </w:p>
    <w:p w14:paraId="06D13BE9" w14:textId="77777777" w:rsidR="00ED6ACE" w:rsidRPr="00ED6ACE" w:rsidRDefault="00ED6ACE" w:rsidP="00A169E7">
      <w:pPr>
        <w:widowControl/>
        <w:snapToGrid w:val="0"/>
        <w:spacing w:line="360" w:lineRule="auto"/>
        <w:rPr>
          <w:rFonts w:ascii="Book Antiqua" w:eastAsia="SimSun" w:hAnsi="Book Antiqua" w:cs="Arial"/>
          <w:b/>
          <w:kern w:val="0"/>
          <w:sz w:val="24"/>
          <w:szCs w:val="24"/>
          <w:lang w:val="pl-PL" w:eastAsia="zh-CN"/>
        </w:rPr>
      </w:pPr>
      <w:r w:rsidRPr="00ED6ACE">
        <w:rPr>
          <w:rFonts w:ascii="Book Antiqua" w:eastAsia="SimSun" w:hAnsi="Book Antiqua" w:cs="Arial"/>
          <w:b/>
          <w:kern w:val="0"/>
          <w:sz w:val="24"/>
          <w:szCs w:val="24"/>
          <w:lang w:val="pl-PL" w:eastAsia="pl-PL"/>
        </w:rPr>
        <w:t>Published online:</w:t>
      </w:r>
    </w:p>
    <w:p w14:paraId="036F1664" w14:textId="77777777" w:rsidR="00ED6ACE" w:rsidRPr="00A169E7" w:rsidRDefault="00ED6ACE" w:rsidP="00A169E7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pl-PL"/>
        </w:rPr>
      </w:pPr>
      <w:r w:rsidRPr="00A169E7">
        <w:rPr>
          <w:rFonts w:ascii="Book Antiqua" w:hAnsi="Book Antiqua" w:cs="Times New Roman"/>
          <w:sz w:val="24"/>
          <w:szCs w:val="24"/>
          <w:lang w:val="pl-PL"/>
        </w:rPr>
        <w:br w:type="page"/>
      </w:r>
    </w:p>
    <w:p w14:paraId="0FE8D570" w14:textId="2974DDD6" w:rsidR="007A12A0" w:rsidRPr="00A169E7" w:rsidRDefault="00992F7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42ED62C0" w14:textId="77777777" w:rsidR="00B50B0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14:paraId="76E77DD1" w14:textId="66598739" w:rsidR="00D02568" w:rsidRPr="00A169E7" w:rsidRDefault="00C15C0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Hepatic encephalopath</w:t>
      </w:r>
      <w:r w:rsidR="00C87940" w:rsidRPr="00A169E7">
        <w:rPr>
          <w:rFonts w:ascii="Book Antiqua" w:hAnsi="Book Antiqua" w:cs="Times New Roman"/>
          <w:sz w:val="24"/>
          <w:szCs w:val="24"/>
        </w:rPr>
        <w:t>y (HE)</w:t>
      </w:r>
      <w:r w:rsidRPr="00A169E7">
        <w:rPr>
          <w:rFonts w:ascii="Book Antiqua" w:hAnsi="Book Antiqua" w:cs="Times New Roman"/>
          <w:sz w:val="24"/>
          <w:szCs w:val="24"/>
        </w:rPr>
        <w:t xml:space="preserve"> is a complication of liver cirrhosis and can result in neuropsychological and neuromuscular dysfunctions in patients. Rifaximin, an antibiotic, has been reported to decrease the occurrence of overt 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HE </w:t>
      </w:r>
      <w:r w:rsidRPr="00A169E7">
        <w:rPr>
          <w:rFonts w:ascii="Book Antiqua" w:hAnsi="Book Antiqua" w:cs="Times New Roman"/>
          <w:sz w:val="24"/>
          <w:szCs w:val="24"/>
        </w:rPr>
        <w:t xml:space="preserve">and also improve cognitive function in studies from Europe and the United States of America. 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There </w:t>
      </w:r>
      <w:r w:rsidR="009C5DB0" w:rsidRPr="00A169E7">
        <w:rPr>
          <w:rFonts w:ascii="Book Antiqua" w:hAnsi="Book Antiqua" w:cs="Times New Roman"/>
          <w:sz w:val="24"/>
          <w:szCs w:val="24"/>
        </w:rPr>
        <w:t>is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 no</w:t>
      </w:r>
      <w:r w:rsidR="002E1FA3" w:rsidRPr="00A169E7">
        <w:rPr>
          <w:rFonts w:ascii="Book Antiqua" w:hAnsi="Book Antiqua" w:cs="Times New Roman"/>
          <w:sz w:val="24"/>
          <w:szCs w:val="24"/>
        </w:rPr>
        <w:t>t</w:t>
      </w:r>
      <w:r w:rsidR="00D02568" w:rsidRPr="00A169E7">
        <w:rPr>
          <w:rFonts w:ascii="Book Antiqua" w:hAnsi="Book Antiqua" w:cs="Times New Roman"/>
          <w:sz w:val="24"/>
          <w:szCs w:val="24"/>
        </w:rPr>
        <w:t xml:space="preserve"> enough evidence of the relationship between the long-term use of rifaximin and its clinical effects</w:t>
      </w:r>
      <w:r w:rsidR="002E1FA3" w:rsidRPr="00A169E7">
        <w:rPr>
          <w:rFonts w:ascii="Book Antiqua" w:hAnsi="Book Antiqua" w:cs="Times New Roman"/>
          <w:sz w:val="24"/>
          <w:szCs w:val="24"/>
        </w:rPr>
        <w:t xml:space="preserve"> in the Japanese</w:t>
      </w:r>
      <w:r w:rsidR="00D02568" w:rsidRPr="00A169E7">
        <w:rPr>
          <w:rFonts w:ascii="Book Antiqua" w:hAnsi="Book Antiqua" w:cs="Times New Roman"/>
          <w:sz w:val="24"/>
          <w:szCs w:val="24"/>
        </w:rPr>
        <w:t>.</w:t>
      </w:r>
    </w:p>
    <w:p w14:paraId="1D3FFBE9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663AEDEC" w14:textId="77777777" w:rsidR="00B50B08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AIM</w:t>
      </w:r>
      <w:bookmarkStart w:id="7" w:name="_Hlk10717727"/>
    </w:p>
    <w:p w14:paraId="0FE8D571" w14:textId="6DE1A00F" w:rsidR="00992F7F" w:rsidRPr="00A169E7" w:rsidRDefault="00D0256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992F7F" w:rsidRPr="00A169E7">
        <w:rPr>
          <w:rFonts w:ascii="Book Antiqua" w:hAnsi="Book Antiqua" w:cs="Times New Roman"/>
          <w:sz w:val="24"/>
          <w:szCs w:val="24"/>
        </w:rPr>
        <w:t xml:space="preserve">o </w:t>
      </w:r>
      <w:r w:rsidR="003572E8" w:rsidRPr="00A169E7">
        <w:rPr>
          <w:rFonts w:ascii="Book Antiqua" w:hAnsi="Book Antiqua" w:cs="Times New Roman"/>
          <w:sz w:val="24"/>
          <w:szCs w:val="24"/>
        </w:rPr>
        <w:t>determine</w:t>
      </w:r>
      <w:r w:rsidR="00992F7F" w:rsidRPr="00A169E7">
        <w:rPr>
          <w:rFonts w:ascii="Book Antiqua" w:hAnsi="Book Antiqua" w:cs="Times New Roman"/>
          <w:sz w:val="24"/>
          <w:szCs w:val="24"/>
        </w:rPr>
        <w:t xml:space="preserve"> the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clinical effect</w:t>
      </w:r>
      <w:r w:rsidR="00B839DF" w:rsidRPr="00A169E7">
        <w:rPr>
          <w:rFonts w:ascii="Book Antiqua" w:hAnsi="Book Antiqua" w:cs="Times New Roman"/>
          <w:sz w:val="24"/>
          <w:szCs w:val="24"/>
        </w:rPr>
        <w:t>s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839DF" w:rsidRPr="00A169E7">
        <w:rPr>
          <w:rFonts w:ascii="Book Antiqua" w:hAnsi="Book Antiqua" w:cs="Times New Roman"/>
          <w:sz w:val="24"/>
          <w:szCs w:val="24"/>
        </w:rPr>
        <w:t>of long-term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rifaximin </w:t>
      </w:r>
      <w:r w:rsidR="003572E8" w:rsidRPr="00A169E7">
        <w:rPr>
          <w:rFonts w:ascii="Book Antiqua" w:hAnsi="Book Antiqua" w:cs="Times New Roman"/>
          <w:sz w:val="24"/>
          <w:szCs w:val="24"/>
        </w:rPr>
        <w:t>therapy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 in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decompensated liver cirrhosis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 patients</w:t>
      </w:r>
      <w:r w:rsidR="00B839DF" w:rsidRPr="00A169E7">
        <w:rPr>
          <w:rFonts w:ascii="Book Antiqua" w:hAnsi="Book Antiqua" w:cs="Times New Roman"/>
          <w:sz w:val="24"/>
          <w:szCs w:val="24"/>
        </w:rPr>
        <w:t>,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with overt 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HE </w:t>
      </w:r>
      <w:r w:rsidR="003525FE" w:rsidRPr="00A169E7">
        <w:rPr>
          <w:rFonts w:ascii="Book Antiqua" w:hAnsi="Book Antiqua" w:cs="Times New Roman"/>
          <w:sz w:val="24"/>
          <w:szCs w:val="24"/>
        </w:rPr>
        <w:t>or hyperammonemia.</w:t>
      </w:r>
      <w:bookmarkEnd w:id="7"/>
    </w:p>
    <w:p w14:paraId="3FFEDBAE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F8C8D75" w14:textId="77777777" w:rsidR="00B50B08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M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ETHODS</w:t>
      </w:r>
      <w:bookmarkStart w:id="8" w:name="_Hlk10717868"/>
    </w:p>
    <w:p w14:paraId="0FE8D572" w14:textId="76632BF5" w:rsidR="003525FE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In this single</w:t>
      </w:r>
      <w:r w:rsidR="00025653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 xml:space="preserve">center retrospective 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observational cohort </w:t>
      </w:r>
      <w:r w:rsidRPr="00A169E7">
        <w:rPr>
          <w:rFonts w:ascii="Book Antiqua" w:hAnsi="Book Antiqua" w:cs="Times New Roman"/>
          <w:sz w:val="24"/>
          <w:szCs w:val="24"/>
        </w:rPr>
        <w:t xml:space="preserve">study,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we reviewed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data of </w:t>
      </w:r>
      <w:r w:rsidRPr="00A169E7">
        <w:rPr>
          <w:rFonts w:ascii="Book Antiqua" w:hAnsi="Book Antiqua" w:cs="Times New Roman"/>
          <w:sz w:val="24"/>
          <w:szCs w:val="24"/>
        </w:rPr>
        <w:t xml:space="preserve">38 patients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who had taken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839DF" w:rsidRPr="00A169E7">
        <w:rPr>
          <w:rFonts w:ascii="Book Antiqua" w:hAnsi="Book Antiqua" w:cs="Times New Roman"/>
          <w:sz w:val="24"/>
          <w:szCs w:val="24"/>
        </w:rPr>
        <w:t xml:space="preserve">at the dose of </w:t>
      </w:r>
      <w:r w:rsidRPr="00A169E7">
        <w:rPr>
          <w:rFonts w:ascii="Book Antiqua" w:hAnsi="Book Antiqua" w:cs="Times New Roman"/>
          <w:sz w:val="24"/>
          <w:szCs w:val="24"/>
        </w:rPr>
        <w:t xml:space="preserve">1200 mg/d </w:t>
      </w:r>
      <w:r w:rsidR="004A2C14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more than 24 wk. The primary outcome </w:t>
      </w:r>
      <w:r w:rsidR="004A2C14" w:rsidRPr="00A169E7">
        <w:rPr>
          <w:rFonts w:ascii="Book Antiqua" w:hAnsi="Book Antiqua" w:cs="Times New Roman"/>
          <w:sz w:val="24"/>
          <w:szCs w:val="24"/>
        </w:rPr>
        <w:t>measured was</w:t>
      </w:r>
      <w:r w:rsidRPr="00A169E7">
        <w:rPr>
          <w:rFonts w:ascii="Book Antiqua" w:hAnsi="Book Antiqua" w:cs="Times New Roman"/>
          <w:sz w:val="24"/>
          <w:szCs w:val="24"/>
        </w:rPr>
        <w:t xml:space="preserve"> the efficacy of long-term </w:t>
      </w:r>
      <w:r w:rsidR="001745D4" w:rsidRPr="00A169E7">
        <w:rPr>
          <w:rFonts w:ascii="Book Antiqua" w:hAnsi="Book Antiqua" w:cs="Times New Roman"/>
          <w:sz w:val="24"/>
          <w:szCs w:val="24"/>
        </w:rPr>
        <w:t>rifaximin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 use</w:t>
      </w:r>
      <w:r w:rsidR="001745D4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and secondary outcome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measured </w:t>
      </w:r>
      <w:r w:rsidR="004E1783" w:rsidRPr="00A169E7">
        <w:rPr>
          <w:rFonts w:ascii="Book Antiqua" w:hAnsi="Book Antiqua" w:cs="Times New Roman"/>
          <w:sz w:val="24"/>
          <w:szCs w:val="24"/>
        </w:rPr>
        <w:t>was</w:t>
      </w:r>
      <w:r w:rsidRPr="00A169E7">
        <w:rPr>
          <w:rFonts w:ascii="Book Antiqua" w:hAnsi="Book Antiqua" w:cs="Times New Roman"/>
          <w:sz w:val="24"/>
          <w:szCs w:val="24"/>
        </w:rPr>
        <w:t xml:space="preserve"> the safety of 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its </w:t>
      </w:r>
      <w:r w:rsidRPr="00A169E7">
        <w:rPr>
          <w:rFonts w:ascii="Book Antiqua" w:hAnsi="Book Antiqua" w:cs="Times New Roman"/>
          <w:sz w:val="24"/>
          <w:szCs w:val="24"/>
        </w:rPr>
        <w:t>long-term use</w:t>
      </w:r>
      <w:r w:rsidR="003572E8" w:rsidRPr="00A169E7">
        <w:rPr>
          <w:rFonts w:ascii="Book Antiqua" w:hAnsi="Book Antiqua" w:cs="Times New Roman"/>
          <w:sz w:val="24"/>
          <w:szCs w:val="24"/>
        </w:rPr>
        <w:t xml:space="preserve"> as determined by its influence on portosystemic shunts as well as </w:t>
      </w:r>
      <w:r w:rsidR="004F1FDF" w:rsidRPr="00A169E7">
        <w:rPr>
          <w:rFonts w:ascii="Book Antiqua" w:hAnsi="Book Antiqua" w:cs="Times New Roman"/>
          <w:i/>
          <w:iCs/>
          <w:sz w:val="24"/>
          <w:szCs w:val="24"/>
        </w:rPr>
        <w:t>Escherichia coli</w:t>
      </w:r>
      <w:r w:rsidR="003572E8" w:rsidRPr="00A169E7">
        <w:rPr>
          <w:rFonts w:ascii="Book Antiqua" w:hAnsi="Book Antiqua" w:cs="Times New Roman"/>
          <w:sz w:val="24"/>
          <w:szCs w:val="24"/>
        </w:rPr>
        <w:t>-related infections</w:t>
      </w:r>
      <w:r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>Moreover</w:t>
      </w:r>
      <w:r w:rsidRPr="00A169E7">
        <w:rPr>
          <w:rFonts w:ascii="Book Antiqua" w:hAnsi="Book Antiqua" w:cs="Times New Roman"/>
          <w:sz w:val="24"/>
          <w:szCs w:val="24"/>
        </w:rPr>
        <w:t xml:space="preserve">, we compared the prognosis between </w:t>
      </w:r>
      <w:r w:rsidR="00672100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1745D4" w:rsidRPr="00A169E7">
        <w:rPr>
          <w:rFonts w:ascii="Book Antiqua" w:hAnsi="Book Antiqua" w:cs="Times New Roman"/>
          <w:sz w:val="24"/>
          <w:szCs w:val="24"/>
        </w:rPr>
        <w:t>rifaximin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group </w:t>
      </w:r>
      <w:r w:rsidRPr="00A169E7">
        <w:rPr>
          <w:rFonts w:ascii="Book Antiqua" w:hAnsi="Book Antiqua" w:cs="Times New Roman"/>
          <w:sz w:val="24"/>
          <w:szCs w:val="24"/>
        </w:rPr>
        <w:t xml:space="preserve">and control cases, matched </w:t>
      </w:r>
      <w:r w:rsidR="004A2C14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9E01DC" w:rsidRPr="00A169E7">
        <w:rPr>
          <w:rFonts w:ascii="Book Antiqua" w:hAnsi="Book Antiqua" w:cs="Times New Roman"/>
          <w:sz w:val="24"/>
          <w:szCs w:val="24"/>
        </w:rPr>
        <w:t>hepatic elasticity assessed by magnetic resonance elastography</w:t>
      </w:r>
      <w:r w:rsidRPr="00A169E7">
        <w:rPr>
          <w:rFonts w:ascii="Book Antiqua" w:hAnsi="Book Antiqua" w:cs="Times New Roman"/>
          <w:sz w:val="24"/>
          <w:szCs w:val="24"/>
        </w:rPr>
        <w:t>, age</w:t>
      </w:r>
      <w:r w:rsidR="004A2C14" w:rsidRPr="00A169E7">
        <w:rPr>
          <w:rFonts w:ascii="Book Antiqua" w:hAnsi="Book Antiqua" w:cs="Times New Roman"/>
          <w:sz w:val="24"/>
          <w:szCs w:val="24"/>
        </w:rPr>
        <w:t>,</w:t>
      </w:r>
      <w:r w:rsidR="009E01DC"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Pr="00A169E7">
        <w:rPr>
          <w:rFonts w:ascii="Book Antiqua" w:hAnsi="Book Antiqua" w:cs="Times New Roman"/>
          <w:sz w:val="24"/>
          <w:szCs w:val="24"/>
        </w:rPr>
        <w:t>Child-Pugh classification.</w:t>
      </w:r>
    </w:p>
    <w:bookmarkEnd w:id="8"/>
    <w:p w14:paraId="65768161" w14:textId="77777777" w:rsidR="00B50B08" w:rsidRPr="00A169E7" w:rsidRDefault="00B50B0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0FF23C83" w14:textId="77777777" w:rsidR="00B50B08" w:rsidRPr="00A169E7" w:rsidRDefault="003525F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14:paraId="0FE8D573" w14:textId="7BF61879" w:rsidR="003525FE" w:rsidRPr="00A169E7" w:rsidRDefault="0026001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Of the 38 patients included in the study, 12 (31.6%) had overt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HE</w:t>
      </w:r>
      <w:r w:rsidRPr="00A169E7">
        <w:rPr>
          <w:rFonts w:ascii="Book Antiqua" w:hAnsi="Book Antiqua" w:cs="Times New Roman"/>
          <w:sz w:val="24"/>
          <w:szCs w:val="24"/>
        </w:rPr>
        <w:t>, 27 (71.1%) had complications of esophageal varices, and 9 (23.7%) had hepat</w:t>
      </w:r>
      <w:r w:rsidR="00627707" w:rsidRPr="00A169E7">
        <w:rPr>
          <w:rFonts w:ascii="Book Antiqua" w:hAnsi="Book Antiqua" w:cs="Times New Roman"/>
          <w:sz w:val="24"/>
          <w:szCs w:val="24"/>
        </w:rPr>
        <w:t>o</w:t>
      </w:r>
      <w:r w:rsidRPr="00A169E7">
        <w:rPr>
          <w:rFonts w:ascii="Book Antiqua" w:hAnsi="Book Antiqua" w:cs="Times New Roman"/>
          <w:sz w:val="24"/>
          <w:szCs w:val="24"/>
        </w:rPr>
        <w:t>cellular carcinoma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(HCC)</w:t>
      </w:r>
      <w:r w:rsidRPr="00A169E7">
        <w:rPr>
          <w:rFonts w:ascii="Book Antiqua" w:hAnsi="Book Antiqua" w:cs="Times New Roman"/>
          <w:sz w:val="24"/>
          <w:szCs w:val="24"/>
        </w:rPr>
        <w:t>. The control group was matched for age, Child-Pugh classification, liver stiffness, and presence of</w:t>
      </w:r>
      <w:r w:rsidR="00627707" w:rsidRPr="00A169E7">
        <w:rPr>
          <w:rFonts w:ascii="Book Antiqua" w:hAnsi="Book Antiqua" w:cs="Times New Roman"/>
          <w:sz w:val="24"/>
          <w:szCs w:val="24"/>
        </w:rPr>
        <w:t xml:space="preserve"> HCC</w:t>
      </w:r>
      <w:r w:rsidR="00F47215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The median of serum ammonia level before treatment </w:t>
      </w:r>
      <w:r w:rsidR="004A2C14" w:rsidRPr="00A169E7">
        <w:rPr>
          <w:rFonts w:ascii="Book Antiqua" w:hAnsi="Book Antiqua" w:cs="Times New Roman"/>
          <w:sz w:val="24"/>
          <w:szCs w:val="24"/>
        </w:rPr>
        <w:t>was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104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/dL</w:t>
      </w:r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(59-297), and 2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significantly decreased to 85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/d</w:t>
      </w:r>
      <w:r w:rsidR="00461435" w:rsidRPr="00A169E7">
        <w:rPr>
          <w:rFonts w:ascii="Book Antiqua" w:hAnsi="Book Antiqua" w:cs="Times New Roman"/>
          <w:sz w:val="24"/>
          <w:szCs w:val="24"/>
        </w:rPr>
        <w:t>L</w:t>
      </w:r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(34-153) (</w:t>
      </w:r>
      <w:r w:rsidR="007970AE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ED6ACE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=</w:t>
      </w:r>
      <w:r w:rsidR="00ED6AC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0.00</w:t>
      </w:r>
      <w:r w:rsidR="00D50CF4" w:rsidRPr="00A169E7">
        <w:rPr>
          <w:rFonts w:ascii="Book Antiqua" w:hAnsi="Book Antiqua" w:cs="Times New Roman"/>
          <w:sz w:val="24"/>
          <w:szCs w:val="24"/>
        </w:rPr>
        <w:t>2</w:t>
      </w:r>
      <w:r w:rsidR="00BD4CAA" w:rsidRPr="00A169E7">
        <w:rPr>
          <w:rFonts w:ascii="Book Antiqua" w:hAnsi="Book Antiqua" w:cs="Times New Roman"/>
          <w:sz w:val="24"/>
          <w:szCs w:val="24"/>
        </w:rPr>
        <w:t>)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significantly low value </w:t>
      </w:r>
      <w:r w:rsidR="004A2C14" w:rsidRPr="00A169E7">
        <w:rPr>
          <w:rFonts w:ascii="Book Antiqua" w:hAnsi="Book Antiqua" w:cs="Times New Roman"/>
          <w:sz w:val="24"/>
          <w:szCs w:val="24"/>
        </w:rPr>
        <w:t>of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 80.5 </w:t>
      </w:r>
      <w:proofErr w:type="spellStart"/>
      <w:r w:rsidR="003525FE" w:rsidRPr="00A169E7">
        <w:rPr>
          <w:rFonts w:ascii="Book Antiqua" w:hAnsi="Book Antiqua" w:cs="Times New Roman"/>
          <w:sz w:val="24"/>
          <w:szCs w:val="24"/>
        </w:rPr>
        <w:lastRenderedPageBreak/>
        <w:t>μg</w:t>
      </w:r>
      <w:proofErr w:type="spellEnd"/>
      <w:r w:rsidR="003525FE" w:rsidRPr="00A169E7">
        <w:rPr>
          <w:rFonts w:ascii="Book Antiqua" w:hAnsi="Book Antiqua" w:cs="Times New Roman"/>
          <w:sz w:val="24"/>
          <w:szCs w:val="24"/>
        </w:rPr>
        <w:t>/dL</w:t>
      </w:r>
      <w:r w:rsidR="00BD4CA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525FE" w:rsidRPr="00A169E7">
        <w:rPr>
          <w:rFonts w:ascii="Book Antiqua" w:hAnsi="Book Antiqua" w:cs="Times New Roman"/>
          <w:sz w:val="24"/>
          <w:szCs w:val="24"/>
        </w:rPr>
        <w:t>(44-150)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 was maintained 24 </w:t>
      </w:r>
      <w:proofErr w:type="spellStart"/>
      <w:r w:rsidR="004A2C1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4A2C14"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3525FE" w:rsidRPr="00A169E7">
        <w:rPr>
          <w:rFonts w:ascii="Book Antiqua" w:hAnsi="Book Antiqua" w:cs="Times New Roman"/>
          <w:sz w:val="24"/>
          <w:szCs w:val="24"/>
        </w:rPr>
        <w:t xml:space="preserve">. The long-term use of rifaximin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did not </w:t>
      </w:r>
      <w:r w:rsidR="00627707" w:rsidRPr="00A169E7">
        <w:rPr>
          <w:rFonts w:ascii="Book Antiqua" w:hAnsi="Book Antiqua" w:cs="Times New Roman"/>
          <w:sz w:val="24"/>
          <w:szCs w:val="24"/>
        </w:rPr>
        <w:t>cause a decline in liver function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4A2C14" w:rsidRPr="00A169E7">
        <w:rPr>
          <w:rFonts w:ascii="Book Antiqua" w:hAnsi="Book Antiqua" w:cs="Times New Roman"/>
          <w:sz w:val="24"/>
          <w:szCs w:val="24"/>
        </w:rPr>
        <w:t>D</w:t>
      </w:r>
      <w:r w:rsidR="00A95FD6" w:rsidRPr="00A169E7">
        <w:rPr>
          <w:rFonts w:ascii="Book Antiqua" w:hAnsi="Book Antiqua" w:cs="Times New Roman"/>
          <w:sz w:val="24"/>
          <w:szCs w:val="24"/>
        </w:rPr>
        <w:t>iarrhea occur</w:t>
      </w:r>
      <w:r w:rsidR="004A2C14" w:rsidRPr="00A169E7">
        <w:rPr>
          <w:rFonts w:ascii="Book Antiqua" w:hAnsi="Book Antiqua" w:cs="Times New Roman"/>
          <w:sz w:val="24"/>
          <w:szCs w:val="24"/>
        </w:rPr>
        <w:t>red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367BB8" w:rsidRPr="00A169E7">
        <w:rPr>
          <w:rFonts w:ascii="Book Antiqua" w:hAnsi="Book Antiqua" w:cs="Times New Roman"/>
          <w:sz w:val="24"/>
          <w:szCs w:val="24"/>
        </w:rPr>
        <w:t>2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patients, </w:t>
      </w:r>
      <w:r w:rsidR="004A2C14" w:rsidRPr="00A169E7">
        <w:rPr>
          <w:rFonts w:ascii="Book Antiqua" w:hAnsi="Book Antiqua" w:cs="Times New Roman"/>
          <w:sz w:val="24"/>
          <w:szCs w:val="24"/>
        </w:rPr>
        <w:t>who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4A2C14" w:rsidRPr="00A169E7">
        <w:rPr>
          <w:rFonts w:ascii="Book Antiqua" w:hAnsi="Book Antiqua" w:cs="Times New Roman"/>
          <w:sz w:val="24"/>
          <w:szCs w:val="24"/>
        </w:rPr>
        <w:t>with the administration of probiotics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, and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there were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no cases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aborted rifaximin </w:t>
      </w:r>
      <w:r w:rsidR="004A2C14" w:rsidRPr="00A169E7">
        <w:rPr>
          <w:rFonts w:ascii="Book Antiqua" w:hAnsi="Book Antiqua" w:cs="Times New Roman"/>
          <w:sz w:val="24"/>
          <w:szCs w:val="24"/>
        </w:rPr>
        <w:t>therapy owing to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 adverse events. In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patients with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Child C, 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survival was short, but </w:t>
      </w:r>
      <w:r w:rsidR="00870A43" w:rsidRPr="00A169E7">
        <w:rPr>
          <w:rFonts w:ascii="Book Antiqua" w:hAnsi="Book Antiqua" w:cs="Times New Roman"/>
          <w:sz w:val="24"/>
          <w:szCs w:val="24"/>
        </w:rPr>
        <w:t xml:space="preserve">there was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no significant difference compared with </w:t>
      </w:r>
      <w:r w:rsidR="00870A43" w:rsidRPr="00A169E7">
        <w:rPr>
          <w:rFonts w:ascii="Book Antiqua" w:hAnsi="Book Antiqua" w:cs="Times New Roman"/>
          <w:sz w:val="24"/>
          <w:szCs w:val="24"/>
        </w:rPr>
        <w:t xml:space="preserve">that of </w:t>
      </w:r>
      <w:r w:rsidR="00A95FD6" w:rsidRPr="00A169E7">
        <w:rPr>
          <w:rFonts w:ascii="Book Antiqua" w:hAnsi="Book Antiqua" w:cs="Times New Roman"/>
          <w:sz w:val="24"/>
          <w:szCs w:val="24"/>
        </w:rPr>
        <w:t>the control group.</w:t>
      </w:r>
    </w:p>
    <w:p w14:paraId="7E225270" w14:textId="77777777" w:rsidR="000E738A" w:rsidRPr="00A169E7" w:rsidRDefault="000E738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11A292" w14:textId="77777777" w:rsidR="00ED6ACE" w:rsidRPr="00A169E7" w:rsidRDefault="00A95FD6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C</w:t>
      </w:r>
      <w:r w:rsidR="008565BB" w:rsidRPr="00A169E7">
        <w:rPr>
          <w:rFonts w:ascii="Book Antiqua" w:hAnsi="Book Antiqua" w:cs="Times New Roman"/>
          <w:b/>
          <w:i/>
          <w:sz w:val="24"/>
          <w:szCs w:val="24"/>
        </w:rPr>
        <w:t>ONCLUSION</w:t>
      </w:r>
    </w:p>
    <w:p w14:paraId="0FE8D574" w14:textId="6B86E525" w:rsidR="00A95FD6" w:rsidRPr="00A169E7" w:rsidRDefault="00F4721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Rifaximin therapy improves overt </w:t>
      </w:r>
      <w:r w:rsidR="00ED6ACE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The long-term use of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A95FD6" w:rsidRPr="00A169E7">
        <w:rPr>
          <w:rFonts w:ascii="Book Antiqua" w:hAnsi="Book Antiqua" w:cs="Times New Roman"/>
          <w:sz w:val="24"/>
          <w:szCs w:val="24"/>
        </w:rPr>
        <w:t xml:space="preserve">ifaximin </w:t>
      </w:r>
      <w:r w:rsidR="004A2C14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A95FD6" w:rsidRPr="00A169E7">
        <w:rPr>
          <w:rFonts w:ascii="Book Antiqua" w:hAnsi="Book Antiqua" w:cs="Times New Roman"/>
          <w:sz w:val="24"/>
          <w:szCs w:val="24"/>
        </w:rPr>
        <w:t>Japanese</w:t>
      </w:r>
      <w:r w:rsidR="0085417C" w:rsidRPr="00A169E7">
        <w:rPr>
          <w:rFonts w:ascii="Book Antiqua" w:hAnsi="Book Antiqua" w:cs="Times New Roman"/>
          <w:sz w:val="24"/>
          <w:szCs w:val="24"/>
        </w:rPr>
        <w:t xml:space="preserve"> is effective and safe.</w:t>
      </w:r>
    </w:p>
    <w:p w14:paraId="0FE8D575" w14:textId="77777777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76" w14:textId="327D4033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Key</w:t>
      </w:r>
      <w:r w:rsidR="00ED6ACE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words: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H</w:t>
      </w:r>
      <w:r w:rsidRPr="00A169E7">
        <w:rPr>
          <w:rFonts w:ascii="Book Antiqua" w:hAnsi="Book Antiqua" w:cs="Times New Roman"/>
          <w:sz w:val="24"/>
          <w:szCs w:val="24"/>
        </w:rPr>
        <w:t>epatic encephalopathy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R</w:t>
      </w:r>
      <w:r w:rsidRPr="00A169E7">
        <w:rPr>
          <w:rFonts w:ascii="Book Antiqua" w:hAnsi="Book Antiqua" w:cs="Times New Roman"/>
          <w:sz w:val="24"/>
          <w:szCs w:val="24"/>
        </w:rPr>
        <w:t>ifaximin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H</w:t>
      </w:r>
      <w:r w:rsidRPr="00A169E7">
        <w:rPr>
          <w:rFonts w:ascii="Book Antiqua" w:hAnsi="Book Antiqua" w:cs="Times New Roman"/>
          <w:sz w:val="24"/>
          <w:szCs w:val="24"/>
        </w:rPr>
        <w:t>epatic cirrhosis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>pontaneous portosystemic shunt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="004D651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A6458" w:rsidRPr="00A169E7">
        <w:rPr>
          <w:rFonts w:ascii="Book Antiqua" w:hAnsi="Book Antiqua" w:cs="Times New Roman"/>
          <w:sz w:val="24"/>
          <w:szCs w:val="24"/>
        </w:rPr>
        <w:t>M</w:t>
      </w:r>
      <w:r w:rsidR="00851A10" w:rsidRPr="00A169E7">
        <w:rPr>
          <w:rFonts w:ascii="Book Antiqua" w:hAnsi="Book Antiqua" w:cs="Times New Roman"/>
          <w:sz w:val="24"/>
          <w:szCs w:val="24"/>
        </w:rPr>
        <w:t>agnetic resonance elastography</w:t>
      </w:r>
      <w:r w:rsidR="008A6458" w:rsidRPr="00A169E7">
        <w:rPr>
          <w:rFonts w:ascii="Book Antiqua" w:hAnsi="Book Antiqua" w:cs="Times New Roman"/>
          <w:sz w:val="24"/>
          <w:szCs w:val="24"/>
        </w:rPr>
        <w:t>;</w:t>
      </w:r>
      <w:r w:rsidR="00851A10" w:rsidRPr="00A169E7">
        <w:rPr>
          <w:rFonts w:ascii="Book Antiqua" w:hAnsi="Book Antiqua" w:cs="Times New Roman"/>
          <w:sz w:val="24"/>
          <w:szCs w:val="24"/>
        </w:rPr>
        <w:t xml:space="preserve"> Child-Pugh classification</w:t>
      </w:r>
    </w:p>
    <w:p w14:paraId="72404561" w14:textId="26B283E4" w:rsidR="009939CB" w:rsidRPr="00A169E7" w:rsidRDefault="009939CB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F236398" w14:textId="77777777" w:rsidR="00ED6ACE" w:rsidRPr="00ED6ACE" w:rsidRDefault="00ED6ACE" w:rsidP="00A169E7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Cs/>
          <w:sz w:val="24"/>
          <w:szCs w:val="24"/>
          <w:lang w:eastAsia="zh-CN"/>
        </w:rPr>
      </w:pPr>
      <w:r w:rsidRPr="00ED6ACE">
        <w:rPr>
          <w:rFonts w:ascii="Book Antiqua" w:eastAsia="SimSun" w:hAnsi="Book Antiqua" w:cs="Times New Roman"/>
          <w:b/>
          <w:bCs/>
          <w:sz w:val="24"/>
          <w:szCs w:val="24"/>
          <w:lang w:eastAsia="zh-CN"/>
        </w:rPr>
        <w:t>© The Author(s) 2019.</w:t>
      </w:r>
      <w:r w:rsidRPr="00ED6ACE">
        <w:rPr>
          <w:rFonts w:ascii="Book Antiqua" w:eastAsia="SimSun" w:hAnsi="Book Antiqua" w:cs="Times New Roman"/>
          <w:bCs/>
          <w:sz w:val="24"/>
          <w:szCs w:val="24"/>
          <w:lang w:eastAsia="zh-CN"/>
        </w:rPr>
        <w:t xml:space="preserve"> Published by </w:t>
      </w:r>
      <w:proofErr w:type="spellStart"/>
      <w:r w:rsidRPr="00ED6ACE">
        <w:rPr>
          <w:rFonts w:ascii="Book Antiqua" w:eastAsia="SimSun" w:hAnsi="Book Antiqua" w:cs="Times New Roman"/>
          <w:bCs/>
          <w:sz w:val="24"/>
          <w:szCs w:val="24"/>
          <w:lang w:eastAsia="zh-CN"/>
        </w:rPr>
        <w:t>Baishideng</w:t>
      </w:r>
      <w:proofErr w:type="spellEnd"/>
      <w:r w:rsidRPr="00ED6ACE">
        <w:rPr>
          <w:rFonts w:ascii="Book Antiqua" w:eastAsia="SimSun" w:hAnsi="Book Antiqua" w:cs="Times New Roman"/>
          <w:bCs/>
          <w:sz w:val="24"/>
          <w:szCs w:val="24"/>
          <w:lang w:eastAsia="zh-CN"/>
        </w:rPr>
        <w:t xml:space="preserve"> Publishing Group Inc. All rights reserved.</w:t>
      </w:r>
    </w:p>
    <w:p w14:paraId="1FF6BE23" w14:textId="77777777" w:rsidR="00ED6ACE" w:rsidRPr="00A169E7" w:rsidRDefault="00ED6ACE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97A79CD" w14:textId="6686C5AE" w:rsidR="009939CB" w:rsidRPr="00A169E7" w:rsidRDefault="008A6458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A169E7">
        <w:rPr>
          <w:rFonts w:ascii="Book Antiqua" w:hAnsi="Book Antiqua" w:cs="Times New Roman"/>
          <w:sz w:val="24"/>
          <w:szCs w:val="24"/>
        </w:rPr>
        <w:t xml:space="preserve">This study evaluated the efficacy and safety of long-term rifaximin therapy for hepatic encephalopathy in the Japanese population. </w:t>
      </w:r>
      <w:r w:rsidR="00091696" w:rsidRPr="00A169E7">
        <w:rPr>
          <w:rFonts w:ascii="Book Antiqua" w:hAnsi="Book Antiqua" w:cs="Times New Roman"/>
          <w:sz w:val="24"/>
          <w:szCs w:val="24"/>
        </w:rPr>
        <w:t>Serum ammonia level was maintained at a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low </w:t>
      </w:r>
      <w:r w:rsidR="00091696" w:rsidRPr="00A169E7">
        <w:rPr>
          <w:rFonts w:ascii="Book Antiqua" w:hAnsi="Book Antiqua" w:cs="Times New Roman"/>
          <w:sz w:val="24"/>
          <w:szCs w:val="24"/>
        </w:rPr>
        <w:t>median</w:t>
      </w:r>
      <w:r w:rsidR="004520C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value of 80.5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/dL (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range, </w:t>
      </w:r>
      <w:r w:rsidRPr="00A169E7">
        <w:rPr>
          <w:rFonts w:ascii="Book Antiqua" w:hAnsi="Book Antiqua" w:cs="Times New Roman"/>
          <w:sz w:val="24"/>
          <w:szCs w:val="24"/>
        </w:rPr>
        <w:t>44-150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91696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091696" w:rsidRPr="00A169E7">
        <w:rPr>
          <w:rFonts w:ascii="Book Antiqua" w:hAnsi="Book Antiqua" w:cs="Times New Roman"/>
          <w:sz w:val="24"/>
          <w:szCs w:val="24"/>
        </w:rPr>
        <w:t>/dL</w:t>
      </w:r>
      <w:r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091696" w:rsidRPr="00A169E7">
        <w:rPr>
          <w:rFonts w:ascii="Book Antiqua" w:hAnsi="Book Antiqua" w:cs="Times New Roman"/>
          <w:sz w:val="24"/>
          <w:szCs w:val="24"/>
        </w:rPr>
        <w:t xml:space="preserve">at </w:t>
      </w:r>
      <w:r w:rsidRPr="00A169E7">
        <w:rPr>
          <w:rFonts w:ascii="Book Antiqua" w:hAnsi="Book Antiqua" w:cs="Times New Roman"/>
          <w:sz w:val="24"/>
          <w:szCs w:val="24"/>
        </w:rPr>
        <w:t xml:space="preserve">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treatment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and the long-term use of rifaximin did not worsen liver function. </w:t>
      </w:r>
    </w:p>
    <w:p w14:paraId="62D89128" w14:textId="77777777" w:rsidR="00FD1DE5" w:rsidRPr="00A169E7" w:rsidRDefault="00FD1DE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i/>
          <w:sz w:val="24"/>
          <w:szCs w:val="24"/>
        </w:rPr>
      </w:pPr>
    </w:p>
    <w:p w14:paraId="587C470C" w14:textId="3B6899D2" w:rsidR="00FD1DE5" w:rsidRPr="00A169E7" w:rsidRDefault="00FD1DE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lang w:val="x-none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Nishida S, Hamada K, Nishino N, Fukushima D,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Koyanagi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R, Horikawa Y,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Shiwa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Y,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Saitoh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S. Efficacy of long-term rifaximin treatment for hepatic encephalopathy in the Japanese</w:t>
      </w:r>
      <w:r w:rsidR="00146D69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World J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 w:cs="Times New Roman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2019; In press</w:t>
      </w:r>
    </w:p>
    <w:p w14:paraId="70F2EF84" w14:textId="5B082602" w:rsidR="009939CB" w:rsidRPr="00A169E7" w:rsidRDefault="009939CB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lang w:val="x-none"/>
        </w:rPr>
      </w:pPr>
    </w:p>
    <w:p w14:paraId="3EC2888E" w14:textId="77777777" w:rsidR="00146D69" w:rsidRDefault="00146D69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571020D" w14:textId="77777777" w:rsidR="00146D69" w:rsidRDefault="00146D69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5CC9B09" w14:textId="47FD8F58" w:rsidR="009939CB" w:rsidRPr="00A169E7" w:rsidRDefault="009D7648" w:rsidP="00A169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I</w:t>
      </w:r>
      <w:r w:rsidR="00582497" w:rsidRPr="00A169E7">
        <w:rPr>
          <w:rFonts w:ascii="Book Antiqua" w:hAnsi="Book Antiqua" w:cs="Times New Roman"/>
          <w:b/>
          <w:sz w:val="24"/>
          <w:szCs w:val="24"/>
        </w:rPr>
        <w:t>NTRODUCTION</w:t>
      </w:r>
    </w:p>
    <w:p w14:paraId="0FE8D579" w14:textId="4DA08EF2" w:rsidR="0085417C" w:rsidRPr="00A169E7" w:rsidRDefault="0085417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Hepatic </w:t>
      </w:r>
      <w:r w:rsidR="001745D4" w:rsidRPr="00A169E7">
        <w:rPr>
          <w:rFonts w:ascii="Book Antiqua" w:hAnsi="Book Antiqua" w:cs="Times New Roman"/>
          <w:sz w:val="24"/>
          <w:szCs w:val="24"/>
        </w:rPr>
        <w:t>encephalopathy (</w:t>
      </w:r>
      <w:r w:rsidRPr="00A169E7">
        <w:rPr>
          <w:rFonts w:ascii="Book Antiqua" w:hAnsi="Book Antiqua" w:cs="Times New Roman"/>
          <w:sz w:val="24"/>
          <w:szCs w:val="24"/>
        </w:rPr>
        <w:t xml:space="preserve">HE) is a complication </w:t>
      </w:r>
      <w:r w:rsidR="00365A01" w:rsidRPr="00A169E7">
        <w:rPr>
          <w:rFonts w:ascii="Book Antiqua" w:hAnsi="Book Antiqua" w:cs="Times New Roman"/>
          <w:sz w:val="24"/>
          <w:szCs w:val="24"/>
        </w:rPr>
        <w:t xml:space="preserve">seen in </w:t>
      </w:r>
      <w:r w:rsidRPr="00A169E7">
        <w:rPr>
          <w:rFonts w:ascii="Book Antiqua" w:hAnsi="Book Antiqua" w:cs="Times New Roman"/>
          <w:sz w:val="24"/>
          <w:szCs w:val="24"/>
        </w:rPr>
        <w:t>liver cirrhosis patients</w:t>
      </w:r>
      <w:r w:rsidR="001F2BC7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F2BC7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causes neuropsychological and neuromuscular dysfunction in varying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degrees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EE387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A" w14:textId="0E882A11" w:rsidR="00EE3873" w:rsidRPr="00A169E7" w:rsidRDefault="00A2600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</w:t>
      </w:r>
      <w:r w:rsidR="00FA7CAD" w:rsidRPr="00A169E7">
        <w:rPr>
          <w:rFonts w:ascii="Book Antiqua" w:hAnsi="Book Antiqua" w:cs="Times New Roman"/>
          <w:sz w:val="24"/>
          <w:szCs w:val="24"/>
        </w:rPr>
        <w:t>E is classified into two types: minimal HE that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presents as </w:t>
      </w:r>
      <w:r w:rsidR="001A72C2" w:rsidRPr="00A169E7">
        <w:rPr>
          <w:rFonts w:ascii="Book Antiqua" w:hAnsi="Book Antiqua" w:cs="Times New Roman"/>
          <w:sz w:val="24"/>
          <w:szCs w:val="24"/>
        </w:rPr>
        <w:t>a s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light abnormality </w:t>
      </w:r>
      <w:r w:rsidR="00470A32" w:rsidRPr="00A169E7">
        <w:rPr>
          <w:rFonts w:ascii="Book Antiqua" w:hAnsi="Book Antiqua" w:cs="Times New Roman"/>
          <w:sz w:val="24"/>
          <w:szCs w:val="24"/>
        </w:rPr>
        <w:t>and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cannot be proved</w:t>
      </w:r>
      <w:r w:rsidR="00281E2F" w:rsidRPr="00A169E7">
        <w:rPr>
          <w:rFonts w:ascii="Book Antiqua" w:hAnsi="Book Antiqua" w:cs="Times New Roman"/>
          <w:sz w:val="24"/>
          <w:szCs w:val="24"/>
        </w:rPr>
        <w:t xml:space="preserve"> except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81E2F" w:rsidRPr="00A169E7">
        <w:rPr>
          <w:rFonts w:ascii="Book Antiqua" w:hAnsi="Book Antiqua" w:cs="Times New Roman"/>
          <w:sz w:val="24"/>
          <w:szCs w:val="24"/>
        </w:rPr>
        <w:t>by a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neuromuscular examination, and overt HE that causes obvious disorder</w:t>
      </w:r>
      <w:r w:rsidR="00C86E77" w:rsidRPr="00A169E7">
        <w:rPr>
          <w:rFonts w:ascii="Book Antiqua" w:hAnsi="Book Antiqua" w:cs="Times New Roman"/>
          <w:sz w:val="24"/>
          <w:szCs w:val="24"/>
        </w:rPr>
        <w:t>s</w:t>
      </w:r>
      <w:r w:rsidR="00B73BCB" w:rsidRPr="00A169E7">
        <w:rPr>
          <w:rFonts w:ascii="Book Antiqua" w:hAnsi="Book Antiqua" w:cs="Times New Roman"/>
          <w:sz w:val="24"/>
          <w:szCs w:val="24"/>
        </w:rPr>
        <w:t xml:space="preserve"> of consciousness and motor </w:t>
      </w:r>
      <w:proofErr w:type="gramStart"/>
      <w:r w:rsidR="00B73BCB" w:rsidRPr="00A169E7">
        <w:rPr>
          <w:rFonts w:ascii="Book Antiqua" w:hAnsi="Book Antiqua" w:cs="Times New Roman"/>
          <w:sz w:val="24"/>
          <w:szCs w:val="24"/>
        </w:rPr>
        <w:t>activity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00705" w:rsidRPr="00A169E7">
        <w:rPr>
          <w:rFonts w:ascii="Book Antiqua" w:hAnsi="Book Antiqua" w:cs="Times New Roman"/>
          <w:sz w:val="24"/>
          <w:szCs w:val="24"/>
          <w:vertAlign w:val="superscript"/>
        </w:rPr>
        <w:t>,2</w:t>
      </w:r>
      <w:r w:rsidR="002E5F38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7B" w14:textId="50DC2EF0" w:rsidR="00666013" w:rsidRPr="00A169E7" w:rsidRDefault="00CA259E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D94C60" w:rsidRPr="00A169E7">
        <w:rPr>
          <w:rFonts w:ascii="Book Antiqua" w:hAnsi="Book Antiqua" w:cs="Times New Roman"/>
          <w:sz w:val="24"/>
          <w:szCs w:val="24"/>
        </w:rPr>
        <w:t>has been</w:t>
      </w:r>
      <w:r w:rsidRPr="00A169E7">
        <w:rPr>
          <w:rFonts w:ascii="Book Antiqua" w:hAnsi="Book Antiqua" w:cs="Times New Roman"/>
          <w:sz w:val="24"/>
          <w:szCs w:val="24"/>
        </w:rPr>
        <w:t xml:space="preserve"> reported that 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once </w:t>
      </w:r>
      <w:r w:rsidRPr="00A169E7">
        <w:rPr>
          <w:rFonts w:ascii="Book Antiqua" w:hAnsi="Book Antiqua" w:cs="Times New Roman"/>
          <w:sz w:val="24"/>
          <w:szCs w:val="24"/>
        </w:rPr>
        <w:t>overt HE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94C60" w:rsidRPr="00A169E7">
        <w:rPr>
          <w:rFonts w:ascii="Book Antiqua" w:hAnsi="Book Antiqua" w:cs="Times New Roman"/>
          <w:sz w:val="24"/>
          <w:szCs w:val="24"/>
        </w:rPr>
        <w:t>occurs</w:t>
      </w:r>
      <w:r w:rsidR="00112823" w:rsidRPr="00A169E7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112823" w:rsidRPr="00A169E7">
        <w:rPr>
          <w:rFonts w:ascii="Book Antiqua" w:hAnsi="Book Antiqua" w:cs="Times New Roman"/>
          <w:sz w:val="24"/>
          <w:szCs w:val="24"/>
        </w:rPr>
        <w:t xml:space="preserve"> the prognosis is so poor that </w:t>
      </w:r>
      <w:r w:rsidR="009D7BAD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mortal</w:t>
      </w:r>
      <w:r w:rsidR="009D7BAD" w:rsidRPr="00A169E7">
        <w:rPr>
          <w:rFonts w:ascii="Book Antiqua" w:hAnsi="Book Antiqua" w:cs="Times New Roman"/>
          <w:sz w:val="24"/>
          <w:szCs w:val="24"/>
        </w:rPr>
        <w:t>ity</w:t>
      </w:r>
      <w:r w:rsidRPr="00A169E7">
        <w:rPr>
          <w:rFonts w:ascii="Book Antiqua" w:hAnsi="Book Antiqua" w:cs="Times New Roman"/>
          <w:sz w:val="24"/>
          <w:szCs w:val="24"/>
        </w:rPr>
        <w:t xml:space="preserve"> rat</w:t>
      </w:r>
      <w:r w:rsidR="00112823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within 1 year is 64% </w:t>
      </w:r>
      <w:r w:rsidR="001119B1" w:rsidRPr="00A169E7">
        <w:rPr>
          <w:rFonts w:ascii="Book Antiqua" w:hAnsi="Book Antiqua" w:cs="Times New Roman"/>
          <w:sz w:val="24"/>
          <w:szCs w:val="24"/>
        </w:rPr>
        <w:t>and t</w:t>
      </w:r>
      <w:r w:rsidR="00757596" w:rsidRPr="00A169E7">
        <w:rPr>
          <w:rFonts w:ascii="Book Antiqua" w:hAnsi="Book Antiqua" w:cs="Times New Roman"/>
          <w:sz w:val="24"/>
          <w:szCs w:val="24"/>
        </w:rPr>
        <w:t>hat</w:t>
      </w:r>
      <w:r w:rsidR="00112823" w:rsidRPr="00A169E7">
        <w:rPr>
          <w:rFonts w:ascii="Book Antiqua" w:hAnsi="Book Antiqua" w:cs="Times New Roman"/>
          <w:sz w:val="24"/>
          <w:szCs w:val="24"/>
        </w:rPr>
        <w:t xml:space="preserve"> within 5 years is 85%</w:t>
      </w:r>
      <w:r w:rsidR="008C48D5" w:rsidRPr="00A169E7">
        <w:rPr>
          <w:rFonts w:ascii="Book Antiqua" w:hAnsi="Book Antiqua" w:cs="Times New Roman"/>
          <w:sz w:val="24"/>
          <w:szCs w:val="24"/>
        </w:rPr>
        <w:t>.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C2815" w:rsidRPr="00A169E7">
        <w:rPr>
          <w:rFonts w:ascii="Book Antiqua" w:hAnsi="Book Antiqua" w:cs="Times New Roman"/>
          <w:sz w:val="24"/>
          <w:szCs w:val="24"/>
        </w:rPr>
        <w:t>O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vert HE </w:t>
      </w:r>
      <w:r w:rsidR="00BC2815" w:rsidRPr="00A169E7">
        <w:rPr>
          <w:rFonts w:ascii="Book Antiqua" w:hAnsi="Book Antiqua" w:cs="Times New Roman"/>
          <w:sz w:val="24"/>
          <w:szCs w:val="24"/>
        </w:rPr>
        <w:t>as well as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minimal HE, which </w:t>
      </w:r>
      <w:r w:rsidR="00757596" w:rsidRPr="00A169E7">
        <w:rPr>
          <w:rFonts w:ascii="Book Antiqua" w:hAnsi="Book Antiqua" w:cs="Times New Roman"/>
          <w:sz w:val="24"/>
          <w:szCs w:val="24"/>
        </w:rPr>
        <w:t xml:space="preserve">are present in </w:t>
      </w:r>
      <w:r w:rsidR="00666013" w:rsidRPr="00A169E7">
        <w:rPr>
          <w:rFonts w:ascii="Book Antiqua" w:hAnsi="Book Antiqua" w:cs="Times New Roman"/>
          <w:sz w:val="24"/>
          <w:szCs w:val="24"/>
        </w:rPr>
        <w:t>80% of liver cirrhosis patients</w:t>
      </w:r>
      <w:r w:rsidR="00757596" w:rsidRPr="00A169E7">
        <w:rPr>
          <w:rFonts w:ascii="Book Antiqua" w:hAnsi="Book Antiqua" w:cs="Times New Roman"/>
          <w:sz w:val="24"/>
          <w:szCs w:val="24"/>
        </w:rPr>
        <w:t>,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C2815" w:rsidRPr="00A169E7">
        <w:rPr>
          <w:rFonts w:ascii="Book Antiqua" w:hAnsi="Book Antiqua" w:cs="Times New Roman"/>
          <w:sz w:val="24"/>
          <w:szCs w:val="24"/>
        </w:rPr>
        <w:t xml:space="preserve">can 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impair the prognosis and increase the risk of </w:t>
      </w:r>
      <w:proofErr w:type="gramStart"/>
      <w:r w:rsidR="00666013" w:rsidRPr="00A169E7">
        <w:rPr>
          <w:rFonts w:ascii="Book Antiqua" w:hAnsi="Book Antiqua" w:cs="Times New Roman"/>
          <w:sz w:val="24"/>
          <w:szCs w:val="24"/>
        </w:rPr>
        <w:t>hospitalization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C47D3" w:rsidRPr="00A169E7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66601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C" w14:textId="2398B242" w:rsidR="00803F4A" w:rsidRPr="00A169E7" w:rsidRDefault="00666013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Conventionally in Japan, the first-choice treatment for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is </w:t>
      </w:r>
      <w:r w:rsidR="001745D4" w:rsidRPr="00A169E7">
        <w:rPr>
          <w:rFonts w:ascii="Book Antiqua" w:hAnsi="Book Antiqua" w:cs="Times New Roman"/>
          <w:sz w:val="24"/>
          <w:szCs w:val="24"/>
        </w:rPr>
        <w:t>synthesized</w:t>
      </w:r>
      <w:r w:rsidRPr="00A169E7">
        <w:rPr>
          <w:rFonts w:ascii="Book Antiqua" w:hAnsi="Book Antiqua" w:cs="Times New Roman"/>
          <w:sz w:val="24"/>
          <w:szCs w:val="24"/>
        </w:rPr>
        <w:t xml:space="preserve"> disaccharides or branched-chain amino acids, and poorly absorbed antibiotics </w:t>
      </w:r>
      <w:r w:rsidR="003C17C5" w:rsidRPr="00A169E7">
        <w:rPr>
          <w:rFonts w:ascii="Book Antiqua" w:hAnsi="Book Antiqua" w:cs="Times New Roman"/>
          <w:sz w:val="24"/>
          <w:szCs w:val="24"/>
        </w:rPr>
        <w:t>ha</w:t>
      </w:r>
      <w:r w:rsidR="003E05CB" w:rsidRPr="00A169E7">
        <w:rPr>
          <w:rFonts w:ascii="Book Antiqua" w:hAnsi="Book Antiqua" w:cs="Times New Roman"/>
          <w:sz w:val="24"/>
          <w:szCs w:val="24"/>
        </w:rPr>
        <w:t>ve</w:t>
      </w:r>
      <w:r w:rsidRPr="00A169E7">
        <w:rPr>
          <w:rFonts w:ascii="Book Antiqua" w:hAnsi="Book Antiqua" w:cs="Times New Roman"/>
          <w:sz w:val="24"/>
          <w:szCs w:val="24"/>
        </w:rPr>
        <w:t xml:space="preserve"> not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 been</w:t>
      </w:r>
      <w:r w:rsidRPr="00A169E7">
        <w:rPr>
          <w:rFonts w:ascii="Book Antiqua" w:hAnsi="Book Antiqua" w:cs="Times New Roman"/>
          <w:sz w:val="24"/>
          <w:szCs w:val="24"/>
        </w:rPr>
        <w:t xml:space="preserve"> approved by </w:t>
      </w:r>
      <w:r w:rsidR="00C86E77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health insurance. Rifaximin has been available </w:t>
      </w:r>
      <w:r w:rsidR="00C86E77" w:rsidRPr="00A169E7">
        <w:rPr>
          <w:rFonts w:ascii="Book Antiqua" w:hAnsi="Book Antiqua" w:cs="Times New Roman"/>
          <w:sz w:val="24"/>
          <w:szCs w:val="24"/>
        </w:rPr>
        <w:t xml:space="preserve">for treatment </w:t>
      </w:r>
      <w:r w:rsidRPr="00A169E7">
        <w:rPr>
          <w:rFonts w:ascii="Book Antiqua" w:hAnsi="Book Antiqua" w:cs="Times New Roman"/>
          <w:sz w:val="24"/>
          <w:szCs w:val="24"/>
        </w:rPr>
        <w:t>since November 2016.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Rifaximin is an oral antibiotic which decrease</w:t>
      </w:r>
      <w:r w:rsidR="003E05CB" w:rsidRPr="00A169E7">
        <w:rPr>
          <w:rFonts w:ascii="Book Antiqua" w:hAnsi="Book Antiqua" w:cs="Times New Roman"/>
          <w:sz w:val="24"/>
          <w:szCs w:val="24"/>
        </w:rPr>
        <w:t>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91BD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ammonia-producing enteric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bacteria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7D" w14:textId="0C60E2E3" w:rsidR="00803F4A" w:rsidRPr="00A169E7" w:rsidRDefault="009345A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Studies i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n Europe and </w:t>
      </w:r>
      <w:r w:rsidR="004E1783" w:rsidRPr="00A169E7">
        <w:rPr>
          <w:rFonts w:ascii="Book Antiqua" w:hAnsi="Book Antiqua" w:cs="Times New Roman"/>
          <w:sz w:val="24"/>
          <w:szCs w:val="24"/>
        </w:rPr>
        <w:t xml:space="preserve">the United States of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America </w:t>
      </w:r>
      <w:r w:rsidRPr="00A169E7">
        <w:rPr>
          <w:rFonts w:ascii="Book Antiqua" w:hAnsi="Book Antiqua" w:cs="Times New Roman"/>
          <w:sz w:val="24"/>
          <w:szCs w:val="24"/>
        </w:rPr>
        <w:t xml:space="preserve">have reported on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the clinical effects of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ifaximin. It prevents the occurrence and </w:t>
      </w:r>
      <w:r w:rsidR="001745D4" w:rsidRPr="00A169E7">
        <w:rPr>
          <w:rFonts w:ascii="Book Antiqua" w:hAnsi="Book Antiqua" w:cs="Times New Roman"/>
          <w:sz w:val="24"/>
          <w:szCs w:val="24"/>
        </w:rPr>
        <w:t>recurrence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of overt HE</w:t>
      </w:r>
      <w:r w:rsidR="003C17C5" w:rsidRPr="00A169E7">
        <w:rPr>
          <w:rFonts w:ascii="Book Antiqua" w:hAnsi="Book Antiqua" w:cs="Times New Roman"/>
          <w:sz w:val="24"/>
          <w:szCs w:val="24"/>
        </w:rPr>
        <w:t xml:space="preserve"> and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decreases the </w:t>
      </w:r>
      <w:r w:rsidR="00681B9A" w:rsidRPr="00A169E7">
        <w:rPr>
          <w:rFonts w:ascii="Book Antiqua" w:hAnsi="Book Antiqua" w:cs="Times New Roman"/>
          <w:sz w:val="24"/>
          <w:szCs w:val="24"/>
        </w:rPr>
        <w:t xml:space="preserve">rate of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hospitalization because of HE as </w:t>
      </w:r>
      <w:r w:rsidR="006A1625" w:rsidRPr="00A169E7">
        <w:rPr>
          <w:rFonts w:ascii="Book Antiqua" w:hAnsi="Book Antiqua" w:cs="Times New Roman"/>
          <w:sz w:val="24"/>
          <w:szCs w:val="24"/>
        </w:rPr>
        <w:t>a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long-term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effect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E83DA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Also, </w:t>
      </w:r>
      <w:r w:rsidR="00C275E0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study </w:t>
      </w:r>
      <w:r w:rsidR="00C275E0" w:rsidRPr="00A169E7">
        <w:rPr>
          <w:rFonts w:ascii="Book Antiqua" w:hAnsi="Book Antiqua" w:cs="Times New Roman"/>
          <w:sz w:val="24"/>
          <w:szCs w:val="24"/>
        </w:rPr>
        <w:t>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minimal HE reported that </w:t>
      </w:r>
      <w:r w:rsidR="006A01A0" w:rsidRPr="00A169E7">
        <w:rPr>
          <w:rFonts w:ascii="Book Antiqua" w:hAnsi="Book Antiqua" w:cs="Times New Roman"/>
          <w:sz w:val="24"/>
          <w:szCs w:val="24"/>
        </w:rPr>
        <w:t xml:space="preserve">the use of </w:t>
      </w:r>
      <w:r w:rsidR="002E7E0D" w:rsidRPr="00A169E7">
        <w:rPr>
          <w:rFonts w:ascii="Book Antiqua" w:hAnsi="Book Antiqua" w:cs="Times New Roman"/>
          <w:sz w:val="24"/>
          <w:szCs w:val="24"/>
        </w:rPr>
        <w:t>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ifaximin 550 mg </w:t>
      </w:r>
      <w:r w:rsidR="006A01A0" w:rsidRPr="00A169E7">
        <w:rPr>
          <w:rFonts w:ascii="Book Antiqua" w:hAnsi="Book Antiqua" w:cs="Times New Roman"/>
          <w:sz w:val="24"/>
          <w:szCs w:val="24"/>
        </w:rPr>
        <w:t>for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8 </w:t>
      </w:r>
      <w:proofErr w:type="spellStart"/>
      <w:r w:rsidR="00803F4A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803F4A" w:rsidRPr="00A169E7">
        <w:rPr>
          <w:rFonts w:ascii="Book Antiqua" w:hAnsi="Book Antiqua" w:cs="Times New Roman"/>
          <w:sz w:val="24"/>
          <w:szCs w:val="24"/>
        </w:rPr>
        <w:t xml:space="preserve"> improved cognitive function test </w:t>
      </w:r>
      <w:r w:rsidR="00E910D3" w:rsidRPr="00A169E7">
        <w:rPr>
          <w:rFonts w:ascii="Book Antiqua" w:hAnsi="Book Antiqua" w:cs="Times New Roman"/>
          <w:sz w:val="24"/>
          <w:szCs w:val="24"/>
        </w:rPr>
        <w:t>performance as well as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white matter 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integrity, </w:t>
      </w:r>
      <w:r w:rsidR="00FF5088" w:rsidRPr="00A169E7">
        <w:rPr>
          <w:rFonts w:ascii="Book Antiqua" w:hAnsi="Book Antiqua" w:cs="Times New Roman"/>
          <w:sz w:val="24"/>
          <w:szCs w:val="24"/>
        </w:rPr>
        <w:t>as found 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functional </w:t>
      </w:r>
      <w:r w:rsidR="007D1A2B" w:rsidRPr="00A169E7">
        <w:rPr>
          <w:rFonts w:ascii="Book Antiqua" w:hAnsi="Book Antiqua" w:cs="Times New Roman"/>
          <w:sz w:val="24"/>
          <w:szCs w:val="24"/>
        </w:rPr>
        <w:t xml:space="preserve">magnetic resonance </w:t>
      </w:r>
      <w:proofErr w:type="gramStart"/>
      <w:r w:rsidR="007D1A2B" w:rsidRPr="00A169E7">
        <w:rPr>
          <w:rFonts w:ascii="Book Antiqua" w:hAnsi="Book Antiqua" w:cs="Times New Roman"/>
          <w:sz w:val="24"/>
          <w:szCs w:val="24"/>
        </w:rPr>
        <w:t>imaging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5088" w:rsidRPr="00A169E7">
        <w:rPr>
          <w:rFonts w:ascii="Book Antiqua" w:hAnsi="Book Antiqua" w:cs="Times New Roman"/>
          <w:sz w:val="24"/>
          <w:szCs w:val="24"/>
        </w:rPr>
        <w:t>A m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eta-analysis that compared rifaximin </w:t>
      </w:r>
      <w:r w:rsidR="008149B5" w:rsidRPr="00A169E7">
        <w:rPr>
          <w:rFonts w:ascii="Book Antiqua" w:hAnsi="Book Antiqua" w:cs="Times New Roman"/>
          <w:sz w:val="24"/>
          <w:szCs w:val="24"/>
        </w:rPr>
        <w:t>with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synthesized disaccharides </w:t>
      </w:r>
      <w:r w:rsidR="008149B5" w:rsidRPr="00A169E7">
        <w:rPr>
          <w:rFonts w:ascii="Book Antiqua" w:hAnsi="Book Antiqua" w:cs="Times New Roman"/>
          <w:sz w:val="24"/>
          <w:szCs w:val="24"/>
        </w:rPr>
        <w:t xml:space="preserve">reported that </w:t>
      </w:r>
      <w:r w:rsidR="00D31929" w:rsidRPr="00A169E7">
        <w:rPr>
          <w:rFonts w:ascii="Book Antiqua" w:hAnsi="Book Antiqua" w:cs="Times New Roman"/>
          <w:sz w:val="24"/>
          <w:szCs w:val="24"/>
        </w:rPr>
        <w:t>both were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effective to the same extent</w:t>
      </w:r>
      <w:r w:rsidR="00FF45F9" w:rsidRPr="00A169E7">
        <w:rPr>
          <w:rFonts w:ascii="Book Antiqua" w:hAnsi="Book Antiqua" w:cs="Times New Roman"/>
          <w:sz w:val="24"/>
          <w:szCs w:val="24"/>
        </w:rPr>
        <w:t xml:space="preserve"> in improving </w:t>
      </w:r>
      <w:proofErr w:type="gramStart"/>
      <w:r w:rsidR="00FF45F9" w:rsidRPr="00A169E7">
        <w:rPr>
          <w:rFonts w:ascii="Book Antiqua" w:hAnsi="Book Antiqua" w:cs="Times New Roman"/>
          <w:sz w:val="24"/>
          <w:szCs w:val="24"/>
        </w:rPr>
        <w:t>HE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0AAD" w:rsidRPr="00A169E7">
        <w:rPr>
          <w:rFonts w:ascii="Book Antiqua" w:hAnsi="Book Antiqua" w:cs="Times New Roman"/>
          <w:sz w:val="24"/>
          <w:szCs w:val="24"/>
        </w:rPr>
        <w:t>A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randomized,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double-</w:t>
      </w:r>
      <w:r w:rsidR="001745D4" w:rsidRPr="00A169E7">
        <w:rPr>
          <w:rFonts w:ascii="Book Antiqua" w:hAnsi="Book Antiqua" w:cs="Times New Roman"/>
          <w:sz w:val="24"/>
          <w:szCs w:val="24"/>
        </w:rPr>
        <w:t>blind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745D4" w:rsidRPr="00A169E7">
        <w:rPr>
          <w:rFonts w:ascii="Book Antiqua" w:hAnsi="Book Antiqua" w:cs="Times New Roman"/>
          <w:sz w:val="24"/>
          <w:szCs w:val="24"/>
        </w:rPr>
        <w:t>controlled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trial </w:t>
      </w:r>
      <w:r w:rsidR="00755DCD" w:rsidRPr="00A169E7">
        <w:rPr>
          <w:rFonts w:ascii="Book Antiqua" w:hAnsi="Book Antiqua" w:cs="Times New Roman"/>
          <w:sz w:val="24"/>
          <w:szCs w:val="24"/>
        </w:rPr>
        <w:t xml:space="preserve">that compared </w:t>
      </w:r>
      <w:r w:rsidR="00E177A4" w:rsidRPr="00A169E7">
        <w:rPr>
          <w:rFonts w:ascii="Book Antiqua" w:hAnsi="Book Antiqua" w:cs="Times New Roman"/>
          <w:sz w:val="24"/>
          <w:szCs w:val="24"/>
        </w:rPr>
        <w:t>the results of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5F1F76" w:rsidRPr="00A169E7">
        <w:rPr>
          <w:rFonts w:ascii="Book Antiqua" w:hAnsi="Book Antiqua" w:cs="Times New Roman"/>
          <w:sz w:val="24"/>
          <w:szCs w:val="24"/>
        </w:rPr>
        <w:t xml:space="preserve">treatment with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therapy with lactulose therapy</w:t>
      </w:r>
      <w:r w:rsidR="0032553B" w:rsidRPr="00A169E7">
        <w:rPr>
          <w:rFonts w:ascii="Book Antiqua" w:hAnsi="Book Antiqua" w:cs="Times New Roman"/>
          <w:sz w:val="24"/>
          <w:szCs w:val="24"/>
        </w:rPr>
        <w:t xml:space="preserve"> alone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showed that significantly more cases </w:t>
      </w:r>
      <w:r w:rsidR="00877C5C" w:rsidRPr="00A169E7">
        <w:rPr>
          <w:rFonts w:ascii="Book Antiqua" w:hAnsi="Book Antiqua" w:cs="Times New Roman"/>
          <w:sz w:val="24"/>
          <w:szCs w:val="24"/>
        </w:rPr>
        <w:t xml:space="preserve">experienced a complete </w:t>
      </w:r>
      <w:r w:rsidR="0032553B" w:rsidRPr="00A169E7">
        <w:rPr>
          <w:rFonts w:ascii="Book Antiqua" w:hAnsi="Book Antiqua" w:cs="Times New Roman"/>
          <w:sz w:val="24"/>
          <w:szCs w:val="24"/>
        </w:rPr>
        <w:t>recover</w:t>
      </w:r>
      <w:r w:rsidR="00604A96" w:rsidRPr="00A169E7">
        <w:rPr>
          <w:rFonts w:ascii="Book Antiqua" w:hAnsi="Book Antiqua" w:cs="Times New Roman"/>
          <w:sz w:val="24"/>
          <w:szCs w:val="24"/>
        </w:rPr>
        <w:t>y from HE</w:t>
      </w:r>
      <w:r w:rsidR="0032553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in </w:t>
      </w:r>
      <w:r w:rsidR="00604A96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group than </w:t>
      </w:r>
      <w:r w:rsidR="0041280C" w:rsidRPr="00A169E7">
        <w:rPr>
          <w:rFonts w:ascii="Book Antiqua" w:hAnsi="Book Antiqua" w:cs="Times New Roman"/>
          <w:sz w:val="24"/>
          <w:szCs w:val="24"/>
        </w:rPr>
        <w:t>that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41280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lactulose </w:t>
      </w:r>
      <w:r w:rsidR="0041280C" w:rsidRPr="00A169E7">
        <w:rPr>
          <w:rFonts w:ascii="Book Antiqua" w:hAnsi="Book Antiqua" w:cs="Times New Roman"/>
          <w:sz w:val="24"/>
          <w:szCs w:val="24"/>
        </w:rPr>
        <w:t xml:space="preserve">only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group. Moreover, rifaximin </w:t>
      </w:r>
      <w:r w:rsidR="00C73A04" w:rsidRPr="00A169E7">
        <w:rPr>
          <w:rFonts w:ascii="Book Antiqua" w:hAnsi="Book Antiqua" w:cs="Times New Roman"/>
          <w:sz w:val="24"/>
          <w:szCs w:val="24"/>
        </w:rPr>
        <w:t>plus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lactulose decreased </w:t>
      </w:r>
      <w:r w:rsidR="00253252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mortality </w:t>
      </w:r>
      <w:r w:rsidR="00253252" w:rsidRPr="00A169E7">
        <w:rPr>
          <w:rFonts w:ascii="Book Antiqua" w:hAnsi="Book Antiqua" w:cs="Times New Roman"/>
          <w:sz w:val="24"/>
          <w:szCs w:val="24"/>
        </w:rPr>
        <w:t xml:space="preserve">rate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and death </w:t>
      </w:r>
      <w:r w:rsidR="00253252" w:rsidRPr="00A169E7">
        <w:rPr>
          <w:rFonts w:ascii="Book Antiqua" w:hAnsi="Book Antiqua" w:cs="Times New Roman"/>
          <w:sz w:val="24"/>
          <w:szCs w:val="24"/>
        </w:rPr>
        <w:t>from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sepsis, and shortened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hospitalization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Various factors influence </w:t>
      </w:r>
      <w:r w:rsidR="00B34849" w:rsidRPr="00A169E7">
        <w:rPr>
          <w:rFonts w:ascii="Book Antiqua" w:hAnsi="Book Antiqua" w:cs="Times New Roman"/>
          <w:sz w:val="24"/>
          <w:szCs w:val="24"/>
        </w:rPr>
        <w:t xml:space="preserve">the development of </w:t>
      </w:r>
      <w:proofErr w:type="gramStart"/>
      <w:r w:rsidR="00C27A25" w:rsidRPr="00A169E7">
        <w:rPr>
          <w:rFonts w:ascii="Book Antiqua" w:hAnsi="Book Antiqua" w:cs="Times New Roman"/>
          <w:sz w:val="24"/>
          <w:szCs w:val="24"/>
        </w:rPr>
        <w:t>HE</w:t>
      </w:r>
      <w:r w:rsidR="000A78F8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0A78F8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, and </w:t>
      </w:r>
      <w:r w:rsidR="00803F4A" w:rsidRPr="00A169E7">
        <w:rPr>
          <w:rFonts w:ascii="Book Antiqua" w:hAnsi="Book Antiqua" w:cs="Times New Roman"/>
          <w:sz w:val="24"/>
          <w:szCs w:val="24"/>
        </w:rPr>
        <w:lastRenderedPageBreak/>
        <w:t xml:space="preserve">spontaneous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shunts are </w:t>
      </w:r>
      <w:r w:rsidR="00B34849" w:rsidRPr="00A169E7">
        <w:rPr>
          <w:rFonts w:ascii="Book Antiqua" w:hAnsi="Book Antiqua" w:cs="Times New Roman"/>
          <w:sz w:val="24"/>
          <w:szCs w:val="24"/>
        </w:rPr>
        <w:t xml:space="preserve">also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related to </w:t>
      </w:r>
      <w:r w:rsidR="00B34849" w:rsidRPr="00A169E7">
        <w:rPr>
          <w:rFonts w:ascii="Book Antiqua" w:hAnsi="Book Antiqua" w:cs="Times New Roman"/>
          <w:sz w:val="24"/>
          <w:szCs w:val="24"/>
        </w:rPr>
        <w:t>its occurrence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174D21" w:rsidRPr="00A169E7">
        <w:rPr>
          <w:rFonts w:ascii="Book Antiqua" w:hAnsi="Book Antiqua" w:cs="Times New Roman"/>
          <w:sz w:val="24"/>
          <w:szCs w:val="24"/>
        </w:rPr>
        <w:t>Moreover,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C1BEB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EC3DA5" w:rsidRPr="00A169E7">
        <w:rPr>
          <w:rFonts w:ascii="Book Antiqua" w:hAnsi="Book Antiqua" w:cs="Times New Roman"/>
          <w:sz w:val="24"/>
          <w:szCs w:val="24"/>
        </w:rPr>
        <w:t>has been</w:t>
      </w:r>
      <w:r w:rsidR="00CC1BEB" w:rsidRPr="00A169E7">
        <w:rPr>
          <w:rFonts w:ascii="Book Antiqua" w:hAnsi="Book Antiqua" w:cs="Times New Roman"/>
          <w:sz w:val="24"/>
          <w:szCs w:val="24"/>
        </w:rPr>
        <w:t xml:space="preserve"> noted that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larger the size of </w:t>
      </w:r>
      <w:r w:rsidR="00775A6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shunt, the higher the possibility for HE to </w:t>
      </w:r>
      <w:proofErr w:type="gramStart"/>
      <w:r w:rsidR="00803F4A" w:rsidRPr="00A169E7">
        <w:rPr>
          <w:rFonts w:ascii="Book Antiqua" w:hAnsi="Book Antiqua" w:cs="Times New Roman"/>
          <w:sz w:val="24"/>
          <w:szCs w:val="24"/>
        </w:rPr>
        <w:t>recur</w:t>
      </w:r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6FC0" w:rsidRPr="00A169E7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8A3944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7E" w14:textId="17DA1564" w:rsidR="00803F4A" w:rsidRPr="00A169E7" w:rsidRDefault="00991110" w:rsidP="00A169E7">
      <w:pPr>
        <w:adjustRightInd w:val="0"/>
        <w:snapToGrid w:val="0"/>
        <w:spacing w:line="360" w:lineRule="auto"/>
        <w:ind w:leftChars="23" w:left="48"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he efficacy of rifaximin </w:t>
      </w:r>
      <w:r w:rsidRPr="00A169E7">
        <w:rPr>
          <w:rFonts w:ascii="Book Antiqua" w:hAnsi="Book Antiqua" w:cs="Times New Roman"/>
          <w:sz w:val="24"/>
          <w:szCs w:val="24"/>
        </w:rPr>
        <w:t xml:space="preserve">therapy 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for 10 </w:t>
      </w:r>
      <w:proofErr w:type="spellStart"/>
      <w:r w:rsidR="000E32C5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0E32C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has been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 proved</w:t>
      </w:r>
      <w:r w:rsidRPr="00A169E7">
        <w:rPr>
          <w:rFonts w:ascii="Book Antiqua" w:hAnsi="Book Antiqua" w:cs="Times New Roman"/>
          <w:sz w:val="24"/>
          <w:szCs w:val="24"/>
        </w:rPr>
        <w:t xml:space="preserve"> in the Japanese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population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6A087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0E32C5" w:rsidRPr="00A169E7">
        <w:rPr>
          <w:rFonts w:ascii="Book Antiqua" w:hAnsi="Book Antiqua" w:cs="Times New Roman"/>
          <w:sz w:val="24"/>
          <w:szCs w:val="24"/>
        </w:rPr>
        <w:t xml:space="preserve"> However, </w:t>
      </w:r>
      <w:r w:rsidRPr="00A169E7">
        <w:rPr>
          <w:rFonts w:ascii="Book Antiqua" w:hAnsi="Book Antiqua" w:cs="Times New Roman"/>
          <w:sz w:val="24"/>
          <w:szCs w:val="24"/>
        </w:rPr>
        <w:t xml:space="preserve">there are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no reports </w:t>
      </w:r>
      <w:r w:rsidRPr="00A169E7">
        <w:rPr>
          <w:rFonts w:ascii="Book Antiqua" w:hAnsi="Book Antiqua" w:cs="Times New Roman"/>
          <w:sz w:val="24"/>
          <w:szCs w:val="24"/>
        </w:rPr>
        <w:t>on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Pr="00A169E7">
        <w:rPr>
          <w:rFonts w:ascii="Book Antiqua" w:hAnsi="Book Antiqua" w:cs="Times New Roman"/>
          <w:sz w:val="24"/>
          <w:szCs w:val="24"/>
        </w:rPr>
        <w:t xml:space="preserve">relationship between 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long-term use of rifaximin and </w:t>
      </w:r>
      <w:r w:rsidRPr="00A169E7">
        <w:rPr>
          <w:rFonts w:ascii="Book Antiqua" w:hAnsi="Book Antiqua" w:cs="Times New Roman"/>
          <w:sz w:val="24"/>
          <w:szCs w:val="24"/>
        </w:rPr>
        <w:t>its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clinical effect</w:t>
      </w:r>
      <w:r w:rsidRPr="00A169E7">
        <w:rPr>
          <w:rFonts w:ascii="Book Antiqua" w:hAnsi="Book Antiqua" w:cs="Times New Roman"/>
          <w:sz w:val="24"/>
          <w:szCs w:val="24"/>
        </w:rPr>
        <w:t>s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and the size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shunts. In this retrospective cohort study, we clarified the efficacy and safety of long-term use of rifaximin, and investigated the influence of shunts, </w:t>
      </w:r>
      <w:r w:rsidR="006A1625" w:rsidRPr="00A169E7">
        <w:rPr>
          <w:rFonts w:ascii="Book Antiqua" w:hAnsi="Book Antiqua" w:cs="Times New Roman"/>
          <w:i/>
          <w:iCs/>
          <w:sz w:val="24"/>
          <w:szCs w:val="24"/>
        </w:rPr>
        <w:t>Escherichia coli (</w:t>
      </w:r>
      <w:r w:rsidR="006A1625" w:rsidRPr="00A169E7">
        <w:rPr>
          <w:rFonts w:ascii="Book Antiqua" w:hAnsi="Book Antiqua" w:cs="Times New Roman"/>
          <w:i/>
          <w:sz w:val="24"/>
          <w:szCs w:val="24"/>
        </w:rPr>
        <w:t>E. coli)</w:t>
      </w:r>
      <w:r w:rsidRPr="00A169E7">
        <w:rPr>
          <w:rFonts w:ascii="Book Antiqua" w:hAnsi="Book Antiqua" w:cs="Times New Roman"/>
          <w:sz w:val="24"/>
          <w:szCs w:val="24"/>
        </w:rPr>
        <w:t>-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related infection, and the prognosis </w:t>
      </w:r>
      <w:r w:rsidR="00931ECA" w:rsidRPr="00A169E7">
        <w:rPr>
          <w:rFonts w:ascii="Book Antiqua" w:hAnsi="Book Antiqua" w:cs="Times New Roman"/>
          <w:sz w:val="24"/>
          <w:szCs w:val="24"/>
        </w:rPr>
        <w:t xml:space="preserve">in the rifaximin group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compared with </w:t>
      </w:r>
      <w:r w:rsidR="00931ECA" w:rsidRPr="00A169E7">
        <w:rPr>
          <w:rFonts w:ascii="Book Antiqua" w:hAnsi="Book Antiqua" w:cs="Times New Roman"/>
          <w:sz w:val="24"/>
          <w:szCs w:val="24"/>
        </w:rPr>
        <w:t xml:space="preserve">that in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the control group </w:t>
      </w:r>
      <w:r w:rsidR="00155F3C" w:rsidRPr="00A169E7">
        <w:rPr>
          <w:rFonts w:ascii="Book Antiqua" w:hAnsi="Book Antiqua" w:cs="Times New Roman"/>
          <w:sz w:val="24"/>
          <w:szCs w:val="24"/>
        </w:rPr>
        <w:t xml:space="preserve">comprising 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cases of liver cirrhosis matched </w:t>
      </w:r>
      <w:r w:rsidR="00931ECA" w:rsidRPr="00A169E7">
        <w:rPr>
          <w:rFonts w:ascii="Book Antiqua" w:hAnsi="Book Antiqua" w:cs="Times New Roman"/>
          <w:sz w:val="24"/>
          <w:szCs w:val="24"/>
        </w:rPr>
        <w:t>for</w:t>
      </w:r>
      <w:r w:rsidR="00803F4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D1A2B" w:rsidRPr="00A169E7">
        <w:rPr>
          <w:rFonts w:ascii="Book Antiqua" w:hAnsi="Book Antiqua" w:cs="Times New Roman"/>
          <w:sz w:val="24"/>
          <w:szCs w:val="24"/>
        </w:rPr>
        <w:t>m</w:t>
      </w:r>
      <w:r w:rsidR="00803F4A" w:rsidRPr="00A169E7">
        <w:rPr>
          <w:rFonts w:ascii="Book Antiqua" w:hAnsi="Book Antiqua" w:cs="Times New Roman"/>
          <w:sz w:val="24"/>
          <w:szCs w:val="24"/>
        </w:rPr>
        <w:t>agnetic resonance elastography</w:t>
      </w:r>
      <w:r w:rsidR="007D1A2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(MRE), age,</w:t>
      </w:r>
      <w:r w:rsidR="00155F3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03F4A" w:rsidRPr="00A169E7">
        <w:rPr>
          <w:rFonts w:ascii="Book Antiqua" w:hAnsi="Book Antiqua" w:cs="Times New Roman"/>
          <w:sz w:val="24"/>
          <w:szCs w:val="24"/>
        </w:rPr>
        <w:t>Child-Pugh classification</w:t>
      </w:r>
      <w:r w:rsidR="005E2A23" w:rsidRPr="00A169E7">
        <w:rPr>
          <w:rFonts w:ascii="Book Antiqua" w:hAnsi="Book Antiqua" w:cs="Times New Roman"/>
          <w:sz w:val="24"/>
          <w:szCs w:val="24"/>
        </w:rPr>
        <w:t>, and the presence of hepatocellular carcinoma (HCC)</w:t>
      </w:r>
      <w:r w:rsidR="00803F4A" w:rsidRPr="00A169E7">
        <w:rPr>
          <w:rFonts w:ascii="Book Antiqua" w:hAnsi="Book Antiqua" w:cs="Times New Roman"/>
          <w:sz w:val="24"/>
          <w:szCs w:val="24"/>
        </w:rPr>
        <w:t>.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We evaluated the risk factors </w:t>
      </w:r>
      <w:r w:rsidR="0055362C" w:rsidRPr="00A169E7">
        <w:rPr>
          <w:rFonts w:ascii="Book Antiqua" w:hAnsi="Book Antiqua" w:cs="Times New Roman"/>
          <w:sz w:val="24"/>
          <w:szCs w:val="24"/>
        </w:rPr>
        <w:t xml:space="preserve">due to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which </w:t>
      </w:r>
      <w:r w:rsidR="00F87557" w:rsidRPr="00A169E7">
        <w:rPr>
          <w:rFonts w:ascii="Book Antiqua" w:hAnsi="Book Antiqua" w:cs="Times New Roman"/>
          <w:sz w:val="24"/>
          <w:szCs w:val="24"/>
        </w:rPr>
        <w:t xml:space="preserve">the serum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ammonia </w:t>
      </w:r>
      <w:r w:rsidR="00F87557" w:rsidRPr="00A169E7">
        <w:rPr>
          <w:rFonts w:ascii="Book Antiqua" w:hAnsi="Book Antiqua" w:cs="Times New Roman"/>
          <w:sz w:val="24"/>
          <w:szCs w:val="24"/>
        </w:rPr>
        <w:t xml:space="preserve">levels </w:t>
      </w:r>
      <w:r w:rsidR="001A469D" w:rsidRPr="00A169E7">
        <w:rPr>
          <w:rFonts w:ascii="Book Antiqua" w:hAnsi="Book Antiqua" w:cs="Times New Roman"/>
          <w:sz w:val="24"/>
          <w:szCs w:val="24"/>
        </w:rPr>
        <w:t>remained above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80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/dL at 24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 after </w:t>
      </w:r>
      <w:r w:rsidR="00E91D74" w:rsidRPr="00A169E7">
        <w:rPr>
          <w:rFonts w:ascii="Book Antiqua" w:hAnsi="Book Antiqua" w:cs="Times New Roman"/>
          <w:sz w:val="24"/>
          <w:szCs w:val="24"/>
        </w:rPr>
        <w:t xml:space="preserve">initiating </w:t>
      </w:r>
      <w:r w:rsidR="00E81764" w:rsidRPr="00A169E7">
        <w:rPr>
          <w:rFonts w:ascii="Book Antiqua" w:hAnsi="Book Antiqua" w:cs="Times New Roman"/>
          <w:sz w:val="24"/>
          <w:szCs w:val="24"/>
        </w:rPr>
        <w:t>rifaximin treatment.</w:t>
      </w:r>
    </w:p>
    <w:p w14:paraId="0FE8D57F" w14:textId="77777777" w:rsidR="00803F4A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0" w14:textId="123B9422" w:rsidR="00803F4A" w:rsidRPr="00A169E7" w:rsidRDefault="000D4B22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803F4A" w:rsidRPr="00A169E7">
        <w:rPr>
          <w:rFonts w:ascii="Book Antiqua" w:hAnsi="Book Antiqua" w:cs="Times New Roman"/>
          <w:b/>
          <w:sz w:val="24"/>
          <w:szCs w:val="24"/>
        </w:rPr>
        <w:t>M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ETHODS</w:t>
      </w:r>
    </w:p>
    <w:p w14:paraId="0FE8D581" w14:textId="77777777" w:rsidR="00803F4A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Patients</w:t>
      </w:r>
    </w:p>
    <w:p w14:paraId="453385F4" w14:textId="5E8E224C" w:rsidR="009F3694" w:rsidRPr="00A169E7" w:rsidRDefault="00803F4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is </w:t>
      </w:r>
      <w:r w:rsidR="00D11E0D" w:rsidRPr="00A169E7">
        <w:rPr>
          <w:rFonts w:ascii="Book Antiqua" w:hAnsi="Book Antiqua" w:cs="Times New Roman"/>
          <w:sz w:val="24"/>
          <w:szCs w:val="24"/>
        </w:rPr>
        <w:t>wa</w:t>
      </w:r>
      <w:r w:rsidRPr="00A169E7">
        <w:rPr>
          <w:rFonts w:ascii="Book Antiqua" w:hAnsi="Book Antiqua" w:cs="Times New Roman"/>
          <w:sz w:val="24"/>
          <w:szCs w:val="24"/>
        </w:rPr>
        <w:t xml:space="preserve">s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single-center retrospective observational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cohort </w:t>
      </w:r>
      <w:r w:rsidRPr="00A169E7">
        <w:rPr>
          <w:rFonts w:ascii="Book Antiqua" w:hAnsi="Book Antiqua" w:cs="Times New Roman"/>
          <w:sz w:val="24"/>
          <w:szCs w:val="24"/>
        </w:rPr>
        <w:t xml:space="preserve">study. The subjects </w:t>
      </w:r>
      <w:r w:rsidR="0093023B" w:rsidRPr="00A169E7">
        <w:rPr>
          <w:rFonts w:ascii="Book Antiqua" w:hAnsi="Book Antiqua" w:cs="Times New Roman"/>
          <w:sz w:val="24"/>
          <w:szCs w:val="24"/>
        </w:rPr>
        <w:t>were</w:t>
      </w:r>
      <w:r w:rsidRPr="00A169E7">
        <w:rPr>
          <w:rFonts w:ascii="Book Antiqua" w:hAnsi="Book Antiqua" w:cs="Times New Roman"/>
          <w:sz w:val="24"/>
          <w:szCs w:val="24"/>
        </w:rPr>
        <w:t xml:space="preserve"> 38 </w:t>
      </w:r>
      <w:r w:rsidR="00AD0726" w:rsidRPr="00A169E7">
        <w:rPr>
          <w:rFonts w:ascii="Book Antiqua" w:hAnsi="Book Antiqua" w:cs="Times New Roman"/>
          <w:sz w:val="24"/>
          <w:szCs w:val="24"/>
        </w:rPr>
        <w:t xml:space="preserve">consecutive </w:t>
      </w:r>
      <w:r w:rsidR="0093023B" w:rsidRPr="00A169E7">
        <w:rPr>
          <w:rFonts w:ascii="Book Antiqua" w:hAnsi="Book Antiqua" w:cs="Times New Roman"/>
          <w:sz w:val="24"/>
          <w:szCs w:val="24"/>
        </w:rPr>
        <w:t>patients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93023B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liver cirrhosis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who were administered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continuously </w:t>
      </w:r>
      <w:r w:rsidR="0093023B" w:rsidRPr="00A169E7">
        <w:rPr>
          <w:rFonts w:ascii="Book Antiqua" w:hAnsi="Book Antiqua" w:cs="Times New Roman"/>
          <w:sz w:val="24"/>
          <w:szCs w:val="24"/>
        </w:rPr>
        <w:t>for</w:t>
      </w:r>
      <w:r w:rsidRPr="00A169E7">
        <w:rPr>
          <w:rFonts w:ascii="Book Antiqua" w:hAnsi="Book Antiqua" w:cs="Times New Roman"/>
          <w:sz w:val="24"/>
          <w:szCs w:val="24"/>
        </w:rPr>
        <w:t xml:space="preserve"> more than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AD0726" w:rsidRPr="00A169E7">
        <w:rPr>
          <w:rFonts w:ascii="Book Antiqua" w:hAnsi="Book Antiqua" w:cs="Times New Roman"/>
          <w:sz w:val="24"/>
          <w:szCs w:val="24"/>
        </w:rPr>
        <w:t xml:space="preserve"> at our institute between April 2017 and July 2018</w:t>
      </w:r>
      <w:r w:rsidRPr="00A169E7">
        <w:rPr>
          <w:rFonts w:ascii="Book Antiqua" w:hAnsi="Book Antiqua" w:cs="Times New Roman"/>
          <w:sz w:val="24"/>
          <w:szCs w:val="24"/>
        </w:rPr>
        <w:t>.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The primary outcome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evaluated 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was the efficacy of long-term 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D11E0D" w:rsidRPr="00A169E7">
        <w:rPr>
          <w:rFonts w:ascii="Book Antiqua" w:hAnsi="Book Antiqua" w:cs="Times New Roman"/>
          <w:sz w:val="24"/>
          <w:szCs w:val="24"/>
        </w:rPr>
        <w:t>use, and the secondary ou</w:t>
      </w:r>
      <w:r w:rsidR="001745D4" w:rsidRPr="00A169E7">
        <w:rPr>
          <w:rFonts w:ascii="Book Antiqua" w:hAnsi="Book Antiqua" w:cs="Times New Roman"/>
          <w:sz w:val="24"/>
          <w:szCs w:val="24"/>
        </w:rPr>
        <w:t>t</w:t>
      </w:r>
      <w:r w:rsidR="00D11E0D" w:rsidRPr="00A169E7">
        <w:rPr>
          <w:rFonts w:ascii="Book Antiqua" w:hAnsi="Book Antiqua" w:cs="Times New Roman"/>
          <w:sz w:val="24"/>
          <w:szCs w:val="24"/>
        </w:rPr>
        <w:t>comes were the influence</w:t>
      </w:r>
      <w:r w:rsidR="00EC3DA5" w:rsidRPr="00A169E7">
        <w:rPr>
          <w:rFonts w:ascii="Book Antiqua" w:hAnsi="Book Antiqua" w:cs="Times New Roman"/>
          <w:sz w:val="24"/>
          <w:szCs w:val="24"/>
        </w:rPr>
        <w:t>s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of spontaneous portosystemic shunts and </w:t>
      </w:r>
      <w:r w:rsidR="00D11E0D" w:rsidRPr="00A169E7">
        <w:rPr>
          <w:rFonts w:ascii="Book Antiqua" w:hAnsi="Book Antiqua" w:cs="Times New Roman"/>
          <w:i/>
          <w:sz w:val="24"/>
          <w:szCs w:val="24"/>
        </w:rPr>
        <w:t xml:space="preserve">E. </w:t>
      </w:r>
      <w:r w:rsidR="0093023B" w:rsidRPr="00A169E7">
        <w:rPr>
          <w:rFonts w:ascii="Book Antiqua" w:hAnsi="Book Antiqua" w:cs="Times New Roman"/>
          <w:i/>
          <w:sz w:val="24"/>
          <w:szCs w:val="24"/>
        </w:rPr>
        <w:t>c</w:t>
      </w:r>
      <w:r w:rsidR="00D11E0D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D11E0D" w:rsidRPr="00A169E7">
        <w:rPr>
          <w:rFonts w:ascii="Book Antiqua" w:hAnsi="Book Antiqua" w:cs="Times New Roman"/>
          <w:sz w:val="24"/>
          <w:szCs w:val="24"/>
        </w:rPr>
        <w:t>-related infection. It was reported that live</w:t>
      </w:r>
      <w:r w:rsidR="0093023B" w:rsidRPr="00A169E7">
        <w:rPr>
          <w:rFonts w:ascii="Book Antiqua" w:hAnsi="Book Antiqua" w:cs="Times New Roman"/>
          <w:sz w:val="24"/>
          <w:szCs w:val="24"/>
        </w:rPr>
        <w:t>r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stiffness </w:t>
      </w:r>
      <w:r w:rsidR="003E4C56" w:rsidRPr="00A169E7">
        <w:rPr>
          <w:rFonts w:ascii="Book Antiqua" w:hAnsi="Book Antiqua" w:cs="Times New Roman"/>
          <w:sz w:val="24"/>
          <w:szCs w:val="24"/>
        </w:rPr>
        <w:t xml:space="preserve">measured by MRE 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was related to the </w:t>
      </w:r>
      <w:r w:rsidR="001745D4" w:rsidRPr="00A169E7">
        <w:rPr>
          <w:rFonts w:ascii="Book Antiqua" w:hAnsi="Book Antiqua" w:cs="Times New Roman"/>
          <w:sz w:val="24"/>
          <w:szCs w:val="24"/>
        </w:rPr>
        <w:t>recurrence</w:t>
      </w:r>
      <w:r w:rsidR="00D11E0D"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E91D74" w:rsidRPr="00A169E7">
        <w:rPr>
          <w:rFonts w:ascii="Book Antiqua" w:hAnsi="Book Antiqua" w:cs="Times New Roman"/>
          <w:sz w:val="24"/>
          <w:szCs w:val="24"/>
        </w:rPr>
        <w:t>HCC</w:t>
      </w:r>
      <w:r w:rsidR="00D11E0D" w:rsidRPr="00A169E7">
        <w:rPr>
          <w:rFonts w:ascii="Book Antiqua" w:hAnsi="Book Antiqua" w:cs="Times New Roman"/>
          <w:sz w:val="24"/>
          <w:szCs w:val="24"/>
        </w:rPr>
        <w:t>, liver decompensation, and overall survival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, and we compared the clinical prognosis between the rifaximin and control </w:t>
      </w:r>
      <w:r w:rsidR="0093023B" w:rsidRPr="00A169E7">
        <w:rPr>
          <w:rFonts w:ascii="Book Antiqua" w:hAnsi="Book Antiqua" w:cs="Times New Roman"/>
          <w:sz w:val="24"/>
          <w:szCs w:val="24"/>
        </w:rPr>
        <w:t>group</w:t>
      </w:r>
      <w:r w:rsidR="002D3BF8" w:rsidRPr="00A169E7">
        <w:rPr>
          <w:rFonts w:ascii="Book Antiqua" w:hAnsi="Book Antiqua" w:cs="Times New Roman"/>
          <w:sz w:val="24"/>
          <w:szCs w:val="24"/>
        </w:rPr>
        <w:t>s</w:t>
      </w:r>
      <w:r w:rsidR="00B41126" w:rsidRPr="00A169E7">
        <w:rPr>
          <w:rFonts w:ascii="Book Antiqua" w:hAnsi="Book Antiqua" w:cs="Times New Roman"/>
          <w:sz w:val="24"/>
          <w:szCs w:val="24"/>
        </w:rPr>
        <w:t>,</w:t>
      </w:r>
      <w:r w:rsidR="0093023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pair-matched from 451 </w:t>
      </w:r>
      <w:r w:rsidR="00B41126" w:rsidRPr="00A169E7">
        <w:rPr>
          <w:rFonts w:ascii="Book Antiqua" w:hAnsi="Book Antiqua" w:cs="Times New Roman"/>
          <w:sz w:val="24"/>
          <w:szCs w:val="24"/>
        </w:rPr>
        <w:t>patients with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chronic hepatic disease who were not given rifaximin</w:t>
      </w:r>
      <w:r w:rsidR="003815C6" w:rsidRPr="00A169E7">
        <w:rPr>
          <w:rFonts w:ascii="Book Antiqua" w:hAnsi="Book Antiqua" w:cs="Times New Roman"/>
          <w:sz w:val="24"/>
          <w:szCs w:val="24"/>
        </w:rPr>
        <w:t>,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and measured </w:t>
      </w:r>
      <w:r w:rsidR="003815C6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MRE from September 2016 to April 2018 using </w:t>
      </w:r>
      <w:r w:rsidR="003815C6" w:rsidRPr="00A169E7">
        <w:rPr>
          <w:rFonts w:ascii="Book Antiqua" w:hAnsi="Book Antiqua" w:cs="Times New Roman"/>
          <w:sz w:val="24"/>
          <w:szCs w:val="24"/>
        </w:rPr>
        <w:t>the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covariates for liver stiffness </w:t>
      </w:r>
      <w:r w:rsidR="00FA4C54" w:rsidRPr="00A169E7">
        <w:rPr>
          <w:rFonts w:ascii="Book Antiqua" w:hAnsi="Book Antiqua" w:cs="Times New Roman"/>
          <w:sz w:val="24"/>
          <w:szCs w:val="24"/>
        </w:rPr>
        <w:t>based on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MRE, age, Child-Pugh classification, and the presence of </w:t>
      </w:r>
      <w:r w:rsidR="00A5773A" w:rsidRPr="00A169E7">
        <w:rPr>
          <w:rFonts w:ascii="Book Antiqua" w:hAnsi="Book Antiqua" w:cs="Times New Roman"/>
          <w:sz w:val="24"/>
          <w:szCs w:val="24"/>
        </w:rPr>
        <w:t>HCC</w:t>
      </w:r>
      <w:r w:rsidR="003C08DD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82" w14:textId="78BA65DB" w:rsidR="00803F4A" w:rsidRPr="00A169E7" w:rsidRDefault="006264F5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m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ortality </w:t>
      </w:r>
      <w:r w:rsidRPr="00A169E7">
        <w:rPr>
          <w:rFonts w:ascii="Book Antiqua" w:hAnsi="Book Antiqua" w:cs="Times New Roman"/>
          <w:sz w:val="24"/>
          <w:szCs w:val="24"/>
        </w:rPr>
        <w:t>rate as well as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the incidence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of complications </w:t>
      </w:r>
      <w:r w:rsidRPr="00A169E7">
        <w:rPr>
          <w:rFonts w:ascii="Book Antiqua" w:hAnsi="Book Antiqua" w:cs="Times New Roman"/>
          <w:sz w:val="24"/>
          <w:szCs w:val="24"/>
        </w:rPr>
        <w:t>of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liver cirrhosis is </w:t>
      </w:r>
      <w:r w:rsidR="001745D4" w:rsidRPr="00A169E7">
        <w:rPr>
          <w:rFonts w:ascii="Book Antiqua" w:hAnsi="Book Antiqua" w:cs="Times New Roman"/>
          <w:sz w:val="24"/>
          <w:szCs w:val="24"/>
        </w:rPr>
        <w:lastRenderedPageBreak/>
        <w:t xml:space="preserve">influenced </w:t>
      </w:r>
      <w:r w:rsidRPr="00A169E7">
        <w:rPr>
          <w:rFonts w:ascii="Book Antiqua" w:hAnsi="Book Antiqua" w:cs="Times New Roman"/>
          <w:sz w:val="24"/>
          <w:szCs w:val="24"/>
        </w:rPr>
        <w:t>by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whether the maximum size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1745D4" w:rsidRPr="00A169E7">
        <w:rPr>
          <w:rFonts w:ascii="Book Antiqua" w:hAnsi="Book Antiqua" w:cs="Times New Roman"/>
          <w:sz w:val="24"/>
          <w:szCs w:val="24"/>
        </w:rPr>
        <w:t xml:space="preserve"> shunt is over </w:t>
      </w:r>
      <w:r w:rsidR="00605104" w:rsidRPr="00A169E7">
        <w:rPr>
          <w:rFonts w:ascii="Book Antiqua" w:hAnsi="Book Antiqua" w:cs="Times New Roman"/>
          <w:sz w:val="24"/>
          <w:szCs w:val="24"/>
        </w:rPr>
        <w:t xml:space="preserve">8 mm or under 8 </w:t>
      </w:r>
      <w:proofErr w:type="gramStart"/>
      <w:r w:rsidR="00605104" w:rsidRPr="00A169E7">
        <w:rPr>
          <w:rFonts w:ascii="Book Antiqua" w:hAnsi="Book Antiqua" w:cs="Times New Roman"/>
          <w:sz w:val="24"/>
          <w:szCs w:val="24"/>
        </w:rPr>
        <w:t>mm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6A087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83" w14:textId="07C27B8E" w:rsidR="00605104" w:rsidRPr="00A169E7" w:rsidRDefault="00605104" w:rsidP="00A169E7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Moreover, the smallest size of </w:t>
      </w:r>
      <w:r w:rsidR="00CE06A3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symptomatic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Pr="00A169E7">
        <w:rPr>
          <w:rFonts w:ascii="Book Antiqua" w:hAnsi="Book Antiqua" w:cs="Times New Roman"/>
          <w:sz w:val="24"/>
          <w:szCs w:val="24"/>
        </w:rPr>
        <w:t xml:space="preserve">in the literature is 8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mm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A8047E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264F5" w:rsidRPr="00A169E7">
        <w:rPr>
          <w:rFonts w:ascii="Book Antiqua" w:hAnsi="Book Antiqua" w:cs="Times New Roman"/>
          <w:sz w:val="24"/>
          <w:szCs w:val="24"/>
        </w:rPr>
        <w:t>Based on</w:t>
      </w:r>
      <w:r w:rsidRPr="00A169E7">
        <w:rPr>
          <w:rFonts w:ascii="Book Antiqua" w:hAnsi="Book Antiqua" w:cs="Times New Roman"/>
          <w:sz w:val="24"/>
          <w:szCs w:val="24"/>
        </w:rPr>
        <w:t xml:space="preserve"> these reports, we classified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shunts over 8 mm into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large group, and those under 8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into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small group. </w:t>
      </w:r>
      <w:r w:rsidR="004E020D" w:rsidRPr="00A169E7">
        <w:rPr>
          <w:rFonts w:ascii="Book Antiqua" w:hAnsi="Book Antiqua" w:cs="Times New Roman"/>
          <w:sz w:val="24"/>
          <w:szCs w:val="24"/>
        </w:rPr>
        <w:t>There was no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 set standard </w:t>
      </w:r>
      <w:r w:rsidR="004E020D" w:rsidRPr="00A169E7">
        <w:rPr>
          <w:rFonts w:ascii="Book Antiqua" w:hAnsi="Book Antiqua" w:cs="Times New Roman"/>
          <w:sz w:val="24"/>
          <w:szCs w:val="24"/>
        </w:rPr>
        <w:t xml:space="preserve">for initiating 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treatment </w:t>
      </w:r>
      <w:r w:rsidR="004E020D" w:rsidRPr="00A169E7">
        <w:rPr>
          <w:rFonts w:ascii="Book Antiqua" w:hAnsi="Book Antiqua" w:cs="Times New Roman"/>
          <w:sz w:val="24"/>
          <w:szCs w:val="24"/>
        </w:rPr>
        <w:t>with</w:t>
      </w:r>
      <w:r w:rsidR="00804039" w:rsidRPr="00A169E7">
        <w:rPr>
          <w:rFonts w:ascii="Book Antiqua" w:hAnsi="Book Antiqua" w:cs="Times New Roman"/>
          <w:sz w:val="24"/>
          <w:szCs w:val="24"/>
        </w:rPr>
        <w:t xml:space="preserve"> rifaximin. </w:t>
      </w:r>
    </w:p>
    <w:p w14:paraId="0FE8D584" w14:textId="456FFFAC" w:rsidR="00F12505" w:rsidRPr="00A169E7" w:rsidRDefault="00241B0E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This study was approved by the </w:t>
      </w:r>
      <w:r w:rsidR="002D3BF8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thics </w:t>
      </w:r>
      <w:r w:rsidR="002D3BF8" w:rsidRPr="00A169E7">
        <w:rPr>
          <w:rFonts w:ascii="Book Antiqua" w:hAnsi="Book Antiqua" w:cs="Times New Roman"/>
          <w:sz w:val="24"/>
          <w:szCs w:val="24"/>
        </w:rPr>
        <w:t>C</w:t>
      </w:r>
      <w:r w:rsidRPr="00A169E7">
        <w:rPr>
          <w:rFonts w:ascii="Book Antiqua" w:hAnsi="Book Antiqua" w:cs="Times New Roman"/>
          <w:sz w:val="24"/>
          <w:szCs w:val="24"/>
        </w:rPr>
        <w:t>ommittee of the Southern-Tohoku General Hospital and was conducted according to the guidelines of the 1975</w:t>
      </w:r>
      <w:r w:rsidR="002D3BF8" w:rsidRPr="00A169E7">
        <w:rPr>
          <w:rFonts w:ascii="Book Antiqua" w:hAnsi="Book Antiqua" w:cs="Times New Roman"/>
          <w:sz w:val="24"/>
          <w:szCs w:val="24"/>
        </w:rPr>
        <w:t xml:space="preserve"> Declaration</w:t>
      </w:r>
      <w:r w:rsidR="00D567F8" w:rsidRPr="00A169E7">
        <w:rPr>
          <w:rFonts w:ascii="Book Antiqua" w:hAnsi="Book Antiqua" w:cs="Times New Roman"/>
          <w:sz w:val="24"/>
          <w:szCs w:val="24"/>
        </w:rPr>
        <w:t xml:space="preserve"> of Helsinki</w:t>
      </w:r>
      <w:r w:rsidRPr="00A169E7">
        <w:rPr>
          <w:rFonts w:ascii="Book Antiqua" w:hAnsi="Book Antiqua" w:cs="Times New Roman"/>
          <w:sz w:val="24"/>
          <w:szCs w:val="24"/>
        </w:rPr>
        <w:t>, as revised in 2008. Informed consent was obtained from all patients for being included in the study.</w:t>
      </w:r>
    </w:p>
    <w:p w14:paraId="731B66AB" w14:textId="77777777" w:rsidR="00B83098" w:rsidRPr="00A169E7" w:rsidRDefault="00B8309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5" w14:textId="09A642C3" w:rsidR="00F12505" w:rsidRPr="00A169E7" w:rsidRDefault="006E3670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Assessment of </w:t>
      </w:r>
      <w:r w:rsidR="00ED6ACE" w:rsidRPr="00A169E7">
        <w:rPr>
          <w:rFonts w:ascii="Book Antiqua" w:hAnsi="Book Antiqua" w:cs="Times New Roman"/>
          <w:b/>
          <w:i/>
          <w:sz w:val="24"/>
          <w:szCs w:val="24"/>
        </w:rPr>
        <w:t>MRE</w:t>
      </w:r>
    </w:p>
    <w:p w14:paraId="0FE8D586" w14:textId="7E273DCC" w:rsidR="006E3670" w:rsidRPr="00A169E7" w:rsidRDefault="006E3670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3.0-T imagers (GE Healthcar</w:t>
      </w:r>
      <w:r w:rsidR="006264F5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>, Milwaukee, WI) w</w:t>
      </w:r>
      <w:r w:rsidR="006264F5" w:rsidRPr="00A169E7">
        <w:rPr>
          <w:rFonts w:ascii="Book Antiqua" w:hAnsi="Book Antiqua" w:cs="Times New Roman"/>
          <w:sz w:val="24"/>
          <w:szCs w:val="24"/>
        </w:rPr>
        <w:t>ere</w:t>
      </w:r>
      <w:r w:rsidRPr="00A169E7">
        <w:rPr>
          <w:rFonts w:ascii="Book Antiqua" w:hAnsi="Book Antiqua" w:cs="Times New Roman"/>
          <w:sz w:val="24"/>
          <w:szCs w:val="24"/>
        </w:rPr>
        <w:t xml:space="preserve"> used for all MRE exam</w:t>
      </w:r>
      <w:r w:rsidR="00D567F8" w:rsidRPr="00A169E7">
        <w:rPr>
          <w:rFonts w:ascii="Book Antiqua" w:hAnsi="Book Antiqua" w:cs="Times New Roman"/>
          <w:sz w:val="24"/>
          <w:szCs w:val="24"/>
        </w:rPr>
        <w:t>ination</w:t>
      </w:r>
      <w:r w:rsidRPr="00A169E7">
        <w:rPr>
          <w:rFonts w:ascii="Book Antiqua" w:hAnsi="Book Antiqua" w:cs="Times New Roman"/>
          <w:sz w:val="24"/>
          <w:szCs w:val="24"/>
        </w:rPr>
        <w:t xml:space="preserve">s, and the condition was set as the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report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2B2617" w:rsidRPr="00A169E7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4674B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E4E3A" w:rsidRPr="00A169E7">
        <w:rPr>
          <w:rFonts w:ascii="Book Antiqua" w:hAnsi="Book Antiqua" w:cs="Times New Roman"/>
          <w:sz w:val="24"/>
          <w:szCs w:val="24"/>
        </w:rPr>
        <w:t xml:space="preserve">We fused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4E4E3A" w:rsidRPr="00A169E7">
        <w:rPr>
          <w:rFonts w:ascii="Book Antiqua" w:hAnsi="Book Antiqua" w:cs="Times New Roman"/>
          <w:sz w:val="24"/>
          <w:szCs w:val="24"/>
        </w:rPr>
        <w:t xml:space="preserve">T2 image and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E4E3A" w:rsidRPr="00A169E7">
        <w:rPr>
          <w:rFonts w:ascii="Book Antiqua" w:hAnsi="Book Antiqua" w:cs="Times New Roman"/>
          <w:sz w:val="24"/>
          <w:szCs w:val="24"/>
        </w:rPr>
        <w:t>elastogram</w:t>
      </w:r>
      <w:proofErr w:type="spellEnd"/>
      <w:r w:rsidR="004E4E3A" w:rsidRPr="00A169E7">
        <w:rPr>
          <w:rFonts w:ascii="Book Antiqua" w:hAnsi="Book Antiqua" w:cs="Times New Roman"/>
          <w:sz w:val="24"/>
          <w:szCs w:val="24"/>
        </w:rPr>
        <w:t xml:space="preserve"> and measured the stiffness in 3 regions</w:t>
      </w:r>
      <w:r w:rsidR="009C6C8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7D089F" w:rsidRPr="00A169E7">
        <w:rPr>
          <w:rFonts w:ascii="Book Antiqua" w:hAnsi="Book Antiqua" w:cs="Times New Roman"/>
          <w:sz w:val="24"/>
          <w:szCs w:val="24"/>
        </w:rPr>
        <w:t xml:space="preserve">where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7D089F" w:rsidRPr="00A169E7">
        <w:rPr>
          <w:rFonts w:ascii="Book Antiqua" w:hAnsi="Book Antiqua" w:cs="Times New Roman"/>
          <w:sz w:val="24"/>
          <w:szCs w:val="24"/>
        </w:rPr>
        <w:t xml:space="preserve">wave image was good and </w:t>
      </w:r>
      <w:r w:rsidR="00A25F5B" w:rsidRPr="00A169E7">
        <w:rPr>
          <w:rFonts w:ascii="Book Antiqua" w:hAnsi="Book Antiqua" w:cs="Times New Roman"/>
          <w:sz w:val="24"/>
          <w:szCs w:val="24"/>
        </w:rPr>
        <w:t>the region of interest</w:t>
      </w:r>
      <w:r w:rsidR="00B32CAA"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885512" w:rsidRPr="00A169E7">
        <w:rPr>
          <w:rFonts w:ascii="Book Antiqua" w:hAnsi="Book Antiqua" w:cs="Times New Roman"/>
          <w:sz w:val="24"/>
          <w:szCs w:val="24"/>
        </w:rPr>
        <w:t>ROI</w:t>
      </w:r>
      <w:r w:rsidR="00B32CAA" w:rsidRPr="00A169E7">
        <w:rPr>
          <w:rFonts w:ascii="Book Antiqua" w:hAnsi="Book Antiqua" w:cs="Times New Roman"/>
          <w:sz w:val="24"/>
          <w:szCs w:val="24"/>
        </w:rPr>
        <w:t>)</w:t>
      </w:r>
      <w:r w:rsidR="00885512" w:rsidRPr="00A169E7">
        <w:rPr>
          <w:rFonts w:ascii="Book Antiqua" w:hAnsi="Book Antiqua" w:cs="Times New Roman"/>
          <w:sz w:val="24"/>
          <w:szCs w:val="24"/>
        </w:rPr>
        <w:t xml:space="preserve"> was set as broad as</w:t>
      </w:r>
      <w:r w:rsidR="00874D0E" w:rsidRPr="00A169E7">
        <w:rPr>
          <w:rFonts w:ascii="Book Antiqua" w:hAnsi="Book Antiqua" w:cs="Times New Roman"/>
          <w:sz w:val="24"/>
          <w:szCs w:val="24"/>
        </w:rPr>
        <w:t xml:space="preserve"> possible avoiding </w:t>
      </w:r>
      <w:r w:rsidR="00A25F5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74D0E" w:rsidRPr="00A169E7">
        <w:rPr>
          <w:rFonts w:ascii="Book Antiqua" w:hAnsi="Book Antiqua" w:cs="Times New Roman"/>
          <w:sz w:val="24"/>
          <w:szCs w:val="24"/>
        </w:rPr>
        <w:t xml:space="preserve">liver surface, </w:t>
      </w:r>
      <w:r w:rsidR="003305C9" w:rsidRPr="00A169E7">
        <w:rPr>
          <w:rFonts w:ascii="Book Antiqua" w:hAnsi="Book Antiqua" w:cs="Times New Roman"/>
          <w:sz w:val="24"/>
          <w:szCs w:val="24"/>
        </w:rPr>
        <w:t>vessels, tumor, cross-hatching, hot spot</w:t>
      </w:r>
      <w:r w:rsidR="00A25F5B" w:rsidRPr="00A169E7">
        <w:rPr>
          <w:rFonts w:ascii="Book Antiqua" w:hAnsi="Book Antiqua" w:cs="Times New Roman"/>
          <w:sz w:val="24"/>
          <w:szCs w:val="24"/>
        </w:rPr>
        <w:t>s</w:t>
      </w:r>
      <w:r w:rsidR="006264F5" w:rsidRPr="00A169E7">
        <w:rPr>
          <w:rFonts w:ascii="Book Antiqua" w:hAnsi="Book Antiqua" w:cs="Times New Roman"/>
          <w:sz w:val="24"/>
          <w:szCs w:val="24"/>
        </w:rPr>
        <w:t>,</w:t>
      </w:r>
      <w:r w:rsidR="003305C9" w:rsidRPr="00A169E7">
        <w:rPr>
          <w:rFonts w:ascii="Book Antiqua" w:hAnsi="Book Antiqua" w:cs="Times New Roman"/>
          <w:sz w:val="24"/>
          <w:szCs w:val="24"/>
        </w:rPr>
        <w:t xml:space="preserve"> and dark spot</w:t>
      </w:r>
      <w:r w:rsidR="00A25F5B" w:rsidRPr="00A169E7">
        <w:rPr>
          <w:rFonts w:ascii="Book Antiqua" w:hAnsi="Book Antiqua" w:cs="Times New Roman"/>
          <w:sz w:val="24"/>
          <w:szCs w:val="24"/>
        </w:rPr>
        <w:t>s</w:t>
      </w:r>
      <w:r w:rsidR="003305C9" w:rsidRPr="00A169E7">
        <w:rPr>
          <w:rFonts w:ascii="Book Antiqua" w:hAnsi="Book Antiqua" w:cs="Times New Roman"/>
          <w:sz w:val="24"/>
          <w:szCs w:val="24"/>
        </w:rPr>
        <w:t xml:space="preserve">. </w:t>
      </w:r>
    </w:p>
    <w:p w14:paraId="0FE8D587" w14:textId="66437168" w:rsidR="00EF3611" w:rsidRPr="00A169E7" w:rsidRDefault="00EF3611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MRE was measured at the beginning of the rifaximin treatment.</w:t>
      </w:r>
    </w:p>
    <w:p w14:paraId="0FE8D588" w14:textId="77777777" w:rsidR="00EF3611" w:rsidRPr="00A169E7" w:rsidRDefault="00EF3611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9" w14:textId="62723923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Assessment of </w:t>
      </w:r>
      <w:r w:rsidR="003310D6" w:rsidRPr="00A169E7">
        <w:rPr>
          <w:rFonts w:ascii="Book Antiqua" w:hAnsi="Book Antiqua" w:cs="Times New Roman"/>
          <w:b/>
          <w:i/>
          <w:sz w:val="24"/>
          <w:szCs w:val="24"/>
        </w:rPr>
        <w:t>p</w:t>
      </w:r>
      <w:r w:rsidR="002229C1" w:rsidRPr="00A169E7">
        <w:rPr>
          <w:rFonts w:ascii="Book Antiqua" w:hAnsi="Book Antiqua" w:cs="Times New Roman"/>
          <w:b/>
          <w:i/>
          <w:sz w:val="24"/>
          <w:szCs w:val="24"/>
        </w:rPr>
        <w:t>ortosystemic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 shunt</w:t>
      </w:r>
      <w:r w:rsidR="00CB3E8B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FE8D58A" w14:textId="6ABDBC00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Contrast-enhanced CT images </w:t>
      </w:r>
      <w:r w:rsidR="006264F5" w:rsidRPr="00A169E7">
        <w:rPr>
          <w:rFonts w:ascii="Book Antiqua" w:hAnsi="Book Antiqua" w:cs="Times New Roman"/>
          <w:sz w:val="24"/>
          <w:szCs w:val="24"/>
        </w:rPr>
        <w:t>taken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during the follow-up of </w:t>
      </w:r>
      <w:r w:rsidR="00C027DB" w:rsidRPr="00A169E7">
        <w:rPr>
          <w:rFonts w:ascii="Book Antiqua" w:hAnsi="Book Antiqua" w:cs="Times New Roman"/>
          <w:sz w:val="24"/>
          <w:szCs w:val="24"/>
        </w:rPr>
        <w:t>HCC</w:t>
      </w:r>
      <w:r w:rsidRPr="00A169E7">
        <w:rPr>
          <w:rFonts w:ascii="Book Antiqua" w:hAnsi="Book Antiqua" w:cs="Times New Roman"/>
          <w:sz w:val="24"/>
          <w:szCs w:val="24"/>
        </w:rPr>
        <w:t xml:space="preserve"> were assessed. The instrument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used </w:t>
      </w:r>
      <w:r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6264F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64-detector MDCT Light Speed VCT (GE Healthcare</w:t>
      </w:r>
      <w:r w:rsidR="006264F5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UK Ltd</w:t>
      </w:r>
      <w:r w:rsidR="00EC3DA5" w:rsidRPr="00A169E7">
        <w:rPr>
          <w:rFonts w:ascii="Book Antiqua" w:hAnsi="Book Antiqua" w:cs="Times New Roman"/>
          <w:sz w:val="24"/>
          <w:szCs w:val="24"/>
        </w:rPr>
        <w:t>.</w:t>
      </w:r>
      <w:r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Pr="00A169E7">
        <w:rPr>
          <w:rFonts w:ascii="Book Antiqua" w:hAnsi="Book Antiqua" w:cs="Times New Roman"/>
          <w:sz w:val="24"/>
          <w:szCs w:val="24"/>
        </w:rPr>
        <w:t xml:space="preserve">the medium was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Iomeprol</w:t>
      </w:r>
      <w:proofErr w:type="spellEnd"/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350 1.8 mL/kg (630 mg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I/kg)</w:t>
      </w:r>
      <w:r w:rsidR="00631275" w:rsidRPr="00A169E7">
        <w:rPr>
          <w:rFonts w:ascii="Book Antiqua" w:hAnsi="Book Antiqua" w:cs="Times New Roman"/>
          <w:sz w:val="24"/>
          <w:szCs w:val="24"/>
        </w:rPr>
        <w:t>;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="00AF708A" w:rsidRPr="00A169E7">
        <w:rPr>
          <w:rFonts w:ascii="Book Antiqua" w:hAnsi="Book Antiqua" w:cs="Times New Roman"/>
          <w:sz w:val="24"/>
          <w:szCs w:val="24"/>
        </w:rPr>
        <w:t>time taken for injecting the medium was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30 s, and the range was from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supradiaphragmatic to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subpubic 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region </w:t>
      </w:r>
      <w:r w:rsidR="002C136F" w:rsidRPr="00A169E7">
        <w:rPr>
          <w:rFonts w:ascii="Book Antiqua" w:hAnsi="Book Antiqua" w:cs="Times New Roman"/>
          <w:sz w:val="24"/>
          <w:szCs w:val="24"/>
        </w:rPr>
        <w:t>with 0.5</w:t>
      </w:r>
      <w:r w:rsidR="00C027DB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>mm slice</w:t>
      </w:r>
      <w:r w:rsidR="00631275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C136F" w:rsidRPr="00A169E7">
        <w:rPr>
          <w:rFonts w:ascii="Book Antiqua" w:hAnsi="Book Antiqua" w:cs="Times New Roman"/>
          <w:sz w:val="24"/>
          <w:szCs w:val="24"/>
        </w:rPr>
        <w:t>portal phase. The measurement was assessed with 5</w:t>
      </w:r>
      <w:r w:rsidR="00D567F8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>mm slice</w:t>
      </w:r>
      <w:r w:rsidR="00A94EF0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2C136F" w:rsidRPr="00A169E7">
        <w:rPr>
          <w:rFonts w:ascii="Book Antiqua" w:hAnsi="Book Antiqua" w:cs="Times New Roman"/>
          <w:sz w:val="24"/>
          <w:szCs w:val="24"/>
        </w:rPr>
        <w:t>axial d</w:t>
      </w:r>
      <w:r w:rsidR="00FF0AAD" w:rsidRPr="00A169E7">
        <w:rPr>
          <w:rFonts w:ascii="Book Antiqua" w:hAnsi="Book Antiqua" w:cs="Times New Roman"/>
          <w:sz w:val="24"/>
          <w:szCs w:val="24"/>
        </w:rPr>
        <w:t>i</w:t>
      </w:r>
      <w:r w:rsidR="002C136F" w:rsidRPr="00A169E7">
        <w:rPr>
          <w:rFonts w:ascii="Book Antiqua" w:hAnsi="Book Antiqua" w:cs="Times New Roman"/>
          <w:sz w:val="24"/>
          <w:szCs w:val="24"/>
        </w:rPr>
        <w:t>men</w:t>
      </w:r>
      <w:r w:rsidR="00FF0AAD" w:rsidRPr="00A169E7">
        <w:rPr>
          <w:rFonts w:ascii="Book Antiqua" w:hAnsi="Book Antiqua" w:cs="Times New Roman"/>
          <w:sz w:val="24"/>
          <w:szCs w:val="24"/>
        </w:rPr>
        <w:t>s</w:t>
      </w:r>
      <w:r w:rsidR="002C136F" w:rsidRPr="00A169E7">
        <w:rPr>
          <w:rFonts w:ascii="Book Antiqua" w:hAnsi="Book Antiqua" w:cs="Times New Roman"/>
          <w:sz w:val="24"/>
          <w:szCs w:val="24"/>
        </w:rPr>
        <w:t>ion, and coronal reconstructed images in 40</w:t>
      </w:r>
      <w:r w:rsidR="00D567F8" w:rsidRPr="00A169E7">
        <w:rPr>
          <w:rFonts w:ascii="Book Antiqua" w:hAnsi="Book Antiqua" w:cs="Times New Roman"/>
          <w:sz w:val="24"/>
          <w:szCs w:val="24"/>
        </w:rPr>
        <w:t>-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mm partial </w:t>
      </w:r>
      <w:r w:rsidR="007D1A2B" w:rsidRPr="00A169E7">
        <w:rPr>
          <w:rFonts w:ascii="Book Antiqua" w:hAnsi="Book Antiqua" w:cs="Times New Roman"/>
          <w:sz w:val="24"/>
          <w:szCs w:val="24"/>
        </w:rPr>
        <w:t>maximum intensity projection (</w:t>
      </w:r>
      <w:r w:rsidR="002C136F" w:rsidRPr="00A169E7">
        <w:rPr>
          <w:rFonts w:ascii="Book Antiqua" w:hAnsi="Book Antiqua" w:cs="Times New Roman"/>
          <w:sz w:val="24"/>
          <w:szCs w:val="24"/>
        </w:rPr>
        <w:t>MIP</w:t>
      </w:r>
      <w:r w:rsidR="007D1A2B" w:rsidRPr="00A169E7">
        <w:rPr>
          <w:rFonts w:ascii="Book Antiqua" w:hAnsi="Book Antiqua" w:cs="Times New Roman"/>
          <w:sz w:val="24"/>
          <w:szCs w:val="24"/>
        </w:rPr>
        <w:t>)</w:t>
      </w:r>
      <w:r w:rsidR="002C136F" w:rsidRPr="00A169E7">
        <w:rPr>
          <w:rFonts w:ascii="Book Antiqua" w:hAnsi="Book Antiqua" w:cs="Times New Roman"/>
          <w:sz w:val="24"/>
          <w:szCs w:val="24"/>
        </w:rPr>
        <w:t xml:space="preserve">. When a case had </w:t>
      </w:r>
      <w:r w:rsidR="00631275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2C136F" w:rsidRPr="00A169E7">
        <w:rPr>
          <w:rFonts w:ascii="Book Antiqua" w:hAnsi="Book Antiqua" w:cs="Times New Roman"/>
          <w:sz w:val="24"/>
          <w:szCs w:val="24"/>
        </w:rPr>
        <w:t>plural system of shunts, the maximum diameter of the largest shunt was measured.</w:t>
      </w:r>
    </w:p>
    <w:p w14:paraId="0FE8D58B" w14:textId="77777777" w:rsidR="00FF0AAD" w:rsidRPr="00A169E7" w:rsidRDefault="00FF0AA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E8D58C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lastRenderedPageBreak/>
        <w:t>Statistical analysis</w:t>
      </w:r>
    </w:p>
    <w:p w14:paraId="0FE8D58D" w14:textId="2B5B39AF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Fisher’s exact test or the Kruskal-Wallis exact test was used to compare categorical variables, and the Mann-Whitney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U</w:t>
      </w:r>
      <w:r w:rsidRPr="00A169E7">
        <w:rPr>
          <w:rFonts w:ascii="Book Antiqua" w:hAnsi="Book Antiqua" w:cs="Times New Roman"/>
          <w:sz w:val="24"/>
          <w:szCs w:val="24"/>
        </w:rPr>
        <w:t xml:space="preserve">-test was used to compare median values of continuous variables. </w:t>
      </w:r>
      <w:r w:rsidR="00573ABF" w:rsidRPr="00A169E7">
        <w:rPr>
          <w:rFonts w:ascii="Book Antiqua" w:hAnsi="Book Antiqua" w:cs="Times New Roman"/>
          <w:sz w:val="24"/>
          <w:szCs w:val="24"/>
        </w:rPr>
        <w:t xml:space="preserve">Wilcoxon signed-rank test was used to compare paired continuous variables. </w:t>
      </w:r>
      <w:r w:rsidR="002020B3" w:rsidRPr="00A169E7">
        <w:rPr>
          <w:rFonts w:ascii="Book Antiqua" w:hAnsi="Book Antiqua" w:cs="Times New Roman"/>
          <w:sz w:val="24"/>
          <w:szCs w:val="24"/>
        </w:rPr>
        <w:t xml:space="preserve">To evaluate the overall survival </w:t>
      </w:r>
      <w:r w:rsidR="00F452C3" w:rsidRPr="00A169E7">
        <w:rPr>
          <w:rFonts w:ascii="Book Antiqua" w:hAnsi="Book Antiqua" w:cs="Times New Roman"/>
          <w:sz w:val="24"/>
          <w:szCs w:val="24"/>
        </w:rPr>
        <w:t>in the</w:t>
      </w:r>
      <w:r w:rsidR="002020B3" w:rsidRPr="00A169E7">
        <w:rPr>
          <w:rFonts w:ascii="Book Antiqua" w:hAnsi="Book Antiqua" w:cs="Times New Roman"/>
          <w:sz w:val="24"/>
          <w:szCs w:val="24"/>
        </w:rPr>
        <w:t xml:space="preserve"> rifaximin group,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 the control group </w:t>
      </w:r>
      <w:r w:rsidR="00582B36" w:rsidRPr="00A169E7">
        <w:rPr>
          <w:rFonts w:ascii="Book Antiqua" w:hAnsi="Book Antiqua" w:cs="Times New Roman"/>
          <w:sz w:val="24"/>
          <w:szCs w:val="24"/>
        </w:rPr>
        <w:t xml:space="preserve">was chosen </w:t>
      </w:r>
      <w:r w:rsidR="00444E23" w:rsidRPr="00A169E7">
        <w:rPr>
          <w:rFonts w:ascii="Book Antiqua" w:hAnsi="Book Antiqua" w:cs="Times New Roman"/>
          <w:sz w:val="24"/>
          <w:szCs w:val="24"/>
        </w:rPr>
        <w:t xml:space="preserve">using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MRE as the </w:t>
      </w:r>
      <w:r w:rsidR="00444E23" w:rsidRPr="00A169E7">
        <w:rPr>
          <w:rFonts w:ascii="Book Antiqua" w:hAnsi="Book Antiqua" w:cs="Times New Roman"/>
          <w:sz w:val="24"/>
          <w:szCs w:val="24"/>
        </w:rPr>
        <w:t xml:space="preserve">measure of </w:t>
      </w:r>
      <w:r w:rsidR="003C08DD" w:rsidRPr="00A169E7">
        <w:rPr>
          <w:rFonts w:ascii="Book Antiqua" w:hAnsi="Book Antiqua" w:cs="Times New Roman"/>
          <w:sz w:val="24"/>
          <w:szCs w:val="24"/>
        </w:rPr>
        <w:t xml:space="preserve">comparison.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As the outcome parameters may be influenced by patient selection </w:t>
      </w:r>
      <w:r w:rsidR="00FF3219" w:rsidRPr="00A169E7">
        <w:rPr>
          <w:rFonts w:ascii="Book Antiqua" w:hAnsi="Book Antiqua" w:cs="Times New Roman"/>
          <w:sz w:val="24"/>
          <w:szCs w:val="24"/>
        </w:rPr>
        <w:t>in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F321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067460" w:rsidRPr="00A169E7">
        <w:rPr>
          <w:rFonts w:ascii="Book Antiqua" w:hAnsi="Book Antiqua" w:cs="Times New Roman"/>
          <w:sz w:val="24"/>
          <w:szCs w:val="24"/>
        </w:rPr>
        <w:t>rifaximin group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B39AA" w:rsidRPr="00A169E7">
        <w:rPr>
          <w:rFonts w:ascii="Book Antiqua" w:hAnsi="Book Antiqua" w:cs="Times New Roman"/>
          <w:sz w:val="24"/>
          <w:szCs w:val="24"/>
        </w:rPr>
        <w:t>and</w:t>
      </w:r>
      <w:r w:rsidR="009C3208" w:rsidRPr="00A169E7">
        <w:rPr>
          <w:rFonts w:ascii="Book Antiqua" w:hAnsi="Book Antiqua" w:cs="Times New Roman"/>
          <w:sz w:val="24"/>
          <w:szCs w:val="24"/>
        </w:rPr>
        <w:t>/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or </w:t>
      </w:r>
      <w:r w:rsidR="00FF321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067460" w:rsidRPr="00A169E7">
        <w:rPr>
          <w:rFonts w:ascii="Book Antiqua" w:hAnsi="Book Antiqua" w:cs="Times New Roman"/>
          <w:sz w:val="24"/>
          <w:szCs w:val="24"/>
        </w:rPr>
        <w:t>control group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, we performed </w:t>
      </w:r>
      <w:r w:rsidR="00FB4A2A" w:rsidRPr="00A169E7">
        <w:rPr>
          <w:rFonts w:ascii="Book Antiqua" w:hAnsi="Book Antiqua" w:cs="Times New Roman"/>
          <w:sz w:val="24"/>
          <w:szCs w:val="24"/>
        </w:rPr>
        <w:t>pr</w:t>
      </w:r>
      <w:r w:rsidR="00DA0E19" w:rsidRPr="00A169E7">
        <w:rPr>
          <w:rFonts w:ascii="Book Antiqua" w:hAnsi="Book Antiqua" w:cs="Times New Roman"/>
          <w:sz w:val="24"/>
          <w:szCs w:val="24"/>
        </w:rPr>
        <w:t>o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pensity score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matching. </w:t>
      </w:r>
      <w:r w:rsidR="00026CBC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multivariable logistic regression model </w:t>
      </w:r>
      <w:r w:rsidR="00026CBC" w:rsidRPr="00A169E7">
        <w:rPr>
          <w:rFonts w:ascii="Book Antiqua" w:hAnsi="Book Antiqua" w:cs="Times New Roman"/>
          <w:sz w:val="24"/>
          <w:szCs w:val="24"/>
        </w:rPr>
        <w:t xml:space="preserve">was used </w:t>
      </w:r>
      <w:r w:rsidR="00001348" w:rsidRPr="00A169E7">
        <w:rPr>
          <w:rFonts w:ascii="Book Antiqua" w:hAnsi="Book Antiqua" w:cs="Times New Roman"/>
          <w:sz w:val="24"/>
          <w:szCs w:val="24"/>
        </w:rPr>
        <w:t xml:space="preserve">to develop the propensity score, which </w:t>
      </w:r>
      <w:r w:rsidR="009F3694" w:rsidRPr="00A169E7">
        <w:rPr>
          <w:rFonts w:ascii="Book Antiqua" w:hAnsi="Book Antiqua" w:cs="Times New Roman"/>
          <w:sz w:val="24"/>
          <w:szCs w:val="24"/>
        </w:rPr>
        <w:t>includ</w:t>
      </w:r>
      <w:r w:rsidR="00001348" w:rsidRPr="00A169E7">
        <w:rPr>
          <w:rFonts w:ascii="Book Antiqua" w:hAnsi="Book Antiqua" w:cs="Times New Roman"/>
          <w:sz w:val="24"/>
          <w:szCs w:val="24"/>
        </w:rPr>
        <w:t>ed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the following parameters: </w:t>
      </w:r>
      <w:r w:rsidR="00FB4A2A" w:rsidRPr="00A169E7">
        <w:rPr>
          <w:rFonts w:ascii="Book Antiqua" w:hAnsi="Book Antiqua" w:cs="Times New Roman"/>
          <w:sz w:val="24"/>
          <w:szCs w:val="24"/>
        </w:rPr>
        <w:t>MRE, age, Child-Pugh classification,</w:t>
      </w:r>
      <w:r w:rsidR="003E4C56" w:rsidRPr="00A169E7">
        <w:rPr>
          <w:rFonts w:ascii="Book Antiqua" w:hAnsi="Book Antiqua" w:cs="Times New Roman"/>
          <w:sz w:val="24"/>
          <w:szCs w:val="24"/>
        </w:rPr>
        <w:t xml:space="preserve"> and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E4C56" w:rsidRPr="00A169E7">
        <w:rPr>
          <w:rFonts w:ascii="Book Antiqua" w:hAnsi="Book Antiqua" w:cs="Times New Roman"/>
          <w:sz w:val="24"/>
          <w:szCs w:val="24"/>
        </w:rPr>
        <w:t>the presence</w:t>
      </w:r>
      <w:r w:rsidR="00FB4A2A" w:rsidRPr="00A169E7">
        <w:rPr>
          <w:rFonts w:ascii="Book Antiqua" w:hAnsi="Book Antiqua" w:cs="Times New Roman"/>
          <w:sz w:val="24"/>
          <w:szCs w:val="24"/>
        </w:rPr>
        <w:t xml:space="preserve"> of HCC.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Death was calculated using the Kaplan-Meier method and compared using the log-rank test. Survival duration was measured from the time of </w:t>
      </w:r>
      <w:r w:rsidR="008F71FE" w:rsidRPr="00A169E7">
        <w:rPr>
          <w:rFonts w:ascii="Book Antiqua" w:hAnsi="Book Antiqua" w:cs="Times New Roman"/>
          <w:sz w:val="24"/>
          <w:szCs w:val="24"/>
        </w:rPr>
        <w:t xml:space="preserve">index date </w:t>
      </w:r>
      <w:r w:rsidRPr="00A169E7">
        <w:rPr>
          <w:rFonts w:ascii="Book Antiqua" w:hAnsi="Book Antiqua" w:cs="Times New Roman"/>
          <w:sz w:val="24"/>
          <w:szCs w:val="24"/>
        </w:rPr>
        <w:t xml:space="preserve">until either death or the date of the last follow-up visit for patients who remained alive. Statistical comparisons were performed using </w:t>
      </w:r>
      <w:r w:rsidR="00D567F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9F3694" w:rsidRPr="00A169E7">
        <w:rPr>
          <w:rFonts w:ascii="Book Antiqua" w:hAnsi="Book Antiqua" w:cs="Times New Roman"/>
          <w:sz w:val="24"/>
          <w:szCs w:val="24"/>
        </w:rPr>
        <w:t>IBM SPSS software program (IBM Corp., Armonk</w:t>
      </w:r>
      <w:r w:rsidR="000814F0" w:rsidRPr="00A169E7">
        <w:rPr>
          <w:rFonts w:ascii="Book Antiqua" w:hAnsi="Book Antiqua" w:cs="Times New Roman"/>
          <w:sz w:val="24"/>
          <w:szCs w:val="24"/>
        </w:rPr>
        <w:t>,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 NY, U</w:t>
      </w:r>
      <w:r w:rsidR="00A169E7" w:rsidRPr="00A169E7">
        <w:rPr>
          <w:rFonts w:ascii="Book Antiqua" w:hAnsi="Book Antiqua" w:cs="Times New Roman"/>
          <w:sz w:val="24"/>
          <w:szCs w:val="24"/>
        </w:rPr>
        <w:t>nited States</w:t>
      </w:r>
      <w:r w:rsidR="009F3694"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sz w:val="24"/>
          <w:szCs w:val="24"/>
        </w:rPr>
        <w:t xml:space="preserve">–values of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&lt; </w:t>
      </w:r>
      <w:r w:rsidRPr="00A169E7">
        <w:rPr>
          <w:rFonts w:ascii="Book Antiqua" w:hAnsi="Book Antiqua" w:cs="Times New Roman"/>
          <w:sz w:val="24"/>
          <w:szCs w:val="24"/>
        </w:rPr>
        <w:t>0.05 by a two-tailed test were considered statistically significant.</w:t>
      </w:r>
    </w:p>
    <w:p w14:paraId="0FE8D58E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8F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R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ESULTS</w:t>
      </w:r>
    </w:p>
    <w:p w14:paraId="0FE8D590" w14:textId="5306D20C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Patient characteristics</w:t>
      </w:r>
    </w:p>
    <w:p w14:paraId="0FE8D591" w14:textId="50FA7154" w:rsidR="00B5756F" w:rsidRPr="00A169E7" w:rsidRDefault="0063127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b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ackground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patients </w:t>
      </w:r>
      <w:r w:rsidR="00107B2E" w:rsidRPr="00A169E7">
        <w:rPr>
          <w:rFonts w:ascii="Book Antiqua" w:hAnsi="Book Antiqua" w:cs="Times New Roman"/>
          <w:sz w:val="24"/>
          <w:szCs w:val="24"/>
        </w:rPr>
        <w:t>is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summarized in </w:t>
      </w:r>
      <w:bookmarkStart w:id="9" w:name="_GoBack"/>
      <w:r w:rsidR="00B5756F" w:rsidRPr="00A169E7">
        <w:rPr>
          <w:rFonts w:ascii="Book Antiqua" w:hAnsi="Book Antiqua" w:cs="Times New Roman"/>
          <w:sz w:val="24"/>
          <w:szCs w:val="24"/>
        </w:rPr>
        <w:t>Table</w:t>
      </w:r>
      <w:bookmarkEnd w:id="9"/>
      <w:r w:rsidR="00B5756F" w:rsidRPr="00A169E7">
        <w:rPr>
          <w:rFonts w:ascii="Book Antiqua" w:hAnsi="Book Antiqua" w:cs="Times New Roman"/>
          <w:sz w:val="24"/>
          <w:szCs w:val="24"/>
        </w:rPr>
        <w:t xml:space="preserve"> 1.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treatment was given to </w:t>
      </w:r>
      <w:r w:rsidR="00B5756F" w:rsidRPr="00A169E7">
        <w:rPr>
          <w:rFonts w:ascii="Book Antiqua" w:hAnsi="Book Antiqua" w:cs="Times New Roman"/>
          <w:sz w:val="24"/>
          <w:szCs w:val="24"/>
        </w:rPr>
        <w:t>38</w:t>
      </w:r>
      <w:r w:rsidR="00BE739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with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decompensated liver cirrhosis. </w:t>
      </w:r>
      <w:r w:rsidRPr="00A169E7">
        <w:rPr>
          <w:rFonts w:ascii="Book Antiqua" w:hAnsi="Book Antiqua" w:cs="Times New Roman"/>
          <w:sz w:val="24"/>
          <w:szCs w:val="24"/>
        </w:rPr>
        <w:t xml:space="preserve">Of these,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12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(31.6%) had </w:t>
      </w:r>
      <w:r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history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27 </w:t>
      </w:r>
      <w:r w:rsidRPr="00A169E7">
        <w:rPr>
          <w:rFonts w:ascii="Book Antiqua" w:hAnsi="Book Antiqua" w:cs="Times New Roman"/>
          <w:sz w:val="24"/>
          <w:szCs w:val="24"/>
        </w:rPr>
        <w:t>patients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(71.1%) </w:t>
      </w:r>
      <w:r w:rsidRPr="00A169E7">
        <w:rPr>
          <w:rFonts w:ascii="Book Antiqua" w:hAnsi="Book Antiqua" w:cs="Times New Roman"/>
          <w:sz w:val="24"/>
          <w:szCs w:val="24"/>
        </w:rPr>
        <w:t xml:space="preserve">had </w:t>
      </w:r>
      <w:r w:rsidR="00B5756F" w:rsidRPr="00A169E7">
        <w:rPr>
          <w:rFonts w:ascii="Book Antiqua" w:hAnsi="Book Antiqua" w:cs="Times New Roman"/>
          <w:sz w:val="24"/>
          <w:szCs w:val="24"/>
        </w:rPr>
        <w:t>complicat</w:t>
      </w:r>
      <w:r w:rsidRPr="00A169E7">
        <w:rPr>
          <w:rFonts w:ascii="Book Antiqua" w:hAnsi="Book Antiqua" w:cs="Times New Roman"/>
          <w:sz w:val="24"/>
          <w:szCs w:val="24"/>
        </w:rPr>
        <w:t>ions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associated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with esophageal varices,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9 </w:t>
      </w:r>
      <w:r w:rsidR="00EA35B6" w:rsidRPr="00A169E7">
        <w:rPr>
          <w:rFonts w:ascii="Book Antiqua" w:hAnsi="Book Antiqua" w:cs="Times New Roman"/>
          <w:sz w:val="24"/>
          <w:szCs w:val="24"/>
        </w:rPr>
        <w:t xml:space="preserve">patients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(23.7%) </w:t>
      </w:r>
      <w:r w:rsidR="00DD411A" w:rsidRPr="00A169E7">
        <w:rPr>
          <w:rFonts w:ascii="Book Antiqua" w:hAnsi="Book Antiqua" w:cs="Times New Roman"/>
          <w:sz w:val="24"/>
          <w:szCs w:val="24"/>
        </w:rPr>
        <w:t>had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07B2E" w:rsidRPr="00A169E7">
        <w:rPr>
          <w:rFonts w:ascii="Book Antiqua" w:hAnsi="Book Antiqua" w:cs="Times New Roman"/>
          <w:sz w:val="24"/>
          <w:szCs w:val="24"/>
        </w:rPr>
        <w:t>HCC</w:t>
      </w:r>
      <w:r w:rsidR="00AC73BF" w:rsidRPr="00A169E7">
        <w:rPr>
          <w:rFonts w:ascii="Book Antiqua" w:hAnsi="Book Antiqua" w:cs="Times New Roman"/>
          <w:sz w:val="24"/>
          <w:szCs w:val="24"/>
        </w:rPr>
        <w:t>. In 27 cases (71.</w:t>
      </w:r>
      <w:r w:rsidR="001B23BF" w:rsidRPr="00A169E7">
        <w:rPr>
          <w:rFonts w:ascii="Book Antiqua" w:hAnsi="Book Antiqua" w:cs="Times New Roman"/>
          <w:sz w:val="24"/>
          <w:szCs w:val="24"/>
        </w:rPr>
        <w:t>1</w:t>
      </w:r>
      <w:r w:rsidR="00AC73BF" w:rsidRPr="00A169E7">
        <w:rPr>
          <w:rFonts w:ascii="Book Antiqua" w:hAnsi="Book Antiqua" w:cs="Times New Roman"/>
          <w:sz w:val="24"/>
          <w:szCs w:val="24"/>
        </w:rPr>
        <w:t>%)</w:t>
      </w:r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rifaximin was added to lactulose,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in 24 cases, </w:t>
      </w:r>
      <w:r w:rsidR="00253073" w:rsidRPr="00A169E7">
        <w:rPr>
          <w:rFonts w:ascii="Book Antiqua" w:hAnsi="Book Antiqua" w:cs="Times New Roman"/>
          <w:sz w:val="24"/>
          <w:szCs w:val="24"/>
        </w:rPr>
        <w:t>branched-chain amino acid</w:t>
      </w:r>
      <w:r w:rsidR="00AC73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6535D" w:rsidRPr="00A169E7">
        <w:rPr>
          <w:rFonts w:ascii="Book Antiqua" w:hAnsi="Book Antiqua" w:cs="Times New Roman"/>
          <w:sz w:val="24"/>
          <w:szCs w:val="24"/>
        </w:rPr>
        <w:t xml:space="preserve">supplementation </w:t>
      </w:r>
      <w:r w:rsidR="00AC73BF" w:rsidRPr="00A169E7">
        <w:rPr>
          <w:rFonts w:ascii="Book Antiqua" w:hAnsi="Book Antiqua" w:cs="Times New Roman"/>
          <w:sz w:val="24"/>
          <w:szCs w:val="24"/>
        </w:rPr>
        <w:t>was used in combination.</w:t>
      </w:r>
      <w:r w:rsidR="00A94144" w:rsidRPr="00A169E7">
        <w:rPr>
          <w:rFonts w:ascii="Book Antiqua" w:hAnsi="Book Antiqua" w:cs="Times New Roman"/>
          <w:sz w:val="24"/>
          <w:szCs w:val="24"/>
        </w:rPr>
        <w:t xml:space="preserve"> We compared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A94144" w:rsidRPr="00A169E7">
        <w:rPr>
          <w:rFonts w:ascii="Book Antiqua" w:hAnsi="Book Antiqua" w:cs="Times New Roman"/>
          <w:sz w:val="24"/>
          <w:szCs w:val="24"/>
        </w:rPr>
        <w:t>co</w:t>
      </w:r>
      <w:r w:rsidR="00C81AEC" w:rsidRPr="00A169E7">
        <w:rPr>
          <w:rFonts w:ascii="Book Antiqua" w:hAnsi="Book Antiqua" w:cs="Times New Roman"/>
          <w:sz w:val="24"/>
          <w:szCs w:val="24"/>
        </w:rPr>
        <w:t>n</w:t>
      </w:r>
      <w:r w:rsidR="00A94144" w:rsidRPr="00A169E7">
        <w:rPr>
          <w:rFonts w:ascii="Book Antiqua" w:hAnsi="Book Antiqua" w:cs="Times New Roman"/>
          <w:sz w:val="24"/>
          <w:szCs w:val="24"/>
        </w:rPr>
        <w:t xml:space="preserve">trol group 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matched </w:t>
      </w:r>
      <w:r w:rsidR="00DD411A" w:rsidRPr="00A169E7">
        <w:rPr>
          <w:rFonts w:ascii="Book Antiqua" w:hAnsi="Book Antiqua" w:cs="Times New Roman"/>
          <w:sz w:val="24"/>
          <w:szCs w:val="24"/>
        </w:rPr>
        <w:t>for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 age, Child-Pugh</w:t>
      </w:r>
      <w:r w:rsidR="00454AA5" w:rsidRPr="00A169E7">
        <w:rPr>
          <w:rFonts w:ascii="Book Antiqua" w:hAnsi="Book Antiqua" w:cs="Times New Roman"/>
          <w:sz w:val="24"/>
          <w:szCs w:val="24"/>
        </w:rPr>
        <w:t xml:space="preserve"> classification</w:t>
      </w:r>
      <w:r w:rsidR="00C81AEC" w:rsidRPr="00A169E7">
        <w:rPr>
          <w:rFonts w:ascii="Book Antiqua" w:hAnsi="Book Antiqua" w:cs="Times New Roman"/>
          <w:sz w:val="24"/>
          <w:szCs w:val="24"/>
        </w:rPr>
        <w:t>,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81AEC" w:rsidRPr="00A169E7">
        <w:rPr>
          <w:rFonts w:ascii="Book Antiqua" w:hAnsi="Book Antiqua" w:cs="Times New Roman"/>
          <w:sz w:val="24"/>
          <w:szCs w:val="24"/>
        </w:rPr>
        <w:t>liver stiffness measured by MRE</w:t>
      </w:r>
      <w:r w:rsidR="005E2A23" w:rsidRPr="00A169E7">
        <w:rPr>
          <w:rFonts w:ascii="Book Antiqua" w:hAnsi="Book Antiqua" w:cs="Times New Roman"/>
          <w:sz w:val="24"/>
          <w:szCs w:val="24"/>
        </w:rPr>
        <w:t>, and the presence of HCC</w:t>
      </w:r>
      <w:r w:rsidR="00C81AEC" w:rsidRPr="00A169E7">
        <w:rPr>
          <w:rFonts w:ascii="Book Antiqua" w:hAnsi="Book Antiqua" w:cs="Times New Roman"/>
          <w:sz w:val="24"/>
          <w:szCs w:val="24"/>
        </w:rPr>
        <w:t xml:space="preserve"> with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C81AEC" w:rsidRPr="00A169E7">
        <w:rPr>
          <w:rFonts w:ascii="Book Antiqua" w:hAnsi="Book Antiqua" w:cs="Times New Roman"/>
          <w:sz w:val="24"/>
          <w:szCs w:val="24"/>
        </w:rPr>
        <w:t>rifaximin group.</w:t>
      </w:r>
    </w:p>
    <w:p w14:paraId="0FE8D592" w14:textId="77777777" w:rsidR="00AC73BF" w:rsidRPr="00A169E7" w:rsidRDefault="00AC73B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3" w14:textId="77777777" w:rsidR="00AC73BF" w:rsidRPr="00A169E7" w:rsidRDefault="00C81AE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Outcomes</w:t>
      </w:r>
    </w:p>
    <w:p w14:paraId="0FE8D595" w14:textId="5EC02D0A" w:rsidR="005B195C" w:rsidRPr="00A169E7" w:rsidRDefault="003C17C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lastRenderedPageBreak/>
        <w:t>Serum ammonia level</w:t>
      </w:r>
      <w:r w:rsidR="00DD411A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were significantly decreased </w:t>
      </w:r>
      <w:r w:rsidRPr="00A169E7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the beginning of rifaximin compared </w:t>
      </w:r>
      <w:r w:rsidR="00DD411A" w:rsidRPr="00A169E7">
        <w:rPr>
          <w:rFonts w:ascii="Book Antiqua" w:hAnsi="Book Antiqua" w:cs="Times New Roman"/>
          <w:sz w:val="24"/>
          <w:szCs w:val="24"/>
        </w:rPr>
        <w:t>to the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>pre</w:t>
      </w:r>
      <w:r w:rsidRPr="00A169E7">
        <w:rPr>
          <w:rFonts w:ascii="Book Antiqua" w:hAnsi="Book Antiqua" w:cs="Times New Roman"/>
          <w:sz w:val="24"/>
          <w:szCs w:val="24"/>
        </w:rPr>
        <w:t>treatment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 levels </w:t>
      </w:r>
      <w:r w:rsidRPr="00A169E7">
        <w:rPr>
          <w:rFonts w:ascii="Book Antiqua" w:hAnsi="Book Antiqua" w:cs="Times New Roman"/>
          <w:sz w:val="24"/>
          <w:szCs w:val="24"/>
        </w:rPr>
        <w:t>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0.002)</w:t>
      </w:r>
      <w:r w:rsidR="00DD411A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D411A" w:rsidRPr="00A169E7">
        <w:rPr>
          <w:rFonts w:ascii="Book Antiqua" w:hAnsi="Book Antiqua" w:cs="Times New Roman"/>
          <w:sz w:val="24"/>
          <w:szCs w:val="24"/>
        </w:rPr>
        <w:t>a</w:t>
      </w:r>
      <w:r w:rsidRPr="00A169E7">
        <w:rPr>
          <w:rFonts w:ascii="Book Antiqua" w:hAnsi="Book Antiqua" w:cs="Times New Roman"/>
          <w:sz w:val="24"/>
          <w:szCs w:val="24"/>
        </w:rPr>
        <w:t xml:space="preserve">nd it </w:t>
      </w:r>
      <w:r w:rsidR="00DD411A" w:rsidRPr="00A169E7">
        <w:rPr>
          <w:rFonts w:ascii="Book Antiqua" w:hAnsi="Book Antiqua" w:cs="Times New Roman"/>
          <w:sz w:val="24"/>
          <w:szCs w:val="24"/>
        </w:rPr>
        <w:t>remained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lower </w:t>
      </w:r>
      <w:r w:rsidR="00DD411A" w:rsidRPr="00A169E7">
        <w:rPr>
          <w:rFonts w:ascii="Book Antiqua" w:hAnsi="Book Antiqua" w:cs="Times New Roman"/>
          <w:sz w:val="24"/>
          <w:szCs w:val="24"/>
        </w:rPr>
        <w:t xml:space="preserve">for </w:t>
      </w:r>
      <w:r w:rsidRPr="00A169E7">
        <w:rPr>
          <w:rFonts w:ascii="Book Antiqua" w:hAnsi="Book Antiqua" w:cs="Times New Roman"/>
          <w:sz w:val="24"/>
          <w:szCs w:val="24"/>
        </w:rPr>
        <w:t>up</w:t>
      </w:r>
      <w:r w:rsidR="00CB3E8B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to 60 wk. </w:t>
      </w:r>
      <w:r w:rsidR="005B195C" w:rsidRPr="00A169E7">
        <w:rPr>
          <w:rFonts w:ascii="Book Antiqua" w:hAnsi="Book Antiqua" w:cs="Times New Roman"/>
          <w:sz w:val="24"/>
          <w:szCs w:val="24"/>
        </w:rPr>
        <w:t>Decrease was noted at all the points after the start of the treatment when compared with the one</w:t>
      </w:r>
      <w:r w:rsidR="00E85C3D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before it.</w:t>
      </w:r>
    </w:p>
    <w:p w14:paraId="0FE8D596" w14:textId="4A5636A8" w:rsidR="005B195C" w:rsidRPr="00A169E7" w:rsidRDefault="00AD029A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3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recurrence cases of overt encephalopathy</w:t>
      </w:r>
      <w:r w:rsidRPr="00A169E7">
        <w:rPr>
          <w:rFonts w:ascii="Book Antiqua" w:hAnsi="Book Antiqua" w:cs="Times New Roman"/>
          <w:sz w:val="24"/>
          <w:szCs w:val="24"/>
        </w:rPr>
        <w:t>: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2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occurred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during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drainage of </w:t>
      </w:r>
      <w:r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hepatic hydrothorax and </w:t>
      </w:r>
      <w:r w:rsidRPr="00A169E7">
        <w:rPr>
          <w:rFonts w:ascii="Book Antiqua" w:hAnsi="Book Antiqua" w:cs="Times New Roman"/>
          <w:sz w:val="24"/>
          <w:szCs w:val="24"/>
        </w:rPr>
        <w:t>1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followed the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self-interruption of </w:t>
      </w:r>
      <w:r w:rsidR="00841C8D" w:rsidRPr="00A169E7">
        <w:rPr>
          <w:rFonts w:ascii="Book Antiqua" w:hAnsi="Book Antiqua" w:cs="Times New Roman"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sz w:val="24"/>
          <w:szCs w:val="24"/>
        </w:rPr>
        <w:t>ifaximin</w:t>
      </w:r>
      <w:r w:rsidRPr="00A169E7">
        <w:rPr>
          <w:rFonts w:ascii="Book Antiqua" w:hAnsi="Book Antiqua" w:cs="Times New Roman"/>
          <w:sz w:val="24"/>
          <w:szCs w:val="24"/>
        </w:rPr>
        <w:t xml:space="preserve"> therapy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. </w:t>
      </w:r>
    </w:p>
    <w:p w14:paraId="0FE8D597" w14:textId="0FEAD202" w:rsidR="005B195C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</w:t>
      </w:r>
      <w:r w:rsidR="00AD029A" w:rsidRPr="00A169E7">
        <w:rPr>
          <w:rFonts w:ascii="Book Antiqua" w:hAnsi="Book Antiqua" w:cs="Times New Roman"/>
          <w:sz w:val="24"/>
          <w:szCs w:val="24"/>
        </w:rPr>
        <w:t>ere</w:t>
      </w:r>
      <w:r w:rsidRPr="00A169E7">
        <w:rPr>
          <w:rFonts w:ascii="Book Antiqua" w:hAnsi="Book Antiqua" w:cs="Times New Roman"/>
          <w:sz w:val="24"/>
          <w:szCs w:val="24"/>
        </w:rPr>
        <w:t xml:space="preserve"> no </w:t>
      </w:r>
      <w:r w:rsidR="00AD029A" w:rsidRPr="00A169E7">
        <w:rPr>
          <w:rFonts w:ascii="Book Antiqua" w:hAnsi="Book Antiqua" w:cs="Times New Roman"/>
          <w:sz w:val="24"/>
          <w:szCs w:val="24"/>
        </w:rPr>
        <w:t>cases</w:t>
      </w:r>
      <w:r w:rsidRPr="00A169E7">
        <w:rPr>
          <w:rFonts w:ascii="Book Antiqua" w:hAnsi="Book Antiqua" w:cs="Times New Roman"/>
          <w:sz w:val="24"/>
          <w:szCs w:val="24"/>
        </w:rPr>
        <w:t xml:space="preserve"> of spontaneous bacterial peritonitis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(SBP) </w:t>
      </w:r>
      <w:r w:rsidRPr="00A169E7">
        <w:rPr>
          <w:rFonts w:ascii="Book Antiqua" w:hAnsi="Book Antiqua" w:cs="Times New Roman"/>
          <w:sz w:val="24"/>
          <w:szCs w:val="24"/>
        </w:rPr>
        <w:t>during the process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(Figure 1).</w:t>
      </w:r>
    </w:p>
    <w:p w14:paraId="0FE8D598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9" w14:textId="1B8A2500" w:rsidR="005B195C" w:rsidRPr="00A169E7" w:rsidRDefault="00C86E7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 xml:space="preserve">afety of long-term 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u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 xml:space="preserve">se of </w:t>
      </w:r>
      <w:r w:rsidR="00841C8D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b/>
          <w:i/>
          <w:sz w:val="24"/>
          <w:szCs w:val="24"/>
        </w:rPr>
        <w:t>ifaximin</w:t>
      </w:r>
    </w:p>
    <w:p w14:paraId="0FE8D59A" w14:textId="71D85FF1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0" w:name="_Hlk10718274"/>
      <w:r w:rsidRPr="00A169E7">
        <w:rPr>
          <w:rFonts w:ascii="Book Antiqua" w:hAnsi="Book Antiqua" w:cs="Times New Roman"/>
          <w:sz w:val="24"/>
          <w:szCs w:val="24"/>
        </w:rPr>
        <w:t xml:space="preserve">There were no significant differences in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blood albumin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 level</w:t>
      </w:r>
      <w:r w:rsidRPr="00A169E7">
        <w:rPr>
          <w:rFonts w:ascii="Book Antiqua" w:hAnsi="Book Antiqua" w:cs="Times New Roman"/>
          <w:sz w:val="24"/>
          <w:szCs w:val="24"/>
        </w:rPr>
        <w:t xml:space="preserve">, total bilirubin, </w:t>
      </w:r>
      <w:r w:rsidR="00841C8D" w:rsidRPr="00A169E7">
        <w:rPr>
          <w:rFonts w:ascii="Book Antiqua" w:hAnsi="Book Antiqua" w:cs="Times New Roman"/>
          <w:sz w:val="24"/>
          <w:szCs w:val="24"/>
        </w:rPr>
        <w:t>prothrombin time</w:t>
      </w:r>
      <w:r w:rsidRPr="00A169E7">
        <w:rPr>
          <w:rFonts w:ascii="Book Antiqua" w:hAnsi="Book Antiqua" w:cs="Times New Roman"/>
          <w:sz w:val="24"/>
          <w:szCs w:val="24"/>
        </w:rPr>
        <w:t xml:space="preserve">, and platelet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count </w:t>
      </w:r>
      <w:r w:rsidRPr="00A169E7">
        <w:rPr>
          <w:rFonts w:ascii="Book Antiqua" w:hAnsi="Book Antiqua" w:cs="Times New Roman"/>
          <w:sz w:val="24"/>
          <w:szCs w:val="24"/>
        </w:rPr>
        <w:t xml:space="preserve">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after the treatment. </w:t>
      </w:r>
      <w:r w:rsidR="002E0DB1" w:rsidRPr="00A169E7">
        <w:rPr>
          <w:rFonts w:ascii="Book Antiqua" w:hAnsi="Book Antiqua" w:cs="Times New Roman"/>
          <w:sz w:val="24"/>
          <w:szCs w:val="24"/>
        </w:rPr>
        <w:t>R</w:t>
      </w:r>
      <w:r w:rsidRPr="00A169E7">
        <w:rPr>
          <w:rFonts w:ascii="Book Antiqua" w:hAnsi="Book Antiqua" w:cs="Times New Roman"/>
          <w:sz w:val="24"/>
          <w:szCs w:val="24"/>
        </w:rPr>
        <w:t xml:space="preserve">ifaximin did not worsen the functionality of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liver. Adverse events included </w:t>
      </w:r>
      <w:r w:rsidR="002E0DB1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diarrhea (5.3%), </w:t>
      </w:r>
      <w:r w:rsidR="002E0DB1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2E0DB1" w:rsidRPr="00A169E7">
        <w:rPr>
          <w:rFonts w:ascii="Book Antiqua" w:hAnsi="Book Antiqua" w:cs="Times New Roman"/>
          <w:sz w:val="24"/>
          <w:szCs w:val="24"/>
        </w:rPr>
        <w:t>following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E0DB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intak</w:t>
      </w:r>
      <w:r w:rsidR="00026FF8" w:rsidRPr="00A169E7">
        <w:rPr>
          <w:rFonts w:ascii="Book Antiqua" w:hAnsi="Book Antiqua" w:cs="Times New Roman"/>
          <w:sz w:val="24"/>
          <w:szCs w:val="24"/>
        </w:rPr>
        <w:t>e</w:t>
      </w:r>
      <w:r w:rsidR="00841C8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="00841C8D" w:rsidRPr="00A169E7">
        <w:rPr>
          <w:rFonts w:ascii="Book Antiqua" w:hAnsi="Book Antiqua" w:cs="Times New Roman"/>
          <w:sz w:val="24"/>
          <w:szCs w:val="24"/>
        </w:rPr>
        <w:t>probiotics</w:t>
      </w:r>
      <w:r w:rsidRPr="00A169E7">
        <w:rPr>
          <w:rFonts w:ascii="Book Antiqua" w:hAnsi="Book Antiqua" w:cs="Times New Roman"/>
          <w:sz w:val="24"/>
          <w:szCs w:val="24"/>
        </w:rPr>
        <w:t xml:space="preserve">. There were no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cases of treatment </w:t>
      </w:r>
      <w:r w:rsidRPr="00A169E7">
        <w:rPr>
          <w:rFonts w:ascii="Book Antiqua" w:hAnsi="Book Antiqua" w:cs="Times New Roman"/>
          <w:sz w:val="24"/>
          <w:szCs w:val="24"/>
        </w:rPr>
        <w:t xml:space="preserve">interruption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due to </w:t>
      </w:r>
      <w:r w:rsidRPr="00A169E7">
        <w:rPr>
          <w:rFonts w:ascii="Book Antiqua" w:hAnsi="Book Antiqua" w:cs="Times New Roman"/>
          <w:sz w:val="24"/>
          <w:szCs w:val="24"/>
        </w:rPr>
        <w:t>adverse events.</w:t>
      </w:r>
      <w:bookmarkEnd w:id="10"/>
      <w:r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9B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C" w14:textId="0ADAFD9A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Port</w:t>
      </w:r>
      <w:r w:rsidR="002229C1" w:rsidRPr="00A169E7">
        <w:rPr>
          <w:rFonts w:ascii="Book Antiqua" w:hAnsi="Book Antiqua" w:cs="Times New Roman"/>
          <w:b/>
          <w:i/>
          <w:sz w:val="24"/>
          <w:szCs w:val="24"/>
        </w:rPr>
        <w:t>o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ystemic </w:t>
      </w:r>
      <w:r w:rsidR="00564250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hunt</w:t>
      </w:r>
      <w:r w:rsidR="00D077BF" w:rsidRPr="00A169E7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FE8D59D" w14:textId="5F0DCA51" w:rsidR="005B195C" w:rsidRPr="00A169E7" w:rsidRDefault="00841C8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here were </w:t>
      </w:r>
      <w:r w:rsidR="00026FF8" w:rsidRPr="00A169E7">
        <w:rPr>
          <w:rFonts w:ascii="Book Antiqua" w:hAnsi="Book Antiqua" w:cs="Times New Roman"/>
          <w:sz w:val="24"/>
          <w:szCs w:val="24"/>
        </w:rPr>
        <w:t>2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cases without any shunt</w:t>
      </w:r>
      <w:r w:rsidR="00F339D5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(5.3%), 8 cases with one syste</w:t>
      </w:r>
      <w:r w:rsidRPr="00A169E7">
        <w:rPr>
          <w:rFonts w:ascii="Book Antiqua" w:hAnsi="Book Antiqua" w:cs="Times New Roman"/>
          <w:sz w:val="24"/>
          <w:szCs w:val="24"/>
        </w:rPr>
        <w:t>mic shunt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(21.1%), 15 cases (39.5%) with two, 12 cases (31.6%) with three, and </w:t>
      </w:r>
      <w:r w:rsidR="00CB3E8B" w:rsidRPr="00A169E7">
        <w:rPr>
          <w:rFonts w:ascii="Book Antiqua" w:hAnsi="Book Antiqua" w:cs="Times New Roman"/>
          <w:sz w:val="24"/>
          <w:szCs w:val="24"/>
        </w:rPr>
        <w:t>1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case (2.6%) with four system</w:t>
      </w:r>
      <w:r w:rsidRPr="00A169E7">
        <w:rPr>
          <w:rFonts w:ascii="Book Antiqua" w:hAnsi="Book Antiqua" w:cs="Times New Roman"/>
          <w:sz w:val="24"/>
          <w:szCs w:val="24"/>
        </w:rPr>
        <w:t>ic shunts</w:t>
      </w:r>
      <w:r w:rsidR="005B195C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9E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9F" w14:textId="2F41612A" w:rsidR="005B195C" w:rsidRPr="00A169E7" w:rsidRDefault="00FF284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Effect of </w:t>
      </w:r>
      <w:r w:rsidR="00EC3DA5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ifaximin based on shunt diameter</w:t>
      </w:r>
    </w:p>
    <w:p w14:paraId="0FE8D5A0" w14:textId="7927776D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17</w:t>
      </w:r>
      <w:r w:rsidR="009D24D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(44.7%) cases with shunt</w:t>
      </w:r>
      <w:r w:rsidR="00CB3E8B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over 8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</w:t>
      </w:r>
      <w:r w:rsidR="00026FF8" w:rsidRPr="00A169E7">
        <w:rPr>
          <w:rFonts w:ascii="Book Antiqua" w:hAnsi="Book Antiqua" w:cs="Times New Roman"/>
          <w:sz w:val="24"/>
          <w:szCs w:val="24"/>
        </w:rPr>
        <w:t>who had a me</w:t>
      </w:r>
      <w:r w:rsidR="00CB3E8B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an 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of </w:t>
      </w:r>
      <w:r w:rsidRPr="00A169E7">
        <w:rPr>
          <w:rFonts w:ascii="Book Antiqua" w:hAnsi="Book Antiqua" w:cs="Times New Roman"/>
          <w:sz w:val="24"/>
          <w:szCs w:val="24"/>
        </w:rPr>
        <w:t>112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(93-297)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/dL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before rifaximin treatment</w:t>
      </w:r>
      <w:r w:rsidRPr="00A169E7">
        <w:rPr>
          <w:rFonts w:ascii="Book Antiqua" w:hAnsi="Book Antiqua" w:cs="Times New Roman"/>
          <w:sz w:val="24"/>
          <w:szCs w:val="24"/>
        </w:rPr>
        <w:t xml:space="preserve">, which </w:t>
      </w:r>
      <w:r w:rsidR="00AD77EC" w:rsidRPr="00A169E7">
        <w:rPr>
          <w:rFonts w:ascii="Book Antiqua" w:hAnsi="Book Antiqua" w:cs="Times New Roman"/>
          <w:sz w:val="24"/>
          <w:szCs w:val="24"/>
        </w:rPr>
        <w:t>decrease</w:t>
      </w:r>
      <w:r w:rsidR="00026FF8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Pr="00A169E7">
        <w:rPr>
          <w:rFonts w:ascii="Book Antiqua" w:hAnsi="Book Antiqua" w:cs="Times New Roman"/>
          <w:sz w:val="24"/>
          <w:szCs w:val="24"/>
        </w:rPr>
        <w:t>86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(54-150)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/dL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difference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D77EC" w:rsidRPr="00A169E7">
        <w:rPr>
          <w:rFonts w:ascii="Book Antiqua" w:hAnsi="Book Antiqua" w:cs="Times New Roman"/>
          <w:sz w:val="24"/>
          <w:szCs w:val="24"/>
        </w:rPr>
        <w:t>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0.002). On the other hand, there were 19 cases (50%) with shunt</w:t>
      </w:r>
      <w:r w:rsidR="00CB3E8B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below 8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mm </w:t>
      </w:r>
      <w:r w:rsidR="00026FF8" w:rsidRPr="00A169E7">
        <w:rPr>
          <w:rFonts w:ascii="Book Antiqua" w:hAnsi="Book Antiqua" w:cs="Times New Roman"/>
          <w:sz w:val="24"/>
          <w:szCs w:val="24"/>
        </w:rPr>
        <w:t>whose me</w:t>
      </w:r>
      <w:r w:rsidR="00CB3E8B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>an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serum </w:t>
      </w:r>
      <w:r w:rsidRPr="00A169E7">
        <w:rPr>
          <w:rFonts w:ascii="Book Antiqua" w:hAnsi="Book Antiqua" w:cs="Times New Roman"/>
          <w:sz w:val="24"/>
          <w:szCs w:val="24"/>
        </w:rPr>
        <w:t>ammonia value was 99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(59-184)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/dL before the treatment and 67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(44-148)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>/dL after the treatment</w:t>
      </w:r>
      <w:r w:rsidR="00CB3E8B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difference</w:t>
      </w:r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0.037).</w:t>
      </w:r>
    </w:p>
    <w:p w14:paraId="0FE8D5A1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2" w14:textId="7A395B0D" w:rsidR="005B195C" w:rsidRPr="00A169E7" w:rsidRDefault="00FF284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lastRenderedPageBreak/>
        <w:t xml:space="preserve">Effect of </w:t>
      </w:r>
      <w:r w:rsidR="00EC3DA5" w:rsidRPr="00A169E7">
        <w:rPr>
          <w:rFonts w:ascii="Book Antiqua" w:hAnsi="Book Antiqua" w:cs="Times New Roman"/>
          <w:b/>
          <w:i/>
          <w:sz w:val="24"/>
          <w:szCs w:val="24"/>
        </w:rPr>
        <w:t>r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ifaximin based on number of systemic shunts</w:t>
      </w:r>
    </w:p>
    <w:p w14:paraId="0FE8D5A3" w14:textId="2FEC5B25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There were 28 cases (73.7%) with multiple shunts </w:t>
      </w:r>
      <w:r w:rsidR="00375BB7" w:rsidRPr="00A169E7">
        <w:rPr>
          <w:rFonts w:ascii="Book Antiqua" w:hAnsi="Book Antiqua" w:cs="Times New Roman"/>
          <w:sz w:val="24"/>
          <w:szCs w:val="24"/>
        </w:rPr>
        <w:t>with a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me</w:t>
      </w:r>
      <w:r w:rsidR="002F76F7" w:rsidRPr="00A169E7">
        <w:rPr>
          <w:rFonts w:ascii="Book Antiqua" w:hAnsi="Book Antiqua" w:cs="Times New Roman"/>
          <w:sz w:val="24"/>
          <w:szCs w:val="24"/>
        </w:rPr>
        <w:t>di</w:t>
      </w:r>
      <w:r w:rsidR="00026FF8" w:rsidRPr="00A169E7">
        <w:rPr>
          <w:rFonts w:ascii="Book Antiqua" w:hAnsi="Book Antiqua" w:cs="Times New Roman"/>
          <w:sz w:val="24"/>
          <w:szCs w:val="24"/>
        </w:rPr>
        <w:t>an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026FF8" w:rsidRPr="00A169E7">
        <w:rPr>
          <w:rFonts w:ascii="Book Antiqua" w:hAnsi="Book Antiqua" w:cs="Times New Roman"/>
          <w:sz w:val="24"/>
          <w:szCs w:val="24"/>
        </w:rPr>
        <w:t>of</w:t>
      </w:r>
      <w:r w:rsidRPr="00A169E7">
        <w:rPr>
          <w:rFonts w:ascii="Book Antiqua" w:hAnsi="Book Antiqua" w:cs="Times New Roman"/>
          <w:sz w:val="24"/>
          <w:szCs w:val="24"/>
        </w:rPr>
        <w:t xml:space="preserve"> 104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(69-297)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/dL </w:t>
      </w:r>
      <w:r w:rsidR="00026FF8" w:rsidRPr="00A169E7">
        <w:rPr>
          <w:rFonts w:ascii="Book Antiqua" w:hAnsi="Book Antiqua" w:cs="Times New Roman"/>
          <w:sz w:val="24"/>
          <w:szCs w:val="24"/>
        </w:rPr>
        <w:t>before treatment</w:t>
      </w:r>
      <w:r w:rsidR="00D077BF" w:rsidRPr="00A169E7">
        <w:rPr>
          <w:rFonts w:ascii="Book Antiqua" w:hAnsi="Book Antiqua" w:cs="Times New Roman"/>
          <w:sz w:val="24"/>
          <w:szCs w:val="24"/>
        </w:rPr>
        <w:t>,</w:t>
      </w:r>
      <w:r w:rsidR="00026FF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AD77EC" w:rsidRPr="00A169E7">
        <w:rPr>
          <w:rFonts w:ascii="Book Antiqua" w:hAnsi="Book Antiqua" w:cs="Times New Roman"/>
          <w:sz w:val="24"/>
          <w:szCs w:val="24"/>
        </w:rPr>
        <w:t>decrease</w:t>
      </w:r>
      <w:r w:rsidR="00D077BF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Pr="00A169E7">
        <w:rPr>
          <w:rFonts w:ascii="Book Antiqua" w:hAnsi="Book Antiqua" w:cs="Times New Roman"/>
          <w:sz w:val="24"/>
          <w:szCs w:val="24"/>
        </w:rPr>
        <w:t xml:space="preserve">80.5 (44-150) </w:t>
      </w:r>
      <w:proofErr w:type="spellStart"/>
      <w:r w:rsidR="00D077BF" w:rsidRPr="00A169E7">
        <w:rPr>
          <w:rFonts w:ascii="Book Antiqua" w:hAnsi="Book Antiqua" w:cs="Times New Roman"/>
          <w:sz w:val="24"/>
          <w:szCs w:val="24"/>
        </w:rPr>
        <w:t>μ</w:t>
      </w:r>
      <w:r w:rsidRPr="00A169E7">
        <w:rPr>
          <w:rFonts w:ascii="Book Antiqua" w:hAnsi="Book Antiqua" w:cs="Times New Roman"/>
          <w:sz w:val="24"/>
          <w:szCs w:val="24"/>
        </w:rPr>
        <w:t>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/dL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, with a significant </w:t>
      </w:r>
      <w:r w:rsidR="00AD77EC" w:rsidRPr="00A169E7">
        <w:rPr>
          <w:rFonts w:ascii="Book Antiqua" w:hAnsi="Book Antiqua" w:cs="Times New Roman"/>
          <w:sz w:val="24"/>
          <w:szCs w:val="24"/>
        </w:rPr>
        <w:t>differen</w:t>
      </w:r>
      <w:r w:rsidR="00D077BF" w:rsidRPr="00A169E7">
        <w:rPr>
          <w:rFonts w:ascii="Book Antiqua" w:hAnsi="Book Antiqua" w:cs="Times New Roman"/>
          <w:sz w:val="24"/>
          <w:szCs w:val="24"/>
        </w:rPr>
        <w:t>ce</w:t>
      </w:r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375BB7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&lt; </w:t>
      </w:r>
      <w:r w:rsidRPr="00A169E7">
        <w:rPr>
          <w:rFonts w:ascii="Book Antiqua" w:hAnsi="Book Antiqua" w:cs="Times New Roman"/>
          <w:sz w:val="24"/>
          <w:szCs w:val="24"/>
        </w:rPr>
        <w:t>0.001).</w:t>
      </w:r>
    </w:p>
    <w:p w14:paraId="0FE8D5A4" w14:textId="6D344CAD" w:rsidR="005B195C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10</w:t>
      </w:r>
      <w:r w:rsidR="00AD77E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cases (26.3%) with no or only one shunt</w:t>
      </w:r>
      <w:r w:rsidR="00C01398" w:rsidRPr="00A169E7">
        <w:rPr>
          <w:rFonts w:ascii="Book Antiqua" w:hAnsi="Book Antiqua" w:cs="Times New Roman"/>
          <w:sz w:val="24"/>
          <w:szCs w:val="24"/>
        </w:rPr>
        <w:t xml:space="preserve"> with </w:t>
      </w:r>
      <w:r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D077BF" w:rsidRPr="00A169E7">
        <w:rPr>
          <w:rFonts w:ascii="Book Antiqua" w:hAnsi="Book Antiqua" w:cs="Times New Roman"/>
          <w:sz w:val="24"/>
          <w:szCs w:val="24"/>
        </w:rPr>
        <w:t>me</w:t>
      </w:r>
      <w:r w:rsidR="002F76F7" w:rsidRPr="00A169E7">
        <w:rPr>
          <w:rFonts w:ascii="Book Antiqua" w:hAnsi="Book Antiqua" w:cs="Times New Roman"/>
          <w:sz w:val="24"/>
          <w:szCs w:val="24"/>
        </w:rPr>
        <w:t>di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an serum </w:t>
      </w:r>
      <w:r w:rsidRPr="00A169E7">
        <w:rPr>
          <w:rFonts w:ascii="Book Antiqua" w:hAnsi="Book Antiqua" w:cs="Times New Roman"/>
          <w:sz w:val="24"/>
          <w:szCs w:val="24"/>
        </w:rPr>
        <w:t xml:space="preserve">ammonia value </w:t>
      </w:r>
      <w:r w:rsidR="00375BB7" w:rsidRPr="00A169E7">
        <w:rPr>
          <w:rFonts w:ascii="Book Antiqua" w:hAnsi="Book Antiqua" w:cs="Times New Roman"/>
          <w:sz w:val="24"/>
          <w:szCs w:val="24"/>
        </w:rPr>
        <w:t>of</w:t>
      </w:r>
      <w:r w:rsidRPr="00A169E7">
        <w:rPr>
          <w:rFonts w:ascii="Book Antiqua" w:hAnsi="Book Antiqua" w:cs="Times New Roman"/>
          <w:sz w:val="24"/>
          <w:szCs w:val="24"/>
        </w:rPr>
        <w:t xml:space="preserve"> 111.5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(59-184)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/dL </w:t>
      </w:r>
      <w:r w:rsidR="00D077BF" w:rsidRPr="00A169E7">
        <w:rPr>
          <w:rFonts w:ascii="Book Antiqua" w:hAnsi="Book Antiqua" w:cs="Times New Roman"/>
          <w:sz w:val="24"/>
          <w:szCs w:val="24"/>
        </w:rPr>
        <w:t>before treatment, which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decreased to</w:t>
      </w:r>
      <w:r w:rsidRPr="00A169E7">
        <w:rPr>
          <w:rFonts w:ascii="Book Antiqua" w:hAnsi="Book Antiqua" w:cs="Times New Roman"/>
          <w:sz w:val="24"/>
          <w:szCs w:val="24"/>
        </w:rPr>
        <w:t xml:space="preserve"> 81</w:t>
      </w:r>
      <w:r w:rsidR="00D077B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 xml:space="preserve">(45-148)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/dL after 24 </w:t>
      </w:r>
      <w:proofErr w:type="spellStart"/>
      <w:r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sz w:val="24"/>
          <w:szCs w:val="24"/>
        </w:rPr>
        <w:t xml:space="preserve">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76C4A" w:rsidRPr="00A169E7">
        <w:rPr>
          <w:rFonts w:ascii="Book Antiqua" w:hAnsi="Book Antiqua" w:cs="Times New Roman"/>
          <w:sz w:val="24"/>
          <w:szCs w:val="24"/>
        </w:rPr>
        <w:t>0.375</w:t>
      </w:r>
      <w:r w:rsidRPr="00A169E7">
        <w:rPr>
          <w:rFonts w:ascii="Book Antiqua" w:hAnsi="Book Antiqua" w:cs="Times New Roman"/>
          <w:sz w:val="24"/>
          <w:szCs w:val="24"/>
        </w:rPr>
        <w:t>).</w:t>
      </w:r>
    </w:p>
    <w:p w14:paraId="0FE8D5A5" w14:textId="0F39EBC6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02974C" w14:textId="3F959760" w:rsidR="00E81764" w:rsidRPr="00A169E7" w:rsidRDefault="00E8176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bookmarkStart w:id="11" w:name="_Hlk5737226"/>
      <w:r w:rsidRPr="00A169E7">
        <w:rPr>
          <w:rFonts w:ascii="Book Antiqua" w:hAnsi="Book Antiqua" w:cs="Times New Roman"/>
          <w:b/>
          <w:i/>
          <w:sz w:val="24"/>
          <w:szCs w:val="24"/>
        </w:rPr>
        <w:t xml:space="preserve">Risk factors for insufficient improvement of serum ammonia </w:t>
      </w:r>
      <w:r w:rsidR="006D2FE1" w:rsidRPr="00A169E7">
        <w:rPr>
          <w:rFonts w:ascii="Book Antiqua" w:hAnsi="Book Antiqua" w:cs="Times New Roman"/>
          <w:b/>
          <w:i/>
          <w:sz w:val="24"/>
          <w:szCs w:val="24"/>
        </w:rPr>
        <w:t xml:space="preserve">levels </w:t>
      </w:r>
      <w:r w:rsidRPr="00A169E7">
        <w:rPr>
          <w:rFonts w:ascii="Book Antiqua" w:hAnsi="Book Antiqua" w:cs="Times New Roman"/>
          <w:b/>
          <w:i/>
          <w:sz w:val="24"/>
          <w:szCs w:val="24"/>
        </w:rPr>
        <w:t>after rifaximin treatment</w:t>
      </w:r>
      <w:bookmarkEnd w:id="11"/>
    </w:p>
    <w:p w14:paraId="73ADF535" w14:textId="28898D1C" w:rsidR="00E81764" w:rsidRPr="00A169E7" w:rsidRDefault="00A72B66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U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nivariate analyses revealed that the insufficient improvement of serum ammonia level (below 80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/dL at 24 </w:t>
      </w:r>
      <w:proofErr w:type="spellStart"/>
      <w:r w:rsidR="00E8176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81764" w:rsidRPr="00A169E7">
        <w:rPr>
          <w:rFonts w:ascii="Book Antiqua" w:hAnsi="Book Antiqua" w:cs="Times New Roman"/>
          <w:sz w:val="24"/>
          <w:szCs w:val="24"/>
        </w:rPr>
        <w:t xml:space="preserve">) </w:t>
      </w:r>
      <w:r w:rsidR="00284454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associated with </w:t>
      </w:r>
      <w:r w:rsidR="003F0867" w:rsidRPr="00A169E7">
        <w:rPr>
          <w:rFonts w:ascii="Book Antiqua" w:hAnsi="Book Antiqua" w:cs="Times New Roman"/>
          <w:sz w:val="24"/>
          <w:szCs w:val="24"/>
        </w:rPr>
        <w:t>two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 variables: maximum shunt diameter</w:t>
      </w:r>
      <w:r w:rsidR="003F086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284454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5B1C2B" w:rsidRPr="00A169E7">
        <w:rPr>
          <w:rFonts w:ascii="Book Antiqua" w:hAnsi="Book Antiqua" w:cs="Times New Roman"/>
          <w:sz w:val="24"/>
          <w:szCs w:val="24"/>
        </w:rPr>
        <w:t>albumin-bilirubin (</w:t>
      </w:r>
      <w:r w:rsidR="00463432" w:rsidRPr="00A169E7">
        <w:rPr>
          <w:rFonts w:ascii="Book Antiqua" w:hAnsi="Book Antiqua" w:cs="Times New Roman"/>
          <w:sz w:val="24"/>
          <w:szCs w:val="24"/>
        </w:rPr>
        <w:t xml:space="preserve">ALBI) score.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These factors were evaluated in the </w:t>
      </w:r>
      <w:bookmarkStart w:id="12" w:name="_Hlk10718056"/>
      <w:r w:rsidR="00E81764" w:rsidRPr="00A169E7">
        <w:rPr>
          <w:rFonts w:ascii="Book Antiqua" w:hAnsi="Book Antiqua" w:cs="Times New Roman"/>
          <w:sz w:val="24"/>
          <w:szCs w:val="24"/>
        </w:rPr>
        <w:t xml:space="preserve">multivariate analyses, which revealed that the insufficient improvement </w:t>
      </w:r>
      <w:r w:rsidR="00363DC0" w:rsidRPr="00A169E7">
        <w:rPr>
          <w:rFonts w:ascii="Book Antiqua" w:hAnsi="Book Antiqua" w:cs="Times New Roman"/>
          <w:sz w:val="24"/>
          <w:szCs w:val="24"/>
        </w:rPr>
        <w:t xml:space="preserve">in the </w:t>
      </w:r>
      <w:r w:rsidR="00E81764" w:rsidRPr="00A169E7">
        <w:rPr>
          <w:rFonts w:ascii="Book Antiqua" w:hAnsi="Book Antiqua" w:cs="Times New Roman"/>
          <w:sz w:val="24"/>
          <w:szCs w:val="24"/>
        </w:rPr>
        <w:t>serum ammonia level was independently associated with</w:t>
      </w:r>
      <w:r w:rsidR="00E81764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t>the maximum shunt diameter of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≥ </w:t>
      </w:r>
      <w:r w:rsidR="00E81764" w:rsidRPr="00A169E7">
        <w:rPr>
          <w:rFonts w:ascii="Book Antiqua" w:hAnsi="Book Antiqua" w:cs="Times New Roman"/>
          <w:sz w:val="24"/>
          <w:szCs w:val="24"/>
        </w:rPr>
        <w:t>8.0 mm (risk ratio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= </w:t>
      </w:r>
      <w:r w:rsidR="003F0867" w:rsidRPr="00A169E7">
        <w:rPr>
          <w:rFonts w:ascii="Book Antiqua" w:hAnsi="Book Antiqua" w:cs="Times New Roman"/>
          <w:sz w:val="24"/>
          <w:szCs w:val="24"/>
        </w:rPr>
        <w:t>5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  <w:r w:rsidR="003F0867" w:rsidRPr="00A169E7">
        <w:rPr>
          <w:rFonts w:ascii="Book Antiqua" w:hAnsi="Book Antiqua" w:cs="Times New Roman"/>
          <w:sz w:val="24"/>
          <w:szCs w:val="24"/>
        </w:rPr>
        <w:t>52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E81764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= 0.0</w:t>
      </w:r>
      <w:r w:rsidR="003F0867" w:rsidRPr="00A169E7">
        <w:rPr>
          <w:rFonts w:ascii="Book Antiqua" w:hAnsi="Book Antiqua" w:cs="Times New Roman"/>
          <w:sz w:val="24"/>
          <w:szCs w:val="24"/>
        </w:rPr>
        <w:t>40</w:t>
      </w:r>
      <w:r w:rsidR="00E81764" w:rsidRPr="00A169E7">
        <w:rPr>
          <w:rFonts w:ascii="Book Antiqua" w:hAnsi="Book Antiqua" w:cs="Times New Roman"/>
          <w:sz w:val="24"/>
          <w:szCs w:val="24"/>
        </w:rPr>
        <w:t>)</w:t>
      </w:r>
      <w:r w:rsidR="005E2A23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81764" w:rsidRPr="00A169E7">
        <w:rPr>
          <w:rFonts w:ascii="Book Antiqua" w:hAnsi="Book Antiqua" w:cs="Times New Roman"/>
          <w:sz w:val="24"/>
          <w:szCs w:val="24"/>
        </w:rPr>
        <w:t>(Table 2)</w:t>
      </w:r>
      <w:r w:rsidR="00D612FB">
        <w:rPr>
          <w:rFonts w:ascii="Book Antiqua" w:hAnsi="Book Antiqua" w:cs="Times New Roman"/>
          <w:sz w:val="24"/>
          <w:szCs w:val="24"/>
        </w:rPr>
        <w:t>.</w:t>
      </w:r>
    </w:p>
    <w:bookmarkEnd w:id="12"/>
    <w:p w14:paraId="3C16C5AD" w14:textId="4BF43868" w:rsidR="00E81764" w:rsidRPr="00A169E7" w:rsidRDefault="00E81764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 cutoff values for predicting the insufficient improvement </w:t>
      </w:r>
      <w:r w:rsidR="00363DC0" w:rsidRPr="00A169E7">
        <w:rPr>
          <w:rFonts w:ascii="Book Antiqua" w:hAnsi="Book Antiqua" w:cs="Times New Roman"/>
          <w:sz w:val="24"/>
          <w:szCs w:val="24"/>
        </w:rPr>
        <w:t>in</w:t>
      </w:r>
      <w:r w:rsidRPr="00A169E7">
        <w:rPr>
          <w:rFonts w:ascii="Book Antiqua" w:hAnsi="Book Antiqua" w:cs="Times New Roman"/>
          <w:sz w:val="24"/>
          <w:szCs w:val="24"/>
        </w:rPr>
        <w:t xml:space="preserve"> ammonia </w:t>
      </w:r>
      <w:r w:rsidR="008224DB" w:rsidRPr="00A169E7">
        <w:rPr>
          <w:rFonts w:ascii="Book Antiqua" w:hAnsi="Book Antiqua" w:cs="Times New Roman"/>
          <w:sz w:val="24"/>
          <w:szCs w:val="24"/>
        </w:rPr>
        <w:t xml:space="preserve">levels </w:t>
      </w:r>
      <w:r w:rsidRPr="00A169E7">
        <w:rPr>
          <w:rFonts w:ascii="Book Antiqua" w:hAnsi="Book Antiqua" w:cs="Times New Roman"/>
          <w:sz w:val="24"/>
          <w:szCs w:val="24"/>
        </w:rPr>
        <w:t>after rifaximin treatment were determined by receiver operator characteristics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analysis</w:t>
      </w:r>
      <w:r w:rsidR="00A169E7" w:rsidRPr="00A169E7">
        <w:rPr>
          <w:rFonts w:ascii="Book Antiqua" w:hAnsi="Book Antiqua" w:cs="Times New Roman"/>
          <w:sz w:val="24"/>
          <w:szCs w:val="24"/>
        </w:rPr>
        <w:t>.</w:t>
      </w:r>
    </w:p>
    <w:p w14:paraId="4DC7DF89" w14:textId="77777777" w:rsidR="00E81764" w:rsidRPr="00A169E7" w:rsidRDefault="00E81764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6" w14:textId="77777777" w:rsidR="005B195C" w:rsidRPr="00A169E7" w:rsidRDefault="005B195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sz w:val="24"/>
          <w:szCs w:val="24"/>
        </w:rPr>
        <w:t>Survival</w:t>
      </w:r>
    </w:p>
    <w:p w14:paraId="17802F6C" w14:textId="3081D887" w:rsidR="006E674C" w:rsidRPr="00A169E7" w:rsidRDefault="006E674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 median f</w:t>
      </w:r>
      <w:r w:rsidR="0036441F" w:rsidRPr="00A169E7">
        <w:rPr>
          <w:rFonts w:ascii="Book Antiqua" w:hAnsi="Book Antiqua" w:cs="Times New Roman"/>
          <w:sz w:val="24"/>
          <w:szCs w:val="24"/>
        </w:rPr>
        <w:t>ollow-up period was</w:t>
      </w:r>
      <w:r w:rsidR="00C17274" w:rsidRPr="00A169E7">
        <w:rPr>
          <w:rFonts w:ascii="Book Antiqua" w:hAnsi="Book Antiqua" w:cs="Times New Roman"/>
          <w:sz w:val="24"/>
          <w:szCs w:val="24"/>
        </w:rPr>
        <w:t xml:space="preserve"> 62 </w:t>
      </w:r>
      <w:proofErr w:type="spellStart"/>
      <w:r w:rsidR="00375BB7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75BB7" w:rsidRPr="00A169E7">
        <w:rPr>
          <w:rFonts w:ascii="Book Antiqua" w:hAnsi="Book Antiqua" w:cs="Times New Roman"/>
          <w:sz w:val="24"/>
          <w:szCs w:val="24"/>
        </w:rPr>
        <w:t xml:space="preserve"> for the Rifaximin group </w:t>
      </w:r>
      <w:r w:rsidR="0036441F" w:rsidRPr="00A169E7">
        <w:rPr>
          <w:rFonts w:ascii="Book Antiqua" w:hAnsi="Book Antiqua" w:cs="Times New Roman"/>
          <w:sz w:val="24"/>
          <w:szCs w:val="24"/>
        </w:rPr>
        <w:t>and</w:t>
      </w:r>
      <w:r w:rsidR="00C17274" w:rsidRPr="00A169E7">
        <w:rPr>
          <w:rFonts w:ascii="Book Antiqua" w:hAnsi="Book Antiqua" w:cs="Times New Roman"/>
          <w:sz w:val="24"/>
          <w:szCs w:val="24"/>
        </w:rPr>
        <w:t xml:space="preserve"> 91 </w:t>
      </w:r>
      <w:proofErr w:type="spellStart"/>
      <w:r w:rsidR="00C17274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6441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375BB7" w:rsidRPr="00A169E7">
        <w:rPr>
          <w:rFonts w:ascii="Book Antiqua" w:hAnsi="Book Antiqua" w:cs="Times New Roman"/>
          <w:sz w:val="24"/>
          <w:szCs w:val="24"/>
        </w:rPr>
        <w:t>for the</w:t>
      </w:r>
      <w:r w:rsidR="0036441F" w:rsidRPr="00A169E7">
        <w:rPr>
          <w:rFonts w:ascii="Book Antiqua" w:hAnsi="Book Antiqua" w:cs="Times New Roman"/>
          <w:sz w:val="24"/>
          <w:szCs w:val="24"/>
        </w:rPr>
        <w:t xml:space="preserve"> control group.</w:t>
      </w:r>
    </w:p>
    <w:p w14:paraId="6799B496" w14:textId="4230DE0D" w:rsidR="00BF5EA3" w:rsidRPr="00A169E7" w:rsidRDefault="005B195C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 4 death</w:t>
      </w:r>
      <w:r w:rsidR="00D077BF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in the observation period</w:t>
      </w:r>
      <w:r w:rsidR="00D077BF" w:rsidRPr="00A169E7">
        <w:rPr>
          <w:rFonts w:ascii="Book Antiqua" w:hAnsi="Book Antiqua" w:cs="Times New Roman"/>
          <w:sz w:val="24"/>
          <w:szCs w:val="24"/>
        </w:rPr>
        <w:t>: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077BF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liver failure </w:t>
      </w:r>
      <w:r w:rsidR="00D077BF" w:rsidRPr="00A169E7">
        <w:rPr>
          <w:rFonts w:ascii="Book Antiqua" w:hAnsi="Book Antiqua" w:cs="Times New Roman"/>
          <w:sz w:val="24"/>
          <w:szCs w:val="24"/>
        </w:rPr>
        <w:t>caused by</w:t>
      </w:r>
      <w:r w:rsidRPr="00A169E7">
        <w:rPr>
          <w:rFonts w:ascii="Book Antiqua" w:hAnsi="Book Antiqua" w:cs="Times New Roman"/>
          <w:sz w:val="24"/>
          <w:szCs w:val="24"/>
        </w:rPr>
        <w:t xml:space="preserve"> pleurodesis for pleural effusion and </w:t>
      </w:r>
      <w:r w:rsidR="00D077BF" w:rsidRPr="00A169E7">
        <w:rPr>
          <w:rFonts w:ascii="Book Antiqua" w:hAnsi="Book Antiqua" w:cs="Times New Roman"/>
          <w:sz w:val="24"/>
          <w:szCs w:val="24"/>
        </w:rPr>
        <w:t>2</w:t>
      </w:r>
      <w:r w:rsidRPr="00A169E7">
        <w:rPr>
          <w:rFonts w:ascii="Book Antiqua" w:hAnsi="Book Antiqua" w:cs="Times New Roman"/>
          <w:sz w:val="24"/>
          <w:szCs w:val="24"/>
        </w:rPr>
        <w:t xml:space="preserve"> cases of liver failure brought about by worsened cirrhosis. When classifying according to Child</w:t>
      </w:r>
      <w:r w:rsidR="00C86E77" w:rsidRPr="00A169E7">
        <w:rPr>
          <w:rFonts w:ascii="Book Antiqua" w:hAnsi="Book Antiqua" w:cs="Times New Roman"/>
          <w:sz w:val="24"/>
          <w:szCs w:val="24"/>
        </w:rPr>
        <w:t>-</w:t>
      </w:r>
      <w:r w:rsidRPr="00A169E7">
        <w:rPr>
          <w:rFonts w:ascii="Book Antiqua" w:hAnsi="Book Antiqua" w:cs="Times New Roman"/>
          <w:sz w:val="24"/>
          <w:szCs w:val="24"/>
        </w:rPr>
        <w:t xml:space="preserve">Pugh, the </w:t>
      </w:r>
      <w:r w:rsidR="00A17EF7" w:rsidRPr="00A169E7">
        <w:rPr>
          <w:rFonts w:ascii="Book Antiqua" w:hAnsi="Book Antiqua" w:cs="Times New Roman"/>
          <w:sz w:val="24"/>
          <w:szCs w:val="24"/>
        </w:rPr>
        <w:t>survival time</w:t>
      </w:r>
      <w:r w:rsidRPr="00A169E7">
        <w:rPr>
          <w:rFonts w:ascii="Book Antiqua" w:hAnsi="Book Antiqua" w:cs="Times New Roman"/>
          <w:sz w:val="24"/>
          <w:szCs w:val="24"/>
        </w:rPr>
        <w:t xml:space="preserve"> span of Child C was significantly shortened.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(Fig</w:t>
      </w:r>
      <w:r w:rsidR="00A169E7" w:rsidRPr="00A169E7">
        <w:rPr>
          <w:rFonts w:ascii="Book Antiqua" w:hAnsi="Book Antiqua" w:cs="Times New Roman"/>
          <w:sz w:val="24"/>
          <w:szCs w:val="24"/>
        </w:rPr>
        <w:t>ure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2</w:t>
      </w:r>
      <w:r w:rsidR="00E6578B" w:rsidRPr="00A169E7">
        <w:rPr>
          <w:rFonts w:ascii="Book Antiqua" w:hAnsi="Book Antiqua" w:cs="Times New Roman"/>
          <w:sz w:val="24"/>
          <w:szCs w:val="24"/>
        </w:rPr>
        <w:t>A</w:t>
      </w:r>
      <w:r w:rsidR="005808AE" w:rsidRPr="00A169E7">
        <w:rPr>
          <w:rFonts w:ascii="Book Antiqua" w:hAnsi="Book Antiqua" w:cs="Times New Roman"/>
          <w:sz w:val="24"/>
          <w:szCs w:val="24"/>
        </w:rPr>
        <w:t>)</w:t>
      </w:r>
      <w:r w:rsidR="00BF5EA3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A7" w14:textId="5F603402" w:rsidR="005B195C" w:rsidRPr="00A169E7" w:rsidRDefault="00BF5EA3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There were 5 deaths in the control group. Hepatic insufficiency due to worsening of the HCC was the cause of death in 2 patients. Disseminated intravascular coagulation </w:t>
      </w:r>
      <w:r w:rsidR="002E588A" w:rsidRPr="00A169E7">
        <w:rPr>
          <w:rFonts w:ascii="Book Antiqua" w:hAnsi="Book Antiqua" w:cs="Times New Roman"/>
          <w:sz w:val="24"/>
          <w:szCs w:val="24"/>
        </w:rPr>
        <w:t xml:space="preserve">due to thoracic empyema </w:t>
      </w:r>
      <w:r w:rsidR="0034000C" w:rsidRPr="00A169E7">
        <w:rPr>
          <w:rFonts w:ascii="Book Antiqua" w:hAnsi="Book Antiqua" w:cs="Times New Roman"/>
          <w:sz w:val="24"/>
          <w:szCs w:val="24"/>
        </w:rPr>
        <w:t xml:space="preserve">by intestinal bacteria </w:t>
      </w:r>
      <w:r w:rsidR="002E588A" w:rsidRPr="00A169E7">
        <w:rPr>
          <w:rFonts w:ascii="Book Antiqua" w:hAnsi="Book Antiqua" w:cs="Times New Roman"/>
          <w:sz w:val="24"/>
          <w:szCs w:val="24"/>
        </w:rPr>
        <w:t xml:space="preserve">was the </w:t>
      </w:r>
      <w:r w:rsidR="002E588A" w:rsidRPr="00A169E7">
        <w:rPr>
          <w:rFonts w:ascii="Book Antiqua" w:hAnsi="Book Antiqua" w:cs="Times New Roman"/>
          <w:sz w:val="24"/>
          <w:szCs w:val="24"/>
        </w:rPr>
        <w:lastRenderedPageBreak/>
        <w:t>cause of death in 1 patient and cardiovascular disease was the cause of death in 2 patients.</w:t>
      </w:r>
    </w:p>
    <w:p w14:paraId="0FE8D5A8" w14:textId="1E33AEC6" w:rsidR="00AC73BF" w:rsidRPr="00A169E7" w:rsidRDefault="00D077BF" w:rsidP="00F443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Altogether</w:t>
      </w:r>
      <w:r w:rsidR="005B195C" w:rsidRPr="00A169E7">
        <w:rPr>
          <w:rFonts w:ascii="Book Antiqua" w:hAnsi="Book Antiqua" w:cs="Times New Roman"/>
          <w:sz w:val="24"/>
          <w:szCs w:val="24"/>
        </w:rPr>
        <w:t>, there were no significant difference</w:t>
      </w:r>
      <w:r w:rsidR="00C11961" w:rsidRPr="00A169E7">
        <w:rPr>
          <w:rFonts w:ascii="Book Antiqua" w:hAnsi="Book Antiqua" w:cs="Times New Roman"/>
          <w:sz w:val="24"/>
          <w:szCs w:val="24"/>
        </w:rPr>
        <w:t>s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when we compare</w:t>
      </w:r>
      <w:r w:rsidR="00C11961" w:rsidRPr="00A169E7">
        <w:rPr>
          <w:rFonts w:ascii="Book Antiqua" w:hAnsi="Book Antiqua" w:cs="Times New Roman"/>
          <w:sz w:val="24"/>
          <w:szCs w:val="24"/>
        </w:rPr>
        <w:t>d</w:t>
      </w:r>
      <w:r w:rsidR="005B195C" w:rsidRPr="00A169E7">
        <w:rPr>
          <w:rFonts w:ascii="Book Antiqua" w:hAnsi="Book Antiqua" w:cs="Times New Roman"/>
          <w:sz w:val="24"/>
          <w:szCs w:val="24"/>
        </w:rPr>
        <w:t xml:space="preserve"> the </w:t>
      </w:r>
      <w:r w:rsidR="00564250" w:rsidRPr="00A169E7">
        <w:rPr>
          <w:rFonts w:ascii="Book Antiqua" w:hAnsi="Book Antiqua" w:cs="Times New Roman"/>
          <w:sz w:val="24"/>
          <w:szCs w:val="24"/>
        </w:rPr>
        <w:t>r</w:t>
      </w:r>
      <w:r w:rsidR="005B195C" w:rsidRPr="00A169E7">
        <w:rPr>
          <w:rFonts w:ascii="Book Antiqua" w:hAnsi="Book Antiqua" w:cs="Times New Roman"/>
          <w:sz w:val="24"/>
          <w:szCs w:val="24"/>
        </w:rPr>
        <w:t>ifaximin group with the control group (</w:t>
      </w:r>
      <w:r w:rsidR="00C518F6" w:rsidRPr="00A169E7">
        <w:rPr>
          <w:rFonts w:ascii="Book Antiqua" w:hAnsi="Book Antiqua" w:cs="Times New Roman"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B195C" w:rsidRPr="00A169E7">
        <w:rPr>
          <w:rFonts w:ascii="Book Antiqua" w:hAnsi="Book Antiqua" w:cs="Times New Roman"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5B195C" w:rsidRPr="00A169E7">
        <w:rPr>
          <w:rFonts w:ascii="Book Antiqua" w:hAnsi="Book Antiqua" w:cs="Times New Roman"/>
          <w:sz w:val="24"/>
          <w:szCs w:val="24"/>
        </w:rPr>
        <w:t>0.897)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(Fig</w:t>
      </w:r>
      <w:r w:rsidR="00A169E7" w:rsidRPr="00A169E7">
        <w:rPr>
          <w:rFonts w:ascii="Book Antiqua" w:hAnsi="Book Antiqua" w:cs="Times New Roman"/>
          <w:sz w:val="24"/>
          <w:szCs w:val="24"/>
        </w:rPr>
        <w:t>ure</w:t>
      </w:r>
      <w:r w:rsidR="005808AE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E6578B" w:rsidRPr="00A169E7">
        <w:rPr>
          <w:rFonts w:ascii="Book Antiqua" w:hAnsi="Book Antiqua" w:cs="Times New Roman"/>
          <w:sz w:val="24"/>
          <w:szCs w:val="24"/>
        </w:rPr>
        <w:t>2B</w:t>
      </w:r>
      <w:r w:rsidR="005808AE" w:rsidRPr="00A169E7">
        <w:rPr>
          <w:rFonts w:ascii="Book Antiqua" w:hAnsi="Book Antiqua" w:cs="Times New Roman"/>
          <w:sz w:val="24"/>
          <w:szCs w:val="24"/>
        </w:rPr>
        <w:t>)</w:t>
      </w:r>
      <w:r w:rsidR="00A169E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9" w14:textId="77777777" w:rsidR="003305C9" w:rsidRPr="00A169E7" w:rsidRDefault="003305C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5AA" w14:textId="77777777" w:rsidR="00A035D3" w:rsidRPr="00A169E7" w:rsidRDefault="00A035D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D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ISCUSSION</w:t>
      </w:r>
    </w:p>
    <w:p w14:paraId="0FE8D5AB" w14:textId="4C3A48AB" w:rsidR="00A035D3" w:rsidRPr="00A169E7" w:rsidRDefault="00A035D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H</w:t>
      </w:r>
      <w:r w:rsidR="00FA363A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is one of </w:t>
      </w:r>
      <w:r w:rsidR="00C11961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3F0F8F" w:rsidRPr="00A169E7">
        <w:rPr>
          <w:rFonts w:ascii="Book Antiqua" w:hAnsi="Book Antiqua" w:cs="Times New Roman"/>
          <w:sz w:val="24"/>
          <w:szCs w:val="24"/>
        </w:rPr>
        <w:t xml:space="preserve">major complications </w:t>
      </w:r>
      <w:r w:rsidR="00C11961" w:rsidRPr="00A169E7">
        <w:rPr>
          <w:rFonts w:ascii="Book Antiqua" w:hAnsi="Book Antiqua" w:cs="Times New Roman"/>
          <w:sz w:val="24"/>
          <w:szCs w:val="24"/>
        </w:rPr>
        <w:t>of</w:t>
      </w:r>
      <w:r w:rsidR="003F0F8F" w:rsidRPr="00A169E7">
        <w:rPr>
          <w:rFonts w:ascii="Book Antiqua" w:hAnsi="Book Antiqua" w:cs="Times New Roman"/>
          <w:sz w:val="24"/>
          <w:szCs w:val="24"/>
        </w:rPr>
        <w:t xml:space="preserve"> liver cirrhosis, and in Japan, rifaximin has been available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for treating HE </w:t>
      </w:r>
      <w:r w:rsidR="003F0F8F" w:rsidRPr="00A169E7">
        <w:rPr>
          <w:rFonts w:ascii="Book Antiqua" w:hAnsi="Book Antiqua" w:cs="Times New Roman"/>
          <w:sz w:val="24"/>
          <w:szCs w:val="24"/>
        </w:rPr>
        <w:t>since November 2016.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This study assessed the effic</w:t>
      </w:r>
      <w:r w:rsidR="0091153B" w:rsidRPr="00A169E7">
        <w:rPr>
          <w:rFonts w:ascii="Book Antiqua" w:hAnsi="Book Antiqua" w:cs="Times New Roman"/>
          <w:sz w:val="24"/>
          <w:szCs w:val="24"/>
        </w:rPr>
        <w:t>ac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y and safety of long-term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use in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>Japan</w:t>
      </w:r>
      <w:r w:rsidR="009B16DE" w:rsidRPr="00A169E7">
        <w:rPr>
          <w:rFonts w:ascii="Book Antiqua" w:hAnsi="Book Antiqua" w:cs="Times New Roman"/>
          <w:sz w:val="24"/>
          <w:szCs w:val="24"/>
        </w:rPr>
        <w:t>ese population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9B16DE" w:rsidRPr="00A169E7">
        <w:rPr>
          <w:rFonts w:ascii="Book Antiqua" w:hAnsi="Book Antiqua" w:cs="Times New Roman"/>
          <w:sz w:val="24"/>
          <w:szCs w:val="24"/>
        </w:rPr>
        <w:t>In addition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we also investigated </w:t>
      </w:r>
      <w:r w:rsidR="00B5756F" w:rsidRPr="00A169E7">
        <w:rPr>
          <w:rFonts w:ascii="Book Antiqua" w:hAnsi="Book Antiqua" w:cs="Times New Roman"/>
          <w:sz w:val="24"/>
          <w:szCs w:val="24"/>
        </w:rPr>
        <w:t>the difference</w:t>
      </w:r>
      <w:r w:rsidR="009B16DE" w:rsidRPr="00A169E7">
        <w:rPr>
          <w:rFonts w:ascii="Book Antiqua" w:hAnsi="Book Antiqua" w:cs="Times New Roman"/>
          <w:sz w:val="24"/>
          <w:szCs w:val="24"/>
        </w:rPr>
        <w:t>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in 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kind of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shunts and the infection</w:t>
      </w:r>
      <w:r w:rsidR="009B16DE" w:rsidRPr="00A169E7">
        <w:rPr>
          <w:rFonts w:ascii="Book Antiqua" w:hAnsi="Book Antiqua" w:cs="Times New Roman"/>
          <w:sz w:val="24"/>
          <w:szCs w:val="24"/>
        </w:rPr>
        <w:t>s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 related to </w:t>
      </w:r>
      <w:r w:rsidR="00B5756F" w:rsidRPr="00A169E7">
        <w:rPr>
          <w:rFonts w:ascii="Book Antiqua" w:hAnsi="Book Antiqua" w:cs="Times New Roman"/>
          <w:i/>
          <w:sz w:val="24"/>
          <w:szCs w:val="24"/>
        </w:rPr>
        <w:t>E.</w:t>
      </w:r>
      <w:r w:rsidR="009B16DE" w:rsidRPr="00A169E7">
        <w:rPr>
          <w:rFonts w:ascii="Book Antiqua" w:hAnsi="Book Antiqua" w:cs="Times New Roman"/>
          <w:i/>
          <w:sz w:val="24"/>
          <w:szCs w:val="24"/>
        </w:rPr>
        <w:t xml:space="preserve"> c</w:t>
      </w:r>
      <w:r w:rsidR="00B5756F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. The serum ammonia level </w:t>
      </w:r>
      <w:r w:rsidR="00A95502" w:rsidRPr="00A169E7">
        <w:rPr>
          <w:rFonts w:ascii="Book Antiqua" w:hAnsi="Book Antiqua" w:cs="Times New Roman"/>
          <w:sz w:val="24"/>
          <w:szCs w:val="24"/>
        </w:rPr>
        <w:t xml:space="preserve">significantly </w:t>
      </w:r>
      <w:r w:rsidR="00B5756F" w:rsidRPr="00A169E7">
        <w:rPr>
          <w:rFonts w:ascii="Book Antiqua" w:hAnsi="Book Antiqua" w:cs="Times New Roman"/>
          <w:sz w:val="24"/>
          <w:szCs w:val="24"/>
        </w:rPr>
        <w:t>decreased 2</w:t>
      </w:r>
      <w:r w:rsidR="009B16DE" w:rsidRPr="00A169E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5756F" w:rsidRPr="00A169E7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B5756F" w:rsidRPr="00A169E7">
        <w:rPr>
          <w:rFonts w:ascii="Book Antiqua" w:hAnsi="Book Antiqua" w:cs="Times New Roman"/>
          <w:sz w:val="24"/>
          <w:szCs w:val="24"/>
        </w:rPr>
        <w:t xml:space="preserve"> after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initiating </w:t>
      </w:r>
      <w:r w:rsidR="00B5756F" w:rsidRPr="00A169E7">
        <w:rPr>
          <w:rFonts w:ascii="Book Antiqua" w:hAnsi="Book Antiqua" w:cs="Times New Roman"/>
          <w:sz w:val="24"/>
          <w:szCs w:val="24"/>
        </w:rPr>
        <w:t>treatment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compared to the pretreatment level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, and the decrease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B5756F" w:rsidRPr="00A169E7">
        <w:rPr>
          <w:rFonts w:ascii="Book Antiqua" w:hAnsi="Book Antiqua" w:cs="Times New Roman"/>
          <w:sz w:val="24"/>
          <w:szCs w:val="24"/>
        </w:rPr>
        <w:t xml:space="preserve">maintained </w:t>
      </w:r>
      <w:r w:rsidR="00025F69" w:rsidRPr="00A169E7">
        <w:rPr>
          <w:rFonts w:ascii="Book Antiqua" w:hAnsi="Book Antiqua" w:cs="Times New Roman"/>
          <w:sz w:val="24"/>
          <w:szCs w:val="24"/>
        </w:rPr>
        <w:t>for</w:t>
      </w:r>
      <w:r w:rsidR="00EB53B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B5756F" w:rsidRPr="00A169E7">
        <w:rPr>
          <w:rFonts w:ascii="Book Antiqua" w:hAnsi="Book Antiqua" w:cs="Times New Roman"/>
          <w:sz w:val="24"/>
          <w:szCs w:val="24"/>
        </w:rPr>
        <w:t>as long as 60 wk</w:t>
      </w:r>
      <w:r w:rsidR="00EB53B0" w:rsidRPr="00A169E7">
        <w:rPr>
          <w:rFonts w:ascii="Book Antiqua" w:hAnsi="Book Antiqua" w:cs="Times New Roman"/>
          <w:sz w:val="24"/>
          <w:szCs w:val="24"/>
        </w:rPr>
        <w:t>.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Moreover</w:t>
      </w:r>
      <w:r w:rsidR="001F03EA" w:rsidRPr="00A169E7">
        <w:rPr>
          <w:rFonts w:ascii="Book Antiqua" w:hAnsi="Book Antiqua" w:cs="Times New Roman"/>
          <w:sz w:val="24"/>
          <w:szCs w:val="24"/>
        </w:rPr>
        <w:t>, the</w:t>
      </w:r>
      <w:r w:rsidR="00025F69" w:rsidRPr="00A169E7">
        <w:rPr>
          <w:rFonts w:ascii="Book Antiqua" w:hAnsi="Book Antiqua" w:cs="Times New Roman"/>
          <w:sz w:val="24"/>
          <w:szCs w:val="24"/>
        </w:rPr>
        <w:t>re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was 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recurrence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in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F03EA" w:rsidRPr="00A169E7">
        <w:rPr>
          <w:rFonts w:ascii="Book Antiqua" w:hAnsi="Book Antiqua" w:cs="Times New Roman"/>
          <w:sz w:val="24"/>
          <w:szCs w:val="24"/>
        </w:rPr>
        <w:t>cases of drainage of hepatic pleural effusion and self-cessation of rifaximin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therapy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, but not in other cases.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1F03EA" w:rsidRPr="00A169E7">
        <w:rPr>
          <w:rFonts w:ascii="Book Antiqua" w:hAnsi="Book Antiqua" w:cs="Times New Roman"/>
          <w:sz w:val="24"/>
          <w:szCs w:val="24"/>
        </w:rPr>
        <w:t>suggest</w:t>
      </w:r>
      <w:r w:rsidR="00025F69" w:rsidRPr="00A169E7">
        <w:rPr>
          <w:rFonts w:ascii="Book Antiqua" w:hAnsi="Book Antiqua" w:cs="Times New Roman"/>
          <w:sz w:val="24"/>
          <w:szCs w:val="24"/>
        </w:rPr>
        <w:t>s</w:t>
      </w:r>
      <w:r w:rsidR="001F03EA" w:rsidRPr="00A169E7">
        <w:rPr>
          <w:rFonts w:ascii="Book Antiqua" w:hAnsi="Book Antiqua" w:cs="Times New Roman"/>
          <w:sz w:val="24"/>
          <w:szCs w:val="24"/>
        </w:rPr>
        <w:t xml:space="preserve"> that the long-term use of rifaximin has good efficacy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and rifaximin </w:t>
      </w:r>
      <w:r w:rsidR="00433A51" w:rsidRPr="00A169E7">
        <w:rPr>
          <w:rFonts w:ascii="Book Antiqua" w:hAnsi="Book Antiqua" w:cs="Times New Roman"/>
          <w:sz w:val="24"/>
          <w:szCs w:val="24"/>
        </w:rPr>
        <w:t>can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be used continuously for a long time </w:t>
      </w:r>
      <w:r w:rsidR="00433A51" w:rsidRPr="00A169E7">
        <w:rPr>
          <w:rFonts w:ascii="Book Antiqua" w:hAnsi="Book Antiqua" w:cs="Times New Roman"/>
          <w:sz w:val="24"/>
          <w:szCs w:val="24"/>
        </w:rPr>
        <w:t xml:space="preserve">without </w:t>
      </w:r>
      <w:r w:rsidR="00E81764" w:rsidRPr="00A169E7">
        <w:rPr>
          <w:rFonts w:ascii="Book Antiqua" w:hAnsi="Book Antiqua" w:cs="Times New Roman"/>
          <w:sz w:val="24"/>
          <w:szCs w:val="24"/>
        </w:rPr>
        <w:t>discontinu</w:t>
      </w:r>
      <w:r w:rsidR="00433A51" w:rsidRPr="00A169E7">
        <w:rPr>
          <w:rFonts w:ascii="Book Antiqua" w:hAnsi="Book Antiqua" w:cs="Times New Roman"/>
          <w:sz w:val="24"/>
          <w:szCs w:val="24"/>
        </w:rPr>
        <w:t>ation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C" w14:textId="44C801D4" w:rsidR="001F03EA" w:rsidRPr="00A169E7" w:rsidRDefault="001F03EA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As to adverse events, 2 cases</w:t>
      </w:r>
      <w:r w:rsidR="00FF0AA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(</w:t>
      </w:r>
      <w:r w:rsidR="00FF0AAD" w:rsidRPr="00A169E7">
        <w:rPr>
          <w:rFonts w:ascii="Book Antiqua" w:hAnsi="Book Antiqua" w:cs="Times New Roman"/>
          <w:sz w:val="24"/>
          <w:szCs w:val="24"/>
        </w:rPr>
        <w:t>5.3%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had diarrhea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which</w:t>
      </w:r>
      <w:r w:rsidRPr="00A169E7">
        <w:rPr>
          <w:rFonts w:ascii="Book Antiqua" w:hAnsi="Book Antiqua" w:cs="Times New Roman"/>
          <w:sz w:val="24"/>
          <w:szCs w:val="24"/>
        </w:rPr>
        <w:t xml:space="preserve"> improved </w:t>
      </w:r>
      <w:r w:rsidR="00025F69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25F69" w:rsidRPr="00A169E7">
        <w:rPr>
          <w:rFonts w:ascii="Book Antiqua" w:hAnsi="Book Antiqua" w:cs="Times New Roman"/>
          <w:sz w:val="24"/>
          <w:szCs w:val="24"/>
        </w:rPr>
        <w:t>pro</w:t>
      </w:r>
      <w:r w:rsidRPr="00A169E7">
        <w:rPr>
          <w:rFonts w:ascii="Book Antiqua" w:hAnsi="Book Antiqua" w:cs="Times New Roman"/>
          <w:sz w:val="24"/>
          <w:szCs w:val="24"/>
        </w:rPr>
        <w:t xml:space="preserve">biotics, and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there were </w:t>
      </w:r>
      <w:r w:rsidRPr="00A169E7">
        <w:rPr>
          <w:rFonts w:ascii="Book Antiqua" w:hAnsi="Book Antiqua" w:cs="Times New Roman"/>
          <w:sz w:val="24"/>
          <w:szCs w:val="24"/>
        </w:rPr>
        <w:t xml:space="preserve">no cases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of cessation of </w:t>
      </w:r>
      <w:r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therapy </w:t>
      </w:r>
      <w:r w:rsidRPr="00A169E7">
        <w:rPr>
          <w:rFonts w:ascii="Book Antiqua" w:hAnsi="Book Antiqua" w:cs="Times New Roman"/>
          <w:sz w:val="24"/>
          <w:szCs w:val="24"/>
        </w:rPr>
        <w:t xml:space="preserve">due to side effects. </w:t>
      </w:r>
      <w:r w:rsidR="00025F69" w:rsidRPr="00A169E7">
        <w:rPr>
          <w:rFonts w:ascii="Book Antiqua" w:hAnsi="Book Antiqua" w:cs="Times New Roman"/>
          <w:sz w:val="24"/>
          <w:szCs w:val="24"/>
        </w:rPr>
        <w:t>T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he efficacy and safety of long-term use of rifaximin </w:t>
      </w:r>
      <w:r w:rsidR="00025F69" w:rsidRPr="00A169E7">
        <w:rPr>
          <w:rFonts w:ascii="Book Antiqua" w:hAnsi="Book Antiqua" w:cs="Times New Roman"/>
          <w:sz w:val="24"/>
          <w:szCs w:val="24"/>
        </w:rPr>
        <w:t>has been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proved</w:t>
      </w:r>
      <w:r w:rsidR="00025F69" w:rsidRPr="00A169E7">
        <w:rPr>
          <w:rFonts w:ascii="Book Antiqua" w:hAnsi="Book Antiqua" w:cs="Times New Roman"/>
          <w:sz w:val="24"/>
          <w:szCs w:val="24"/>
        </w:rPr>
        <w:t xml:space="preserve"> in the West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, but </w:t>
      </w:r>
      <w:r w:rsidR="00025F69" w:rsidRPr="00A169E7">
        <w:rPr>
          <w:rFonts w:ascii="Book Antiqua" w:hAnsi="Book Antiqua" w:cs="Times New Roman"/>
          <w:sz w:val="24"/>
          <w:szCs w:val="24"/>
        </w:rPr>
        <w:t>there ha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s been 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no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evidence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in Japan </w:t>
      </w:r>
      <w:r w:rsidR="00A95502" w:rsidRPr="00A169E7">
        <w:rPr>
          <w:rFonts w:ascii="Book Antiqua" w:hAnsi="Book Antiqua" w:cs="Times New Roman"/>
          <w:sz w:val="24"/>
          <w:szCs w:val="24"/>
        </w:rPr>
        <w:t>thus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far. The</w:t>
      </w:r>
      <w:r w:rsidR="00A32F79" w:rsidRPr="00A169E7">
        <w:rPr>
          <w:rFonts w:ascii="Book Antiqua" w:hAnsi="Book Antiqua" w:cs="Times New Roman"/>
          <w:sz w:val="24"/>
          <w:szCs w:val="24"/>
        </w:rPr>
        <w:t>refore</w:t>
      </w:r>
      <w:r w:rsidR="00433A51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the result of this study</w:t>
      </w:r>
      <w:r w:rsidR="00A32F79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A32F79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825362" w:rsidRPr="00A169E7">
        <w:rPr>
          <w:rFonts w:ascii="Book Antiqua" w:hAnsi="Book Antiqua" w:cs="Times New Roman"/>
          <w:sz w:val="24"/>
          <w:szCs w:val="24"/>
        </w:rPr>
        <w:t>long-term use of rifaximin is effective and safe</w:t>
      </w:r>
      <w:r w:rsidR="00A32F79" w:rsidRPr="00A169E7">
        <w:rPr>
          <w:rFonts w:ascii="Book Antiqua" w:hAnsi="Book Antiqua" w:cs="Times New Roman"/>
          <w:sz w:val="24"/>
          <w:szCs w:val="24"/>
        </w:rPr>
        <w:t>,</w:t>
      </w:r>
      <w:r w:rsidR="00825362" w:rsidRPr="00A169E7">
        <w:rPr>
          <w:rFonts w:ascii="Book Antiqua" w:hAnsi="Book Antiqua" w:cs="Times New Roman"/>
          <w:sz w:val="24"/>
          <w:szCs w:val="24"/>
        </w:rPr>
        <w:t xml:space="preserve"> is</w:t>
      </w:r>
      <w:r w:rsidR="00435B82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825362" w:rsidRPr="00A169E7">
        <w:rPr>
          <w:rFonts w:ascii="Book Antiqua" w:hAnsi="Book Antiqua" w:cs="Times New Roman"/>
          <w:sz w:val="24"/>
          <w:szCs w:val="24"/>
        </w:rPr>
        <w:t>important.</w:t>
      </w:r>
      <w:r w:rsidR="00AE61B9" w:rsidRPr="00A169E7">
        <w:rPr>
          <w:rFonts w:ascii="Book Antiqua" w:hAnsi="Book Antiqua" w:cs="Times New Roman"/>
          <w:sz w:val="24"/>
          <w:szCs w:val="24"/>
        </w:rPr>
        <w:t xml:space="preserve"> </w:t>
      </w:r>
    </w:p>
    <w:p w14:paraId="0FE8D5AD" w14:textId="20FC2B92" w:rsidR="00A161F6" w:rsidRPr="00A169E7" w:rsidRDefault="00A32F79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HE is said to be precipitated by events such as infections and enteric bleeding. </w:t>
      </w:r>
      <w:r w:rsidR="00AE61B9" w:rsidRPr="00A169E7">
        <w:rPr>
          <w:rFonts w:ascii="Book Antiqua" w:hAnsi="Book Antiqua" w:cs="Times New Roman"/>
          <w:sz w:val="24"/>
          <w:szCs w:val="24"/>
        </w:rPr>
        <w:t>In this study, the</w:t>
      </w:r>
      <w:r w:rsidR="00152FD8" w:rsidRPr="00A169E7">
        <w:rPr>
          <w:rFonts w:ascii="Book Antiqua" w:hAnsi="Book Antiqua" w:cs="Times New Roman"/>
          <w:sz w:val="24"/>
          <w:szCs w:val="24"/>
        </w:rPr>
        <w:t>re was</w:t>
      </w:r>
      <w:r w:rsidR="00AE61B9" w:rsidRPr="00A169E7">
        <w:rPr>
          <w:rFonts w:ascii="Book Antiqua" w:hAnsi="Book Antiqua" w:cs="Times New Roman"/>
          <w:sz w:val="24"/>
          <w:szCs w:val="24"/>
        </w:rPr>
        <w:t xml:space="preserve"> recurrence of overt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="00152FD8" w:rsidRPr="00A169E7">
        <w:rPr>
          <w:rFonts w:ascii="Book Antiqua" w:hAnsi="Book Antiqua" w:cs="Times New Roman"/>
          <w:sz w:val="24"/>
          <w:szCs w:val="24"/>
        </w:rPr>
        <w:t xml:space="preserve"> in 3 cases</w:t>
      </w:r>
      <w:r w:rsidR="00AE61B9" w:rsidRPr="00A169E7">
        <w:rPr>
          <w:rFonts w:ascii="Book Antiqua" w:hAnsi="Book Antiqua" w:cs="Times New Roman"/>
          <w:sz w:val="24"/>
          <w:szCs w:val="24"/>
        </w:rPr>
        <w:t>,</w:t>
      </w:r>
      <w:r w:rsidR="00A72D38" w:rsidRPr="00A169E7">
        <w:rPr>
          <w:rFonts w:ascii="Book Antiqua" w:hAnsi="Book Antiqua" w:cs="Times New Roman"/>
          <w:sz w:val="24"/>
          <w:szCs w:val="24"/>
        </w:rPr>
        <w:t xml:space="preserve"> 2 of </w:t>
      </w:r>
      <w:r w:rsidR="00FD3E18" w:rsidRPr="00A169E7">
        <w:rPr>
          <w:rFonts w:ascii="Book Antiqua" w:hAnsi="Book Antiqua" w:cs="Times New Roman"/>
          <w:sz w:val="24"/>
          <w:szCs w:val="24"/>
        </w:rPr>
        <w:t>which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occurred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on </w:t>
      </w:r>
      <w:r w:rsidR="001E5470" w:rsidRPr="00A169E7">
        <w:rPr>
          <w:rFonts w:ascii="Book Antiqua" w:hAnsi="Book Antiqua" w:cs="Times New Roman"/>
          <w:sz w:val="24"/>
          <w:szCs w:val="24"/>
        </w:rPr>
        <w:t>drain</w:t>
      </w:r>
      <w:r w:rsidR="00FD3E18" w:rsidRPr="00A169E7">
        <w:rPr>
          <w:rFonts w:ascii="Book Antiqua" w:hAnsi="Book Antiqua" w:cs="Times New Roman"/>
          <w:sz w:val="24"/>
          <w:szCs w:val="24"/>
        </w:rPr>
        <w:t>ing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1E5470" w:rsidRPr="00A169E7">
        <w:rPr>
          <w:rFonts w:ascii="Book Antiqua" w:hAnsi="Book Antiqua" w:cs="Times New Roman"/>
          <w:sz w:val="24"/>
          <w:szCs w:val="24"/>
        </w:rPr>
        <w:t>hepatic pleural effusion</w:t>
      </w:r>
      <w:r w:rsidR="00FD3E18" w:rsidRPr="00A169E7">
        <w:rPr>
          <w:rFonts w:ascii="Book Antiqua" w:hAnsi="Book Antiqua" w:cs="Times New Roman"/>
          <w:sz w:val="24"/>
          <w:szCs w:val="24"/>
        </w:rPr>
        <w:t>;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it was considered that the recur</w:t>
      </w:r>
      <w:r w:rsidR="0091153B" w:rsidRPr="00A169E7">
        <w:rPr>
          <w:rFonts w:ascii="Book Antiqua" w:hAnsi="Book Antiqua" w:cs="Times New Roman"/>
          <w:sz w:val="24"/>
          <w:szCs w:val="24"/>
        </w:rPr>
        <w:t>r</w:t>
      </w:r>
      <w:r w:rsidR="001E5470" w:rsidRPr="00A169E7">
        <w:rPr>
          <w:rFonts w:ascii="Book Antiqua" w:hAnsi="Book Antiqua" w:cs="Times New Roman"/>
          <w:sz w:val="24"/>
          <w:szCs w:val="24"/>
        </w:rPr>
        <w:t>ence</w:t>
      </w:r>
      <w:r w:rsidR="00FD3E18" w:rsidRPr="00A169E7">
        <w:rPr>
          <w:rFonts w:ascii="Book Antiqua" w:hAnsi="Book Antiqua" w:cs="Times New Roman"/>
          <w:sz w:val="24"/>
          <w:szCs w:val="24"/>
        </w:rPr>
        <w:t>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occurred due to dehydration and poor general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health </w:t>
      </w:r>
      <w:r w:rsidR="001E5470" w:rsidRPr="00A169E7">
        <w:rPr>
          <w:rFonts w:ascii="Book Antiqua" w:hAnsi="Book Antiqua" w:cs="Times New Roman"/>
          <w:sz w:val="24"/>
          <w:szCs w:val="24"/>
        </w:rPr>
        <w:t>condition</w:t>
      </w:r>
      <w:r w:rsidR="00FD3E18" w:rsidRPr="00A169E7">
        <w:rPr>
          <w:rFonts w:ascii="Book Antiqua" w:hAnsi="Book Antiqua" w:cs="Times New Roman"/>
          <w:sz w:val="24"/>
          <w:szCs w:val="24"/>
        </w:rPr>
        <w:t>s,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including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infections and intestinal bleeding.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13" w:name="_Hlk10969713"/>
      <w:r w:rsidR="0024748C" w:rsidRPr="00A169E7">
        <w:rPr>
          <w:rFonts w:ascii="Book Antiqua" w:hAnsi="Book Antiqua" w:cs="Times New Roman"/>
          <w:sz w:val="24"/>
          <w:szCs w:val="24"/>
        </w:rPr>
        <w:t xml:space="preserve">West Haven criteria is used to assess </w:t>
      </w:r>
      <w:proofErr w:type="gramStart"/>
      <w:r w:rsidR="003D2946" w:rsidRPr="00A169E7">
        <w:rPr>
          <w:rFonts w:ascii="Book Antiqua" w:hAnsi="Book Antiqua" w:cs="Times New Roman"/>
          <w:sz w:val="24"/>
          <w:szCs w:val="24"/>
        </w:rPr>
        <w:t>HE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13027C" w:rsidRPr="00A169E7">
        <w:rPr>
          <w:rFonts w:ascii="Book Antiqua" w:hAnsi="Book Antiqua" w:cs="Times New Roman"/>
          <w:sz w:val="24"/>
          <w:szCs w:val="24"/>
        </w:rPr>
        <w:t>However the W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est Haven test is not sufficient to identify subclinical encephalopathy and </w:t>
      </w:r>
      <w:bookmarkStart w:id="14" w:name="_Hlk10719541"/>
      <w:r w:rsidR="0013027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4748C" w:rsidRPr="00A169E7">
        <w:rPr>
          <w:rFonts w:ascii="Book Antiqua" w:hAnsi="Book Antiqua" w:cs="Times New Roman"/>
          <w:sz w:val="24"/>
          <w:szCs w:val="24"/>
        </w:rPr>
        <w:t>Trail Making Test</w:t>
      </w:r>
      <w:bookmarkEnd w:id="14"/>
      <w:r w:rsidR="0024748C" w:rsidRPr="00A169E7">
        <w:rPr>
          <w:rFonts w:ascii="Book Antiqua" w:hAnsi="Book Antiqua" w:cs="Times New Roman"/>
          <w:sz w:val="24"/>
          <w:szCs w:val="24"/>
        </w:rPr>
        <w:t xml:space="preserve"> was more useful to detect minimal </w:t>
      </w:r>
      <w:r w:rsidR="0024748C" w:rsidRPr="00A169E7">
        <w:rPr>
          <w:rFonts w:ascii="Book Antiqua" w:hAnsi="Book Antiqua" w:cs="Times New Roman"/>
          <w:sz w:val="24"/>
          <w:szCs w:val="24"/>
        </w:rPr>
        <w:lastRenderedPageBreak/>
        <w:t>encephalopathy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[20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. In this retrospective study, we could not evaluate </w:t>
      </w:r>
      <w:r w:rsidR="0013027C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24748C" w:rsidRPr="00A169E7">
        <w:rPr>
          <w:rFonts w:ascii="Book Antiqua" w:hAnsi="Book Antiqua" w:cs="Times New Roman"/>
          <w:sz w:val="24"/>
          <w:szCs w:val="24"/>
        </w:rPr>
        <w:t>Trail Making Test.</w:t>
      </w:r>
      <w:bookmarkEnd w:id="13"/>
    </w:p>
    <w:p w14:paraId="0FE8D5AE" w14:textId="09416E65" w:rsidR="00A161F6" w:rsidRPr="00A169E7" w:rsidRDefault="00A161F6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was reported that </w:t>
      </w:r>
      <w:r w:rsidR="00EC3DA5" w:rsidRPr="00A169E7">
        <w:rPr>
          <w:rFonts w:ascii="Book Antiqua" w:hAnsi="Book Antiqua" w:cs="Times New Roman"/>
          <w:sz w:val="24"/>
          <w:szCs w:val="24"/>
        </w:rPr>
        <w:t xml:space="preserve">the prevalence of large portosystemic shunts was 70% </w:t>
      </w:r>
      <w:r w:rsidRPr="00A169E7">
        <w:rPr>
          <w:rFonts w:ascii="Book Antiqua" w:hAnsi="Book Antiqua" w:cs="Times New Roman"/>
          <w:sz w:val="24"/>
          <w:szCs w:val="24"/>
        </w:rPr>
        <w:t xml:space="preserve">among patients suffering from chronic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EC3DA5" w:rsidRPr="00A169E7">
        <w:rPr>
          <w:rFonts w:ascii="Book Antiqua" w:hAnsi="Book Antiqua" w:cs="Times New Roman"/>
          <w:sz w:val="24"/>
          <w:szCs w:val="24"/>
        </w:rPr>
        <w:t xml:space="preserve">14% </w:t>
      </w:r>
      <w:r w:rsidRPr="00A169E7">
        <w:rPr>
          <w:rFonts w:ascii="Book Antiqua" w:hAnsi="Book Antiqua" w:cs="Times New Roman"/>
          <w:sz w:val="24"/>
          <w:szCs w:val="24"/>
        </w:rPr>
        <w:t xml:space="preserve">among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 xml:space="preserve">control group. In other words,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there is a strong association between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FA363A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development of </w:t>
      </w:r>
      <w:r w:rsidR="002229C1" w:rsidRPr="00A169E7">
        <w:rPr>
          <w:rFonts w:ascii="Book Antiqua" w:hAnsi="Book Antiqua" w:cs="Times New Roman"/>
          <w:sz w:val="24"/>
          <w:szCs w:val="24"/>
        </w:rPr>
        <w:t>portosystemic</w:t>
      </w:r>
      <w:r w:rsidRPr="00A169E7">
        <w:rPr>
          <w:rFonts w:ascii="Book Antiqua" w:hAnsi="Book Antiqua" w:cs="Times New Roman"/>
          <w:sz w:val="24"/>
          <w:szCs w:val="24"/>
        </w:rPr>
        <w:t xml:space="preserve"> shunts. </w:t>
      </w:r>
      <w:bookmarkStart w:id="15" w:name="_Hlk10574092"/>
      <w:r w:rsidR="0024748C" w:rsidRPr="00A169E7">
        <w:rPr>
          <w:rFonts w:ascii="Book Antiqua" w:hAnsi="Book Antiqua" w:cs="Times New Roman"/>
          <w:sz w:val="24"/>
          <w:szCs w:val="24"/>
        </w:rPr>
        <w:t xml:space="preserve">One previous study reported that the grade of portosystemic collateral veins was concordant with ammonia </w:t>
      </w:r>
      <w:proofErr w:type="gramStart"/>
      <w:r w:rsidR="0024748C" w:rsidRPr="00A169E7">
        <w:rPr>
          <w:rFonts w:ascii="Book Antiqua" w:hAnsi="Book Antiqua" w:cs="Times New Roman"/>
          <w:sz w:val="24"/>
          <w:szCs w:val="24"/>
        </w:rPr>
        <w:t>levels</w:t>
      </w:r>
      <w:bookmarkStart w:id="16" w:name="_Hlk10495174"/>
      <w:bookmarkEnd w:id="15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DB5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4748C" w:rsidRPr="00A169E7">
        <w:rPr>
          <w:rFonts w:ascii="Book Antiqua" w:hAnsi="Book Antiqua" w:cs="Times New Roman"/>
          <w:sz w:val="24"/>
          <w:szCs w:val="24"/>
        </w:rPr>
        <w:t>.</w:t>
      </w:r>
      <w:bookmarkEnd w:id="16"/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17" w:name="_Hlk10574122"/>
      <w:r w:rsidR="0012381F" w:rsidRPr="00A169E7">
        <w:rPr>
          <w:rFonts w:ascii="Book Antiqua" w:hAnsi="Book Antiqua" w:cs="Times New Roman"/>
          <w:sz w:val="24"/>
          <w:szCs w:val="24"/>
        </w:rPr>
        <w:t xml:space="preserve">This finding </w:t>
      </w:r>
      <w:r w:rsidR="0012337E" w:rsidRPr="00A169E7">
        <w:rPr>
          <w:rFonts w:ascii="Book Antiqua" w:hAnsi="Book Antiqua" w:cs="Times New Roman"/>
          <w:sz w:val="24"/>
          <w:szCs w:val="24"/>
        </w:rPr>
        <w:t>was</w:t>
      </w:r>
      <w:r w:rsidR="0012381F" w:rsidRPr="00A169E7">
        <w:rPr>
          <w:rFonts w:ascii="Book Antiqua" w:hAnsi="Book Antiqua" w:cs="Times New Roman"/>
          <w:sz w:val="24"/>
          <w:szCs w:val="24"/>
        </w:rPr>
        <w:t xml:space="preserve"> consistent with our results.</w:t>
      </w:r>
      <w:bookmarkEnd w:id="17"/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The</w:t>
      </w:r>
      <w:r w:rsidR="00FD3E18" w:rsidRPr="00A169E7">
        <w:rPr>
          <w:rFonts w:ascii="Book Antiqua" w:hAnsi="Book Antiqua" w:cs="Times New Roman"/>
          <w:sz w:val="24"/>
          <w:szCs w:val="24"/>
        </w:rPr>
        <w:t>re have been no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studies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to date</w:t>
      </w:r>
      <w:r w:rsidRPr="00A169E7">
        <w:rPr>
          <w:rFonts w:ascii="Book Antiqua" w:hAnsi="Book Antiqua" w:cs="Times New Roman"/>
          <w:sz w:val="24"/>
          <w:szCs w:val="24"/>
        </w:rPr>
        <w:t xml:space="preserve"> investigat</w:t>
      </w:r>
      <w:r w:rsidR="00FD3E18" w:rsidRPr="00A169E7">
        <w:rPr>
          <w:rFonts w:ascii="Book Antiqua" w:hAnsi="Book Antiqua" w:cs="Times New Roman"/>
          <w:sz w:val="24"/>
          <w:szCs w:val="24"/>
        </w:rPr>
        <w:t>ing</w:t>
      </w:r>
      <w:r w:rsidRPr="00A169E7">
        <w:rPr>
          <w:rFonts w:ascii="Book Antiqua" w:hAnsi="Book Antiqua" w:cs="Times New Roman"/>
          <w:sz w:val="24"/>
          <w:szCs w:val="24"/>
        </w:rPr>
        <w:t xml:space="preserve"> the relationship between portosystemic shunts and rifaximin </w:t>
      </w:r>
      <w:r w:rsidR="00FD3E18" w:rsidRPr="00A169E7">
        <w:rPr>
          <w:rFonts w:ascii="Book Antiqua" w:hAnsi="Book Antiqua" w:cs="Times New Roman"/>
          <w:sz w:val="24"/>
          <w:szCs w:val="24"/>
        </w:rPr>
        <w:t>therapy</w:t>
      </w:r>
      <w:r w:rsidRPr="00A169E7">
        <w:rPr>
          <w:rFonts w:ascii="Book Antiqua" w:hAnsi="Book Antiqua" w:cs="Times New Roman"/>
          <w:sz w:val="24"/>
          <w:szCs w:val="24"/>
        </w:rPr>
        <w:t>. This study revealed that rifaximin could improve the elevated serum ammonia level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and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AE1B0D" w:rsidRPr="00A169E7">
        <w:rPr>
          <w:rFonts w:ascii="Book Antiqua" w:hAnsi="Book Antiqua" w:cs="Times New Roman"/>
          <w:sz w:val="24"/>
          <w:szCs w:val="24"/>
        </w:rPr>
        <w:t>patients</w:t>
      </w:r>
      <w:r w:rsidRPr="00A169E7">
        <w:rPr>
          <w:rFonts w:ascii="Book Antiqua" w:hAnsi="Book Antiqua" w:cs="Times New Roman"/>
          <w:sz w:val="24"/>
          <w:szCs w:val="24"/>
        </w:rPr>
        <w:t xml:space="preserve"> who had large portosystemic shunts as well as that of those who ha</w:t>
      </w:r>
      <w:r w:rsidR="00FD3E18" w:rsidRPr="00A169E7">
        <w:rPr>
          <w:rFonts w:ascii="Book Antiqua" w:hAnsi="Book Antiqua" w:cs="Times New Roman"/>
          <w:sz w:val="24"/>
          <w:szCs w:val="24"/>
        </w:rPr>
        <w:t>d</w:t>
      </w:r>
      <w:r w:rsidRPr="00A169E7">
        <w:rPr>
          <w:rFonts w:ascii="Book Antiqua" w:hAnsi="Book Antiqua" w:cs="Times New Roman"/>
          <w:sz w:val="24"/>
          <w:szCs w:val="24"/>
        </w:rPr>
        <w:t xml:space="preserve"> not developed shunts. It is expected that rifaximin can be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Pr="00A169E7">
        <w:rPr>
          <w:rFonts w:ascii="Book Antiqua" w:hAnsi="Book Antiqua" w:cs="Times New Roman"/>
          <w:sz w:val="24"/>
          <w:szCs w:val="24"/>
        </w:rPr>
        <w:t xml:space="preserve">useful treatment for </w:t>
      </w:r>
      <w:r w:rsidR="00FA363A" w:rsidRPr="00A169E7">
        <w:rPr>
          <w:rFonts w:ascii="Book Antiqua" w:hAnsi="Book Antiqua" w:cs="Times New Roman"/>
          <w:sz w:val="24"/>
          <w:szCs w:val="24"/>
        </w:rPr>
        <w:t>HE</w:t>
      </w:r>
      <w:r w:rsidRPr="00A169E7">
        <w:rPr>
          <w:rFonts w:ascii="Book Antiqua" w:hAnsi="Book Antiqua" w:cs="Times New Roman"/>
          <w:sz w:val="24"/>
          <w:szCs w:val="24"/>
        </w:rPr>
        <w:t>.</w:t>
      </w:r>
      <w:r w:rsidR="00E8176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F07C6" w:rsidRPr="00A169E7">
        <w:rPr>
          <w:rFonts w:ascii="Book Antiqua" w:hAnsi="Book Antiqua" w:cs="Times New Roman"/>
          <w:sz w:val="24"/>
          <w:szCs w:val="24"/>
        </w:rPr>
        <w:t xml:space="preserve">In this study, some patients </w:t>
      </w:r>
      <w:r w:rsidR="003350DD" w:rsidRPr="00A169E7">
        <w:rPr>
          <w:rFonts w:ascii="Book Antiqua" w:hAnsi="Book Antiqua" w:cs="Times New Roman"/>
          <w:sz w:val="24"/>
          <w:szCs w:val="24"/>
        </w:rPr>
        <w:t xml:space="preserve">did not 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show </w:t>
      </w:r>
      <w:r w:rsidR="009C3882" w:rsidRPr="00A169E7">
        <w:rPr>
          <w:rFonts w:ascii="Book Antiqua" w:hAnsi="Book Antiqua" w:cs="Times New Roman"/>
          <w:sz w:val="24"/>
          <w:szCs w:val="24"/>
        </w:rPr>
        <w:t xml:space="preserve">a decrease </w:t>
      </w:r>
      <w:r w:rsidR="00166440" w:rsidRPr="00A169E7">
        <w:rPr>
          <w:rFonts w:ascii="Book Antiqua" w:hAnsi="Book Antiqua" w:cs="Times New Roman"/>
          <w:sz w:val="24"/>
          <w:szCs w:val="24"/>
        </w:rPr>
        <w:t>in</w:t>
      </w:r>
      <w:r w:rsidR="003350DD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F009D" w:rsidRPr="00A169E7">
        <w:rPr>
          <w:rFonts w:ascii="Book Antiqua" w:hAnsi="Book Antiqua" w:cs="Times New Roman"/>
          <w:sz w:val="24"/>
          <w:szCs w:val="24"/>
        </w:rPr>
        <w:t xml:space="preserve">their </w:t>
      </w:r>
      <w:r w:rsidR="00613BE8" w:rsidRPr="00A169E7">
        <w:rPr>
          <w:rFonts w:ascii="Book Antiqua" w:hAnsi="Book Antiqua" w:cs="Times New Roman"/>
          <w:sz w:val="24"/>
          <w:szCs w:val="24"/>
        </w:rPr>
        <w:t>serum ammonia level</w:t>
      </w:r>
      <w:r w:rsidR="00AB7A18" w:rsidRPr="00A169E7">
        <w:rPr>
          <w:rFonts w:ascii="Book Antiqua" w:hAnsi="Book Antiqua" w:cs="Times New Roman"/>
          <w:sz w:val="24"/>
          <w:szCs w:val="24"/>
        </w:rPr>
        <w:t>s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CF009D" w:rsidRPr="00A169E7">
        <w:rPr>
          <w:rFonts w:ascii="Book Antiqua" w:hAnsi="Book Antiqua" w:cs="Times New Roman"/>
          <w:sz w:val="24"/>
          <w:szCs w:val="24"/>
        </w:rPr>
        <w:t xml:space="preserve">to 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below 80 </w:t>
      </w:r>
      <w:proofErr w:type="spellStart"/>
      <w:r w:rsidR="00613BE8" w:rsidRPr="00A169E7">
        <w:rPr>
          <w:rFonts w:ascii="Book Antiqua" w:hAnsi="Book Antiqua" w:cs="Times New Roman"/>
          <w:sz w:val="24"/>
          <w:szCs w:val="24"/>
        </w:rPr>
        <w:t>μg</w:t>
      </w:r>
      <w:proofErr w:type="spellEnd"/>
      <w:r w:rsidR="00613BE8" w:rsidRPr="00A169E7">
        <w:rPr>
          <w:rFonts w:ascii="Book Antiqua" w:hAnsi="Book Antiqua" w:cs="Times New Roman"/>
          <w:sz w:val="24"/>
          <w:szCs w:val="24"/>
        </w:rPr>
        <w:t xml:space="preserve">/dL and multivariate analyses revealed </w:t>
      </w:r>
      <w:r w:rsidR="00FE42FC" w:rsidRPr="00A169E7">
        <w:rPr>
          <w:rFonts w:ascii="Book Antiqua" w:hAnsi="Book Antiqua" w:cs="Times New Roman"/>
          <w:sz w:val="24"/>
          <w:szCs w:val="24"/>
        </w:rPr>
        <w:t xml:space="preserve">that 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FE42FC" w:rsidRPr="00A169E7">
        <w:rPr>
          <w:rFonts w:ascii="Book Antiqua" w:hAnsi="Book Antiqua" w:cs="Times New Roman"/>
          <w:sz w:val="24"/>
          <w:szCs w:val="24"/>
        </w:rPr>
        <w:t>was</w:t>
      </w:r>
      <w:r w:rsidR="00AB7A18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13BE8" w:rsidRPr="00A169E7">
        <w:rPr>
          <w:rFonts w:ascii="Book Antiqua" w:hAnsi="Book Antiqua" w:cs="Times New Roman"/>
          <w:sz w:val="24"/>
          <w:szCs w:val="24"/>
        </w:rPr>
        <w:t>independently associated with</w:t>
      </w:r>
      <w:r w:rsidR="00613BE8" w:rsidRP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24FBB" w:rsidRPr="00A169E7">
        <w:rPr>
          <w:rFonts w:ascii="Book Antiqua" w:hAnsi="Book Antiqua" w:cs="Times New Roman"/>
          <w:sz w:val="24"/>
          <w:szCs w:val="24"/>
        </w:rPr>
        <w:t>a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 maximum shunt diameter of </w:t>
      </w:r>
      <w:r w:rsidR="00D612FB" w:rsidRPr="00D612FB">
        <w:rPr>
          <w:rFonts w:ascii="Book Antiqua" w:hAnsi="Book Antiqua" w:cs="Times New Roman"/>
          <w:sz w:val="24"/>
          <w:szCs w:val="24"/>
        </w:rPr>
        <w:t xml:space="preserve">≥ </w:t>
      </w:r>
      <w:r w:rsidR="00613BE8" w:rsidRPr="00A169E7">
        <w:rPr>
          <w:rFonts w:ascii="Book Antiqua" w:hAnsi="Book Antiqua" w:cs="Times New Roman"/>
          <w:sz w:val="24"/>
          <w:szCs w:val="24"/>
        </w:rPr>
        <w:t xml:space="preserve">8.0 mm. </w:t>
      </w:r>
      <w:bookmarkStart w:id="18" w:name="_Hlk10574232"/>
      <w:r w:rsidR="002B3D1D" w:rsidRPr="00A169E7">
        <w:rPr>
          <w:rFonts w:ascii="Book Antiqua" w:hAnsi="Book Antiqua" w:cs="Times New Roman"/>
          <w:sz w:val="24"/>
          <w:szCs w:val="24"/>
        </w:rPr>
        <w:t>This result suggest</w:t>
      </w:r>
      <w:r w:rsidR="00557642" w:rsidRPr="00A169E7">
        <w:rPr>
          <w:rFonts w:ascii="Book Antiqua" w:hAnsi="Book Antiqua" w:cs="Times New Roman"/>
          <w:sz w:val="24"/>
          <w:szCs w:val="24"/>
        </w:rPr>
        <w:t>s</w:t>
      </w:r>
      <w:r w:rsidR="002B3D1D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1F413F" w:rsidRPr="00A169E7">
        <w:rPr>
          <w:rFonts w:ascii="Book Antiqua" w:hAnsi="Book Antiqua" w:cs="Times New Roman"/>
          <w:sz w:val="24"/>
          <w:szCs w:val="24"/>
        </w:rPr>
        <w:t xml:space="preserve">although </w:t>
      </w:r>
      <w:r w:rsidR="003F0867" w:rsidRPr="00A169E7">
        <w:rPr>
          <w:rFonts w:ascii="Book Antiqua" w:hAnsi="Book Antiqua" w:cs="Times New Roman"/>
          <w:sz w:val="24"/>
          <w:szCs w:val="24"/>
        </w:rPr>
        <w:t>rifaximin improved overt HE</w:t>
      </w:r>
      <w:r w:rsidR="001F413F" w:rsidRPr="00A169E7">
        <w:rPr>
          <w:rFonts w:ascii="Book Antiqua" w:hAnsi="Book Antiqua" w:cs="Times New Roman"/>
          <w:sz w:val="24"/>
          <w:szCs w:val="24"/>
        </w:rPr>
        <w:t>,</w:t>
      </w:r>
      <w:r w:rsidR="003F086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B3D1D" w:rsidRPr="00A169E7">
        <w:rPr>
          <w:rFonts w:ascii="Book Antiqua" w:hAnsi="Book Antiqua" w:cs="Times New Roman"/>
          <w:sz w:val="24"/>
          <w:szCs w:val="24"/>
        </w:rPr>
        <w:t>minimal HE may remain in cases with large shunt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="00D909CF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2337E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D909CF" w:rsidRPr="00A169E7">
        <w:rPr>
          <w:rFonts w:ascii="Book Antiqua" w:hAnsi="Book Antiqua" w:cs="Times New Roman"/>
          <w:sz w:val="24"/>
          <w:szCs w:val="24"/>
        </w:rPr>
        <w:t>that the grade of portosystemic shunts affected the serum level of ammonia</w:t>
      </w:r>
      <w:r w:rsidR="00CD06E5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D909CF" w:rsidRPr="00A169E7">
        <w:rPr>
          <w:rFonts w:ascii="Book Antiqua" w:hAnsi="Book Antiqua" w:cs="Times New Roman"/>
          <w:sz w:val="24"/>
          <w:szCs w:val="24"/>
        </w:rPr>
        <w:t>as stated in the previous report</w:t>
      </w:r>
      <w:bookmarkEnd w:id="18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[21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558CD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77137B" w:rsidRPr="00A169E7">
        <w:rPr>
          <w:rFonts w:ascii="Book Antiqua" w:hAnsi="Book Antiqua" w:cs="Times New Roman"/>
          <w:sz w:val="24"/>
          <w:szCs w:val="24"/>
        </w:rPr>
        <w:t>I</w:t>
      </w:r>
      <w:r w:rsidR="00E81764" w:rsidRPr="00A169E7">
        <w:rPr>
          <w:rFonts w:ascii="Book Antiqua" w:hAnsi="Book Antiqua" w:cs="Times New Roman"/>
          <w:sz w:val="24"/>
          <w:szCs w:val="24"/>
        </w:rPr>
        <w:t>nterventional radiology or surgical treatment should be considered</w:t>
      </w:r>
      <w:r w:rsidR="0077137B" w:rsidRPr="00A169E7">
        <w:rPr>
          <w:rFonts w:ascii="Book Antiqua" w:hAnsi="Book Antiqua" w:cs="Times New Roman"/>
          <w:sz w:val="24"/>
          <w:szCs w:val="24"/>
        </w:rPr>
        <w:t xml:space="preserve"> for those patients who </w:t>
      </w:r>
      <w:r w:rsidR="007D567D" w:rsidRPr="00A169E7">
        <w:rPr>
          <w:rFonts w:ascii="Book Antiqua" w:hAnsi="Book Antiqua" w:cs="Times New Roman"/>
          <w:sz w:val="24"/>
          <w:szCs w:val="24"/>
        </w:rPr>
        <w:t>do not show adequate improvement of HE on rifaximin therapy</w:t>
      </w:r>
      <w:r w:rsidR="00E81764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AF" w14:textId="60B3FA96" w:rsidR="00FF0AAD" w:rsidRPr="00A169E7" w:rsidRDefault="00A161F6" w:rsidP="00A169E7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eastAsia="MS PGothic" w:hAnsi="Book Antiqua" w:cs="Times New Roman"/>
          <w:kern w:val="0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has been </w:t>
      </w:r>
      <w:r w:rsidRPr="00A169E7">
        <w:rPr>
          <w:rFonts w:ascii="Book Antiqua" w:hAnsi="Book Antiqua" w:cs="Times New Roman"/>
          <w:sz w:val="24"/>
          <w:szCs w:val="24"/>
        </w:rPr>
        <w:t>suggested that in liver cirrhosis patients</w:t>
      </w:r>
      <w:r w:rsidR="0012337E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the function of the </w:t>
      </w:r>
      <w:r w:rsidR="00FD3E18" w:rsidRPr="00A169E7">
        <w:rPr>
          <w:rFonts w:ascii="Book Antiqua" w:hAnsi="Book Antiqua" w:cs="Times New Roman"/>
          <w:sz w:val="24"/>
          <w:szCs w:val="24"/>
        </w:rPr>
        <w:t xml:space="preserve">gut </w:t>
      </w:r>
      <w:r w:rsidRPr="00A169E7">
        <w:rPr>
          <w:rFonts w:ascii="Book Antiqua" w:hAnsi="Book Antiqua" w:cs="Times New Roman"/>
          <w:sz w:val="24"/>
          <w:szCs w:val="24"/>
        </w:rPr>
        <w:t xml:space="preserve">microbiome </w:t>
      </w:r>
      <w:r w:rsidR="00FD3E18" w:rsidRPr="00A169E7">
        <w:rPr>
          <w:rFonts w:ascii="Book Antiqua" w:hAnsi="Book Antiqua" w:cs="Times New Roman"/>
          <w:sz w:val="24"/>
          <w:szCs w:val="24"/>
        </w:rPr>
        <w:t>is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altered</w:t>
      </w:r>
      <w:r w:rsidRPr="00A169E7">
        <w:rPr>
          <w:rFonts w:ascii="Book Antiqua" w:hAnsi="Book Antiqua" w:cs="Times New Roman"/>
          <w:sz w:val="24"/>
          <w:szCs w:val="24"/>
        </w:rPr>
        <w:t>, and advanced liver disease ha</w:t>
      </w:r>
      <w:r w:rsidR="00FD3E18" w:rsidRPr="00A169E7">
        <w:rPr>
          <w:rFonts w:ascii="Book Antiqua" w:hAnsi="Book Antiqua" w:cs="Times New Roman"/>
          <w:sz w:val="24"/>
          <w:szCs w:val="24"/>
        </w:rPr>
        <w:t>s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FD3E18" w:rsidRPr="00A169E7">
        <w:rPr>
          <w:rFonts w:ascii="Book Antiqua" w:hAnsi="Book Antiqua" w:cs="Times New Roman"/>
          <w:sz w:val="24"/>
          <w:szCs w:val="24"/>
        </w:rPr>
        <w:t>a</w:t>
      </w:r>
      <w:r w:rsidRPr="00A169E7">
        <w:rPr>
          <w:rFonts w:ascii="Book Antiqua" w:hAnsi="Book Antiqua" w:cs="Times New Roman"/>
          <w:sz w:val="24"/>
          <w:szCs w:val="24"/>
        </w:rPr>
        <w:t xml:space="preserve"> significantly decreased the cirrhosis dysbiosis ratio</w:t>
      </w:r>
      <w:r w:rsidR="00B32CAA" w:rsidRPr="00A169E7">
        <w:rPr>
          <w:rFonts w:ascii="Book Antiqua" w:hAnsi="Book Antiqua" w:cs="Times New Roman"/>
          <w:sz w:val="24"/>
          <w:szCs w:val="24"/>
        </w:rPr>
        <w:t xml:space="preserve"> (CDR</w:t>
      </w:r>
      <w:r w:rsidRPr="00A169E7">
        <w:rPr>
          <w:rFonts w:ascii="Book Antiqua" w:hAnsi="Book Antiqua" w:cs="Times New Roman"/>
          <w:sz w:val="24"/>
          <w:szCs w:val="24"/>
        </w:rPr>
        <w:t>)</w:t>
      </w:r>
      <w:r w:rsidR="00FD3E18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>altered gut microbiota was observed</w:t>
      </w:r>
      <w:r w:rsidRPr="00A169E7">
        <w:rPr>
          <w:rFonts w:ascii="Book Antiqua" w:hAnsi="Book Antiqua" w:cs="Times New Roman"/>
          <w:sz w:val="24"/>
          <w:szCs w:val="24"/>
        </w:rPr>
        <w:t xml:space="preserve"> in patients </w:t>
      </w:r>
      <w:r w:rsidR="00642F7F" w:rsidRPr="00A169E7">
        <w:rPr>
          <w:rFonts w:ascii="Book Antiqua" w:hAnsi="Book Antiqua" w:cs="Times New Roman"/>
          <w:sz w:val="24"/>
          <w:szCs w:val="24"/>
        </w:rPr>
        <w:t>with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>severe</w:t>
      </w:r>
      <w:r w:rsidRPr="00A169E7">
        <w:rPr>
          <w:rFonts w:ascii="Book Antiqua" w:hAnsi="Book Antiqua" w:cs="Times New Roman"/>
          <w:sz w:val="24"/>
          <w:szCs w:val="24"/>
        </w:rPr>
        <w:t xml:space="preserve"> liver cirrhosis. It was reported that the mortality was highest in these </w:t>
      </w:r>
      <w:proofErr w:type="gramStart"/>
      <w:r w:rsidRPr="00A169E7">
        <w:rPr>
          <w:rFonts w:ascii="Book Antiqua" w:hAnsi="Book Antiqua" w:cs="Times New Roman"/>
          <w:sz w:val="24"/>
          <w:szCs w:val="24"/>
        </w:rPr>
        <w:t>patients</w:t>
      </w:r>
      <w:bookmarkStart w:id="19" w:name="_Hlk10741710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4B7784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5706AC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7C3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End w:id="19"/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5F750E48" w14:textId="26D77FE2" w:rsidR="00001307" w:rsidRPr="00A169E7" w:rsidRDefault="00642F7F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There were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no SBP cases </w:t>
      </w:r>
      <w:r w:rsidRPr="00A169E7">
        <w:rPr>
          <w:rFonts w:ascii="Book Antiqua" w:hAnsi="Book Antiqua" w:cs="Times New Roman"/>
          <w:sz w:val="24"/>
          <w:szCs w:val="24"/>
        </w:rPr>
        <w:t xml:space="preserve">reported </w:t>
      </w:r>
      <w:r w:rsidR="001E5470" w:rsidRPr="00A169E7">
        <w:rPr>
          <w:rFonts w:ascii="Book Antiqua" w:hAnsi="Book Antiqua" w:cs="Times New Roman"/>
          <w:sz w:val="24"/>
          <w:szCs w:val="24"/>
        </w:rPr>
        <w:t>in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12337E" w:rsidRPr="00A169E7">
        <w:rPr>
          <w:rFonts w:ascii="Book Antiqua" w:hAnsi="Book Antiqua" w:cs="Times New Roman"/>
          <w:sz w:val="24"/>
          <w:szCs w:val="24"/>
        </w:rPr>
        <w:t xml:space="preserve">both </w:t>
      </w:r>
      <w:r w:rsidR="001E5470" w:rsidRPr="00A169E7">
        <w:rPr>
          <w:rFonts w:ascii="Book Antiqua" w:hAnsi="Book Antiqua" w:cs="Times New Roman"/>
          <w:sz w:val="24"/>
          <w:szCs w:val="24"/>
        </w:rPr>
        <w:t>r</w:t>
      </w:r>
      <w:r w:rsidR="0091153B" w:rsidRPr="00A169E7">
        <w:rPr>
          <w:rFonts w:ascii="Book Antiqua" w:hAnsi="Book Antiqua" w:cs="Times New Roman"/>
          <w:sz w:val="24"/>
          <w:szCs w:val="24"/>
        </w:rPr>
        <w:t>i</w:t>
      </w:r>
      <w:r w:rsidR="001E5470" w:rsidRPr="00A169E7">
        <w:rPr>
          <w:rFonts w:ascii="Book Antiqua" w:hAnsi="Book Antiqua" w:cs="Times New Roman"/>
          <w:sz w:val="24"/>
          <w:szCs w:val="24"/>
        </w:rPr>
        <w:t>f</w:t>
      </w:r>
      <w:r w:rsidR="0091153B" w:rsidRPr="00A169E7">
        <w:rPr>
          <w:rFonts w:ascii="Book Antiqua" w:hAnsi="Book Antiqua" w:cs="Times New Roman"/>
          <w:sz w:val="24"/>
          <w:szCs w:val="24"/>
        </w:rPr>
        <w:t>a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ximin </w:t>
      </w:r>
      <w:r w:rsidR="0012337E" w:rsidRPr="00A169E7">
        <w:rPr>
          <w:rFonts w:ascii="Book Antiqua" w:hAnsi="Book Antiqua" w:cs="Times New Roman"/>
          <w:sz w:val="24"/>
          <w:szCs w:val="24"/>
        </w:rPr>
        <w:t>and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control group</w:t>
      </w:r>
      <w:r w:rsidR="0012337E" w:rsidRPr="00A169E7">
        <w:rPr>
          <w:rFonts w:ascii="Book Antiqua" w:hAnsi="Book Antiqua" w:cs="Times New Roman"/>
          <w:sz w:val="24"/>
          <w:szCs w:val="24"/>
        </w:rPr>
        <w:t>s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sz w:val="24"/>
          <w:szCs w:val="24"/>
        </w:rPr>
        <w:t>in this study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, but one </w:t>
      </w:r>
      <w:r w:rsidR="006E45B2" w:rsidRPr="00A169E7">
        <w:rPr>
          <w:rFonts w:ascii="Book Antiqua" w:hAnsi="Book Antiqua" w:cs="Times New Roman"/>
          <w:sz w:val="24"/>
          <w:szCs w:val="24"/>
        </w:rPr>
        <w:t>patient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died of thoracic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001307" w:rsidRPr="00A169E7">
        <w:rPr>
          <w:rFonts w:ascii="Book Antiqua" w:hAnsi="Book Antiqua" w:cs="Times New Roman"/>
          <w:sz w:val="24"/>
          <w:szCs w:val="24"/>
        </w:rPr>
        <w:t>empyema</w:t>
      </w:r>
      <w:r w:rsidR="006E45B2" w:rsidRPr="00A169E7">
        <w:rPr>
          <w:rFonts w:ascii="Book Antiqua" w:hAnsi="Book Antiqua" w:cs="Times New Roman"/>
          <w:sz w:val="24"/>
          <w:szCs w:val="24"/>
        </w:rPr>
        <w:t xml:space="preserve"> caused</w:t>
      </w:r>
      <w:r w:rsidR="00001307" w:rsidRPr="00A169E7">
        <w:rPr>
          <w:rFonts w:ascii="Book Antiqua" w:hAnsi="Book Antiqua" w:cs="Times New Roman"/>
          <w:sz w:val="24"/>
          <w:szCs w:val="24"/>
        </w:rPr>
        <w:t xml:space="preserve"> by intestinal bacteria.</w:t>
      </w:r>
    </w:p>
    <w:p w14:paraId="0FE8D5B0" w14:textId="706CB3BF" w:rsidR="00C00E98" w:rsidRPr="00A169E7" w:rsidRDefault="0000130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T</w:t>
      </w:r>
      <w:r w:rsidR="00642F7F" w:rsidRPr="00A169E7">
        <w:rPr>
          <w:rFonts w:ascii="Book Antiqua" w:hAnsi="Book Antiqua" w:cs="Times New Roman"/>
          <w:sz w:val="24"/>
          <w:szCs w:val="24"/>
        </w:rPr>
        <w:t>his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suggest</w:t>
      </w:r>
      <w:r w:rsidR="00642F7F" w:rsidRPr="00A169E7">
        <w:rPr>
          <w:rFonts w:ascii="Book Antiqua" w:hAnsi="Book Antiqua" w:cs="Times New Roman"/>
          <w:sz w:val="24"/>
          <w:szCs w:val="24"/>
        </w:rPr>
        <w:t>s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 that rifaximin suppressed </w:t>
      </w:r>
      <w:r w:rsidR="001E5470" w:rsidRPr="00A169E7">
        <w:rPr>
          <w:rFonts w:ascii="Book Antiqua" w:hAnsi="Book Antiqua" w:cs="Times New Roman"/>
          <w:i/>
          <w:sz w:val="24"/>
          <w:szCs w:val="24"/>
        </w:rPr>
        <w:t>E.</w:t>
      </w:r>
      <w:r w:rsidR="00642F7F" w:rsidRPr="00A169E7">
        <w:rPr>
          <w:rFonts w:ascii="Book Antiqua" w:hAnsi="Book Antiqua" w:cs="Times New Roman"/>
          <w:i/>
          <w:sz w:val="24"/>
          <w:szCs w:val="24"/>
        </w:rPr>
        <w:t xml:space="preserve"> c</w:t>
      </w:r>
      <w:r w:rsidR="001E5470" w:rsidRPr="00A169E7">
        <w:rPr>
          <w:rFonts w:ascii="Book Antiqua" w:hAnsi="Book Antiqua" w:cs="Times New Roman"/>
          <w:i/>
          <w:sz w:val="24"/>
          <w:szCs w:val="24"/>
        </w:rPr>
        <w:t>oli</w:t>
      </w:r>
      <w:r w:rsidR="00642F7F" w:rsidRPr="00A169E7">
        <w:rPr>
          <w:rFonts w:ascii="Book Antiqua" w:hAnsi="Book Antiqua" w:cs="Times New Roman"/>
          <w:sz w:val="24"/>
          <w:szCs w:val="24"/>
        </w:rPr>
        <w:t>-</w:t>
      </w:r>
      <w:r w:rsidR="001E5470" w:rsidRPr="00A169E7">
        <w:rPr>
          <w:rFonts w:ascii="Book Antiqua" w:hAnsi="Book Antiqua" w:cs="Times New Roman"/>
          <w:sz w:val="24"/>
          <w:szCs w:val="24"/>
        </w:rPr>
        <w:t xml:space="preserve">related infections as previously </w:t>
      </w:r>
      <w:proofErr w:type="gramStart"/>
      <w:r w:rsidR="001E5470" w:rsidRPr="00A169E7">
        <w:rPr>
          <w:rFonts w:ascii="Book Antiqua" w:hAnsi="Book Antiqua" w:cs="Times New Roman"/>
          <w:sz w:val="24"/>
          <w:szCs w:val="24"/>
        </w:rPr>
        <w:t>reported</w:t>
      </w:r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C2012" w:rsidRPr="00A169E7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777C32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2307" w:rsidRPr="00A169E7">
        <w:rPr>
          <w:rFonts w:ascii="Book Antiqua" w:hAnsi="Book Antiqua" w:cs="Times New Roman"/>
          <w:sz w:val="24"/>
          <w:szCs w:val="24"/>
        </w:rPr>
        <w:t>.</w:t>
      </w:r>
    </w:p>
    <w:p w14:paraId="0FE8D5B1" w14:textId="49B57930" w:rsidR="001E5470" w:rsidRPr="00A169E7" w:rsidRDefault="00844BAB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lastRenderedPageBreak/>
        <w:t>A</w:t>
      </w:r>
      <w:r w:rsidR="00642F7F" w:rsidRPr="00A169E7">
        <w:rPr>
          <w:rFonts w:ascii="Book Antiqua" w:hAnsi="Book Antiqua" w:cs="Times New Roman"/>
          <w:sz w:val="24"/>
          <w:szCs w:val="24"/>
        </w:rPr>
        <w:t>lso</w:t>
      </w:r>
      <w:r w:rsidR="00777C32" w:rsidRPr="00A169E7">
        <w:rPr>
          <w:rFonts w:ascii="Book Antiqua" w:hAnsi="Book Antiqua" w:cs="Times New Roman"/>
          <w:sz w:val="24"/>
          <w:szCs w:val="24"/>
        </w:rPr>
        <w:t>,</w:t>
      </w:r>
      <w:r w:rsidRPr="00A169E7">
        <w:rPr>
          <w:rFonts w:ascii="Book Antiqua" w:hAnsi="Book Antiqua" w:cs="Times New Roman"/>
          <w:sz w:val="24"/>
          <w:szCs w:val="24"/>
        </w:rPr>
        <w:t xml:space="preserve"> no significant difference was recognized between the rifaximin group and the control group in the survival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 rates</w:t>
      </w:r>
      <w:r w:rsidRPr="00A169E7">
        <w:rPr>
          <w:rFonts w:ascii="Book Antiqua" w:hAnsi="Book Antiqua" w:cs="Times New Roman"/>
          <w:sz w:val="24"/>
          <w:szCs w:val="24"/>
        </w:rPr>
        <w:t xml:space="preserve">. Among the rifaximin group, the survival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rate </w:t>
      </w:r>
      <w:r w:rsidRPr="00A169E7">
        <w:rPr>
          <w:rFonts w:ascii="Book Antiqua" w:hAnsi="Book Antiqua" w:cs="Times New Roman"/>
          <w:sz w:val="24"/>
          <w:szCs w:val="24"/>
        </w:rPr>
        <w:t xml:space="preserve">was significantly different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based on the </w:t>
      </w:r>
      <w:r w:rsidRPr="00A169E7">
        <w:rPr>
          <w:rFonts w:ascii="Book Antiqua" w:hAnsi="Book Antiqua" w:cs="Times New Roman"/>
          <w:sz w:val="24"/>
          <w:szCs w:val="24"/>
        </w:rPr>
        <w:t xml:space="preserve">Child-Pugh classification, and especially cases of Child-Pugh C group had </w:t>
      </w:r>
      <w:r w:rsidR="0091641E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short</w:t>
      </w:r>
      <w:r w:rsidR="0091641E" w:rsidRPr="00A169E7">
        <w:rPr>
          <w:rFonts w:ascii="Book Antiqua" w:hAnsi="Book Antiqua" w:cs="Times New Roman"/>
          <w:sz w:val="24"/>
          <w:szCs w:val="24"/>
        </w:rPr>
        <w:t>est</w:t>
      </w:r>
      <w:r w:rsidRPr="00A169E7">
        <w:rPr>
          <w:rFonts w:ascii="Book Antiqua" w:hAnsi="Book Antiqua" w:cs="Times New Roman"/>
          <w:sz w:val="24"/>
          <w:szCs w:val="24"/>
        </w:rPr>
        <w:t xml:space="preserve"> survival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. </w:t>
      </w:r>
      <w:r w:rsidR="00642F7F" w:rsidRPr="00A169E7">
        <w:rPr>
          <w:rFonts w:ascii="Book Antiqua" w:hAnsi="Book Antiqua" w:cs="Times New Roman"/>
          <w:sz w:val="24"/>
          <w:szCs w:val="24"/>
        </w:rPr>
        <w:t>We can therefore infer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 that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rifaximin </w:t>
      </w:r>
      <w:r w:rsidR="00B135E0" w:rsidRPr="00A169E7">
        <w:rPr>
          <w:rFonts w:ascii="Book Antiqua" w:hAnsi="Book Antiqua" w:cs="Times New Roman"/>
          <w:sz w:val="24"/>
          <w:szCs w:val="24"/>
        </w:rPr>
        <w:t>cannot treat liver cirrhosis itself, and that is the limit</w:t>
      </w:r>
      <w:r w:rsidR="003A659E" w:rsidRPr="00A169E7">
        <w:rPr>
          <w:rFonts w:ascii="Book Antiqua" w:hAnsi="Book Antiqua" w:cs="Times New Roman"/>
          <w:sz w:val="24"/>
          <w:szCs w:val="24"/>
        </w:rPr>
        <w:t>ation</w:t>
      </w:r>
      <w:r w:rsidR="00B135E0" w:rsidRPr="00A169E7">
        <w:rPr>
          <w:rFonts w:ascii="Book Antiqua" w:hAnsi="Book Antiqua" w:cs="Times New Roman"/>
          <w:sz w:val="24"/>
          <w:szCs w:val="24"/>
        </w:rPr>
        <w:t xml:space="preserve"> of </w:t>
      </w:r>
      <w:r w:rsidR="003A659E" w:rsidRPr="00A169E7">
        <w:rPr>
          <w:rFonts w:ascii="Book Antiqua" w:hAnsi="Book Antiqua" w:cs="Times New Roman"/>
          <w:sz w:val="24"/>
          <w:szCs w:val="24"/>
        </w:rPr>
        <w:t xml:space="preserve">this </w:t>
      </w:r>
      <w:r w:rsidR="00B135E0" w:rsidRPr="00A169E7">
        <w:rPr>
          <w:rFonts w:ascii="Book Antiqua" w:hAnsi="Book Antiqua" w:cs="Times New Roman"/>
          <w:sz w:val="24"/>
          <w:szCs w:val="24"/>
        </w:rPr>
        <w:t>treatment.</w:t>
      </w:r>
      <w:bookmarkStart w:id="20" w:name="_Hlk10574439"/>
      <w:r w:rsidR="008138C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Previous report indicated that </w:t>
      </w:r>
      <w:proofErr w:type="spellStart"/>
      <w:r w:rsidR="0024748C" w:rsidRPr="00A169E7">
        <w:rPr>
          <w:rFonts w:ascii="Book Antiqua" w:hAnsi="Book Antiqua" w:cs="Times New Roman"/>
          <w:sz w:val="24"/>
          <w:szCs w:val="24"/>
        </w:rPr>
        <w:t>spleno</w:t>
      </w:r>
      <w:proofErr w:type="spellEnd"/>
      <w:r w:rsidR="0024748C" w:rsidRPr="00A169E7">
        <w:rPr>
          <w:rFonts w:ascii="Book Antiqua" w:hAnsi="Book Antiqua" w:cs="Times New Roman"/>
          <w:sz w:val="24"/>
          <w:szCs w:val="24"/>
        </w:rPr>
        <w:t xml:space="preserve">-renal shunts are burdened by an increased incidence of </w:t>
      </w:r>
      <w:proofErr w:type="gramStart"/>
      <w:r w:rsidR="0024748C" w:rsidRPr="00A169E7">
        <w:rPr>
          <w:rFonts w:ascii="Book Antiqua" w:hAnsi="Book Antiqua" w:cs="Times New Roman"/>
          <w:sz w:val="24"/>
          <w:szCs w:val="24"/>
        </w:rPr>
        <w:t>HCC</w:t>
      </w:r>
      <w:bookmarkEnd w:id="20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PEVuZE5vdGU+PENpdGU+PEF1dGhvcj5CYWphajwvQXV0aG9yPjxZZWFyPjIwMTQ8L1llYXI+PFJl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ZXM+OTQwLTc8L3BhZ2VzPjx2b2x1bWU+NjA8L3ZvbHVtZT48bnVtYmVyPjU8L251bWJlcj48ZWRp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</w:fldData>
        </w:fldCha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58CD" w:rsidRPr="00A169E7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Start w:id="21" w:name="_Hlk10574458"/>
      <w:r w:rsidR="0057319C" w:rsidRPr="00A169E7">
        <w:rPr>
          <w:rFonts w:ascii="Book Antiqua" w:hAnsi="Book Antiqua" w:cs="Times New Roman"/>
          <w:sz w:val="24"/>
          <w:szCs w:val="24"/>
        </w:rPr>
        <w:t>.</w:t>
      </w:r>
      <w:r w:rsidR="009D6325">
        <w:rPr>
          <w:rFonts w:ascii="Book Antiqua" w:hAnsi="Book Antiqua" w:cs="Times New Roman"/>
          <w:sz w:val="24"/>
          <w:szCs w:val="24"/>
        </w:rPr>
        <w:t xml:space="preserve"> </w:t>
      </w:r>
      <w:r w:rsidR="0057319C" w:rsidRPr="00A169E7">
        <w:rPr>
          <w:rFonts w:ascii="Book Antiqua" w:hAnsi="Book Antiqua" w:cs="Times New Roman"/>
          <w:sz w:val="24"/>
          <w:szCs w:val="24"/>
        </w:rPr>
        <w:t>W</w:t>
      </w:r>
      <w:r w:rsidR="0024748C" w:rsidRPr="00A169E7">
        <w:rPr>
          <w:rFonts w:ascii="Book Antiqua" w:hAnsi="Book Antiqua" w:cs="Times New Roman"/>
          <w:sz w:val="24"/>
          <w:szCs w:val="24"/>
        </w:rPr>
        <w:t>e also need to be aware of the existence of HCC.</w:t>
      </w:r>
    </w:p>
    <w:bookmarkEnd w:id="21"/>
    <w:p w14:paraId="0FE8D5B2" w14:textId="1E620E8F" w:rsidR="00B135E0" w:rsidRPr="00A169E7" w:rsidRDefault="00B135E0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>One of the limitations of this study was that we did not examin</w:t>
      </w:r>
      <w:r w:rsidR="0091153B" w:rsidRPr="00A169E7">
        <w:rPr>
          <w:rFonts w:ascii="Book Antiqua" w:hAnsi="Book Antiqua" w:cs="Times New Roman"/>
          <w:sz w:val="24"/>
          <w:szCs w:val="24"/>
        </w:rPr>
        <w:t>e</w:t>
      </w:r>
      <w:r w:rsidRPr="00A169E7">
        <w:rPr>
          <w:rFonts w:ascii="Book Antiqua" w:hAnsi="Book Antiqua" w:cs="Times New Roman"/>
          <w:sz w:val="24"/>
          <w:szCs w:val="24"/>
        </w:rPr>
        <w:t xml:space="preserve"> each test to diagnose minimal HE, and the improvement of minimal HE cannot be proved.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Also, there was no set standard for initiating </w:t>
      </w:r>
      <w:r w:rsidRPr="00A169E7">
        <w:rPr>
          <w:rFonts w:ascii="Book Antiqua" w:hAnsi="Book Antiqua" w:cs="Times New Roman"/>
          <w:sz w:val="24"/>
          <w:szCs w:val="24"/>
        </w:rPr>
        <w:t>rifaximin treatment</w:t>
      </w:r>
      <w:r w:rsidR="00642F7F" w:rsidRPr="00A169E7">
        <w:rPr>
          <w:rFonts w:ascii="Book Antiqua" w:hAnsi="Book Antiqua" w:cs="Times New Roman"/>
          <w:sz w:val="24"/>
          <w:szCs w:val="24"/>
        </w:rPr>
        <w:t>;</w:t>
      </w:r>
      <w:r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it </w:t>
      </w:r>
      <w:r w:rsidRPr="00A169E7">
        <w:rPr>
          <w:rFonts w:ascii="Book Antiqua" w:hAnsi="Book Antiqua" w:cs="Times New Roman"/>
          <w:sz w:val="24"/>
          <w:szCs w:val="24"/>
        </w:rPr>
        <w:t xml:space="preserve">was started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based on </w:t>
      </w:r>
      <w:r w:rsidRPr="00A169E7">
        <w:rPr>
          <w:rFonts w:ascii="Book Antiqua" w:hAnsi="Book Antiqua" w:cs="Times New Roman"/>
          <w:sz w:val="24"/>
          <w:szCs w:val="24"/>
        </w:rPr>
        <w:t xml:space="preserve">the judgement of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the </w:t>
      </w:r>
      <w:r w:rsidRPr="00A169E7">
        <w:rPr>
          <w:rFonts w:ascii="Book Antiqua" w:hAnsi="Book Antiqua" w:cs="Times New Roman"/>
          <w:sz w:val="24"/>
          <w:szCs w:val="24"/>
        </w:rPr>
        <w:t>attending physicians.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 </w:t>
      </w:r>
      <w:bookmarkStart w:id="22" w:name="_Hlk10970283"/>
      <w:bookmarkStart w:id="23" w:name="_Hlk10574584"/>
      <w:r w:rsidR="00642F7F" w:rsidRPr="00A169E7">
        <w:rPr>
          <w:rFonts w:ascii="Book Antiqua" w:hAnsi="Book Antiqua" w:cs="Times New Roman"/>
          <w:sz w:val="24"/>
          <w:szCs w:val="24"/>
        </w:rPr>
        <w:t>T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his was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retrospective study of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few cases in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single institution, </w:t>
      </w:r>
      <w:r w:rsidR="00642F7F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it is necessary to </w:t>
      </w:r>
      <w:r w:rsidR="003F17C3" w:rsidRPr="00A169E7">
        <w:rPr>
          <w:rFonts w:ascii="Book Antiqua" w:hAnsi="Book Antiqua" w:cs="Times New Roman"/>
          <w:sz w:val="24"/>
          <w:szCs w:val="24"/>
        </w:rPr>
        <w:t>evaluate a larger number of</w:t>
      </w:r>
      <w:r w:rsidR="00C00E98" w:rsidRPr="00A169E7">
        <w:rPr>
          <w:rFonts w:ascii="Book Antiqua" w:hAnsi="Book Antiqua" w:cs="Times New Roman"/>
          <w:sz w:val="24"/>
          <w:szCs w:val="24"/>
        </w:rPr>
        <w:t xml:space="preserve"> cases </w:t>
      </w:r>
      <w:r w:rsidR="003F17C3" w:rsidRPr="00A169E7">
        <w:rPr>
          <w:rFonts w:ascii="Book Antiqua" w:hAnsi="Book Antiqua" w:cs="Times New Roman"/>
          <w:sz w:val="24"/>
          <w:szCs w:val="24"/>
        </w:rPr>
        <w:t xml:space="preserve">in a </w:t>
      </w:r>
      <w:r w:rsidR="00C00E98" w:rsidRPr="00A169E7">
        <w:rPr>
          <w:rFonts w:ascii="Book Antiqua" w:hAnsi="Book Antiqua" w:cs="Times New Roman"/>
          <w:sz w:val="24"/>
          <w:szCs w:val="24"/>
        </w:rPr>
        <w:t>multiple-center study</w:t>
      </w:r>
      <w:r w:rsidR="008138C4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4748C" w:rsidRPr="00A169E7">
        <w:rPr>
          <w:rFonts w:ascii="Book Antiqua" w:hAnsi="Book Antiqua" w:cs="Times New Roman"/>
          <w:sz w:val="24"/>
          <w:szCs w:val="24"/>
        </w:rPr>
        <w:t>to assess survival</w:t>
      </w:r>
      <w:r w:rsidR="00256968" w:rsidRPr="00A169E7">
        <w:rPr>
          <w:rFonts w:ascii="Book Antiqua" w:hAnsi="Book Antiqua" w:cs="Times New Roman"/>
          <w:sz w:val="24"/>
          <w:szCs w:val="24"/>
        </w:rPr>
        <w:t>.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 </w:t>
      </w:r>
      <w:r w:rsidR="00256968" w:rsidRPr="00A169E7">
        <w:rPr>
          <w:rFonts w:ascii="Book Antiqua" w:hAnsi="Book Antiqua" w:cs="Times New Roman"/>
          <w:sz w:val="24"/>
          <w:szCs w:val="24"/>
        </w:rPr>
        <w:t>I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t is also necessary to consider HCC, infections, malnutrition, </w:t>
      </w:r>
      <w:r w:rsidR="00256968" w:rsidRPr="00A169E7">
        <w:rPr>
          <w:rFonts w:ascii="Book Antiqua" w:hAnsi="Book Antiqua" w:cs="Times New Roman"/>
          <w:sz w:val="24"/>
          <w:szCs w:val="24"/>
        </w:rPr>
        <w:t xml:space="preserve">and </w:t>
      </w:r>
      <w:r w:rsidR="0024748C" w:rsidRPr="00A169E7">
        <w:rPr>
          <w:rFonts w:ascii="Book Antiqua" w:hAnsi="Book Antiqua" w:cs="Times New Roman"/>
          <w:sz w:val="24"/>
          <w:szCs w:val="24"/>
        </w:rPr>
        <w:t xml:space="preserve">cardiovascular disease, </w:t>
      </w:r>
      <w:r w:rsidR="0024748C" w:rsidRPr="00A169E7">
        <w:rPr>
          <w:rFonts w:ascii="Book Antiqua" w:hAnsi="Book Antiqua" w:cs="Times New Roman"/>
          <w:i/>
          <w:iCs/>
          <w:sz w:val="24"/>
          <w:szCs w:val="24"/>
        </w:rPr>
        <w:t>etc</w:t>
      </w:r>
      <w:r w:rsidR="0024748C" w:rsidRPr="00A169E7">
        <w:rPr>
          <w:rFonts w:ascii="Book Antiqua" w:hAnsi="Book Antiqua" w:cs="Times New Roman"/>
          <w:sz w:val="24"/>
          <w:szCs w:val="24"/>
        </w:rPr>
        <w:t>. as causes of death in patients with liver cirrhosis</w:t>
      </w:r>
      <w:r w:rsidR="00C00E98" w:rsidRPr="00A169E7">
        <w:rPr>
          <w:rFonts w:ascii="Book Antiqua" w:hAnsi="Book Antiqua" w:cs="Times New Roman"/>
          <w:sz w:val="24"/>
          <w:szCs w:val="24"/>
        </w:rPr>
        <w:t>.</w:t>
      </w:r>
      <w:bookmarkEnd w:id="22"/>
    </w:p>
    <w:bookmarkEnd w:id="23"/>
    <w:p w14:paraId="0FE8D5B3" w14:textId="5FDE041B" w:rsidR="005706AC" w:rsidRPr="00A169E7" w:rsidRDefault="00C00E98" w:rsidP="00A169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sz w:val="24"/>
          <w:szCs w:val="24"/>
        </w:rPr>
        <w:t xml:space="preserve">In conclusion, </w:t>
      </w:r>
      <w:bookmarkStart w:id="24" w:name="_Hlk10718306"/>
      <w:r w:rsidRPr="00A169E7">
        <w:rPr>
          <w:rFonts w:ascii="Book Antiqua" w:hAnsi="Book Antiqua" w:cs="Times New Roman"/>
          <w:sz w:val="24"/>
          <w:szCs w:val="24"/>
        </w:rPr>
        <w:t xml:space="preserve">the long-term use of rifaximin </w:t>
      </w:r>
      <w:r w:rsidR="003F17C3" w:rsidRPr="00A169E7">
        <w:rPr>
          <w:rFonts w:ascii="Book Antiqua" w:hAnsi="Book Antiqua" w:cs="Times New Roman"/>
          <w:sz w:val="24"/>
          <w:szCs w:val="24"/>
        </w:rPr>
        <w:t xml:space="preserve">was found to be safe and effective in the </w:t>
      </w:r>
      <w:r w:rsidRPr="00A169E7">
        <w:rPr>
          <w:rFonts w:ascii="Book Antiqua" w:hAnsi="Book Antiqua" w:cs="Times New Roman"/>
          <w:sz w:val="24"/>
          <w:szCs w:val="24"/>
        </w:rPr>
        <w:t xml:space="preserve">Japanese </w:t>
      </w:r>
      <w:r w:rsidR="003F17C3" w:rsidRPr="00A169E7">
        <w:rPr>
          <w:rFonts w:ascii="Book Antiqua" w:hAnsi="Book Antiqua" w:cs="Times New Roman"/>
          <w:sz w:val="24"/>
          <w:szCs w:val="24"/>
        </w:rPr>
        <w:t>population</w:t>
      </w:r>
      <w:r w:rsidRPr="00A169E7">
        <w:rPr>
          <w:rFonts w:ascii="Book Antiqua" w:hAnsi="Book Antiqua" w:cs="Times New Roman"/>
          <w:sz w:val="24"/>
          <w:szCs w:val="24"/>
        </w:rPr>
        <w:t>.</w:t>
      </w:r>
    </w:p>
    <w:bookmarkEnd w:id="24"/>
    <w:p w14:paraId="0FE8D5B4" w14:textId="12AEA928" w:rsidR="005706AC" w:rsidRPr="00A169E7" w:rsidRDefault="005706AC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6409C3" w14:textId="62597535" w:rsidR="0048348F" w:rsidRPr="00A169E7" w:rsidRDefault="0048348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ARTICLE H</w:t>
      </w:r>
      <w:r w:rsidR="00222649" w:rsidRPr="00A169E7">
        <w:rPr>
          <w:rFonts w:ascii="Book Antiqua" w:hAnsi="Book Antiqua" w:cs="Times New Roman"/>
          <w:b/>
          <w:sz w:val="24"/>
          <w:szCs w:val="24"/>
        </w:rPr>
        <w:t>IGHLIGHTS</w:t>
      </w:r>
    </w:p>
    <w:p w14:paraId="55F495B9" w14:textId="4CD343DF" w:rsidR="0048348F" w:rsidRPr="00A169E7" w:rsidRDefault="00222649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background</w:t>
      </w:r>
    </w:p>
    <w:p w14:paraId="48F46B68" w14:textId="3BE29A11" w:rsidR="009A1B57" w:rsidRPr="00A169E7" w:rsidRDefault="009A1B5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Hepatic encephalopathy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 xml:space="preserve"> (HE)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is a complication of liver cirrhosis. Rifaximin, an antibiotic, has been reported to decrease the occurrence of overt 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>HE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and improve cognitive function in studies from Europe and the United States of America. There is not enough evidence of the relationship between the long-term use of rifaximin and its clinical effects in the Japanese.</w:t>
      </w:r>
    </w:p>
    <w:p w14:paraId="446784CF" w14:textId="77777777" w:rsidR="009A1B57" w:rsidRPr="00A169E7" w:rsidRDefault="009A1B57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BF0EA5B" w14:textId="1ADB49EB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objectives</w:t>
      </w:r>
    </w:p>
    <w:p w14:paraId="69AF6E7F" w14:textId="145F7601" w:rsidR="00047E73" w:rsidRPr="00A169E7" w:rsidRDefault="004B3FCA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 xml:space="preserve">To determine the clinical effects of long-term rifaximin therapy in decompensated liver cirrhosis patients, with overt </w:t>
      </w:r>
      <w:r w:rsidR="00FF5675" w:rsidRPr="00A169E7">
        <w:rPr>
          <w:rFonts w:ascii="Book Antiqua" w:hAnsi="Book Antiqua" w:cs="Times New Roman"/>
          <w:bCs/>
          <w:sz w:val="24"/>
          <w:szCs w:val="24"/>
        </w:rPr>
        <w:t xml:space="preserve">HE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or hyperammonemia. </w:t>
      </w:r>
      <w:r w:rsidR="00047E73" w:rsidRPr="00A169E7">
        <w:rPr>
          <w:rFonts w:ascii="Book Antiqua" w:hAnsi="Book Antiqua" w:cs="Times New Roman"/>
          <w:bCs/>
          <w:sz w:val="24"/>
          <w:szCs w:val="24"/>
        </w:rPr>
        <w:t xml:space="preserve">We </w:t>
      </w:r>
      <w:r w:rsidR="00047E73" w:rsidRPr="00A169E7">
        <w:rPr>
          <w:rFonts w:ascii="Book Antiqua" w:hAnsi="Book Antiqua" w:cs="Times New Roman"/>
          <w:bCs/>
          <w:sz w:val="24"/>
          <w:szCs w:val="24"/>
        </w:rPr>
        <w:lastRenderedPageBreak/>
        <w:t xml:space="preserve">evaluated </w:t>
      </w:r>
      <w:r w:rsidR="00221A57" w:rsidRPr="00A169E7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047E73" w:rsidRPr="00A169E7">
        <w:rPr>
          <w:rFonts w:ascii="Book Antiqua" w:hAnsi="Book Antiqua" w:cs="Times New Roman"/>
          <w:bCs/>
          <w:sz w:val="24"/>
          <w:szCs w:val="24"/>
        </w:rPr>
        <w:t>relationship between the long-term use of rifaximin and its clinical effects and the size of the shunts.</w:t>
      </w:r>
    </w:p>
    <w:p w14:paraId="3833326F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4863077" w14:textId="1F22B141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methods</w:t>
      </w:r>
    </w:p>
    <w:p w14:paraId="10F6D7CB" w14:textId="54A134B5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In this single-center retrospective observational cohort study, we reviewed the data of 38 patients who had taken rifaximin at the dose of 1200 mg/d for more than 24 wk. The primary outcome measured was the efficacy of long-term rifaximin use, and</w:t>
      </w:r>
      <w:r w:rsidR="00221A57" w:rsidRPr="00A169E7">
        <w:rPr>
          <w:rFonts w:ascii="Book Antiqua" w:hAnsi="Book Antiqua" w:cs="Times New Roman"/>
          <w:bCs/>
          <w:sz w:val="24"/>
          <w:szCs w:val="24"/>
        </w:rPr>
        <w:t xml:space="preserve"> the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secondary outcome measured was the safety of its long-term use as determined by its influence on portosystemic shunts.</w:t>
      </w:r>
    </w:p>
    <w:p w14:paraId="5867A86E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718DDFD" w14:textId="5B9261DA" w:rsidR="00222649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results</w:t>
      </w:r>
    </w:p>
    <w:p w14:paraId="03891732" w14:textId="6CECCCD1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Rifaximin did not worsen the functionality of the liver</w:t>
      </w:r>
      <w:r w:rsidR="00B63090" w:rsidRPr="00A169E7">
        <w:rPr>
          <w:rFonts w:ascii="Book Antiqua" w:hAnsi="Book Antiqua" w:cs="Times New Roman"/>
          <w:bCs/>
          <w:sz w:val="24"/>
          <w:szCs w:val="24"/>
        </w:rPr>
        <w:t xml:space="preserve"> 24 </w:t>
      </w:r>
      <w:proofErr w:type="spellStart"/>
      <w:r w:rsidR="00B63090" w:rsidRPr="00A169E7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B63090" w:rsidRPr="00A169E7">
        <w:rPr>
          <w:rFonts w:ascii="Book Antiqua" w:hAnsi="Book Antiqua" w:cs="Times New Roman"/>
          <w:bCs/>
          <w:sz w:val="24"/>
          <w:szCs w:val="24"/>
        </w:rPr>
        <w:t xml:space="preserve"> after the treatment.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Adverse events included 2 cases of diarrhea (5.3%), which improved following the intake of probiotics. There were no cases of treatment interruption due to adverse events.</w:t>
      </w:r>
      <w:r w:rsidR="00A169E7" w:rsidRPr="00A169E7">
        <w:rPr>
          <w:rFonts w:ascii="Book Antiqua" w:eastAsia="DengXian" w:hAnsi="Book Antiqua" w:cs="Times New Roman"/>
          <w:bCs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Serum ammonia levels were significantly decreased 2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</w:rPr>
        <w:t xml:space="preserve"> after the beginning of rifaximin compared to the pretreatment levels (</w:t>
      </w:r>
      <w:r w:rsidR="00C518F6" w:rsidRPr="00A169E7">
        <w:rPr>
          <w:rFonts w:ascii="Book Antiqua" w:hAnsi="Book Antiqua" w:cs="Times New Roman"/>
          <w:bCs/>
          <w:i/>
          <w:iCs/>
          <w:sz w:val="24"/>
          <w:szCs w:val="24"/>
        </w:rPr>
        <w:t>P</w:t>
      </w:r>
      <w:r w:rsidR="00A169E7" w:rsidRPr="00A169E7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A169E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>0.002), and it remained significantly lower for up to 60 wk.</w:t>
      </w:r>
      <w:r w:rsidR="00A169E7" w:rsidRPr="00A169E7">
        <w:rPr>
          <w:rFonts w:ascii="Book Antiqua" w:eastAsia="DengXian" w:hAnsi="Book Antiqua" w:cs="Times New Roman"/>
          <w:bCs/>
          <w:sz w:val="24"/>
          <w:szCs w:val="24"/>
          <w:lang w:eastAsia="zh-C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Multivariate analyses revealed that the insufficient improvement in the serum ammonia level was independently associated with the maximum shunt diameter of 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Pr="00A169E7">
        <w:rPr>
          <w:rFonts w:ascii="Book Antiqua" w:hAnsi="Book Antiqua" w:cs="Times New Roman"/>
          <w:bCs/>
          <w:sz w:val="24"/>
          <w:szCs w:val="24"/>
        </w:rPr>
        <w:t>8.0 mm (risk ratio</w:t>
      </w:r>
      <w:r w:rsidR="00A169E7" w:rsidRPr="00A169E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= 5.52, </w:t>
      </w:r>
      <w:r w:rsidRPr="00A169E7">
        <w:rPr>
          <w:rFonts w:ascii="Book Antiqua" w:hAnsi="Book Antiqua" w:cs="Times New Roman"/>
          <w:bCs/>
          <w:i/>
          <w:iCs/>
          <w:sz w:val="24"/>
          <w:szCs w:val="24"/>
        </w:rPr>
        <w:t>P</w:t>
      </w:r>
      <w:r w:rsidRPr="00A169E7">
        <w:rPr>
          <w:rFonts w:ascii="Book Antiqua" w:hAnsi="Book Antiqua" w:cs="Times New Roman"/>
          <w:bCs/>
          <w:sz w:val="24"/>
          <w:szCs w:val="24"/>
        </w:rPr>
        <w:t xml:space="preserve"> = 0.040).</w:t>
      </w:r>
    </w:p>
    <w:p w14:paraId="51B7D75A" w14:textId="77777777" w:rsidR="00047E73" w:rsidRPr="00A169E7" w:rsidRDefault="00047E7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98D28E5" w14:textId="56A79590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conclusions</w:t>
      </w:r>
    </w:p>
    <w:p w14:paraId="18EEA3C4" w14:textId="610B648D" w:rsidR="00047E73" w:rsidRPr="00A169E7" w:rsidRDefault="00EB1F8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>The long-term use of rifaximin was found to be safe and effective in the Japanese population.</w:t>
      </w:r>
    </w:p>
    <w:p w14:paraId="0D1D4DB7" w14:textId="77777777" w:rsidR="00EB1F83" w:rsidRPr="00A169E7" w:rsidRDefault="00EB1F83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6219A2A" w14:textId="3D4B9DB9" w:rsidR="00AD1D1F" w:rsidRPr="00A169E7" w:rsidRDefault="00AD1D1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A169E7">
        <w:rPr>
          <w:rFonts w:ascii="Book Antiqua" w:hAnsi="Book Antiqua" w:cs="Times New Roman"/>
          <w:b/>
          <w:i/>
          <w:iCs/>
          <w:sz w:val="24"/>
          <w:szCs w:val="24"/>
        </w:rPr>
        <w:t>Research perspectives</w:t>
      </w:r>
    </w:p>
    <w:p w14:paraId="387A041A" w14:textId="4B3951AD" w:rsidR="0048348F" w:rsidRPr="00A169E7" w:rsidRDefault="000B198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A169E7">
        <w:rPr>
          <w:rFonts w:ascii="Book Antiqua" w:hAnsi="Book Antiqua" w:cs="Times New Roman"/>
          <w:bCs/>
          <w:sz w:val="24"/>
          <w:szCs w:val="24"/>
        </w:rPr>
        <w:t xml:space="preserve">In this retrospective study, </w:t>
      </w:r>
      <w:r w:rsidR="0029350E" w:rsidRPr="00A169E7">
        <w:rPr>
          <w:rFonts w:ascii="Book Antiqua" w:hAnsi="Book Antiqua" w:cs="Times New Roman"/>
          <w:bCs/>
          <w:sz w:val="24"/>
          <w:szCs w:val="24"/>
        </w:rPr>
        <w:t xml:space="preserve">we did not examine each test to diagnose minimal HE, and the improvement of minimal HE cannot be proved. Tests as </w:t>
      </w:r>
      <w:r w:rsidR="000F66EC" w:rsidRPr="00A169E7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29350E" w:rsidRPr="00A169E7">
        <w:rPr>
          <w:rFonts w:ascii="Book Antiqua" w:hAnsi="Book Antiqua" w:cs="Times New Roman"/>
          <w:bCs/>
          <w:sz w:val="24"/>
          <w:szCs w:val="24"/>
        </w:rPr>
        <w:t xml:space="preserve">Trail Making Test should be </w:t>
      </w:r>
      <w:r w:rsidR="00053F39" w:rsidRPr="00A169E7">
        <w:rPr>
          <w:rFonts w:ascii="Book Antiqua" w:hAnsi="Book Antiqua" w:cs="Times New Roman"/>
          <w:bCs/>
          <w:sz w:val="24"/>
          <w:szCs w:val="24"/>
        </w:rPr>
        <w:t xml:space="preserve">evaluated to </w:t>
      </w:r>
      <w:proofErr w:type="gramStart"/>
      <w:r w:rsidR="00053F39" w:rsidRPr="00A169E7">
        <w:rPr>
          <w:rFonts w:ascii="Book Antiqua" w:hAnsi="Book Antiqua" w:cs="Times New Roman"/>
          <w:bCs/>
          <w:sz w:val="24"/>
          <w:szCs w:val="24"/>
        </w:rPr>
        <w:t>minimal</w:t>
      </w:r>
      <w:proofErr w:type="gramEnd"/>
      <w:r w:rsidR="00053F39" w:rsidRPr="00A169E7">
        <w:rPr>
          <w:rFonts w:ascii="Book Antiqua" w:hAnsi="Book Antiqua" w:cs="Times New Roman"/>
          <w:bCs/>
          <w:sz w:val="24"/>
          <w:szCs w:val="24"/>
        </w:rPr>
        <w:t xml:space="preserve"> HE in the future investigation.</w:t>
      </w:r>
    </w:p>
    <w:p w14:paraId="4AB33C1E" w14:textId="77777777" w:rsidR="00A169E7" w:rsidRPr="00A169E7" w:rsidRDefault="00A169E7" w:rsidP="00A169E7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FE8D5B5" w14:textId="34BCD139" w:rsidR="00B6535D" w:rsidRPr="00A169E7" w:rsidRDefault="00B6535D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3424C9" w:rsidRPr="00A169E7">
        <w:rPr>
          <w:rFonts w:ascii="Book Antiqua" w:hAnsi="Book Antiqua" w:cs="Times New Roman"/>
          <w:b/>
          <w:sz w:val="24"/>
          <w:szCs w:val="24"/>
        </w:rPr>
        <w:t>EFERENCES</w:t>
      </w:r>
    </w:p>
    <w:p w14:paraId="52DC7B69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Vilstrup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H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Amodio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Bajaj J, Cordoba J, </w:t>
      </w:r>
      <w:proofErr w:type="spellStart"/>
      <w:r w:rsidRPr="00A169E7">
        <w:rPr>
          <w:rFonts w:ascii="Book Antiqua" w:hAnsi="Book Antiqua"/>
          <w:sz w:val="24"/>
          <w:szCs w:val="24"/>
        </w:rPr>
        <w:t>Ferenci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Mullen KD, </w:t>
      </w:r>
      <w:proofErr w:type="spellStart"/>
      <w:r w:rsidRPr="00A169E7">
        <w:rPr>
          <w:rFonts w:ascii="Book Antiqua" w:hAnsi="Book Antiqua"/>
          <w:sz w:val="24"/>
          <w:szCs w:val="24"/>
        </w:rPr>
        <w:t>Weissenborn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Wong P. Hepatic encephalopathy in chronic liver disease: 2014 Practice Guideline by the American Association for the Study of Liver Diseases and the European Association for the Study of the Liver.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715-735 [PMID: 25042402 DOI: 10.1002/hep.27210]</w:t>
      </w:r>
    </w:p>
    <w:p w14:paraId="6F775F95" w14:textId="56668B9A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Hadjihambi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A</w:t>
      </w:r>
      <w:r w:rsidRPr="00A169E7">
        <w:rPr>
          <w:rFonts w:ascii="Book Antiqua" w:hAnsi="Book Antiqua"/>
          <w:sz w:val="24"/>
          <w:szCs w:val="24"/>
        </w:rPr>
        <w:t xml:space="preserve">, Arias N, Sheikh M, Jalan R. Hepatic encephalopathy: a critical current review.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Int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>: 135-147 [PMID: 28770516 DOI: 10.1007/s12072-017-9812-3]</w:t>
      </w:r>
    </w:p>
    <w:p w14:paraId="519ABB4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3 </w:t>
      </w:r>
      <w:r w:rsidRPr="00A169E7">
        <w:rPr>
          <w:rFonts w:ascii="Book Antiqua" w:hAnsi="Book Antiqua"/>
          <w:b/>
          <w:sz w:val="24"/>
          <w:szCs w:val="24"/>
        </w:rPr>
        <w:t>Patidar KR</w:t>
      </w:r>
      <w:r w:rsidRPr="00A169E7">
        <w:rPr>
          <w:rFonts w:ascii="Book Antiqua" w:hAnsi="Book Antiqua"/>
          <w:sz w:val="24"/>
          <w:szCs w:val="24"/>
        </w:rPr>
        <w:t xml:space="preserve">, Thacker LR, Wade JB, Sterling RK,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Siddiqui MS, </w:t>
      </w:r>
      <w:proofErr w:type="spellStart"/>
      <w:r w:rsidRPr="00A169E7">
        <w:rPr>
          <w:rFonts w:ascii="Book Antiqua" w:hAnsi="Book Antiqua"/>
          <w:sz w:val="24"/>
          <w:szCs w:val="24"/>
        </w:rPr>
        <w:t>Matherly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SC, </w:t>
      </w:r>
      <w:proofErr w:type="spellStart"/>
      <w:r w:rsidRPr="00A169E7">
        <w:rPr>
          <w:rFonts w:ascii="Book Antiqua" w:hAnsi="Book Antiqua"/>
          <w:sz w:val="24"/>
          <w:szCs w:val="24"/>
        </w:rPr>
        <w:t>Stravitz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RT, </w:t>
      </w:r>
      <w:proofErr w:type="spellStart"/>
      <w:r w:rsidRPr="00A169E7">
        <w:rPr>
          <w:rFonts w:ascii="Book Antiqua" w:hAnsi="Book Antiqua"/>
          <w:sz w:val="24"/>
          <w:szCs w:val="24"/>
        </w:rPr>
        <w:t>Puri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169E7">
        <w:rPr>
          <w:rFonts w:ascii="Book Antiqua" w:hAnsi="Book Antiqua"/>
          <w:sz w:val="24"/>
          <w:szCs w:val="24"/>
        </w:rPr>
        <w:t>Luketic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VA, Fuchs M, White MB, Noble NA, Unser AB, Gilles H,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Bajaj JS. Covert hepatic encephalopathy is independently associated with poor survival and increased risk of hospitalization. </w:t>
      </w:r>
      <w:r w:rsidRPr="00A169E7">
        <w:rPr>
          <w:rFonts w:ascii="Book Antiqua" w:hAnsi="Book Antiqua"/>
          <w:i/>
          <w:sz w:val="24"/>
          <w:szCs w:val="24"/>
        </w:rPr>
        <w:t>Am J Gastroenterol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109</w:t>
      </w:r>
      <w:r w:rsidRPr="00A169E7">
        <w:rPr>
          <w:rFonts w:ascii="Book Antiqua" w:hAnsi="Book Antiqua"/>
          <w:sz w:val="24"/>
          <w:szCs w:val="24"/>
        </w:rPr>
        <w:t>: 1757-1763 [PMID: 25178701 DOI: 10.1038/ajg.2014.264]</w:t>
      </w:r>
    </w:p>
    <w:p w14:paraId="381099F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Scarpignato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C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Pelosini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I. Rifaximin, a poorly absorbed antibiotic: pharmacology and clinical potential. </w:t>
      </w:r>
      <w:r w:rsidRPr="00A169E7">
        <w:rPr>
          <w:rFonts w:ascii="Book Antiqua" w:hAnsi="Book Antiqua"/>
          <w:i/>
          <w:sz w:val="24"/>
          <w:szCs w:val="24"/>
        </w:rPr>
        <w:t>Chemotherapy</w:t>
      </w:r>
      <w:r w:rsidRPr="00A169E7">
        <w:rPr>
          <w:rFonts w:ascii="Book Antiqua" w:hAnsi="Book Antiqua"/>
          <w:sz w:val="24"/>
          <w:szCs w:val="24"/>
        </w:rPr>
        <w:t xml:space="preserve"> 2005; </w:t>
      </w:r>
      <w:r w:rsidRPr="00A169E7">
        <w:rPr>
          <w:rFonts w:ascii="Book Antiqua" w:hAnsi="Book Antiqua"/>
          <w:b/>
          <w:sz w:val="24"/>
          <w:szCs w:val="24"/>
        </w:rPr>
        <w:t xml:space="preserve">51 </w:t>
      </w:r>
      <w:r w:rsidRPr="00A169E7">
        <w:rPr>
          <w:rFonts w:ascii="Book Antiqua" w:hAnsi="Book Antiqua"/>
          <w:bCs/>
          <w:sz w:val="24"/>
          <w:szCs w:val="24"/>
        </w:rPr>
        <w:t>Suppl 1</w:t>
      </w:r>
      <w:r w:rsidRPr="00A169E7">
        <w:rPr>
          <w:rFonts w:ascii="Book Antiqua" w:hAnsi="Book Antiqua"/>
          <w:sz w:val="24"/>
          <w:szCs w:val="24"/>
        </w:rPr>
        <w:t>: 36-66 [PMID: 15855748 DOI: 10.1159/000081990]</w:t>
      </w:r>
    </w:p>
    <w:p w14:paraId="6FF08C5F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Phongsamran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PV</w:t>
      </w:r>
      <w:r w:rsidRPr="00A169E7">
        <w:rPr>
          <w:rFonts w:ascii="Book Antiqua" w:hAnsi="Book Antiqua"/>
          <w:sz w:val="24"/>
          <w:szCs w:val="24"/>
        </w:rPr>
        <w:t xml:space="preserve">, Kim JW, </w:t>
      </w:r>
      <w:proofErr w:type="spellStart"/>
      <w:r w:rsidRPr="00A169E7">
        <w:rPr>
          <w:rFonts w:ascii="Book Antiqua" w:hAnsi="Book Antiqua"/>
          <w:sz w:val="24"/>
          <w:szCs w:val="24"/>
        </w:rPr>
        <w:t>Cupo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Abbott J, Rosenblatt A. Pharmacotherapy for hepatic encephalopathy. </w:t>
      </w:r>
      <w:r w:rsidRPr="00A169E7">
        <w:rPr>
          <w:rFonts w:ascii="Book Antiqua" w:hAnsi="Book Antiqua"/>
          <w:i/>
          <w:sz w:val="24"/>
          <w:szCs w:val="24"/>
        </w:rPr>
        <w:t>Drugs</w:t>
      </w:r>
      <w:r w:rsidRPr="00A169E7">
        <w:rPr>
          <w:rFonts w:ascii="Book Antiqua" w:hAnsi="Book Antiqua"/>
          <w:sz w:val="24"/>
          <w:szCs w:val="24"/>
        </w:rPr>
        <w:t xml:space="preserve"> 2010; </w:t>
      </w:r>
      <w:r w:rsidRPr="00A169E7">
        <w:rPr>
          <w:rFonts w:ascii="Book Antiqua" w:hAnsi="Book Antiqua"/>
          <w:b/>
          <w:sz w:val="24"/>
          <w:szCs w:val="24"/>
        </w:rPr>
        <w:t>70</w:t>
      </w:r>
      <w:r w:rsidRPr="00A169E7">
        <w:rPr>
          <w:rFonts w:ascii="Book Antiqua" w:hAnsi="Book Antiqua"/>
          <w:sz w:val="24"/>
          <w:szCs w:val="24"/>
        </w:rPr>
        <w:t>: 1131-1148 [PMID: 20518580 DOI: 10.2165/10898630-000000000-00000]</w:t>
      </w:r>
    </w:p>
    <w:p w14:paraId="7A461650" w14:textId="39EC6884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6 </w:t>
      </w:r>
      <w:r w:rsidRPr="00A169E7">
        <w:rPr>
          <w:rFonts w:ascii="Book Antiqua" w:hAnsi="Book Antiqua"/>
          <w:b/>
          <w:sz w:val="24"/>
          <w:szCs w:val="24"/>
        </w:rPr>
        <w:t>Mullen KD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Bass NM, </w:t>
      </w:r>
      <w:proofErr w:type="spellStart"/>
      <w:r w:rsidRPr="00A169E7">
        <w:rPr>
          <w:rFonts w:ascii="Book Antiqua" w:hAnsi="Book Antiqua"/>
          <w:sz w:val="24"/>
          <w:szCs w:val="24"/>
        </w:rPr>
        <w:t>Poordad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FF, Sheikh MY, Frederick RT, </w:t>
      </w:r>
      <w:proofErr w:type="spellStart"/>
      <w:r w:rsidRPr="00A169E7">
        <w:rPr>
          <w:rFonts w:ascii="Book Antiqua" w:hAnsi="Book Antiqua"/>
          <w:sz w:val="24"/>
          <w:szCs w:val="24"/>
        </w:rPr>
        <w:t>Bortey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Forbes WP. Rifaximin is safe and well tolerated for long-term maintenance of remission from overt hepatic encephalopathy. </w:t>
      </w:r>
      <w:r w:rsidRPr="00A169E7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 xml:space="preserve">: </w:t>
      </w:r>
      <w:r w:rsidRPr="00A169E7">
        <w:rPr>
          <w:rFonts w:ascii="Book Antiqua" w:hAnsi="Book Antiqua"/>
          <w:sz w:val="24"/>
          <w:szCs w:val="24"/>
        </w:rPr>
        <w:lastRenderedPageBreak/>
        <w:t>1390-</w:t>
      </w:r>
      <w:r>
        <w:rPr>
          <w:rFonts w:ascii="Book Antiqua" w:hAnsi="Book Antiqua"/>
          <w:sz w:val="24"/>
          <w:szCs w:val="24"/>
        </w:rPr>
        <w:t>139</w:t>
      </w:r>
      <w:r w:rsidRPr="00A169E7">
        <w:rPr>
          <w:rFonts w:ascii="Book Antiqua" w:hAnsi="Book Antiqua"/>
          <w:sz w:val="24"/>
          <w:szCs w:val="24"/>
        </w:rPr>
        <w:t>7.e2 [PMID: 24365449 DOI: 10.1016/j.cgh.2013.12.021]</w:t>
      </w:r>
    </w:p>
    <w:p w14:paraId="6DD2FA5D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7 </w:t>
      </w:r>
      <w:r w:rsidRPr="00A169E7">
        <w:rPr>
          <w:rFonts w:ascii="Book Antiqua" w:hAnsi="Book Antiqua"/>
          <w:b/>
          <w:sz w:val="24"/>
          <w:szCs w:val="24"/>
        </w:rPr>
        <w:t>Bass NM</w:t>
      </w:r>
      <w:r w:rsidRPr="00A169E7">
        <w:rPr>
          <w:rFonts w:ascii="Book Antiqua" w:hAnsi="Book Antiqua"/>
          <w:sz w:val="24"/>
          <w:szCs w:val="24"/>
        </w:rPr>
        <w:t xml:space="preserve">, Mullen KD,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Poordad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Neff G, </w:t>
      </w:r>
      <w:proofErr w:type="spellStart"/>
      <w:r w:rsidRPr="00A169E7">
        <w:rPr>
          <w:rFonts w:ascii="Book Antiqua" w:hAnsi="Book Antiqua"/>
          <w:sz w:val="24"/>
          <w:szCs w:val="24"/>
        </w:rPr>
        <w:t>Leevy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CB, </w:t>
      </w:r>
      <w:proofErr w:type="spellStart"/>
      <w:r w:rsidRPr="00A169E7">
        <w:rPr>
          <w:rFonts w:ascii="Book Antiqua" w:hAnsi="Book Antiqua"/>
          <w:sz w:val="24"/>
          <w:szCs w:val="24"/>
        </w:rPr>
        <w:t>Sigal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Sheikh MY, Beavers K, Frederick T, </w:t>
      </w:r>
      <w:proofErr w:type="spellStart"/>
      <w:r w:rsidRPr="00A169E7">
        <w:rPr>
          <w:rFonts w:ascii="Book Antiqua" w:hAnsi="Book Antiqua"/>
          <w:sz w:val="24"/>
          <w:szCs w:val="24"/>
        </w:rPr>
        <w:t>Teperman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L, Hillebrand D, Huang S, Merchant K, Shaw A, </w:t>
      </w:r>
      <w:proofErr w:type="spellStart"/>
      <w:r w:rsidRPr="00A169E7">
        <w:rPr>
          <w:rFonts w:ascii="Book Antiqua" w:hAnsi="Book Antiqua"/>
          <w:sz w:val="24"/>
          <w:szCs w:val="24"/>
        </w:rPr>
        <w:t>Bortey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Forbes WP. Rifaximin treatment in hepatic encephalopathy. </w:t>
      </w:r>
      <w:r w:rsidRPr="00A169E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J Med</w:t>
      </w:r>
      <w:r w:rsidRPr="00A169E7">
        <w:rPr>
          <w:rFonts w:ascii="Book Antiqua" w:hAnsi="Book Antiqua"/>
          <w:sz w:val="24"/>
          <w:szCs w:val="24"/>
        </w:rPr>
        <w:t xml:space="preserve"> 2010; </w:t>
      </w:r>
      <w:r w:rsidRPr="00A169E7">
        <w:rPr>
          <w:rFonts w:ascii="Book Antiqua" w:hAnsi="Book Antiqua"/>
          <w:b/>
          <w:sz w:val="24"/>
          <w:szCs w:val="24"/>
        </w:rPr>
        <w:t>362</w:t>
      </w:r>
      <w:r w:rsidRPr="00A169E7">
        <w:rPr>
          <w:rFonts w:ascii="Book Antiqua" w:hAnsi="Book Antiqua"/>
          <w:sz w:val="24"/>
          <w:szCs w:val="24"/>
        </w:rPr>
        <w:t>: 1071-1081 [PMID: 20335583 DOI: 10.1056/NEJMoa0907893]</w:t>
      </w:r>
    </w:p>
    <w:p w14:paraId="51DBB300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8 </w:t>
      </w:r>
      <w:r w:rsidRPr="00A169E7">
        <w:rPr>
          <w:rFonts w:ascii="Book Antiqua" w:hAnsi="Book Antiqua"/>
          <w:b/>
          <w:sz w:val="24"/>
          <w:szCs w:val="24"/>
        </w:rPr>
        <w:t>Ahluwalia V</w:t>
      </w:r>
      <w:r w:rsidRPr="00A169E7">
        <w:rPr>
          <w:rFonts w:ascii="Book Antiqua" w:hAnsi="Book Antiqua"/>
          <w:sz w:val="24"/>
          <w:szCs w:val="24"/>
        </w:rPr>
        <w:t xml:space="preserve">, Wade JB,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A169E7">
        <w:rPr>
          <w:rFonts w:ascii="Book Antiqua" w:hAnsi="Book Antiqua"/>
          <w:sz w:val="24"/>
          <w:szCs w:val="24"/>
        </w:rPr>
        <w:t>Hammeke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Sterling RK, </w:t>
      </w:r>
      <w:proofErr w:type="spellStart"/>
      <w:r w:rsidRPr="00A169E7">
        <w:rPr>
          <w:rFonts w:ascii="Book Antiqua" w:hAnsi="Book Antiqua"/>
          <w:sz w:val="24"/>
          <w:szCs w:val="24"/>
        </w:rPr>
        <w:t>Stravitz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RT, </w:t>
      </w:r>
      <w:proofErr w:type="spellStart"/>
      <w:r w:rsidRPr="00A169E7">
        <w:rPr>
          <w:rFonts w:ascii="Book Antiqua" w:hAnsi="Book Antiqua"/>
          <w:sz w:val="24"/>
          <w:szCs w:val="24"/>
        </w:rPr>
        <w:t>Luketic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Siddiqui MS, </w:t>
      </w:r>
      <w:proofErr w:type="spellStart"/>
      <w:r w:rsidRPr="00A169E7">
        <w:rPr>
          <w:rFonts w:ascii="Book Antiqua" w:hAnsi="Book Antiqua"/>
          <w:sz w:val="24"/>
          <w:szCs w:val="24"/>
        </w:rPr>
        <w:t>Puri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P, Fuchs M, Lennon MJ, Kraft KA, Gilles H, White MB, Noble NA, Bajaj JS. Enhancement of functional connectivity, working memory and inhibitory control on multi-modal brain MR imaging with Rifaximin in Cirrhosis: implications for the gut-liver-brain axis.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Brain Dis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29</w:t>
      </w:r>
      <w:r w:rsidRPr="00A169E7">
        <w:rPr>
          <w:rFonts w:ascii="Book Antiqua" w:hAnsi="Book Antiqua"/>
          <w:sz w:val="24"/>
          <w:szCs w:val="24"/>
        </w:rPr>
        <w:t>: 1017-1025 [PMID: 24590688 DOI: 10.1007/s11011-014-9507-6]</w:t>
      </w:r>
    </w:p>
    <w:p w14:paraId="746EF28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9 </w:t>
      </w:r>
      <w:r w:rsidRPr="00A169E7">
        <w:rPr>
          <w:rFonts w:ascii="Book Antiqua" w:hAnsi="Book Antiqua"/>
          <w:b/>
          <w:sz w:val="24"/>
          <w:szCs w:val="24"/>
        </w:rPr>
        <w:t>Jiang Q</w:t>
      </w:r>
      <w:r w:rsidRPr="00A169E7">
        <w:rPr>
          <w:rFonts w:ascii="Book Antiqua" w:hAnsi="Book Antiqua"/>
          <w:sz w:val="24"/>
          <w:szCs w:val="24"/>
        </w:rPr>
        <w:t xml:space="preserve">, Jiang XH, Zheng MH, Jiang LM, Chen YP, Wang L. Rifaximin versus nonabsorbable disaccharides in the management of hepatic encephalopathy: a meta-analysis. </w:t>
      </w:r>
      <w:r w:rsidRPr="00A169E7">
        <w:rPr>
          <w:rFonts w:ascii="Book Antiqua" w:hAnsi="Book Antiqua"/>
          <w:i/>
          <w:sz w:val="24"/>
          <w:szCs w:val="24"/>
        </w:rPr>
        <w:t xml:space="preserve">Eur J Gastroenterol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2008; </w:t>
      </w:r>
      <w:r w:rsidRPr="00A169E7">
        <w:rPr>
          <w:rFonts w:ascii="Book Antiqua" w:hAnsi="Book Antiqua"/>
          <w:b/>
          <w:sz w:val="24"/>
          <w:szCs w:val="24"/>
        </w:rPr>
        <w:t>20</w:t>
      </w:r>
      <w:r w:rsidRPr="00A169E7">
        <w:rPr>
          <w:rFonts w:ascii="Book Antiqua" w:hAnsi="Book Antiqua"/>
          <w:sz w:val="24"/>
          <w:szCs w:val="24"/>
        </w:rPr>
        <w:t>: 1064-1070 [PMID: 19047837 DOI: 10.1097/MEG.0b013e328302f470]</w:t>
      </w:r>
    </w:p>
    <w:p w14:paraId="5F5ACB41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10 </w:t>
      </w:r>
      <w:r w:rsidRPr="00A169E7">
        <w:rPr>
          <w:rFonts w:ascii="Book Antiqua" w:hAnsi="Book Antiqua"/>
          <w:b/>
          <w:sz w:val="24"/>
          <w:szCs w:val="24"/>
        </w:rPr>
        <w:t>Sharma BC</w:t>
      </w:r>
      <w:r w:rsidRPr="00A169E7">
        <w:rPr>
          <w:rFonts w:ascii="Book Antiqua" w:hAnsi="Book Antiqua"/>
          <w:sz w:val="24"/>
          <w:szCs w:val="24"/>
        </w:rPr>
        <w:t xml:space="preserve">, Sharma P, </w:t>
      </w:r>
      <w:proofErr w:type="spellStart"/>
      <w:r w:rsidRPr="00A169E7">
        <w:rPr>
          <w:rFonts w:ascii="Book Antiqua" w:hAnsi="Book Antiqua"/>
          <w:sz w:val="24"/>
          <w:szCs w:val="24"/>
        </w:rPr>
        <w:t>Lunia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MK, Srivastava S, Goyal R, Sarin SK. A randomized, double-blind, controlled trial comparing rifaximin plus lactulose with lactulose alone in treatment of overt hepatic encephalopathy. </w:t>
      </w:r>
      <w:r w:rsidRPr="00A169E7">
        <w:rPr>
          <w:rFonts w:ascii="Book Antiqua" w:hAnsi="Book Antiqua"/>
          <w:i/>
          <w:sz w:val="24"/>
          <w:szCs w:val="24"/>
        </w:rPr>
        <w:t>Am J Gastroenterol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108</w:t>
      </w:r>
      <w:r w:rsidRPr="00A169E7">
        <w:rPr>
          <w:rFonts w:ascii="Book Antiqua" w:hAnsi="Book Antiqua"/>
          <w:sz w:val="24"/>
          <w:szCs w:val="24"/>
        </w:rPr>
        <w:t>: 1458-1463 [PMID: 23877348 DOI: 10.1038/ajg.2013.219]</w:t>
      </w:r>
    </w:p>
    <w:p w14:paraId="39346F08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Bhanji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RA</w:t>
      </w:r>
      <w:r w:rsidRPr="00A169E7">
        <w:rPr>
          <w:rFonts w:ascii="Book Antiqua" w:hAnsi="Book Antiqua"/>
          <w:sz w:val="24"/>
          <w:szCs w:val="24"/>
        </w:rPr>
        <w:t>, Moctezuma-Velazquez C, Duarte-</w:t>
      </w:r>
      <w:proofErr w:type="spellStart"/>
      <w:r w:rsidRPr="00A169E7">
        <w:rPr>
          <w:rFonts w:ascii="Book Antiqua" w:hAnsi="Book Antiqua"/>
          <w:sz w:val="24"/>
          <w:szCs w:val="24"/>
        </w:rPr>
        <w:t>Rojo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Ebadi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Ghosh S, Rose C, Montano-</w:t>
      </w:r>
      <w:proofErr w:type="spellStart"/>
      <w:r w:rsidRPr="00A169E7">
        <w:rPr>
          <w:rFonts w:ascii="Book Antiqua" w:hAnsi="Book Antiqua"/>
          <w:sz w:val="24"/>
          <w:szCs w:val="24"/>
        </w:rPr>
        <w:t>Loza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AJ. </w:t>
      </w:r>
      <w:proofErr w:type="spellStart"/>
      <w:r w:rsidRPr="00A169E7">
        <w:rPr>
          <w:rFonts w:ascii="Book Antiqua" w:hAnsi="Book Antiqua"/>
          <w:sz w:val="24"/>
          <w:szCs w:val="24"/>
        </w:rPr>
        <w:t>Myosteatosis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and sarcopenia are associated with hepatic encephalopathy in patients with cirrhosis.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Int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12</w:t>
      </w:r>
      <w:r w:rsidRPr="00A169E7">
        <w:rPr>
          <w:rFonts w:ascii="Book Antiqua" w:hAnsi="Book Antiqua"/>
          <w:sz w:val="24"/>
          <w:szCs w:val="24"/>
        </w:rPr>
        <w:t>: 377-386 [PMID: 29881992 DOI: 10.1007/s12072-018-9875-9]</w:t>
      </w:r>
    </w:p>
    <w:p w14:paraId="2B94476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12 </w:t>
      </w:r>
      <w:r w:rsidRPr="00A169E7">
        <w:rPr>
          <w:rFonts w:ascii="Book Antiqua" w:hAnsi="Book Antiqua"/>
          <w:b/>
          <w:sz w:val="24"/>
          <w:szCs w:val="24"/>
        </w:rPr>
        <w:t>Riggio O</w:t>
      </w:r>
      <w:r w:rsidRPr="00A169E7">
        <w:rPr>
          <w:rFonts w:ascii="Book Antiqua" w:hAnsi="Book Antiqua"/>
          <w:sz w:val="24"/>
          <w:szCs w:val="24"/>
        </w:rPr>
        <w:t xml:space="preserve">, Efrati C, Catalano C, </w:t>
      </w:r>
      <w:proofErr w:type="spellStart"/>
      <w:r w:rsidRPr="00A169E7">
        <w:rPr>
          <w:rFonts w:ascii="Book Antiqua" w:hAnsi="Book Antiqua"/>
          <w:sz w:val="24"/>
          <w:szCs w:val="24"/>
        </w:rPr>
        <w:t>Pediconi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169E7">
        <w:rPr>
          <w:rFonts w:ascii="Book Antiqua" w:hAnsi="Book Antiqua"/>
          <w:sz w:val="24"/>
          <w:szCs w:val="24"/>
        </w:rPr>
        <w:t>Mecarelli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A169E7">
        <w:rPr>
          <w:rFonts w:ascii="Book Antiqua" w:hAnsi="Book Antiqua"/>
          <w:sz w:val="24"/>
          <w:szCs w:val="24"/>
        </w:rPr>
        <w:t>Accornero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N, Nicolao </w:t>
      </w:r>
      <w:r w:rsidRPr="00A169E7">
        <w:rPr>
          <w:rFonts w:ascii="Book Antiqua" w:hAnsi="Book Antiqua"/>
          <w:sz w:val="24"/>
          <w:szCs w:val="24"/>
        </w:rPr>
        <w:lastRenderedPageBreak/>
        <w:t xml:space="preserve">F, </w:t>
      </w:r>
      <w:proofErr w:type="spellStart"/>
      <w:r w:rsidRPr="00A169E7">
        <w:rPr>
          <w:rFonts w:ascii="Book Antiqua" w:hAnsi="Book Antiqua"/>
          <w:sz w:val="24"/>
          <w:szCs w:val="24"/>
        </w:rPr>
        <w:t>Angeloni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169E7">
        <w:rPr>
          <w:rFonts w:ascii="Book Antiqua" w:hAnsi="Book Antiqua"/>
          <w:sz w:val="24"/>
          <w:szCs w:val="24"/>
        </w:rPr>
        <w:t>Masini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Ridola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169E7">
        <w:rPr>
          <w:rFonts w:ascii="Book Antiqua" w:hAnsi="Book Antiqua"/>
          <w:sz w:val="24"/>
          <w:szCs w:val="24"/>
        </w:rPr>
        <w:t>Attili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AF, </w:t>
      </w:r>
      <w:proofErr w:type="spellStart"/>
      <w:r w:rsidRPr="00A169E7">
        <w:rPr>
          <w:rFonts w:ascii="Book Antiqua" w:hAnsi="Book Antiqua"/>
          <w:sz w:val="24"/>
          <w:szCs w:val="24"/>
        </w:rPr>
        <w:t>Merli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M. High prevalence of spontaneous portal-systemic shunts in persistent hepatic encephalopathy: a case-control study.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2005; </w:t>
      </w:r>
      <w:r w:rsidRPr="00A169E7">
        <w:rPr>
          <w:rFonts w:ascii="Book Antiqua" w:hAnsi="Book Antiqua"/>
          <w:b/>
          <w:sz w:val="24"/>
          <w:szCs w:val="24"/>
        </w:rPr>
        <w:t>42</w:t>
      </w:r>
      <w:r w:rsidRPr="00A169E7">
        <w:rPr>
          <w:rFonts w:ascii="Book Antiqua" w:hAnsi="Book Antiqua"/>
          <w:sz w:val="24"/>
          <w:szCs w:val="24"/>
        </w:rPr>
        <w:t>: 1158-1165 [PMID: 16250033 DOI: 10.1002/hep.20905]</w:t>
      </w:r>
    </w:p>
    <w:p w14:paraId="7283BE16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13 </w:t>
      </w:r>
      <w:r w:rsidRPr="00A169E7">
        <w:rPr>
          <w:rFonts w:ascii="Book Antiqua" w:hAnsi="Book Antiqua"/>
          <w:b/>
          <w:sz w:val="24"/>
          <w:szCs w:val="24"/>
        </w:rPr>
        <w:t>Suzuki K</w:t>
      </w:r>
      <w:r w:rsidRPr="00A169E7">
        <w:rPr>
          <w:rFonts w:ascii="Book Antiqua" w:hAnsi="Book Antiqua"/>
          <w:sz w:val="24"/>
          <w:szCs w:val="24"/>
        </w:rPr>
        <w:t xml:space="preserve">, Endo R, </w:t>
      </w:r>
      <w:proofErr w:type="spellStart"/>
      <w:r w:rsidRPr="00A169E7">
        <w:rPr>
          <w:rFonts w:ascii="Book Antiqua" w:hAnsi="Book Antiqua"/>
          <w:sz w:val="24"/>
          <w:szCs w:val="24"/>
        </w:rPr>
        <w:t>Takikawa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169E7">
        <w:rPr>
          <w:rFonts w:ascii="Book Antiqua" w:hAnsi="Book Antiqua"/>
          <w:sz w:val="24"/>
          <w:szCs w:val="24"/>
        </w:rPr>
        <w:t>Moriyasu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F, Aoyagi Y, </w:t>
      </w:r>
      <w:proofErr w:type="spellStart"/>
      <w:r w:rsidRPr="00A169E7">
        <w:rPr>
          <w:rFonts w:ascii="Book Antiqua" w:hAnsi="Book Antiqua"/>
          <w:sz w:val="24"/>
          <w:szCs w:val="24"/>
        </w:rPr>
        <w:t>Moriwaki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169E7">
        <w:rPr>
          <w:rFonts w:ascii="Book Antiqua" w:hAnsi="Book Antiqua"/>
          <w:sz w:val="24"/>
          <w:szCs w:val="24"/>
        </w:rPr>
        <w:t>Terai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169E7">
        <w:rPr>
          <w:rFonts w:ascii="Book Antiqua" w:hAnsi="Book Antiqua"/>
          <w:sz w:val="24"/>
          <w:szCs w:val="24"/>
        </w:rPr>
        <w:t>Sakaida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I, Sakai Y, </w:t>
      </w:r>
      <w:proofErr w:type="spellStart"/>
      <w:r w:rsidRPr="00A169E7">
        <w:rPr>
          <w:rFonts w:ascii="Book Antiqua" w:hAnsi="Book Antiqua"/>
          <w:sz w:val="24"/>
          <w:szCs w:val="24"/>
        </w:rPr>
        <w:t>Nishiguchi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Ishikawa T, Takagi H, </w:t>
      </w:r>
      <w:proofErr w:type="spellStart"/>
      <w:r w:rsidRPr="00A169E7">
        <w:rPr>
          <w:rFonts w:ascii="Book Antiqua" w:hAnsi="Book Antiqua"/>
          <w:sz w:val="24"/>
          <w:szCs w:val="24"/>
        </w:rPr>
        <w:t>Naganuma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Genda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T, Ichida T, </w:t>
      </w:r>
      <w:proofErr w:type="spellStart"/>
      <w:r w:rsidRPr="00A169E7">
        <w:rPr>
          <w:rFonts w:ascii="Book Antiqua" w:hAnsi="Book Antiqua"/>
          <w:sz w:val="24"/>
          <w:szCs w:val="24"/>
        </w:rPr>
        <w:t>Takaguchi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Miyazawa K, </w:t>
      </w:r>
      <w:proofErr w:type="spellStart"/>
      <w:r w:rsidRPr="00A169E7">
        <w:rPr>
          <w:rFonts w:ascii="Book Antiqua" w:hAnsi="Book Antiqua"/>
          <w:sz w:val="24"/>
          <w:szCs w:val="24"/>
        </w:rPr>
        <w:t>Okita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K. Efficacy and safety of rifaximin in Japanese patients with hepatic encephalopathy: A phase II/III, multicenter, randomized, evaluator-blinded, active-controlled trial and a phase III, multicenter, open trial.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Res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48</w:t>
      </w:r>
      <w:r w:rsidRPr="00A169E7">
        <w:rPr>
          <w:rFonts w:ascii="Book Antiqua" w:hAnsi="Book Antiqua"/>
          <w:sz w:val="24"/>
          <w:szCs w:val="24"/>
        </w:rPr>
        <w:t>: 411-423 [PMID: 29235218 DOI: 10.1111/hepr.13045]</w:t>
      </w:r>
    </w:p>
    <w:p w14:paraId="43204E60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14 </w:t>
      </w:r>
      <w:r w:rsidRPr="00A169E7">
        <w:rPr>
          <w:rFonts w:ascii="Book Antiqua" w:hAnsi="Book Antiqua"/>
          <w:b/>
          <w:sz w:val="24"/>
          <w:szCs w:val="24"/>
        </w:rPr>
        <w:t>Simón-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Talero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M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Roccarina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D, Martínez J, </w:t>
      </w:r>
      <w:proofErr w:type="spellStart"/>
      <w:r w:rsidRPr="00A169E7">
        <w:rPr>
          <w:rFonts w:ascii="Book Antiqua" w:hAnsi="Book Antiqua"/>
          <w:sz w:val="24"/>
          <w:szCs w:val="24"/>
        </w:rPr>
        <w:t>Lampichler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A169E7">
        <w:rPr>
          <w:rFonts w:ascii="Book Antiqua" w:hAnsi="Book Antiqua"/>
          <w:sz w:val="24"/>
          <w:szCs w:val="24"/>
        </w:rPr>
        <w:t>Baiges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Low G, </w:t>
      </w:r>
      <w:proofErr w:type="spellStart"/>
      <w:r w:rsidRPr="00A169E7">
        <w:rPr>
          <w:rFonts w:ascii="Book Antiqua" w:hAnsi="Book Antiqua"/>
          <w:sz w:val="24"/>
          <w:szCs w:val="24"/>
        </w:rPr>
        <w:t>Llop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169E7">
        <w:rPr>
          <w:rFonts w:ascii="Book Antiqua" w:hAnsi="Book Antiqua"/>
          <w:sz w:val="24"/>
          <w:szCs w:val="24"/>
        </w:rPr>
        <w:t>Praktiknjo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Maurer MH, </w:t>
      </w:r>
      <w:proofErr w:type="spellStart"/>
      <w:r w:rsidRPr="00A169E7">
        <w:rPr>
          <w:rFonts w:ascii="Book Antiqua" w:hAnsi="Book Antiqua"/>
          <w:sz w:val="24"/>
          <w:szCs w:val="24"/>
        </w:rPr>
        <w:t>Zipprich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Triolo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Vangrinsven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Garcia-Martinez R, Dam A, Majumdar A, </w:t>
      </w:r>
      <w:proofErr w:type="spellStart"/>
      <w:r w:rsidRPr="00A169E7">
        <w:rPr>
          <w:rFonts w:ascii="Book Antiqua" w:hAnsi="Book Antiqua"/>
          <w:sz w:val="24"/>
          <w:szCs w:val="24"/>
        </w:rPr>
        <w:t>Picón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C, Toth D, Darnell A, </w:t>
      </w:r>
      <w:proofErr w:type="spellStart"/>
      <w:r w:rsidRPr="00A169E7">
        <w:rPr>
          <w:rFonts w:ascii="Book Antiqua" w:hAnsi="Book Antiqua"/>
          <w:sz w:val="24"/>
          <w:szCs w:val="24"/>
        </w:rPr>
        <w:t>Abraldes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JG, Lopez M, </w:t>
      </w:r>
      <w:proofErr w:type="spellStart"/>
      <w:r w:rsidRPr="00A169E7">
        <w:rPr>
          <w:rFonts w:ascii="Book Antiqua" w:hAnsi="Book Antiqua"/>
          <w:sz w:val="24"/>
          <w:szCs w:val="24"/>
        </w:rPr>
        <w:t>Kukuk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169E7">
        <w:rPr>
          <w:rFonts w:ascii="Book Antiqua" w:hAnsi="Book Antiqua"/>
          <w:sz w:val="24"/>
          <w:szCs w:val="24"/>
        </w:rPr>
        <w:t>Krag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Bañares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Laleman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W, La Mura V, Ripoll C, </w:t>
      </w:r>
      <w:proofErr w:type="spellStart"/>
      <w:r w:rsidRPr="00A169E7">
        <w:rPr>
          <w:rFonts w:ascii="Book Antiqua" w:hAnsi="Book Antiqua"/>
          <w:sz w:val="24"/>
          <w:szCs w:val="24"/>
        </w:rPr>
        <w:t>Berzigotti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Trebicka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J, Calleja JL, Tandon P, Hernandez-</w:t>
      </w:r>
      <w:proofErr w:type="spellStart"/>
      <w:r w:rsidRPr="00A169E7">
        <w:rPr>
          <w:rFonts w:ascii="Book Antiqua" w:hAnsi="Book Antiqua"/>
          <w:sz w:val="24"/>
          <w:szCs w:val="24"/>
        </w:rPr>
        <w:t>Gea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A169E7">
        <w:rPr>
          <w:rFonts w:ascii="Book Antiqua" w:hAnsi="Book Antiqua"/>
          <w:sz w:val="24"/>
          <w:szCs w:val="24"/>
        </w:rPr>
        <w:t>Reiberger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169E7">
        <w:rPr>
          <w:rFonts w:ascii="Book Antiqua" w:hAnsi="Book Antiqua"/>
          <w:sz w:val="24"/>
          <w:szCs w:val="24"/>
        </w:rPr>
        <w:t>Albillos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Tsochatzis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EA, Augustin S, </w:t>
      </w:r>
      <w:proofErr w:type="spellStart"/>
      <w:r w:rsidRPr="00A169E7">
        <w:rPr>
          <w:rFonts w:ascii="Book Antiqua" w:hAnsi="Book Antiqua"/>
          <w:sz w:val="24"/>
          <w:szCs w:val="24"/>
        </w:rPr>
        <w:t>Genescà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J; </w:t>
      </w:r>
      <w:proofErr w:type="spellStart"/>
      <w:r w:rsidRPr="00A169E7">
        <w:rPr>
          <w:rFonts w:ascii="Book Antiqua" w:hAnsi="Book Antiqua"/>
          <w:sz w:val="24"/>
          <w:szCs w:val="24"/>
        </w:rPr>
        <w:t>Baveno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VI-SPSS group from the </w:t>
      </w:r>
      <w:proofErr w:type="spellStart"/>
      <w:r w:rsidRPr="00A169E7">
        <w:rPr>
          <w:rFonts w:ascii="Book Antiqua" w:hAnsi="Book Antiqua"/>
          <w:sz w:val="24"/>
          <w:szCs w:val="24"/>
        </w:rPr>
        <w:t>Baveno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Cooperation. Association Between Portosystemic Shunts and Increased Complications and Mortality in Patients </w:t>
      </w:r>
      <w:proofErr w:type="gramStart"/>
      <w:r w:rsidRPr="00A169E7">
        <w:rPr>
          <w:rFonts w:ascii="Book Antiqua" w:hAnsi="Book Antiqua"/>
          <w:sz w:val="24"/>
          <w:szCs w:val="24"/>
        </w:rPr>
        <w:t>With</w:t>
      </w:r>
      <w:proofErr w:type="gramEnd"/>
      <w:r w:rsidRPr="00A169E7">
        <w:rPr>
          <w:rFonts w:ascii="Book Antiqua" w:hAnsi="Book Antiqua"/>
          <w:sz w:val="24"/>
          <w:szCs w:val="24"/>
        </w:rPr>
        <w:t xml:space="preserve"> Cirrhosis. </w:t>
      </w:r>
      <w:r w:rsidRPr="00A169E7">
        <w:rPr>
          <w:rFonts w:ascii="Book Antiqua" w:hAnsi="Book Antiqua"/>
          <w:i/>
          <w:sz w:val="24"/>
          <w:szCs w:val="24"/>
        </w:rPr>
        <w:t>Gastroenterology</w:t>
      </w:r>
      <w:r w:rsidRPr="00A169E7">
        <w:rPr>
          <w:rFonts w:ascii="Book Antiqua" w:hAnsi="Book Antiqua"/>
          <w:sz w:val="24"/>
          <w:szCs w:val="24"/>
        </w:rPr>
        <w:t xml:space="preserve"> 2018; </w:t>
      </w:r>
      <w:r w:rsidRPr="00A169E7">
        <w:rPr>
          <w:rFonts w:ascii="Book Antiqua" w:hAnsi="Book Antiqua"/>
          <w:b/>
          <w:sz w:val="24"/>
          <w:szCs w:val="24"/>
        </w:rPr>
        <w:t>154</w:t>
      </w:r>
      <w:r w:rsidRPr="00A169E7">
        <w:rPr>
          <w:rFonts w:ascii="Book Antiqua" w:hAnsi="Book Antiqua"/>
          <w:sz w:val="24"/>
          <w:szCs w:val="24"/>
        </w:rPr>
        <w:t>: 1694-1705.e4 [PMID: 29360462 DOI: 10.1053/j.gastro.2018.01.028]</w:t>
      </w:r>
    </w:p>
    <w:p w14:paraId="496B806E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Sakurabayashi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S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Sezai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Yamamoto Y, Hirano M, Oka H. Embolization of portal-systemic shunts in cirrhotic patients with chronic recurrent hepatic encephalopathy. </w:t>
      </w:r>
      <w:r w:rsidRPr="00A169E7">
        <w:rPr>
          <w:rFonts w:ascii="Book Antiqua" w:hAnsi="Book Antiqua"/>
          <w:i/>
          <w:sz w:val="24"/>
          <w:szCs w:val="24"/>
        </w:rPr>
        <w:t xml:space="preserve">Cardiovasc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Intervent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1997; </w:t>
      </w:r>
      <w:r w:rsidRPr="00A169E7">
        <w:rPr>
          <w:rFonts w:ascii="Book Antiqua" w:hAnsi="Book Antiqua"/>
          <w:b/>
          <w:sz w:val="24"/>
          <w:szCs w:val="24"/>
        </w:rPr>
        <w:t>20</w:t>
      </w:r>
      <w:r w:rsidRPr="00A169E7">
        <w:rPr>
          <w:rFonts w:ascii="Book Antiqua" w:hAnsi="Book Antiqua"/>
          <w:sz w:val="24"/>
          <w:szCs w:val="24"/>
        </w:rPr>
        <w:t>: 120-124 [PMID: 9030502]</w:t>
      </w:r>
    </w:p>
    <w:p w14:paraId="3C2AE7B5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16 </w:t>
      </w:r>
      <w:r w:rsidRPr="00A169E7">
        <w:rPr>
          <w:rFonts w:ascii="Book Antiqua" w:hAnsi="Book Antiqua"/>
          <w:b/>
          <w:sz w:val="24"/>
          <w:szCs w:val="24"/>
        </w:rPr>
        <w:t>Loomba R</w:t>
      </w:r>
      <w:r w:rsidRPr="00A169E7">
        <w:rPr>
          <w:rFonts w:ascii="Book Antiqua" w:hAnsi="Book Antiqua"/>
          <w:sz w:val="24"/>
          <w:szCs w:val="24"/>
        </w:rPr>
        <w:t xml:space="preserve">, Wolfson T, Ang B, Hooker J, Behling C, Peterson M, </w:t>
      </w:r>
      <w:proofErr w:type="spellStart"/>
      <w:r w:rsidRPr="00A169E7">
        <w:rPr>
          <w:rFonts w:ascii="Book Antiqua" w:hAnsi="Book Antiqua"/>
          <w:sz w:val="24"/>
          <w:szCs w:val="24"/>
        </w:rPr>
        <w:t>Valasek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r w:rsidRPr="00A169E7">
        <w:rPr>
          <w:rFonts w:ascii="Book Antiqua" w:hAnsi="Book Antiqua"/>
          <w:sz w:val="24"/>
          <w:szCs w:val="24"/>
        </w:rPr>
        <w:lastRenderedPageBreak/>
        <w:t xml:space="preserve">Lin G, Brenner D, </w:t>
      </w:r>
      <w:proofErr w:type="spellStart"/>
      <w:r w:rsidRPr="00A169E7">
        <w:rPr>
          <w:rFonts w:ascii="Book Antiqua" w:hAnsi="Book Antiqua"/>
          <w:sz w:val="24"/>
          <w:szCs w:val="24"/>
        </w:rPr>
        <w:t>Gamst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Sirlin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C. Magnetic resonance elastography predicts advanced fibrosis in patients with nonalcoholic fatty liver disease: a prospective study. </w:t>
      </w:r>
      <w:r w:rsidRPr="00A169E7">
        <w:rPr>
          <w:rFonts w:ascii="Book Antiqua" w:hAnsi="Book Antiqua"/>
          <w:i/>
          <w:sz w:val="24"/>
          <w:szCs w:val="24"/>
        </w:rPr>
        <w:t>Hepatology</w:t>
      </w:r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1920-1928 [PMID: 25103310 DOI: 10.1002/hep.27362]</w:t>
      </w:r>
    </w:p>
    <w:p w14:paraId="5507EC3C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17 </w:t>
      </w:r>
      <w:r w:rsidRPr="00A169E7">
        <w:rPr>
          <w:rFonts w:ascii="Book Antiqua" w:hAnsi="Book Antiqua"/>
          <w:b/>
          <w:sz w:val="24"/>
          <w:szCs w:val="24"/>
        </w:rPr>
        <w:t>Kim D</w:t>
      </w:r>
      <w:r w:rsidRPr="00A169E7">
        <w:rPr>
          <w:rFonts w:ascii="Book Antiqua" w:hAnsi="Book Antiqua"/>
          <w:sz w:val="24"/>
          <w:szCs w:val="24"/>
        </w:rPr>
        <w:t xml:space="preserve">, Kim WR, Talwalkar JA, Kim HJ,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RL. Advanced fibrosis in nonalcoholic fatty liver disease: noninvasive assessment with MR elastography. </w:t>
      </w:r>
      <w:r w:rsidRPr="00A169E7">
        <w:rPr>
          <w:rFonts w:ascii="Book Antiqua" w:hAnsi="Book Antiqua"/>
          <w:i/>
          <w:sz w:val="24"/>
          <w:szCs w:val="24"/>
        </w:rPr>
        <w:t>Radiology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268</w:t>
      </w:r>
      <w:r w:rsidRPr="00A169E7">
        <w:rPr>
          <w:rFonts w:ascii="Book Antiqua" w:hAnsi="Book Antiqua"/>
          <w:sz w:val="24"/>
          <w:szCs w:val="24"/>
        </w:rPr>
        <w:t>: 411-419 [PMID: 23564711 DOI: 10.1148/radiol.13121193]</w:t>
      </w:r>
    </w:p>
    <w:p w14:paraId="2BFE9FB3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18 </w:t>
      </w:r>
      <w:r w:rsidRPr="00A169E7">
        <w:rPr>
          <w:rFonts w:ascii="Book Antiqua" w:hAnsi="Book Antiqua"/>
          <w:b/>
          <w:sz w:val="24"/>
          <w:szCs w:val="24"/>
        </w:rPr>
        <w:t>Venkatesh SK</w:t>
      </w:r>
      <w:r w:rsidRPr="00A169E7">
        <w:rPr>
          <w:rFonts w:ascii="Book Antiqua" w:hAnsi="Book Antiqua"/>
          <w:sz w:val="24"/>
          <w:szCs w:val="24"/>
        </w:rPr>
        <w:t xml:space="preserve">, Yin M, </w:t>
      </w:r>
      <w:proofErr w:type="spellStart"/>
      <w:r w:rsidRPr="00A169E7">
        <w:rPr>
          <w:rFonts w:ascii="Book Antiqua" w:hAnsi="Book Antiqua"/>
          <w:sz w:val="24"/>
          <w:szCs w:val="24"/>
        </w:rPr>
        <w:t>Ehman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RL. Magnetic resonance elastography of liver: technique, analysis, and clinical applications. </w:t>
      </w:r>
      <w:r w:rsidRPr="00A169E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Magn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Reson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Imaging</w:t>
      </w:r>
      <w:r w:rsidRPr="00A169E7">
        <w:rPr>
          <w:rFonts w:ascii="Book Antiqua" w:hAnsi="Book Antiqua"/>
          <w:sz w:val="24"/>
          <w:szCs w:val="24"/>
        </w:rPr>
        <w:t xml:space="preserve"> 2013; </w:t>
      </w:r>
      <w:r w:rsidRPr="00A169E7">
        <w:rPr>
          <w:rFonts w:ascii="Book Antiqua" w:hAnsi="Book Antiqua"/>
          <w:b/>
          <w:sz w:val="24"/>
          <w:szCs w:val="24"/>
        </w:rPr>
        <w:t>37</w:t>
      </w:r>
      <w:r w:rsidRPr="00A169E7">
        <w:rPr>
          <w:rFonts w:ascii="Book Antiqua" w:hAnsi="Book Antiqua"/>
          <w:sz w:val="24"/>
          <w:szCs w:val="24"/>
        </w:rPr>
        <w:t>: 544-555 [PMID: 23423795 DOI: 10.1002/jmri.23731]</w:t>
      </w:r>
    </w:p>
    <w:p w14:paraId="62417110" w14:textId="4FFDDBEC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19 </w:t>
      </w:r>
      <w:r w:rsidRPr="00A169E7">
        <w:rPr>
          <w:rFonts w:ascii="Book Antiqua" w:hAnsi="Book Antiqua"/>
          <w:b/>
          <w:sz w:val="24"/>
          <w:szCs w:val="24"/>
        </w:rPr>
        <w:t>Conn HO,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sz w:val="24"/>
          <w:szCs w:val="24"/>
        </w:rPr>
        <w:t>Liberathal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MM. The hepatic coma syndromes and lactulose. Williams and Wilkins</w:t>
      </w:r>
      <w:r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/>
          <w:b/>
          <w:sz w:val="24"/>
          <w:szCs w:val="24"/>
        </w:rPr>
        <w:t>1979</w:t>
      </w:r>
      <w:r>
        <w:rPr>
          <w:rFonts w:ascii="Book Antiqua" w:hAnsi="Book Antiqua"/>
          <w:sz w:val="24"/>
          <w:szCs w:val="24"/>
        </w:rPr>
        <w:t xml:space="preserve">; </w:t>
      </w:r>
      <w:r w:rsidRPr="00A169E7">
        <w:rPr>
          <w:rFonts w:ascii="Book Antiqua" w:hAnsi="Book Antiqua"/>
          <w:sz w:val="24"/>
          <w:szCs w:val="24"/>
        </w:rPr>
        <w:t>1-121 [DOI:</w:t>
      </w:r>
      <w:r>
        <w:rPr>
          <w:rFonts w:ascii="Book Antiqua" w:hAnsi="Book Antiqua"/>
          <w:sz w:val="24"/>
          <w:szCs w:val="24"/>
        </w:rPr>
        <w:t xml:space="preserve"> </w:t>
      </w:r>
      <w:r w:rsidRPr="00A169E7">
        <w:rPr>
          <w:rFonts w:ascii="Book Antiqua" w:hAnsi="Book Antiqua"/>
          <w:sz w:val="24"/>
          <w:szCs w:val="24"/>
        </w:rPr>
        <w:t>10.1016/0016-5085(79)90191-4]</w:t>
      </w:r>
    </w:p>
    <w:p w14:paraId="039B6741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A169E7">
        <w:rPr>
          <w:rFonts w:ascii="Book Antiqua" w:hAnsi="Book Antiqua"/>
          <w:b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b/>
          <w:sz w:val="24"/>
          <w:szCs w:val="24"/>
        </w:rPr>
        <w:t xml:space="preserve"> V</w:t>
      </w:r>
      <w:r w:rsidRPr="00A169E7">
        <w:rPr>
          <w:rFonts w:ascii="Book Antiqua" w:hAnsi="Book Antiqua"/>
          <w:sz w:val="24"/>
          <w:szCs w:val="24"/>
        </w:rPr>
        <w:t xml:space="preserve">, Milan G, </w:t>
      </w:r>
      <w:proofErr w:type="spellStart"/>
      <w:r w:rsidRPr="00A169E7">
        <w:rPr>
          <w:rFonts w:ascii="Book Antiqua" w:hAnsi="Book Antiqua"/>
          <w:sz w:val="24"/>
          <w:szCs w:val="24"/>
        </w:rPr>
        <w:t>Tripodi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FS, </w:t>
      </w:r>
      <w:proofErr w:type="spellStart"/>
      <w:r w:rsidRPr="00A169E7">
        <w:rPr>
          <w:rFonts w:ascii="Book Antiqua" w:hAnsi="Book Antiqua"/>
          <w:sz w:val="24"/>
          <w:szCs w:val="24"/>
        </w:rPr>
        <w:t>Gennari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Sorrentino P, </w:t>
      </w:r>
      <w:proofErr w:type="spellStart"/>
      <w:r w:rsidRPr="00A169E7">
        <w:rPr>
          <w:rFonts w:ascii="Book Antiqua" w:hAnsi="Book Antiqua"/>
          <w:sz w:val="24"/>
          <w:szCs w:val="24"/>
        </w:rPr>
        <w:t>Gallotta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169E7">
        <w:rPr>
          <w:rFonts w:ascii="Book Antiqua" w:hAnsi="Book Antiqua"/>
          <w:sz w:val="24"/>
          <w:szCs w:val="24"/>
        </w:rPr>
        <w:t>Postiglione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A, Tarantino G. Mental status impairment in patients with West Haven grade zero hepatic encephalopathy: the role of HCV infection. </w:t>
      </w:r>
      <w:r w:rsidRPr="00A169E7">
        <w:rPr>
          <w:rFonts w:ascii="Book Antiqua" w:hAnsi="Book Antiqua"/>
          <w:i/>
          <w:sz w:val="24"/>
          <w:szCs w:val="24"/>
        </w:rPr>
        <w:t>J Gastroenterol</w:t>
      </w:r>
      <w:r w:rsidRPr="00A169E7">
        <w:rPr>
          <w:rFonts w:ascii="Book Antiqua" w:hAnsi="Book Antiqua"/>
          <w:sz w:val="24"/>
          <w:szCs w:val="24"/>
        </w:rPr>
        <w:t xml:space="preserve"> 2007; </w:t>
      </w:r>
      <w:r w:rsidRPr="00A169E7">
        <w:rPr>
          <w:rFonts w:ascii="Book Antiqua" w:hAnsi="Book Antiqua"/>
          <w:b/>
          <w:sz w:val="24"/>
          <w:szCs w:val="24"/>
        </w:rPr>
        <w:t>42</w:t>
      </w:r>
      <w:r w:rsidRPr="00A169E7">
        <w:rPr>
          <w:rFonts w:ascii="Book Antiqua" w:hAnsi="Book Antiqua"/>
          <w:sz w:val="24"/>
          <w:szCs w:val="24"/>
        </w:rPr>
        <w:t>: 79-82 [PMID: 17322997 DOI: 10.1007/s00535-006-1978-8]</w:t>
      </w:r>
    </w:p>
    <w:p w14:paraId="7BD4E66D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21 </w:t>
      </w:r>
      <w:r w:rsidRPr="00A169E7">
        <w:rPr>
          <w:rFonts w:ascii="Book Antiqua" w:hAnsi="Book Antiqua"/>
          <w:b/>
          <w:sz w:val="24"/>
          <w:szCs w:val="24"/>
        </w:rPr>
        <w:t>Tarantino G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Esposito P, </w:t>
      </w:r>
      <w:proofErr w:type="spellStart"/>
      <w:r w:rsidRPr="00A169E7">
        <w:rPr>
          <w:rFonts w:ascii="Book Antiqua" w:hAnsi="Book Antiqua"/>
          <w:sz w:val="24"/>
          <w:szCs w:val="24"/>
        </w:rPr>
        <w:t>Giaquinto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S, de Leone A, Milan G, </w:t>
      </w:r>
      <w:proofErr w:type="spellStart"/>
      <w:r w:rsidRPr="00A169E7">
        <w:rPr>
          <w:rFonts w:ascii="Book Antiqua" w:hAnsi="Book Antiqua"/>
          <w:sz w:val="24"/>
          <w:szCs w:val="24"/>
        </w:rPr>
        <w:t>Tripodi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FS, Cirillo M, </w:t>
      </w:r>
      <w:proofErr w:type="spellStart"/>
      <w:r w:rsidRPr="00A169E7">
        <w:rPr>
          <w:rFonts w:ascii="Book Antiqua" w:hAnsi="Book Antiqua"/>
          <w:sz w:val="24"/>
          <w:szCs w:val="24"/>
        </w:rPr>
        <w:t>Lobello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R. Blood ammonia levels in liver cirrhosis: a clue for the presence of portosystemic collateral veins. </w:t>
      </w:r>
      <w:r w:rsidRPr="00A169E7">
        <w:rPr>
          <w:rFonts w:ascii="Book Antiqua" w:hAnsi="Book Antiqua"/>
          <w:i/>
          <w:sz w:val="24"/>
          <w:szCs w:val="24"/>
        </w:rPr>
        <w:t>BMC Gastroenterol</w:t>
      </w:r>
      <w:r w:rsidRPr="00A169E7">
        <w:rPr>
          <w:rFonts w:ascii="Book Antiqua" w:hAnsi="Book Antiqua"/>
          <w:sz w:val="24"/>
          <w:szCs w:val="24"/>
        </w:rPr>
        <w:t xml:space="preserve"> 2009; </w:t>
      </w:r>
      <w:r w:rsidRPr="00A169E7">
        <w:rPr>
          <w:rFonts w:ascii="Book Antiqua" w:hAnsi="Book Antiqua"/>
          <w:b/>
          <w:sz w:val="24"/>
          <w:szCs w:val="24"/>
        </w:rPr>
        <w:t>9</w:t>
      </w:r>
      <w:r w:rsidRPr="00A169E7">
        <w:rPr>
          <w:rFonts w:ascii="Book Antiqua" w:hAnsi="Book Antiqua"/>
          <w:sz w:val="24"/>
          <w:szCs w:val="24"/>
        </w:rPr>
        <w:t>: 21 [PMID: 19292923 DOI: 10.1186/1471-230X-9-21]</w:t>
      </w:r>
    </w:p>
    <w:p w14:paraId="3198DE2E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22 </w:t>
      </w:r>
      <w:r w:rsidRPr="00A169E7">
        <w:rPr>
          <w:rFonts w:ascii="Book Antiqua" w:hAnsi="Book Antiqua"/>
          <w:b/>
          <w:sz w:val="24"/>
          <w:szCs w:val="24"/>
        </w:rPr>
        <w:t>Bajaj JS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Heuman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A169E7">
        <w:rPr>
          <w:rFonts w:ascii="Book Antiqua" w:hAnsi="Book Antiqua"/>
          <w:sz w:val="24"/>
          <w:szCs w:val="24"/>
        </w:rPr>
        <w:t>Hylemon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PB, </w:t>
      </w:r>
      <w:proofErr w:type="spellStart"/>
      <w:r w:rsidRPr="00A169E7">
        <w:rPr>
          <w:rFonts w:ascii="Book Antiqua" w:hAnsi="Book Antiqua"/>
          <w:sz w:val="24"/>
          <w:szCs w:val="24"/>
        </w:rPr>
        <w:t>Sanyal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AJ, White MB, Monteith P, Noble NA, Unser AB, </w:t>
      </w:r>
      <w:proofErr w:type="spellStart"/>
      <w:r w:rsidRPr="00A169E7">
        <w:rPr>
          <w:rFonts w:ascii="Book Antiqua" w:hAnsi="Book Antiqua"/>
          <w:sz w:val="24"/>
          <w:szCs w:val="24"/>
        </w:rPr>
        <w:t>Daita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K, Fisher AR, </w:t>
      </w:r>
      <w:proofErr w:type="spellStart"/>
      <w:r w:rsidRPr="00A169E7">
        <w:rPr>
          <w:rFonts w:ascii="Book Antiqua" w:hAnsi="Book Antiqua"/>
          <w:sz w:val="24"/>
          <w:szCs w:val="24"/>
        </w:rPr>
        <w:t>Sikaroodi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169E7">
        <w:rPr>
          <w:rFonts w:ascii="Book Antiqua" w:hAnsi="Book Antiqua"/>
          <w:sz w:val="24"/>
          <w:szCs w:val="24"/>
        </w:rPr>
        <w:t>Gillevet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PM. Altered profile of human gut microbiome is associated with cirrhosis and its complications. </w:t>
      </w:r>
      <w:r w:rsidRPr="00A169E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2014; </w:t>
      </w:r>
      <w:r w:rsidRPr="00A169E7">
        <w:rPr>
          <w:rFonts w:ascii="Book Antiqua" w:hAnsi="Book Antiqua"/>
          <w:b/>
          <w:sz w:val="24"/>
          <w:szCs w:val="24"/>
        </w:rPr>
        <w:t>60</w:t>
      </w:r>
      <w:r w:rsidRPr="00A169E7">
        <w:rPr>
          <w:rFonts w:ascii="Book Antiqua" w:hAnsi="Book Antiqua"/>
          <w:sz w:val="24"/>
          <w:szCs w:val="24"/>
        </w:rPr>
        <w:t>: 940-947 [PMID: 24374295 DOI: 10.1016/j.jhep.2013.12.019]</w:t>
      </w:r>
    </w:p>
    <w:p w14:paraId="50906AD8" w14:textId="77777777" w:rsidR="00A169E7" w:rsidRP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lastRenderedPageBreak/>
        <w:t xml:space="preserve">23 </w:t>
      </w:r>
      <w:r w:rsidRPr="00A169E7">
        <w:rPr>
          <w:rFonts w:ascii="Book Antiqua" w:hAnsi="Book Antiqua"/>
          <w:b/>
          <w:sz w:val="24"/>
          <w:szCs w:val="24"/>
        </w:rPr>
        <w:t>Goel A</w:t>
      </w:r>
      <w:r w:rsidRPr="00A169E7">
        <w:rPr>
          <w:rFonts w:ascii="Book Antiqua" w:hAnsi="Book Antiqua"/>
          <w:sz w:val="24"/>
          <w:szCs w:val="24"/>
        </w:rPr>
        <w:t xml:space="preserve">, Rahim U, Nguyen LH, Stave C, Nguyen MH. Systematic review with meta-analysis: rifaximin for the prophylaxis of spontaneous bacterial peritonitis. </w:t>
      </w:r>
      <w:r w:rsidRPr="00A169E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169E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169E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2017; </w:t>
      </w:r>
      <w:r w:rsidRPr="00A169E7">
        <w:rPr>
          <w:rFonts w:ascii="Book Antiqua" w:hAnsi="Book Antiqua"/>
          <w:b/>
          <w:sz w:val="24"/>
          <w:szCs w:val="24"/>
        </w:rPr>
        <w:t>46</w:t>
      </w:r>
      <w:r w:rsidRPr="00A169E7">
        <w:rPr>
          <w:rFonts w:ascii="Book Antiqua" w:hAnsi="Book Antiqua"/>
          <w:sz w:val="24"/>
          <w:szCs w:val="24"/>
        </w:rPr>
        <w:t>: 1029-1036 [PMID: 28994123 DOI: 10.1111/apt.14361]</w:t>
      </w:r>
    </w:p>
    <w:p w14:paraId="4F5FBC08" w14:textId="03E5B56F" w:rsidR="00A169E7" w:rsidRDefault="00A169E7" w:rsidP="00A169E7">
      <w:pPr>
        <w:spacing w:line="360" w:lineRule="auto"/>
        <w:rPr>
          <w:rFonts w:ascii="Book Antiqua" w:hAnsi="Book Antiqua"/>
          <w:sz w:val="24"/>
          <w:szCs w:val="24"/>
        </w:rPr>
      </w:pPr>
      <w:r w:rsidRPr="00A169E7">
        <w:rPr>
          <w:rFonts w:ascii="Book Antiqua" w:hAnsi="Book Antiqua"/>
          <w:sz w:val="24"/>
          <w:szCs w:val="24"/>
        </w:rPr>
        <w:t xml:space="preserve">24 </w:t>
      </w:r>
      <w:r w:rsidRPr="00A169E7">
        <w:rPr>
          <w:rFonts w:ascii="Book Antiqua" w:hAnsi="Book Antiqua"/>
          <w:b/>
          <w:sz w:val="24"/>
          <w:szCs w:val="24"/>
        </w:rPr>
        <w:t>Tarantino G</w:t>
      </w:r>
      <w:r w:rsidRPr="00A169E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169E7">
        <w:rPr>
          <w:rFonts w:ascii="Book Antiqua" w:hAnsi="Book Antiqua"/>
          <w:sz w:val="24"/>
          <w:szCs w:val="24"/>
        </w:rPr>
        <w:t>Citro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V, Conca P, Riccio A, Tarantino M, Capone D, Cirillo M, </w:t>
      </w:r>
      <w:proofErr w:type="spellStart"/>
      <w:r w:rsidRPr="00A169E7">
        <w:rPr>
          <w:rFonts w:ascii="Book Antiqua" w:hAnsi="Book Antiqua"/>
          <w:sz w:val="24"/>
          <w:szCs w:val="24"/>
        </w:rPr>
        <w:t>Lobello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169E7">
        <w:rPr>
          <w:rFonts w:ascii="Book Antiqua" w:hAnsi="Book Antiqua"/>
          <w:sz w:val="24"/>
          <w:szCs w:val="24"/>
        </w:rPr>
        <w:t>Iaccarino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 V. What are the implications of the spontaneous </w:t>
      </w:r>
      <w:proofErr w:type="spellStart"/>
      <w:r w:rsidRPr="00A169E7">
        <w:rPr>
          <w:rFonts w:ascii="Book Antiqua" w:hAnsi="Book Antiqua"/>
          <w:sz w:val="24"/>
          <w:szCs w:val="24"/>
        </w:rPr>
        <w:t>spleno</w:t>
      </w:r>
      <w:proofErr w:type="spellEnd"/>
      <w:r w:rsidRPr="00A169E7">
        <w:rPr>
          <w:rFonts w:ascii="Book Antiqua" w:hAnsi="Book Antiqua"/>
          <w:sz w:val="24"/>
          <w:szCs w:val="24"/>
        </w:rPr>
        <w:t xml:space="preserve">-renal shunts in liver cirrhosis? </w:t>
      </w:r>
      <w:r w:rsidRPr="00A169E7">
        <w:rPr>
          <w:rFonts w:ascii="Book Antiqua" w:hAnsi="Book Antiqua"/>
          <w:i/>
          <w:sz w:val="24"/>
          <w:szCs w:val="24"/>
        </w:rPr>
        <w:t>BMC Gastroenterol</w:t>
      </w:r>
      <w:r w:rsidRPr="00A169E7">
        <w:rPr>
          <w:rFonts w:ascii="Book Antiqua" w:hAnsi="Book Antiqua"/>
          <w:sz w:val="24"/>
          <w:szCs w:val="24"/>
        </w:rPr>
        <w:t xml:space="preserve"> 2009; </w:t>
      </w:r>
      <w:r w:rsidRPr="00A169E7">
        <w:rPr>
          <w:rFonts w:ascii="Book Antiqua" w:hAnsi="Book Antiqua"/>
          <w:b/>
          <w:sz w:val="24"/>
          <w:szCs w:val="24"/>
        </w:rPr>
        <w:t>9</w:t>
      </w:r>
      <w:r w:rsidRPr="00A169E7">
        <w:rPr>
          <w:rFonts w:ascii="Book Antiqua" w:hAnsi="Book Antiqua"/>
          <w:sz w:val="24"/>
          <w:szCs w:val="24"/>
        </w:rPr>
        <w:t>: 89 [PMID: 19930687 DOI: 10.1186/1471-230X-9-89]</w:t>
      </w:r>
    </w:p>
    <w:p w14:paraId="1E6E1D05" w14:textId="015C1D6A" w:rsidR="00E67F84" w:rsidRDefault="00E67F84" w:rsidP="00A169E7">
      <w:pPr>
        <w:spacing w:line="360" w:lineRule="auto"/>
        <w:rPr>
          <w:rFonts w:ascii="Book Antiqua" w:hAnsi="Book Antiqua"/>
          <w:sz w:val="24"/>
          <w:szCs w:val="24"/>
        </w:rPr>
      </w:pPr>
    </w:p>
    <w:p w14:paraId="5500994D" w14:textId="23CF2142" w:rsidR="00E67F84" w:rsidRPr="00E67F84" w:rsidRDefault="00E67F84" w:rsidP="00E67F84">
      <w:pPr>
        <w:widowControl/>
        <w:wordWrap w:val="0"/>
        <w:snapToGrid w:val="0"/>
        <w:spacing w:line="360" w:lineRule="auto"/>
        <w:jc w:val="right"/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</w:pPr>
      <w:bookmarkStart w:id="25" w:name="OLE_LINK1169"/>
      <w:bookmarkStart w:id="26" w:name="OLE_LINK1074"/>
      <w:bookmarkStart w:id="27" w:name="OLE_LINK1175"/>
      <w:bookmarkStart w:id="28" w:name="OLE_LINK1158"/>
      <w:bookmarkStart w:id="29" w:name="OLE_LINK1056"/>
      <w:bookmarkStart w:id="30" w:name="OLE_LINK1288"/>
      <w:bookmarkStart w:id="31" w:name="OLE_LINK1241"/>
      <w:bookmarkStart w:id="32" w:name="OLE_LINK1200"/>
      <w:bookmarkStart w:id="33" w:name="OLE_LINK1167"/>
      <w:bookmarkStart w:id="34" w:name="OLE_LINK1137"/>
      <w:bookmarkStart w:id="35" w:name="OLE_LINK1174"/>
      <w:bookmarkStart w:id="36" w:name="OLE_LINK1059"/>
      <w:bookmarkStart w:id="37" w:name="OLE_LINK930"/>
      <w:bookmarkStart w:id="38" w:name="OLE_LINK911"/>
      <w:bookmarkStart w:id="39" w:name="OLE_LINK946"/>
      <w:bookmarkStart w:id="40" w:name="OLE_LINK1052"/>
      <w:bookmarkStart w:id="41" w:name="OLE_LINK993"/>
      <w:bookmarkStart w:id="42" w:name="OLE_LINK992"/>
      <w:bookmarkStart w:id="43" w:name="OLE_LINK906"/>
      <w:bookmarkStart w:id="44" w:name="OLE_LINK909"/>
      <w:bookmarkStart w:id="45" w:name="OLE_LINK847"/>
      <w:bookmarkStart w:id="46" w:name="OLE_LINK1030"/>
      <w:bookmarkStart w:id="47" w:name="OLE_LINK981"/>
      <w:bookmarkStart w:id="48" w:name="OLE_LINK943"/>
      <w:bookmarkStart w:id="49" w:name="OLE_LINK891"/>
      <w:bookmarkStart w:id="50" w:name="OLE_LINK1106"/>
      <w:bookmarkStart w:id="51" w:name="OLE_LINK1076"/>
      <w:bookmarkStart w:id="52" w:name="OLE_LINK1049"/>
      <w:bookmarkStart w:id="53" w:name="OLE_LINK1018"/>
      <w:bookmarkStart w:id="54" w:name="OLE_LINK980"/>
      <w:bookmarkStart w:id="55" w:name="OLE_LINK908"/>
      <w:bookmarkStart w:id="56" w:name="OLE_LINK856"/>
      <w:bookmarkStart w:id="57" w:name="OLE_LINK865"/>
      <w:bookmarkStart w:id="58" w:name="OLE_LINK826"/>
      <w:bookmarkStart w:id="59" w:name="OLE_LINK782"/>
      <w:bookmarkStart w:id="60" w:name="OLE_LINK889"/>
      <w:bookmarkStart w:id="61" w:name="OLE_LINK836"/>
      <w:bookmarkStart w:id="62" w:name="OLE_LINK2882"/>
      <w:bookmarkStart w:id="63" w:name="OLE_LINK792"/>
      <w:bookmarkStart w:id="64" w:name="OLE_LINK700"/>
      <w:bookmarkStart w:id="65" w:name="OLE_LINK642"/>
      <w:bookmarkStart w:id="66" w:name="OLE_LINK833"/>
      <w:bookmarkStart w:id="67" w:name="OLE_LINK781"/>
      <w:bookmarkStart w:id="68" w:name="OLE_LINK660"/>
      <w:bookmarkStart w:id="69" w:name="OLE_LINK801"/>
      <w:bookmarkStart w:id="70" w:name="OLE_LINK770"/>
      <w:bookmarkStart w:id="71" w:name="OLE_LINK716"/>
      <w:bookmarkStart w:id="72" w:name="OLE_LINK593"/>
      <w:bookmarkStart w:id="73" w:name="OLE_LINK714"/>
      <w:bookmarkStart w:id="74" w:name="OLE_LINK640"/>
      <w:bookmarkStart w:id="75" w:name="OLE_LINK582"/>
      <w:bookmarkStart w:id="76" w:name="OLE_LINK589"/>
      <w:bookmarkStart w:id="77" w:name="OLE_LINK542"/>
      <w:bookmarkStart w:id="78" w:name="OLE_LINK722"/>
      <w:bookmarkStart w:id="79" w:name="OLE_LINK688"/>
      <w:bookmarkStart w:id="80" w:name="OLE_LINK639"/>
      <w:bookmarkStart w:id="81" w:name="OLE_LINK581"/>
      <w:bookmarkStart w:id="82" w:name="OLE_LINK2700"/>
      <w:bookmarkStart w:id="83" w:name="OLE_LINK567"/>
      <w:bookmarkStart w:id="84" w:name="OLE_LINK480"/>
      <w:bookmarkStart w:id="85" w:name="OLE_LINK574"/>
      <w:bookmarkStart w:id="86" w:name="OLE_LINK572"/>
      <w:bookmarkStart w:id="87" w:name="OLE_LINK532"/>
      <w:bookmarkStart w:id="88" w:name="OLE_LINK491"/>
      <w:bookmarkStart w:id="89" w:name="OLE_LINK575"/>
      <w:bookmarkStart w:id="90" w:name="OLE_LINK519"/>
      <w:bookmarkStart w:id="91" w:name="OLE_LINK462"/>
      <w:bookmarkStart w:id="92" w:name="OLE_LINK471"/>
      <w:bookmarkStart w:id="93" w:name="OLE_LINK686"/>
      <w:bookmarkStart w:id="94" w:name="OLE_LINK648"/>
      <w:bookmarkStart w:id="95" w:name="OLE_LINK535"/>
      <w:bookmarkStart w:id="96" w:name="OLE_LINK489"/>
      <w:bookmarkStart w:id="97" w:name="OLE_LINK450"/>
      <w:bookmarkStart w:id="98" w:name="OLE_LINK303"/>
      <w:bookmarkStart w:id="99" w:name="OLE_LINK379"/>
      <w:bookmarkStart w:id="100" w:name="OLE_LINK384"/>
      <w:bookmarkStart w:id="101" w:name="OLE_LINK288"/>
      <w:bookmarkStart w:id="102" w:name="OLE_LINK457"/>
      <w:bookmarkStart w:id="103" w:name="OLE_LINK1830"/>
      <w:bookmarkStart w:id="104" w:name="OLE_LINK334"/>
      <w:bookmarkStart w:id="105" w:name="OLE_LINK371"/>
      <w:bookmarkStart w:id="106" w:name="OLE_LINK346"/>
      <w:bookmarkStart w:id="107" w:name="OLE_LINK400"/>
      <w:bookmarkStart w:id="108" w:name="OLE_LINK385"/>
      <w:bookmarkStart w:id="109" w:name="OLE_LINK321"/>
      <w:bookmarkStart w:id="110" w:name="OLE_LINK304"/>
      <w:bookmarkStart w:id="111" w:name="OLE_LINK313"/>
      <w:bookmarkStart w:id="112" w:name="OLE_LINK282"/>
      <w:bookmarkStart w:id="113" w:name="OLE_LINK281"/>
      <w:bookmarkStart w:id="114" w:name="OLE_LINK250"/>
      <w:bookmarkStart w:id="115" w:name="OLE_LINK212"/>
      <w:bookmarkStart w:id="116" w:name="OLE_LINK226"/>
      <w:bookmarkStart w:id="117" w:name="OLE_LINK207"/>
      <w:bookmarkStart w:id="118" w:name="OLE_LINK225"/>
      <w:bookmarkStart w:id="119" w:name="OLE_LINK149"/>
      <w:bookmarkStart w:id="120" w:name="OLE_LINK254"/>
      <w:bookmarkStart w:id="121" w:name="OLE_LINK183"/>
      <w:bookmarkStart w:id="122" w:name="OLE_LINK387"/>
      <w:bookmarkStart w:id="123" w:name="OLE_LINK320"/>
      <w:bookmarkStart w:id="124" w:name="OLE_LINK112"/>
      <w:bookmarkStart w:id="125" w:name="OLE_LINK72"/>
      <w:bookmarkStart w:id="126" w:name="OLE_LINK148"/>
      <w:bookmarkStart w:id="127" w:name="OLE_LINK120"/>
      <w:bookmarkStart w:id="128" w:name="OLE_LINK52"/>
      <w:bookmarkStart w:id="129" w:name="OLE_LINK51"/>
      <w:r w:rsidRPr="00E67F84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 xml:space="preserve">P-Reviewer: </w:t>
      </w:r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Tarantino G, </w:t>
      </w:r>
      <w:proofErr w:type="spellStart"/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Tzamaloukas</w:t>
      </w:r>
      <w:proofErr w:type="spellEnd"/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AH</w:t>
      </w:r>
    </w:p>
    <w:p w14:paraId="1305F9A4" w14:textId="5A5C4ABB" w:rsidR="00E67F84" w:rsidRPr="00E67F84" w:rsidRDefault="00E67F84" w:rsidP="00E67F84">
      <w:pPr>
        <w:widowControl/>
        <w:snapToGrid w:val="0"/>
        <w:spacing w:line="360" w:lineRule="auto"/>
        <w:jc w:val="right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S-Editor:</w:t>
      </w:r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  <w:r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Cui LJ</w:t>
      </w:r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  <w:r w:rsidRPr="00E67F84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L-Editor:</w:t>
      </w:r>
      <w:r w:rsidRPr="00E67F84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  <w:r w:rsidRPr="00E67F84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E-Editor:</w:t>
      </w:r>
    </w:p>
    <w:p w14:paraId="6746B3CF" w14:textId="68B88E3B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bookmarkStart w:id="130" w:name="OLE_LINK881"/>
      <w:bookmarkStart w:id="131" w:name="OLE_LINK88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E67F84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Specialty type: </w:t>
      </w: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Gastroenterology and Hepatology</w:t>
      </w:r>
    </w:p>
    <w:p w14:paraId="1E6D04FC" w14:textId="6C5480B2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Country of origin: </w:t>
      </w: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Japan</w:t>
      </w:r>
    </w:p>
    <w:p w14:paraId="576509E4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>Peer-review report classification</w:t>
      </w:r>
    </w:p>
    <w:p w14:paraId="5A396191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A (Excellent): 0</w:t>
      </w:r>
    </w:p>
    <w:p w14:paraId="6660ED89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B (Very good): B</w:t>
      </w:r>
    </w:p>
    <w:p w14:paraId="2F859642" w14:textId="0B3549AD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C (Good): C</w:t>
      </w:r>
    </w:p>
    <w:p w14:paraId="32E234A0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D (Fair): 0</w:t>
      </w:r>
    </w:p>
    <w:p w14:paraId="2B099F04" w14:textId="77777777" w:rsidR="00E67F84" w:rsidRPr="00E67F84" w:rsidRDefault="00E67F84" w:rsidP="00E67F84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E (Poor): 0</w:t>
      </w:r>
      <w:bookmarkEnd w:id="130"/>
      <w:bookmarkEnd w:id="131"/>
      <w:r w:rsidRPr="00E67F84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 </w:t>
      </w:r>
    </w:p>
    <w:p w14:paraId="45E121C2" w14:textId="77777777" w:rsidR="00E67F84" w:rsidRPr="00E67F84" w:rsidRDefault="00E67F84" w:rsidP="00A169E7">
      <w:pPr>
        <w:spacing w:line="360" w:lineRule="auto"/>
        <w:rPr>
          <w:rFonts w:ascii="Book Antiqua" w:hAnsi="Book Antiqua"/>
          <w:sz w:val="24"/>
          <w:szCs w:val="24"/>
        </w:rPr>
      </w:pPr>
    </w:p>
    <w:p w14:paraId="0C69FDFE" w14:textId="77777777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bookmarkStart w:id="132" w:name="_Hlk6601012"/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5B43724B" w14:textId="66F62804" w:rsidR="00D612FB" w:rsidRPr="00A169E7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Patient baseline characteristics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2721"/>
        <w:gridCol w:w="2512"/>
        <w:gridCol w:w="1266"/>
      </w:tblGrid>
      <w:tr w:rsidR="00D612FB" w:rsidRPr="00A169E7" w14:paraId="756197B3" w14:textId="77777777" w:rsidTr="00D612FB">
        <w:trPr>
          <w:trHeight w:val="360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847CD0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5220A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Rifaximin (</w:t>
            </w: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38)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E79161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Control (</w:t>
            </w: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38)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C11578" w14:textId="3CEB21AE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P</w:t>
            </w:r>
            <w:r w:rsidR="001E659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value</w:t>
            </w:r>
          </w:p>
        </w:tc>
      </w:tr>
      <w:tr w:rsidR="00D612FB" w:rsidRPr="00A169E7" w14:paraId="61F6C8A1" w14:textId="77777777" w:rsidTr="00D612FB">
        <w:trPr>
          <w:trHeight w:val="786"/>
        </w:trPr>
        <w:tc>
          <w:tcPr>
            <w:tcW w:w="3424" w:type="dxa"/>
            <w:tcBorders>
              <w:top w:val="single" w:sz="4" w:space="0" w:color="auto"/>
            </w:tcBorders>
            <w:noWrap/>
            <w:hideMark/>
          </w:tcPr>
          <w:p w14:paraId="3C05989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Age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yr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noWrap/>
            <w:hideMark/>
          </w:tcPr>
          <w:p w14:paraId="3DBB24A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 (40-85)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14:paraId="4F791D8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69.5 (42-90)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hideMark/>
          </w:tcPr>
          <w:p w14:paraId="746F03E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0.934</w:t>
            </w:r>
          </w:p>
        </w:tc>
      </w:tr>
      <w:tr w:rsidR="00D612FB" w:rsidRPr="00A169E7" w14:paraId="5DB865A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537BBC6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Sex (female/male)</w:t>
            </w:r>
          </w:p>
        </w:tc>
        <w:tc>
          <w:tcPr>
            <w:tcW w:w="2721" w:type="dxa"/>
            <w:noWrap/>
            <w:hideMark/>
          </w:tcPr>
          <w:p w14:paraId="4CF7952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(44.7%)/21 (55.3%)</w:t>
            </w:r>
          </w:p>
        </w:tc>
        <w:tc>
          <w:tcPr>
            <w:tcW w:w="2512" w:type="dxa"/>
            <w:noWrap/>
            <w:hideMark/>
          </w:tcPr>
          <w:p w14:paraId="5122F6C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11 (28.9%)/27 (71.1%) </w:t>
            </w:r>
          </w:p>
        </w:tc>
        <w:tc>
          <w:tcPr>
            <w:tcW w:w="1266" w:type="dxa"/>
            <w:noWrap/>
            <w:hideMark/>
          </w:tcPr>
          <w:p w14:paraId="45620DC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0.234</w:t>
            </w:r>
          </w:p>
        </w:tc>
      </w:tr>
      <w:tr w:rsidR="00D612FB" w:rsidRPr="00A169E7" w14:paraId="05446D24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0621E03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BMI (kg/m</w:t>
            </w:r>
            <w:r w:rsidRPr="00987D05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2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1" w:type="dxa"/>
            <w:noWrap/>
            <w:hideMark/>
          </w:tcPr>
          <w:p w14:paraId="5CA3583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24.78(18.67-35.88)</w:t>
            </w:r>
          </w:p>
        </w:tc>
        <w:tc>
          <w:tcPr>
            <w:tcW w:w="2512" w:type="dxa"/>
            <w:noWrap/>
            <w:hideMark/>
          </w:tcPr>
          <w:p w14:paraId="017B7B8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23.1 (15.5-30.1)</w:t>
            </w:r>
          </w:p>
        </w:tc>
        <w:tc>
          <w:tcPr>
            <w:tcW w:w="1266" w:type="dxa"/>
            <w:noWrap/>
            <w:hideMark/>
          </w:tcPr>
          <w:p w14:paraId="793F1CE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0.035</w:t>
            </w:r>
          </w:p>
        </w:tc>
      </w:tr>
      <w:tr w:rsidR="00D612FB" w:rsidRPr="00A169E7" w14:paraId="07930FA4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D1BA4F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Etiology (HBV/HCV/Alcohol/NASH)</w:t>
            </w:r>
          </w:p>
        </w:tc>
        <w:tc>
          <w:tcPr>
            <w:tcW w:w="2721" w:type="dxa"/>
            <w:noWrap/>
            <w:hideMark/>
          </w:tcPr>
          <w:p w14:paraId="18947BF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7 (18.4%)/5 (13.2%)/13 (34.2%)/5 (13.2%)</w:t>
            </w:r>
          </w:p>
        </w:tc>
        <w:tc>
          <w:tcPr>
            <w:tcW w:w="2512" w:type="dxa"/>
            <w:hideMark/>
          </w:tcPr>
          <w:p w14:paraId="13654DB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4 (10.5%)/14 (36.8%)/9 (23.7%)/3 (7.9%) </w:t>
            </w:r>
          </w:p>
        </w:tc>
        <w:tc>
          <w:tcPr>
            <w:tcW w:w="1266" w:type="dxa"/>
            <w:noWrap/>
            <w:hideMark/>
          </w:tcPr>
          <w:p w14:paraId="3064014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0.107</w:t>
            </w:r>
          </w:p>
        </w:tc>
      </w:tr>
      <w:bookmarkEnd w:id="132"/>
      <w:tr w:rsidR="00D612FB" w:rsidRPr="00A169E7" w14:paraId="076C2726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FCBB52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Child-Pugh A/B/C</w:t>
            </w:r>
          </w:p>
        </w:tc>
        <w:tc>
          <w:tcPr>
            <w:tcW w:w="2721" w:type="dxa"/>
            <w:noWrap/>
            <w:hideMark/>
          </w:tcPr>
          <w:p w14:paraId="34F2A52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15 (39.5%)/15 (39.5%)/8 (21.1%)</w:t>
            </w:r>
          </w:p>
        </w:tc>
        <w:tc>
          <w:tcPr>
            <w:tcW w:w="2512" w:type="dxa"/>
            <w:noWrap/>
            <w:hideMark/>
          </w:tcPr>
          <w:p w14:paraId="5BB714F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20 (52.6%)/ 17 (44.7%)/1 (2.6%)</w:t>
            </w:r>
          </w:p>
        </w:tc>
        <w:tc>
          <w:tcPr>
            <w:tcW w:w="1266" w:type="dxa"/>
            <w:noWrap/>
            <w:hideMark/>
          </w:tcPr>
          <w:p w14:paraId="19AC70B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0.051</w:t>
            </w:r>
          </w:p>
        </w:tc>
      </w:tr>
      <w:tr w:rsidR="00D612FB" w:rsidRPr="00A169E7" w14:paraId="075E727C" w14:textId="77777777" w:rsidTr="00D612FB">
        <w:trPr>
          <w:trHeight w:val="360"/>
        </w:trPr>
        <w:tc>
          <w:tcPr>
            <w:tcW w:w="3424" w:type="dxa"/>
            <w:noWrap/>
          </w:tcPr>
          <w:p w14:paraId="5B267F0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ALBI Grade</w:t>
            </w:r>
          </w:p>
        </w:tc>
        <w:tc>
          <w:tcPr>
            <w:tcW w:w="2721" w:type="dxa"/>
            <w:noWrap/>
          </w:tcPr>
          <w:p w14:paraId="6EE4C99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1(2.6%) /27 (71.1%) /10 (26.3%)</w:t>
            </w:r>
          </w:p>
        </w:tc>
        <w:tc>
          <w:tcPr>
            <w:tcW w:w="2512" w:type="dxa"/>
            <w:noWrap/>
          </w:tcPr>
          <w:p w14:paraId="5A15DA8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22 (57.9%)/15 (39.5%)/1(2.6%)</w:t>
            </w:r>
          </w:p>
        </w:tc>
        <w:tc>
          <w:tcPr>
            <w:tcW w:w="1266" w:type="dxa"/>
            <w:noWrap/>
          </w:tcPr>
          <w:p w14:paraId="136E3E73" w14:textId="792B843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A5092CB" w14:textId="77777777" w:rsidTr="00D612FB">
        <w:trPr>
          <w:trHeight w:val="360"/>
        </w:trPr>
        <w:tc>
          <w:tcPr>
            <w:tcW w:w="3424" w:type="dxa"/>
            <w:noWrap/>
          </w:tcPr>
          <w:p w14:paraId="4D5AB512" w14:textId="1D68DB0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MELD Score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</w:tcPr>
          <w:p w14:paraId="2BE14BF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 (2-17)</w:t>
            </w:r>
          </w:p>
        </w:tc>
        <w:tc>
          <w:tcPr>
            <w:tcW w:w="2512" w:type="dxa"/>
            <w:noWrap/>
          </w:tcPr>
          <w:p w14:paraId="7D2BB65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 (0-22)</w:t>
            </w:r>
          </w:p>
        </w:tc>
        <w:tc>
          <w:tcPr>
            <w:tcW w:w="1266" w:type="dxa"/>
            <w:noWrap/>
          </w:tcPr>
          <w:p w14:paraId="11000F1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0.205</w:t>
            </w:r>
          </w:p>
        </w:tc>
      </w:tr>
      <w:tr w:rsidR="00D612FB" w:rsidRPr="00A169E7" w14:paraId="07A6BE16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01C459F" w14:textId="4B19F01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ALT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7A7B05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24.5 (8.0-105.0)</w:t>
            </w:r>
          </w:p>
        </w:tc>
        <w:tc>
          <w:tcPr>
            <w:tcW w:w="2512" w:type="dxa"/>
            <w:noWrap/>
            <w:hideMark/>
          </w:tcPr>
          <w:p w14:paraId="6725C43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31.5 (8.0-1490)</w:t>
            </w:r>
          </w:p>
        </w:tc>
        <w:tc>
          <w:tcPr>
            <w:tcW w:w="1266" w:type="dxa"/>
            <w:noWrap/>
            <w:hideMark/>
          </w:tcPr>
          <w:p w14:paraId="2EE44E9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0.109</w:t>
            </w:r>
          </w:p>
        </w:tc>
      </w:tr>
      <w:tr w:rsidR="00D612FB" w:rsidRPr="00A169E7" w14:paraId="3BF305B0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2D70851" w14:textId="3529DD4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AST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E66D95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39.5 (20.0-136.0)</w:t>
            </w:r>
          </w:p>
        </w:tc>
        <w:tc>
          <w:tcPr>
            <w:tcW w:w="2512" w:type="dxa"/>
            <w:noWrap/>
            <w:hideMark/>
          </w:tcPr>
          <w:p w14:paraId="3AAD27F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45 (15-1041)</w:t>
            </w:r>
          </w:p>
        </w:tc>
        <w:tc>
          <w:tcPr>
            <w:tcW w:w="1266" w:type="dxa"/>
            <w:noWrap/>
            <w:hideMark/>
          </w:tcPr>
          <w:p w14:paraId="1FE1FEA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0.426</w:t>
            </w:r>
          </w:p>
        </w:tc>
      </w:tr>
      <w:tr w:rsidR="00D612FB" w:rsidRPr="00A169E7" w14:paraId="2B6A043A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52E138A" w14:textId="5ADD991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GGTP (IU/L)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03B096D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35.5 (11.0-558.0)</w:t>
            </w:r>
          </w:p>
        </w:tc>
        <w:tc>
          <w:tcPr>
            <w:tcW w:w="2512" w:type="dxa"/>
            <w:noWrap/>
            <w:hideMark/>
          </w:tcPr>
          <w:p w14:paraId="2897536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64 (14-506)</w:t>
            </w:r>
          </w:p>
        </w:tc>
        <w:tc>
          <w:tcPr>
            <w:tcW w:w="1266" w:type="dxa"/>
            <w:noWrap/>
            <w:hideMark/>
          </w:tcPr>
          <w:p w14:paraId="5067711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0.055</w:t>
            </w:r>
          </w:p>
        </w:tc>
      </w:tr>
      <w:tr w:rsidR="00D612FB" w:rsidRPr="00A169E7" w14:paraId="4556A022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D30F77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Serum ammonia</w:t>
            </w:r>
          </w:p>
        </w:tc>
        <w:tc>
          <w:tcPr>
            <w:tcW w:w="2721" w:type="dxa"/>
            <w:noWrap/>
            <w:hideMark/>
          </w:tcPr>
          <w:p w14:paraId="7A936F1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104 (59-297)</w:t>
            </w:r>
          </w:p>
        </w:tc>
        <w:tc>
          <w:tcPr>
            <w:tcW w:w="2512" w:type="dxa"/>
            <w:noWrap/>
            <w:hideMark/>
          </w:tcPr>
          <w:p w14:paraId="051AC3A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52 (23-89)</w:t>
            </w:r>
          </w:p>
        </w:tc>
        <w:tc>
          <w:tcPr>
            <w:tcW w:w="1266" w:type="dxa"/>
            <w:noWrap/>
            <w:hideMark/>
          </w:tcPr>
          <w:p w14:paraId="6ED03A39" w14:textId="7351934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2F93406E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274A02E8" w14:textId="00FB79E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Albumin (g/dL)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5D5E4DD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 (2.1-4.4)</w:t>
            </w:r>
          </w:p>
        </w:tc>
        <w:tc>
          <w:tcPr>
            <w:tcW w:w="2512" w:type="dxa"/>
            <w:noWrap/>
            <w:hideMark/>
          </w:tcPr>
          <w:p w14:paraId="05DDA0A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4.05 (2.4-5.0)</w:t>
            </w:r>
          </w:p>
        </w:tc>
        <w:tc>
          <w:tcPr>
            <w:tcW w:w="1266" w:type="dxa"/>
            <w:noWrap/>
            <w:hideMark/>
          </w:tcPr>
          <w:p w14:paraId="2268F532" w14:textId="6AB35A96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1ACA5D9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F1B7774" w14:textId="5858AEE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Total bilirubin (mg/dL)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1BC27F8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1.65 (0.4-4.7)</w:t>
            </w:r>
          </w:p>
        </w:tc>
        <w:tc>
          <w:tcPr>
            <w:tcW w:w="2512" w:type="dxa"/>
            <w:noWrap/>
            <w:hideMark/>
          </w:tcPr>
          <w:p w14:paraId="0FA2FE1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1.0 (0.4-8.6)</w:t>
            </w:r>
          </w:p>
        </w:tc>
        <w:tc>
          <w:tcPr>
            <w:tcW w:w="1266" w:type="dxa"/>
            <w:noWrap/>
            <w:hideMark/>
          </w:tcPr>
          <w:p w14:paraId="7AFB6E7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0.002</w:t>
            </w:r>
          </w:p>
        </w:tc>
      </w:tr>
      <w:tr w:rsidR="00D612FB" w:rsidRPr="00A169E7" w14:paraId="209E63F9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07656D4" w14:textId="43F44DA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Platelet count (×103/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μL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36EDFA7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8.7 (4.8-27.9)</w:t>
            </w:r>
          </w:p>
        </w:tc>
        <w:tc>
          <w:tcPr>
            <w:tcW w:w="2512" w:type="dxa"/>
            <w:noWrap/>
            <w:hideMark/>
          </w:tcPr>
          <w:p w14:paraId="62ADFC2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12.3 (2.3-30.2)</w:t>
            </w:r>
          </w:p>
        </w:tc>
        <w:tc>
          <w:tcPr>
            <w:tcW w:w="1266" w:type="dxa"/>
            <w:noWrap/>
            <w:hideMark/>
          </w:tcPr>
          <w:p w14:paraId="47AF06A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0.023</w:t>
            </w:r>
          </w:p>
        </w:tc>
      </w:tr>
      <w:tr w:rsidR="00D612FB" w:rsidRPr="00A169E7" w14:paraId="7EBB6E2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76E093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Prothrombin activity (%)</w:t>
            </w:r>
          </w:p>
        </w:tc>
        <w:tc>
          <w:tcPr>
            <w:tcW w:w="2721" w:type="dxa"/>
            <w:noWrap/>
            <w:hideMark/>
          </w:tcPr>
          <w:p w14:paraId="53657BC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60 (38-133)</w:t>
            </w:r>
          </w:p>
        </w:tc>
        <w:tc>
          <w:tcPr>
            <w:tcW w:w="2512" w:type="dxa"/>
            <w:noWrap/>
            <w:hideMark/>
          </w:tcPr>
          <w:p w14:paraId="774B06B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69 (14-108)</w:t>
            </w:r>
          </w:p>
        </w:tc>
        <w:tc>
          <w:tcPr>
            <w:tcW w:w="1266" w:type="dxa"/>
            <w:noWrap/>
            <w:hideMark/>
          </w:tcPr>
          <w:p w14:paraId="144D90D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0.066</w:t>
            </w:r>
          </w:p>
        </w:tc>
      </w:tr>
      <w:tr w:rsidR="00D612FB" w:rsidRPr="00A169E7" w14:paraId="7F410965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77F0399" w14:textId="2B0C67E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AFP (ng/mL)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5EB9EE9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4.3 (1.0-3375)</w:t>
            </w:r>
          </w:p>
        </w:tc>
        <w:tc>
          <w:tcPr>
            <w:tcW w:w="2512" w:type="dxa"/>
            <w:noWrap/>
            <w:hideMark/>
          </w:tcPr>
          <w:p w14:paraId="1E038B0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6.25 (1.3-385.5)</w:t>
            </w:r>
          </w:p>
        </w:tc>
        <w:tc>
          <w:tcPr>
            <w:tcW w:w="1266" w:type="dxa"/>
            <w:noWrap/>
            <w:hideMark/>
          </w:tcPr>
          <w:p w14:paraId="08FA23E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0.065</w:t>
            </w:r>
          </w:p>
        </w:tc>
      </w:tr>
      <w:tr w:rsidR="00D612FB" w:rsidRPr="00A169E7" w14:paraId="03DEC17F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7D1260C6" w14:textId="63F1505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DCP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mAU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/mL)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45177A2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37 (15-3178)</w:t>
            </w:r>
          </w:p>
        </w:tc>
        <w:tc>
          <w:tcPr>
            <w:tcW w:w="2512" w:type="dxa"/>
            <w:noWrap/>
            <w:hideMark/>
          </w:tcPr>
          <w:p w14:paraId="30B5E52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25 (11-11688)</w:t>
            </w:r>
          </w:p>
        </w:tc>
        <w:tc>
          <w:tcPr>
            <w:tcW w:w="1266" w:type="dxa"/>
            <w:noWrap/>
            <w:hideMark/>
          </w:tcPr>
          <w:p w14:paraId="4D2447A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0.383</w:t>
            </w:r>
          </w:p>
        </w:tc>
      </w:tr>
      <w:tr w:rsidR="00D612FB" w:rsidRPr="00A169E7" w14:paraId="09E0D341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3B1CC1A" w14:textId="13C649E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Fibrosis 4 index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26EFC64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5.61 (1.71-15.1)</w:t>
            </w:r>
          </w:p>
        </w:tc>
        <w:tc>
          <w:tcPr>
            <w:tcW w:w="2512" w:type="dxa"/>
            <w:noWrap/>
            <w:hideMark/>
          </w:tcPr>
          <w:p w14:paraId="5797756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4.25 (1.2-33.4)</w:t>
            </w:r>
          </w:p>
        </w:tc>
        <w:tc>
          <w:tcPr>
            <w:tcW w:w="1266" w:type="dxa"/>
            <w:noWrap/>
            <w:hideMark/>
          </w:tcPr>
          <w:p w14:paraId="687FCCC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0.117</w:t>
            </w:r>
          </w:p>
        </w:tc>
      </w:tr>
      <w:tr w:rsidR="00D612FB" w:rsidRPr="00A169E7" w14:paraId="39B1CDD0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11524FB" w14:textId="6FE19CD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MRE (kPa)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733865C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5.04 (3.00-11.11)</w:t>
            </w:r>
          </w:p>
        </w:tc>
        <w:tc>
          <w:tcPr>
            <w:tcW w:w="2512" w:type="dxa"/>
            <w:noWrap/>
            <w:hideMark/>
          </w:tcPr>
          <w:p w14:paraId="55A5972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4.86 (3.36-12.50)</w:t>
            </w:r>
          </w:p>
        </w:tc>
        <w:tc>
          <w:tcPr>
            <w:tcW w:w="1266" w:type="dxa"/>
            <w:noWrap/>
            <w:hideMark/>
          </w:tcPr>
          <w:p w14:paraId="4CA38F0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0.748</w:t>
            </w:r>
          </w:p>
        </w:tc>
      </w:tr>
      <w:tr w:rsidR="00D612FB" w:rsidRPr="00A169E7" w14:paraId="3444B5C3" w14:textId="77777777" w:rsidTr="00D612FB">
        <w:trPr>
          <w:trHeight w:val="360"/>
        </w:trPr>
        <w:tc>
          <w:tcPr>
            <w:tcW w:w="3424" w:type="dxa"/>
            <w:noWrap/>
          </w:tcPr>
          <w:p w14:paraId="75318418" w14:textId="18CA7E0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SWE (kPa)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noWrap/>
          </w:tcPr>
          <w:p w14:paraId="07A57D4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23.1 (8.3-56)</w:t>
            </w:r>
          </w:p>
        </w:tc>
        <w:tc>
          <w:tcPr>
            <w:tcW w:w="2512" w:type="dxa"/>
            <w:noWrap/>
          </w:tcPr>
          <w:p w14:paraId="72C3469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16.8 (7.0-36.8)</w:t>
            </w:r>
          </w:p>
        </w:tc>
        <w:tc>
          <w:tcPr>
            <w:tcW w:w="1266" w:type="dxa"/>
            <w:noWrap/>
          </w:tcPr>
          <w:p w14:paraId="4877BAC3" w14:textId="0DAD456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12FC8C2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4AFDDB6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History of overt hepatic encephalopathy</w:t>
            </w:r>
          </w:p>
        </w:tc>
        <w:tc>
          <w:tcPr>
            <w:tcW w:w="2721" w:type="dxa"/>
            <w:noWrap/>
            <w:hideMark/>
          </w:tcPr>
          <w:p w14:paraId="07D69E9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12 (31.6%)</w:t>
            </w:r>
          </w:p>
        </w:tc>
        <w:tc>
          <w:tcPr>
            <w:tcW w:w="2512" w:type="dxa"/>
            <w:noWrap/>
            <w:hideMark/>
          </w:tcPr>
          <w:p w14:paraId="4F8DD13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266" w:type="dxa"/>
            <w:noWrap/>
            <w:hideMark/>
          </w:tcPr>
          <w:p w14:paraId="0EA092E3" w14:textId="49D0B76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0827459C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135A07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HCC</w:t>
            </w:r>
          </w:p>
        </w:tc>
        <w:tc>
          <w:tcPr>
            <w:tcW w:w="2721" w:type="dxa"/>
            <w:noWrap/>
            <w:hideMark/>
          </w:tcPr>
          <w:p w14:paraId="6159642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 (23.7%)</w:t>
            </w:r>
          </w:p>
        </w:tc>
        <w:tc>
          <w:tcPr>
            <w:tcW w:w="2512" w:type="dxa"/>
            <w:noWrap/>
            <w:hideMark/>
          </w:tcPr>
          <w:p w14:paraId="3D63CFC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12 (31.6%)</w:t>
            </w:r>
          </w:p>
        </w:tc>
        <w:tc>
          <w:tcPr>
            <w:tcW w:w="1266" w:type="dxa"/>
            <w:noWrap/>
            <w:hideMark/>
          </w:tcPr>
          <w:p w14:paraId="39262A0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0.442</w:t>
            </w:r>
          </w:p>
        </w:tc>
      </w:tr>
      <w:tr w:rsidR="00D612FB" w:rsidRPr="00A169E7" w14:paraId="4BAA3D51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65A616D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Ascites</w:t>
            </w:r>
          </w:p>
        </w:tc>
        <w:tc>
          <w:tcPr>
            <w:tcW w:w="2721" w:type="dxa"/>
            <w:noWrap/>
            <w:hideMark/>
          </w:tcPr>
          <w:p w14:paraId="2FC6ED2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11 (29.0%)</w:t>
            </w:r>
          </w:p>
        </w:tc>
        <w:tc>
          <w:tcPr>
            <w:tcW w:w="2512" w:type="dxa"/>
            <w:noWrap/>
            <w:hideMark/>
          </w:tcPr>
          <w:p w14:paraId="7D85C49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10 (26.3%)</w:t>
            </w:r>
          </w:p>
        </w:tc>
        <w:tc>
          <w:tcPr>
            <w:tcW w:w="1266" w:type="dxa"/>
            <w:noWrap/>
            <w:hideMark/>
          </w:tcPr>
          <w:p w14:paraId="0FD3CE9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0.834</w:t>
            </w:r>
          </w:p>
        </w:tc>
      </w:tr>
      <w:tr w:rsidR="00D612FB" w:rsidRPr="00A169E7" w14:paraId="68D7BC55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5CFF35E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Esophageal varices</w:t>
            </w:r>
          </w:p>
        </w:tc>
        <w:tc>
          <w:tcPr>
            <w:tcW w:w="2721" w:type="dxa"/>
            <w:noWrap/>
            <w:hideMark/>
          </w:tcPr>
          <w:p w14:paraId="45C4955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27 (71.1%)</w:t>
            </w:r>
          </w:p>
        </w:tc>
        <w:tc>
          <w:tcPr>
            <w:tcW w:w="2512" w:type="dxa"/>
            <w:noWrap/>
            <w:hideMark/>
          </w:tcPr>
          <w:p w14:paraId="21A23F6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23 (60.5%)</w:t>
            </w:r>
          </w:p>
        </w:tc>
        <w:tc>
          <w:tcPr>
            <w:tcW w:w="1266" w:type="dxa"/>
            <w:noWrap/>
            <w:hideMark/>
          </w:tcPr>
          <w:p w14:paraId="6867954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0.469</w:t>
            </w:r>
          </w:p>
        </w:tc>
      </w:tr>
      <w:tr w:rsidR="00D612FB" w:rsidRPr="00A169E7" w14:paraId="57CA533D" w14:textId="77777777" w:rsidTr="00D612FB">
        <w:trPr>
          <w:trHeight w:val="360"/>
        </w:trPr>
        <w:tc>
          <w:tcPr>
            <w:tcW w:w="3424" w:type="dxa"/>
            <w:noWrap/>
          </w:tcPr>
          <w:p w14:paraId="3760F16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shunts (mm)</w:t>
            </w:r>
          </w:p>
        </w:tc>
        <w:tc>
          <w:tcPr>
            <w:tcW w:w="2721" w:type="dxa"/>
            <w:noWrap/>
          </w:tcPr>
          <w:p w14:paraId="1D19E52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7.6 (1.7-18.5)</w:t>
            </w:r>
          </w:p>
        </w:tc>
        <w:tc>
          <w:tcPr>
            <w:tcW w:w="2512" w:type="dxa"/>
            <w:noWrap/>
          </w:tcPr>
          <w:p w14:paraId="057979E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4.2 (1.6-10.9)</w:t>
            </w:r>
          </w:p>
        </w:tc>
        <w:tc>
          <w:tcPr>
            <w:tcW w:w="1266" w:type="dxa"/>
            <w:noWrap/>
          </w:tcPr>
          <w:p w14:paraId="2046D0F0" w14:textId="5F365626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733AD5B2" w14:textId="77777777" w:rsidTr="00D612FB">
        <w:trPr>
          <w:trHeight w:val="360"/>
        </w:trPr>
        <w:tc>
          <w:tcPr>
            <w:tcW w:w="3424" w:type="dxa"/>
            <w:noWrap/>
          </w:tcPr>
          <w:p w14:paraId="07E8330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Number of portosystemic shunts (0,1/2-)</w:t>
            </w:r>
          </w:p>
        </w:tc>
        <w:tc>
          <w:tcPr>
            <w:tcW w:w="2721" w:type="dxa"/>
            <w:noWrap/>
          </w:tcPr>
          <w:p w14:paraId="71F9CA7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8 (22.2%)/28 (77.8%)</w:t>
            </w:r>
          </w:p>
        </w:tc>
        <w:tc>
          <w:tcPr>
            <w:tcW w:w="2512" w:type="dxa"/>
            <w:noWrap/>
          </w:tcPr>
          <w:p w14:paraId="16D9F36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 (63.2%)/14 (36.8%)</w:t>
            </w:r>
          </w:p>
        </w:tc>
        <w:tc>
          <w:tcPr>
            <w:tcW w:w="1266" w:type="dxa"/>
            <w:noWrap/>
          </w:tcPr>
          <w:p w14:paraId="425C8A8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0.001</w:t>
            </w:r>
          </w:p>
        </w:tc>
      </w:tr>
      <w:tr w:rsidR="00D612FB" w:rsidRPr="00A169E7" w14:paraId="6C4B12DA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325158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Lactulose</w:t>
            </w:r>
          </w:p>
        </w:tc>
        <w:tc>
          <w:tcPr>
            <w:tcW w:w="2721" w:type="dxa"/>
            <w:noWrap/>
            <w:hideMark/>
          </w:tcPr>
          <w:p w14:paraId="30B7023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29 (76.3%)</w:t>
            </w:r>
          </w:p>
        </w:tc>
        <w:tc>
          <w:tcPr>
            <w:tcW w:w="2512" w:type="dxa"/>
            <w:noWrap/>
            <w:hideMark/>
          </w:tcPr>
          <w:p w14:paraId="77DC66E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 (15.8%)</w:t>
            </w:r>
          </w:p>
        </w:tc>
        <w:tc>
          <w:tcPr>
            <w:tcW w:w="1266" w:type="dxa"/>
            <w:noWrap/>
            <w:hideMark/>
          </w:tcPr>
          <w:p w14:paraId="5D644F82" w14:textId="3F74198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  <w:tr w:rsidR="00D612FB" w:rsidRPr="00A169E7" w14:paraId="456B2BAD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171F333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BCAA</w:t>
            </w:r>
          </w:p>
        </w:tc>
        <w:tc>
          <w:tcPr>
            <w:tcW w:w="2721" w:type="dxa"/>
            <w:noWrap/>
            <w:hideMark/>
          </w:tcPr>
          <w:p w14:paraId="22FCFFA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24 (63.2%)</w:t>
            </w:r>
          </w:p>
        </w:tc>
        <w:tc>
          <w:tcPr>
            <w:tcW w:w="2512" w:type="dxa"/>
            <w:noWrap/>
            <w:hideMark/>
          </w:tcPr>
          <w:p w14:paraId="5EE788D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14 (36.8%)</w:t>
            </w:r>
          </w:p>
        </w:tc>
        <w:tc>
          <w:tcPr>
            <w:tcW w:w="1266" w:type="dxa"/>
            <w:noWrap/>
            <w:hideMark/>
          </w:tcPr>
          <w:p w14:paraId="737AB47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0.038</w:t>
            </w:r>
          </w:p>
        </w:tc>
      </w:tr>
      <w:tr w:rsidR="00D612FB" w:rsidRPr="00A169E7" w14:paraId="2EC87929" w14:textId="77777777" w:rsidTr="00D612FB">
        <w:trPr>
          <w:trHeight w:val="360"/>
        </w:trPr>
        <w:tc>
          <w:tcPr>
            <w:tcW w:w="3424" w:type="dxa"/>
            <w:noWrap/>
            <w:hideMark/>
          </w:tcPr>
          <w:p w14:paraId="3B7766E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Sarcopenia</w:t>
            </w:r>
          </w:p>
        </w:tc>
        <w:tc>
          <w:tcPr>
            <w:tcW w:w="2721" w:type="dxa"/>
            <w:noWrap/>
            <w:hideMark/>
          </w:tcPr>
          <w:p w14:paraId="6EB2E08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</w:t>
            </w:r>
          </w:p>
        </w:tc>
        <w:tc>
          <w:tcPr>
            <w:tcW w:w="2512" w:type="dxa"/>
            <w:noWrap/>
            <w:hideMark/>
          </w:tcPr>
          <w:p w14:paraId="5F5CF24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17 (44.7%)</w:t>
            </w:r>
          </w:p>
        </w:tc>
        <w:tc>
          <w:tcPr>
            <w:tcW w:w="1266" w:type="dxa"/>
            <w:noWrap/>
            <w:hideMark/>
          </w:tcPr>
          <w:p w14:paraId="0BC8BB5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</w:tc>
      </w:tr>
      <w:tr w:rsidR="00D612FB" w:rsidRPr="00A169E7" w14:paraId="272D0360" w14:textId="77777777" w:rsidTr="00D612FB">
        <w:trPr>
          <w:trHeight w:val="360"/>
        </w:trPr>
        <w:tc>
          <w:tcPr>
            <w:tcW w:w="3424" w:type="dxa"/>
            <w:tcBorders>
              <w:bottom w:val="single" w:sz="4" w:space="0" w:color="auto"/>
            </w:tcBorders>
            <w:noWrap/>
          </w:tcPr>
          <w:p w14:paraId="5BDCF156" w14:textId="47E8AE6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Follow up period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wk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</w:tcPr>
          <w:p w14:paraId="4623491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61 (24-91)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</w:tcPr>
          <w:p w14:paraId="52B87AF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91 (5-120)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14:paraId="0A52D7C9" w14:textId="04958A3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0.001</w:t>
            </w:r>
          </w:p>
        </w:tc>
      </w:tr>
    </w:tbl>
    <w:p w14:paraId="388390AA" w14:textId="00928F35" w:rsidR="00D612FB" w:rsidRPr="00D612FB" w:rsidRDefault="00D612FB" w:rsidP="00D612FB">
      <w:pPr>
        <w:pStyle w:val="Heading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sz w:val="24"/>
          <w:szCs w:val="24"/>
        </w:rPr>
      </w:pPr>
      <w:r w:rsidRPr="00D612FB">
        <w:rPr>
          <w:rFonts w:ascii="Book Antiqua" w:hAnsi="Book Antiqua" w:cs="Times New Roman"/>
          <w:b w:val="0"/>
          <w:sz w:val="24"/>
          <w:szCs w:val="24"/>
          <w:vertAlign w:val="superscript"/>
        </w:rPr>
        <w:t>1</w:t>
      </w:r>
      <w:r w:rsidRPr="00D612FB">
        <w:rPr>
          <w:rFonts w:ascii="Book Antiqua" w:hAnsi="Book Antiqua" w:cs="Times New Roman"/>
          <w:b w:val="0"/>
          <w:sz w:val="24"/>
          <w:szCs w:val="24"/>
        </w:rPr>
        <w:t>Values are expressed as median (range). BMI: Body mass index; HBV: Hepatitis B virus; HCV: Hepatitis C virus; NASH: Non-alcoholic steatohepatitis; ALBI score: Albumin bilirubin score; MELD score: Model for End-Stage Liver Disease score; ALT: Alanine aminotransferase; AST: Aspartate aminotransferase; GGTP: Gamma-glutamyl transpeptidase; AFP: Alpha fetoprotein; DCP: Des-gamma carboxyprothrombin; MRE: Magnetic resonance elastography; SWE: Shear wave elastography; HCC: Hepatocellular carcinoma; BCAA: Branched-chain amino acid.</w:t>
      </w:r>
    </w:p>
    <w:p w14:paraId="2A51924A" w14:textId="7291357C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1665F422" w14:textId="5689766E" w:rsidR="00D612FB" w:rsidRPr="00A169E7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Risk factors for insufficient improvement of serum ammonia after rifaximin treatment</w:t>
      </w:r>
    </w:p>
    <w:tbl>
      <w:tblPr>
        <w:tblW w:w="486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487"/>
        <w:gridCol w:w="1389"/>
      </w:tblGrid>
      <w:tr w:rsidR="00D612FB" w:rsidRPr="00A169E7" w14:paraId="35CC6643" w14:textId="77777777" w:rsidTr="0082682B">
        <w:trPr>
          <w:trHeight w:val="720"/>
        </w:trPr>
        <w:tc>
          <w:tcPr>
            <w:tcW w:w="43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842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6BF" w14:textId="55367096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HR (95%CI)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75F" w14:textId="0650F29D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/>
                <w:i/>
                <w:iCs/>
                <w:sz w:val="24"/>
                <w:szCs w:val="24"/>
              </w:rPr>
              <w:t>P</w:t>
            </w:r>
            <w:r w:rsidR="001E659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A169E7">
              <w:rPr>
                <w:rFonts w:ascii="Book Antiqua" w:hAnsi="Book Antiqua" w:cs="Times New Roman"/>
                <w:b/>
                <w:sz w:val="24"/>
                <w:szCs w:val="24"/>
              </w:rPr>
              <w:t>value</w:t>
            </w:r>
          </w:p>
        </w:tc>
      </w:tr>
      <w:tr w:rsidR="00D612FB" w:rsidRPr="00A169E7" w14:paraId="411E6C6F" w14:textId="77777777" w:rsidTr="0082682B">
        <w:trPr>
          <w:trHeight w:val="720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7BEE81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79C6B9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C9646C" w14:textId="77777777" w:rsidR="00D612FB" w:rsidRPr="00A169E7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D612FB" w:rsidRPr="00A169E7" w14:paraId="443D66EE" w14:textId="77777777" w:rsidTr="0082682B">
        <w:trPr>
          <w:trHeight w:val="521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91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Univariate analysis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36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E8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D612FB" w:rsidRPr="00A169E7" w14:paraId="291881CF" w14:textId="77777777" w:rsidTr="0082682B">
        <w:trPr>
          <w:trHeight w:val="500"/>
        </w:trPr>
        <w:tc>
          <w:tcPr>
            <w:tcW w:w="4390" w:type="dxa"/>
            <w:shd w:val="clear" w:color="auto" w:fill="auto"/>
            <w:noWrap/>
            <w:vAlign w:val="center"/>
          </w:tcPr>
          <w:p w14:paraId="02A2874A" w14:textId="767888B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Age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yr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at MRE) </w:t>
            </w:r>
          </w:p>
          <w:p w14:paraId="302CD8A8" w14:textId="759424E6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70</w:t>
            </w:r>
          </w:p>
          <w:p w14:paraId="43807668" w14:textId="12DF644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70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324B484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D21879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A5C837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2.2 (0.56-8.7)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2CB95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0CDEB5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46C906D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0.26</w:t>
            </w:r>
          </w:p>
        </w:tc>
      </w:tr>
      <w:tr w:rsidR="00D612FB" w:rsidRPr="00A169E7" w14:paraId="5C135D61" w14:textId="77777777" w:rsidTr="0082682B">
        <w:trPr>
          <w:trHeight w:val="5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C38A6E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Sex</w:t>
            </w:r>
          </w:p>
          <w:p w14:paraId="146801C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female</w:t>
            </w:r>
          </w:p>
          <w:p w14:paraId="7518ED8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85E5E9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609AF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10256E6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0.491 (0.128-1.88)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08AD7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2F2D45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C8027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0.30</w:t>
            </w:r>
          </w:p>
        </w:tc>
      </w:tr>
      <w:tr w:rsidR="00D612FB" w:rsidRPr="00A169E7" w14:paraId="7AE8F155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DF23D62" w14:textId="09222CA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BMI (kg/m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2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  <w:p w14:paraId="0129CF11" w14:textId="5309768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28</w:t>
            </w:r>
          </w:p>
          <w:p w14:paraId="3BF97965" w14:textId="3EA17C4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28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CB2F6B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8AF229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1CFEF5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 (0.094-1.85)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11D1A8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48F323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4862FE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0.25</w:t>
            </w:r>
          </w:p>
        </w:tc>
      </w:tr>
      <w:tr w:rsidR="00D612FB" w:rsidRPr="00A169E7" w14:paraId="3FC07FE5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7F351A" w14:textId="6C3C64A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AST (IU/L)</w:t>
            </w:r>
          </w:p>
          <w:p w14:paraId="0C24FD97" w14:textId="4304037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36</w:t>
            </w:r>
          </w:p>
          <w:p w14:paraId="022146DA" w14:textId="6EF2365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1A7C72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C8EFDB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4A8B705" w14:textId="6A90C8E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0.372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(0.094-1.47)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781E44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D1E564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FDF976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2B8517AB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6F74BA2" w14:textId="498E1EB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ALT (IU/L)</w:t>
            </w:r>
          </w:p>
          <w:p w14:paraId="681D5EB7" w14:textId="48DEF8B6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30</w:t>
            </w:r>
          </w:p>
          <w:p w14:paraId="49C77CA7" w14:textId="0A4093AB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30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0505FB4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1854F6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244B569" w14:textId="1FF08E5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(0.11-1.7)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0F0221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586E8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694F4E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0.23</w:t>
            </w:r>
          </w:p>
        </w:tc>
      </w:tr>
      <w:tr w:rsidR="00D612FB" w:rsidRPr="00A169E7" w14:paraId="15B2BA0F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BE9C05B" w14:textId="63ED901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GGTP (IU/</w:t>
            </w:r>
            <w:proofErr w:type="gram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L)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a</w:t>
            </w:r>
            <w:proofErr w:type="gramEnd"/>
          </w:p>
          <w:p w14:paraId="4185369B" w14:textId="47D8571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42</w:t>
            </w:r>
          </w:p>
          <w:p w14:paraId="2E8CA017" w14:textId="1111D4E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42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3E66CA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9E2CB1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2C94E57A" w14:textId="79C89B0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0.71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(0.18-2.87)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73449C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BFFCDB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F8468B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0.64</w:t>
            </w:r>
          </w:p>
        </w:tc>
      </w:tr>
      <w:tr w:rsidR="00D612FB" w:rsidRPr="00A169E7" w14:paraId="3C36438C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498892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Albumin (g/dL) </w:t>
            </w:r>
          </w:p>
          <w:p w14:paraId="6AD14286" w14:textId="6E7D04F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3.0</w:t>
            </w:r>
          </w:p>
          <w:p w14:paraId="78F20DD4" w14:textId="4EF5BCF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3.0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790987A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DA62BC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AEAFD02" w14:textId="1EFA0CC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(0.83-13)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F9361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A9C7CF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0724E6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0.091</w:t>
            </w:r>
          </w:p>
        </w:tc>
      </w:tr>
      <w:tr w:rsidR="00D612FB" w:rsidRPr="00A169E7" w14:paraId="476A0A75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8CA16F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Total bilirubin (mg/dL) </w:t>
            </w:r>
          </w:p>
          <w:p w14:paraId="4BDF12FC" w14:textId="19DA7AD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1.4</w:t>
            </w:r>
          </w:p>
          <w:p w14:paraId="47E83BEB" w14:textId="16762D1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≥ 1.4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334F6F3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969E6A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3EC2301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3.0 (0.76-12)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ABBCEA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1F2BC0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23FB3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0.12</w:t>
            </w:r>
          </w:p>
        </w:tc>
      </w:tr>
      <w:tr w:rsidR="00D612FB" w:rsidRPr="00A169E7" w14:paraId="106F7802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A20064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Platelet count (×10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3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μL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  <w:p w14:paraId="499E3247" w14:textId="67015B3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6.8</w:t>
            </w:r>
          </w:p>
          <w:p w14:paraId="54FBAF20" w14:textId="5FE20D0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6.8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67A369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98D222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2663660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4.1 (0.67-25)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E4E78D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37F40A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3DF168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0CF3E486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1F5BA518" w14:textId="614735B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Prothrombin activity</w:t>
            </w:r>
            <w:r w:rsidR="00E67F84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(%)</w:t>
            </w:r>
          </w:p>
          <w:p w14:paraId="19D93E52" w14:textId="6E0E0FBB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&lt; 58</w:t>
            </w:r>
          </w:p>
          <w:p w14:paraId="3E3896E5" w14:textId="50DF4FC6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≥ 58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C01B77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8E9309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4FB010D" w14:textId="73124550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(0.72-13)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C643FE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10FC56EC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392A23B" w14:textId="15E9255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AFP (ng/mL)</w:t>
            </w:r>
          </w:p>
          <w:p w14:paraId="2B6651BB" w14:textId="0B28036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6.5</w:t>
            </w:r>
          </w:p>
          <w:p w14:paraId="0F5A316D" w14:textId="1698540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6.5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1226E8C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9BE083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A4F117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3.25 (0.55-19)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65D94B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F1FEB5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693D91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0.20</w:t>
            </w:r>
          </w:p>
        </w:tc>
      </w:tr>
      <w:tr w:rsidR="00D612FB" w:rsidRPr="00A169E7" w14:paraId="493D52E6" w14:textId="77777777" w:rsidTr="0082682B"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B9F501C" w14:textId="0606037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DCP (</w:t>
            </w:r>
            <w:proofErr w:type="spellStart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mAU</w:t>
            </w:r>
            <w:proofErr w:type="spellEnd"/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/mL)</w:t>
            </w:r>
          </w:p>
          <w:p w14:paraId="69D11ABC" w14:textId="222D5E6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18</w:t>
            </w:r>
          </w:p>
          <w:p w14:paraId="15FB92F7" w14:textId="58F3A7F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6F41BA1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478CCC3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F8314F2" w14:textId="28C6F0D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(0.57-23)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2C7863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B75DBF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383FAE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0.17</w:t>
            </w:r>
          </w:p>
        </w:tc>
      </w:tr>
      <w:tr w:rsidR="00D612FB" w:rsidRPr="00A169E7" w14:paraId="7FCB0980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50A2195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Ascites</w:t>
            </w:r>
          </w:p>
          <w:p w14:paraId="75B426D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1B43752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5F1374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1E157F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CF742D2" w14:textId="38C2EB3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2.5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(0.70-8.8)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4CB215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6CA985C9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2B38803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Esophageal varices</w:t>
            </w:r>
          </w:p>
          <w:p w14:paraId="319B9C9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39D41CA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95D43C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9FD4FA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5E696C2" w14:textId="1521478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1.8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(0.43-7.5)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A32746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</w:t>
            </w:r>
          </w:p>
        </w:tc>
      </w:tr>
      <w:tr w:rsidR="00D612FB" w:rsidRPr="00A169E7" w14:paraId="222FC684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3E7E6A7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History of hepatic encephalopathy</w:t>
            </w:r>
          </w:p>
          <w:p w14:paraId="12C6B67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6C53A4C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FE5A8E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88CB54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19142497" w14:textId="015781F5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(0.77-16)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4CC71A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0.11</w:t>
            </w:r>
          </w:p>
        </w:tc>
      </w:tr>
      <w:tr w:rsidR="00D612FB" w:rsidRPr="00A169E7" w14:paraId="490712E4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1DDF830F" w14:textId="36BDCF0A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HCC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22B3866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5C3800D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B85601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6C45BB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5FEB9EB" w14:textId="1D167371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(0.16-3.6)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82F48C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0.72</w:t>
            </w:r>
          </w:p>
        </w:tc>
      </w:tr>
      <w:tr w:rsidR="00D612FB" w:rsidRPr="00A169E7" w14:paraId="6B87ACB9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2F6C9B8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Sarcopenia</w:t>
            </w:r>
          </w:p>
          <w:p w14:paraId="7498718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Absent</w:t>
            </w:r>
          </w:p>
          <w:p w14:paraId="1748F55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4F87FE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C4F28A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73D6FB1C" w14:textId="745C8991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1.64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(0.41-6.6)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96C51B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0.49</w:t>
            </w:r>
          </w:p>
        </w:tc>
      </w:tr>
      <w:tr w:rsidR="00D612FB" w:rsidRPr="00A169E7" w14:paraId="79FA3C08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4EFA2DD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Child-Pugh Score</w:t>
            </w:r>
          </w:p>
          <w:p w14:paraId="6EBD7C07" w14:textId="3536D44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7</w:t>
            </w:r>
          </w:p>
          <w:p w14:paraId="764BFA19" w14:textId="191663B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≥ 7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BC67E1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8E0905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A0F800E" w14:textId="03FBF7C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3.9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(0.94-16)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0FB0500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0.061</w:t>
            </w:r>
          </w:p>
        </w:tc>
      </w:tr>
      <w:tr w:rsidR="00D612FB" w:rsidRPr="00A169E7" w14:paraId="3928968E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0FDE00E9" w14:textId="2353CF1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ALBI Score</w:t>
            </w:r>
          </w:p>
          <w:p w14:paraId="52D5A3D0" w14:textId="6A01F4A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-1.6</w:t>
            </w:r>
          </w:p>
          <w:p w14:paraId="68FA531A" w14:textId="0B55F29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-1.6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65305E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A16599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678CF0C" w14:textId="4707740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(1.1-25)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3ABF89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76CB50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0690D1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0.033</w:t>
            </w:r>
          </w:p>
        </w:tc>
      </w:tr>
      <w:tr w:rsidR="00D612FB" w:rsidRPr="00A169E7" w14:paraId="20F7A8A9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6524A5F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MELD Score</w:t>
            </w:r>
          </w:p>
          <w:p w14:paraId="49FEFF05" w14:textId="2FA6F02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12</w:t>
            </w:r>
          </w:p>
          <w:p w14:paraId="568A2EF1" w14:textId="46BBBA2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12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E37C26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C2882C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092E55C7" w14:textId="7ED8321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(0.72-13)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519D775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0.13</w:t>
            </w:r>
          </w:p>
        </w:tc>
      </w:tr>
      <w:tr w:rsidR="00D612FB" w:rsidRPr="00A169E7" w14:paraId="3491B639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580E1863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Fibrosis 4 index</w:t>
            </w:r>
          </w:p>
          <w:p w14:paraId="2FCA6243" w14:textId="0A902C7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8.3</w:t>
            </w:r>
          </w:p>
          <w:p w14:paraId="02286515" w14:textId="4CCAC2C0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8.3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2BA87B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8F5039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A98C593" w14:textId="34F6E5B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0.42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(0.094-1.9)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1E077F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0B65FC5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28F753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0.25</w:t>
            </w:r>
          </w:p>
        </w:tc>
      </w:tr>
      <w:tr w:rsidR="00D612FB" w:rsidRPr="00A169E7" w14:paraId="0B25346D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5508755C" w14:textId="1F8DF099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MRE (kPa)</w:t>
            </w:r>
          </w:p>
          <w:p w14:paraId="408B1D4B" w14:textId="3A66BBDB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&lt; 5.0</w:t>
            </w:r>
          </w:p>
          <w:p w14:paraId="33EF9C0A" w14:textId="5F995AE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≥ 5.0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0A4204A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1B9260E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56F5A114" w14:textId="51689A5E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1.63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(0.40-8.3)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8316CB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0.43</w:t>
            </w:r>
          </w:p>
        </w:tc>
      </w:tr>
      <w:tr w:rsidR="00D612FB" w:rsidRPr="00A169E7" w14:paraId="10C60412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2D59020E" w14:textId="39698130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SWE (kPa)</w:t>
            </w:r>
          </w:p>
          <w:p w14:paraId="4AB09F5D" w14:textId="7865BCE4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17.7</w:t>
            </w:r>
          </w:p>
          <w:p w14:paraId="74DE892D" w14:textId="16FFB523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17.7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18416DC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11C0F8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C8C916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3.0 (0.65-14)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7B2CA5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1099F6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9363CC4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0.16</w:t>
            </w:r>
          </w:p>
        </w:tc>
      </w:tr>
      <w:tr w:rsidR="00D612FB" w:rsidRPr="00A169E7" w14:paraId="704C2117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1796EA5A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</w:t>
            </w:r>
          </w:p>
          <w:p w14:paraId="13A940EF" w14:textId="5FE3C63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8.0</w:t>
            </w:r>
          </w:p>
          <w:p w14:paraId="5F2CDA2D" w14:textId="7F3B55D4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56BAE9E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BAB4E6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5EBB45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E71344F" w14:textId="0DB770A1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6.8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(1.4-33)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7F08CF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25CF0D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1291484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A8E4DD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0.017</w:t>
            </w:r>
          </w:p>
        </w:tc>
      </w:tr>
      <w:tr w:rsidR="00D612FB" w:rsidRPr="00A169E7" w14:paraId="7EF0DB87" w14:textId="77777777" w:rsidTr="0082682B">
        <w:trPr>
          <w:trHeight w:val="200"/>
        </w:trPr>
        <w:tc>
          <w:tcPr>
            <w:tcW w:w="4390" w:type="dxa"/>
            <w:shd w:val="clear" w:color="auto" w:fill="auto"/>
            <w:noWrap/>
            <w:vAlign w:val="center"/>
          </w:tcPr>
          <w:p w14:paraId="339E6B37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Number of portosystemic shunt systems</w:t>
            </w:r>
          </w:p>
          <w:p w14:paraId="5F83DA32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0,1</w:t>
            </w:r>
          </w:p>
          <w:p w14:paraId="6056995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2-4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75465F85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27CB703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29DEF56" w14:textId="3DEED03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1.36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(0.32-5.9)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FF396E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0.68</w:t>
            </w:r>
          </w:p>
        </w:tc>
      </w:tr>
      <w:tr w:rsidR="00D612FB" w:rsidRPr="00A169E7" w14:paraId="6F4A6CCD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7922D269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Multivariate analysis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47EEF676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3571F17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D612FB" w:rsidRPr="00A169E7" w14:paraId="504287F2" w14:textId="77777777" w:rsidTr="0082682B">
        <w:tc>
          <w:tcPr>
            <w:tcW w:w="4390" w:type="dxa"/>
            <w:shd w:val="clear" w:color="auto" w:fill="auto"/>
            <w:noWrap/>
            <w:vAlign w:val="center"/>
          </w:tcPr>
          <w:p w14:paraId="153CE23F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Max diameter of portosystemic shunt</w:t>
            </w:r>
          </w:p>
          <w:p w14:paraId="5BC04268" w14:textId="6EE301FF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8.0</w:t>
            </w:r>
          </w:p>
          <w:p w14:paraId="79C08078" w14:textId="3D1E8D6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≥ 8.0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690D82FD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46670671" w14:textId="6FEBA390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5.5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(1.1-28)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96EF16B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303083F1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0.039</w:t>
            </w:r>
          </w:p>
        </w:tc>
      </w:tr>
      <w:tr w:rsidR="00D612FB" w:rsidRPr="00A169E7" w14:paraId="7D997EB3" w14:textId="77777777" w:rsidTr="0082682B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62F20" w14:textId="33680A8D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ALBI Score</w:t>
            </w:r>
          </w:p>
          <w:p w14:paraId="222A9ACB" w14:textId="78FC06A8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&lt; -1.6</w:t>
            </w:r>
          </w:p>
          <w:p w14:paraId="5781321D" w14:textId="64BC15FC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 xml:space="preserve">≥ -1.6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C709C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6528BDA0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</w:p>
          <w:p w14:paraId="66FFA2BA" w14:textId="48048192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3.3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t>(0.62-18)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2A038" w14:textId="77777777" w:rsidR="00D612FB" w:rsidRPr="00D612FB" w:rsidRDefault="00D612FB" w:rsidP="0082682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D612FB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0.16</w:t>
            </w:r>
          </w:p>
        </w:tc>
      </w:tr>
    </w:tbl>
    <w:p w14:paraId="513B9745" w14:textId="514DE88E" w:rsidR="00D612FB" w:rsidRPr="00D612FB" w:rsidRDefault="00D612FB" w:rsidP="00D612FB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612FB">
        <w:rPr>
          <w:rFonts w:ascii="Book Antiqua" w:hAnsi="Book Antiqua" w:cs="Times New Roman"/>
          <w:sz w:val="24"/>
          <w:szCs w:val="24"/>
        </w:rPr>
        <w:t xml:space="preserve">BMI: Body mass index; ALT: Alanine aminotransferase; AST: Aspartate aminotransferase; GGTP: Gamma-glutamyl transpeptidase; AFP: Alpha fetoprotein; DCP: Des-gamma carboxyprothrombin; HCC: Hepatocellular carcinoma; MELD Score: Model for End-Stage Liver Disease score; ALBI Score: Albumin-bilirubin </w:t>
      </w:r>
      <w:r w:rsidR="00722099" w:rsidRPr="00D612FB">
        <w:rPr>
          <w:rFonts w:ascii="Book Antiqua" w:hAnsi="Book Antiqua" w:cs="Times New Roman"/>
          <w:sz w:val="24"/>
          <w:szCs w:val="24"/>
        </w:rPr>
        <w:t>s</w:t>
      </w:r>
      <w:r w:rsidRPr="00D612FB">
        <w:rPr>
          <w:rFonts w:ascii="Book Antiqua" w:hAnsi="Book Antiqua" w:cs="Times New Roman"/>
          <w:sz w:val="24"/>
          <w:szCs w:val="24"/>
        </w:rPr>
        <w:t>core; MRE: Magnetic resonance elastography; SWE: Shear wave elastography.</w:t>
      </w:r>
    </w:p>
    <w:p w14:paraId="76270C47" w14:textId="4BE738C9" w:rsidR="00D612FB" w:rsidRDefault="00D612FB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5DE033F3" w14:textId="77777777" w:rsidR="0090559E" w:rsidRPr="00D612FB" w:rsidRDefault="0090559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EF2E848" w14:textId="3102D078" w:rsidR="00E56E3E" w:rsidRPr="00A169E7" w:rsidRDefault="00190ECF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/>
          <w:noProof/>
          <w:sz w:val="24"/>
          <w:szCs w:val="24"/>
        </w:rPr>
        <mc:AlternateContent>
          <mc:Choice Requires="cx1">
            <w:drawing>
              <wp:inline distT="0" distB="0" distL="0" distR="0" wp14:anchorId="54046324" wp14:editId="46C85723">
                <wp:extent cx="5400040" cy="3856990"/>
                <wp:effectExtent l="0" t="0" r="10160" b="10160"/>
                <wp:docPr id="2" name="グラ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E6DE6-1E6F-4A3A-A030-A3679577F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54046324" wp14:editId="46C85723">
                <wp:extent cx="5400040" cy="3856990"/>
                <wp:effectExtent l="0" t="0" r="10160" b="10160"/>
                <wp:docPr id="2" name="グラ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E6DE6-1E6F-4A3A-A030-A3679577F92D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グラフ 2">
                          <a:extLst>
                            <a:ext uri="{FF2B5EF4-FFF2-40B4-BE49-F238E27FC236}">
                              <a16:creationId xmlns:a16="http://schemas.microsoft.com/office/drawing/2014/main" id="{A6AE6DE6-1E6F-4A3A-A030-A3679577F92D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385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D325BDF" w14:textId="4FFB5679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7B525F5" w14:textId="7C1B3267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>Figure 1</w:t>
      </w:r>
      <w:r w:rsid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 </w:t>
      </w:r>
      <w:r w:rsidR="00676DCA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>Serum a</w:t>
      </w:r>
      <w:r w:rsidR="00B6777C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mmonia </w:t>
      </w:r>
      <w:r w:rsidR="00676DCA" w:rsidRPr="00A169E7">
        <w:rPr>
          <w:rFonts w:ascii="Book Antiqua" w:hAnsi="Book Antiqua" w:cs="Times New Roman"/>
          <w:b/>
          <w:bCs/>
          <w:sz w:val="24"/>
          <w:szCs w:val="24"/>
          <w:lang w:val="en"/>
        </w:rPr>
        <w:t xml:space="preserve">levels.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Before rifaximin treatment, median of blood ammonia level was 104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/dL (range, 59-297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/dL), whereas two weeks after the treatment it decreased to 85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/dL (34-153), showing a significant difference (</w:t>
      </w:r>
      <w:r w:rsidR="00C518F6" w:rsidRPr="00A169E7">
        <w:rPr>
          <w:rFonts w:ascii="Book Antiqua" w:hAnsi="Book Antiqua" w:cs="Times New Roman"/>
          <w:bCs/>
          <w:i/>
          <w:iCs/>
          <w:sz w:val="24"/>
          <w:szCs w:val="24"/>
          <w:lang w:val="en"/>
        </w:rPr>
        <w:t>P</w:t>
      </w:r>
      <w:r w:rsidR="00722099">
        <w:rPr>
          <w:rFonts w:ascii="Book Antiqua" w:hAnsi="Book Antiqua" w:cs="Times New Roman"/>
          <w:bCs/>
          <w:i/>
          <w:iCs/>
          <w:sz w:val="24"/>
          <w:szCs w:val="24"/>
          <w:lang w:val="e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=</w:t>
      </w:r>
      <w:r w:rsidR="00722099">
        <w:rPr>
          <w:rFonts w:ascii="Book Antiqua" w:hAnsi="Book Antiqua" w:cs="Times New Roman"/>
          <w:bCs/>
          <w:sz w:val="24"/>
          <w:szCs w:val="24"/>
          <w:lang w:val="en"/>
        </w:rPr>
        <w:t xml:space="preserve"> </w:t>
      </w:r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0.002). The median values were 71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dL (47-341) after 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79.5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dL (37-215) after 8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70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 dL (31-221) after 12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80.5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/dL (44-150) after 24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81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/dL (20-298) after 36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91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/dL (53-169) after 48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wk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 xml:space="preserve">, and eventually 85 </w:t>
      </w:r>
      <w:proofErr w:type="spellStart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μg</w:t>
      </w:r>
      <w:proofErr w:type="spellEnd"/>
      <w:r w:rsidRPr="00A169E7">
        <w:rPr>
          <w:rFonts w:ascii="Book Antiqua" w:hAnsi="Book Antiqua" w:cs="Times New Roman"/>
          <w:bCs/>
          <w:sz w:val="24"/>
          <w:szCs w:val="24"/>
          <w:lang w:val="en"/>
        </w:rPr>
        <w:t>/dL (45-192) after 60 wk. Decrease was noted at all the points after the start of the treatment when compared with the ones before it</w:t>
      </w:r>
    </w:p>
    <w:p w14:paraId="3FDDCCDB" w14:textId="59CF3D04" w:rsidR="00E56E3E" w:rsidRPr="00A169E7" w:rsidRDefault="001A7E8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169E7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41FA5B17" wp14:editId="045E74A4">
            <wp:extent cx="4963615" cy="2941320"/>
            <wp:effectExtent l="0" t="0" r="889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6" cy="29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34CC" w14:textId="77777777" w:rsidR="001A7E85" w:rsidRPr="00A169E7" w:rsidRDefault="001A7E8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7336D06" w14:textId="7FBF3F8E" w:rsidR="00A02658" w:rsidRPr="00D612FB" w:rsidRDefault="00A02658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169E7">
        <w:rPr>
          <w:rFonts w:ascii="Book Antiqua" w:hAnsi="Book Antiqua" w:cs="Times New Roman"/>
          <w:b/>
          <w:sz w:val="24"/>
          <w:szCs w:val="24"/>
        </w:rPr>
        <w:t>Figure</w:t>
      </w:r>
      <w:r w:rsidR="00A169E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169E7">
        <w:rPr>
          <w:rFonts w:ascii="Book Antiqua" w:hAnsi="Book Antiqua" w:cs="Times New Roman"/>
          <w:b/>
          <w:sz w:val="24"/>
          <w:szCs w:val="24"/>
        </w:rPr>
        <w:t>2</w:t>
      </w:r>
      <w:r w:rsidR="0048348F" w:rsidRPr="00A169E7">
        <w:rPr>
          <w:rFonts w:ascii="Book Antiqua" w:hAnsi="Book Antiqua" w:cs="Times New Roman"/>
          <w:b/>
          <w:sz w:val="24"/>
          <w:szCs w:val="24"/>
        </w:rPr>
        <w:t xml:space="preserve"> Kaplan-Meir survival curves</w:t>
      </w:r>
      <w:r w:rsidR="00A169E7">
        <w:rPr>
          <w:rFonts w:ascii="Book Antiqua" w:hAnsi="Book Antiqua" w:cs="Times New Roman"/>
          <w:b/>
          <w:sz w:val="24"/>
          <w:szCs w:val="24"/>
        </w:rPr>
        <w:t>.</w:t>
      </w:r>
      <w:r w:rsidR="00D612FB">
        <w:rPr>
          <w:rFonts w:ascii="Book Antiqua" w:eastAsia="DengXia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A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Results from log-rank test showed significant differences in Child-Pugh A and B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v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s Child-Pugh C.</w:t>
      </w:r>
      <w:r w:rsidR="00D612FB" w:rsidRPr="00D612FB">
        <w:rPr>
          <w:rFonts w:ascii="Book Antiqua" w:eastAsia="DengXian" w:hAnsi="Book Antiqua" w:cs="Times New Roman" w:hint="eastAsia"/>
          <w:bCs/>
          <w:sz w:val="24"/>
          <w:szCs w:val="24"/>
          <w:lang w:eastAsia="zh-CN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a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patients with Child-Pugh A and B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30)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, b: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patients with Child-Pugh C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A169E7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A169E7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 xml:space="preserve">8). Median survival time was 43 </w:t>
      </w:r>
      <w:proofErr w:type="spellStart"/>
      <w:r w:rsidRPr="00D612FB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; </w:t>
      </w:r>
      <w:r w:rsidRPr="00D612FB">
        <w:rPr>
          <w:rFonts w:ascii="Book Antiqua" w:hAnsi="Book Antiqua" w:cs="Times New Roman"/>
          <w:bCs/>
          <w:sz w:val="24"/>
          <w:szCs w:val="24"/>
        </w:rPr>
        <w:t>B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: Results from log-rank test showed no significant differences of rifaximin group 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>vs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control group. a: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rifaximin group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38)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>,</w:t>
      </w:r>
      <w:r w:rsidRPr="00D612FB">
        <w:rPr>
          <w:rFonts w:ascii="Book Antiqua" w:hAnsi="Book Antiqua" w:cs="Times New Roman"/>
          <w:bCs/>
          <w:sz w:val="24"/>
          <w:szCs w:val="24"/>
        </w:rPr>
        <w:t xml:space="preserve"> b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: </w:t>
      </w:r>
      <w:r w:rsidRPr="00D612FB">
        <w:rPr>
          <w:rFonts w:ascii="Book Antiqua" w:hAnsi="Book Antiqua" w:cs="Times New Roman"/>
          <w:bCs/>
          <w:sz w:val="24"/>
          <w:szCs w:val="24"/>
        </w:rPr>
        <w:t>Survival data of control group (</w:t>
      </w:r>
      <w:r w:rsidRPr="00D612FB">
        <w:rPr>
          <w:rFonts w:ascii="Book Antiqua" w:hAnsi="Book Antiqua" w:cs="Times New Roman"/>
          <w:bCs/>
          <w:i/>
          <w:iCs/>
          <w:sz w:val="24"/>
          <w:szCs w:val="24"/>
        </w:rPr>
        <w:t>n</w:t>
      </w:r>
      <w:r w:rsidR="00D612FB" w:rsidRPr="00D612FB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=</w:t>
      </w:r>
      <w:r w:rsidR="00D612FB" w:rsidRPr="00D612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D612FB">
        <w:rPr>
          <w:rFonts w:ascii="Book Antiqua" w:hAnsi="Book Antiqua" w:cs="Times New Roman"/>
          <w:bCs/>
          <w:sz w:val="24"/>
          <w:szCs w:val="24"/>
        </w:rPr>
        <w:t>34).</w:t>
      </w:r>
    </w:p>
    <w:p w14:paraId="68E9CF01" w14:textId="6CB75451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60553C" w14:textId="70FF2B84" w:rsidR="00E56E3E" w:rsidRPr="00A169E7" w:rsidRDefault="00E56E3E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E8D672" w14:textId="316EF449" w:rsidR="003C17C5" w:rsidRPr="00A169E7" w:rsidRDefault="003C17C5" w:rsidP="00A169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3C17C5" w:rsidRPr="00A169E7" w:rsidSect="003E3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94CE" w14:textId="77777777" w:rsidR="00746BB3" w:rsidRDefault="00746BB3" w:rsidP="00D11E0D">
      <w:r>
        <w:separator/>
      </w:r>
    </w:p>
  </w:endnote>
  <w:endnote w:type="continuationSeparator" w:id="0">
    <w:p w14:paraId="67CE9E08" w14:textId="77777777" w:rsidR="00746BB3" w:rsidRDefault="00746BB3" w:rsidP="00D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E38F" w14:textId="77777777" w:rsidR="00746BB3" w:rsidRDefault="00746BB3" w:rsidP="00D11E0D">
      <w:r>
        <w:separator/>
      </w:r>
    </w:p>
  </w:footnote>
  <w:footnote w:type="continuationSeparator" w:id="0">
    <w:p w14:paraId="2E68E4F6" w14:textId="77777777" w:rsidR="00746BB3" w:rsidRDefault="00746BB3" w:rsidP="00D1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F49"/>
    <w:multiLevelType w:val="hybridMultilevel"/>
    <w:tmpl w:val="918C1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F4934"/>
    <w:multiLevelType w:val="multilevel"/>
    <w:tmpl w:val="0592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C4FB3"/>
    <w:multiLevelType w:val="multilevel"/>
    <w:tmpl w:val="B33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86346"/>
    <w:multiLevelType w:val="hybridMultilevel"/>
    <w:tmpl w:val="44A6049C"/>
    <w:lvl w:ilvl="0" w:tplc="6C94D71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555CC"/>
    <w:multiLevelType w:val="hybridMultilevel"/>
    <w:tmpl w:val="FC30452A"/>
    <w:lvl w:ilvl="0" w:tplc="D12AEB2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Hepat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dxadvdv2x5aavgew2vn5e50j99pfe2vv2r5w&quot;&gt;My EndNote Library FNH&lt;record-ids&gt;&lt;item&gt;13&lt;/item&gt;&lt;/record-ids&gt;&lt;/item&gt;&lt;/Libraries&gt;"/>
  </w:docVars>
  <w:rsids>
    <w:rsidRoot w:val="00992F7F"/>
    <w:rsid w:val="00001307"/>
    <w:rsid w:val="00001348"/>
    <w:rsid w:val="0001272D"/>
    <w:rsid w:val="0002300E"/>
    <w:rsid w:val="00023174"/>
    <w:rsid w:val="00024067"/>
    <w:rsid w:val="0002417A"/>
    <w:rsid w:val="00025653"/>
    <w:rsid w:val="00025F69"/>
    <w:rsid w:val="00026CBC"/>
    <w:rsid w:val="00026FF8"/>
    <w:rsid w:val="0003025A"/>
    <w:rsid w:val="00030655"/>
    <w:rsid w:val="000369C5"/>
    <w:rsid w:val="00045C80"/>
    <w:rsid w:val="00047E73"/>
    <w:rsid w:val="00053F39"/>
    <w:rsid w:val="00061A9A"/>
    <w:rsid w:val="00067460"/>
    <w:rsid w:val="00074858"/>
    <w:rsid w:val="000814F0"/>
    <w:rsid w:val="00081921"/>
    <w:rsid w:val="0008716F"/>
    <w:rsid w:val="00087D36"/>
    <w:rsid w:val="00091696"/>
    <w:rsid w:val="00095439"/>
    <w:rsid w:val="00096F8E"/>
    <w:rsid w:val="000A4422"/>
    <w:rsid w:val="000A587C"/>
    <w:rsid w:val="000A78F8"/>
    <w:rsid w:val="000B198D"/>
    <w:rsid w:val="000B30CD"/>
    <w:rsid w:val="000B4ABF"/>
    <w:rsid w:val="000B653A"/>
    <w:rsid w:val="000C00C1"/>
    <w:rsid w:val="000C145D"/>
    <w:rsid w:val="000D4B22"/>
    <w:rsid w:val="000E2B05"/>
    <w:rsid w:val="000E32C5"/>
    <w:rsid w:val="000E738A"/>
    <w:rsid w:val="000F14F4"/>
    <w:rsid w:val="000F66EC"/>
    <w:rsid w:val="00104D39"/>
    <w:rsid w:val="00107A21"/>
    <w:rsid w:val="00107B2E"/>
    <w:rsid w:val="001119B1"/>
    <w:rsid w:val="00111B48"/>
    <w:rsid w:val="00112823"/>
    <w:rsid w:val="00113535"/>
    <w:rsid w:val="00115541"/>
    <w:rsid w:val="00120897"/>
    <w:rsid w:val="00121113"/>
    <w:rsid w:val="0012337E"/>
    <w:rsid w:val="0012356B"/>
    <w:rsid w:val="0012381F"/>
    <w:rsid w:val="001244B0"/>
    <w:rsid w:val="0012784C"/>
    <w:rsid w:val="0013027C"/>
    <w:rsid w:val="00133FFD"/>
    <w:rsid w:val="00141E7D"/>
    <w:rsid w:val="001425EE"/>
    <w:rsid w:val="00142C57"/>
    <w:rsid w:val="00144308"/>
    <w:rsid w:val="00146D69"/>
    <w:rsid w:val="00147D2D"/>
    <w:rsid w:val="00152FD8"/>
    <w:rsid w:val="00155F3C"/>
    <w:rsid w:val="00160466"/>
    <w:rsid w:val="00166440"/>
    <w:rsid w:val="001745D4"/>
    <w:rsid w:val="00174D21"/>
    <w:rsid w:val="00175EAA"/>
    <w:rsid w:val="00183D7E"/>
    <w:rsid w:val="0018709C"/>
    <w:rsid w:val="00190ECF"/>
    <w:rsid w:val="0019412B"/>
    <w:rsid w:val="00195609"/>
    <w:rsid w:val="001A469D"/>
    <w:rsid w:val="001A4704"/>
    <w:rsid w:val="001A5C5A"/>
    <w:rsid w:val="001A6F6F"/>
    <w:rsid w:val="001A72C2"/>
    <w:rsid w:val="001A7E85"/>
    <w:rsid w:val="001B1596"/>
    <w:rsid w:val="001B23BF"/>
    <w:rsid w:val="001B26E0"/>
    <w:rsid w:val="001B602A"/>
    <w:rsid w:val="001C1C43"/>
    <w:rsid w:val="001C5B28"/>
    <w:rsid w:val="001D23EE"/>
    <w:rsid w:val="001D2CC8"/>
    <w:rsid w:val="001E1D1A"/>
    <w:rsid w:val="001E479B"/>
    <w:rsid w:val="001E5470"/>
    <w:rsid w:val="001E659F"/>
    <w:rsid w:val="001F03EA"/>
    <w:rsid w:val="001F1697"/>
    <w:rsid w:val="001F2BC7"/>
    <w:rsid w:val="001F413F"/>
    <w:rsid w:val="002020B3"/>
    <w:rsid w:val="0020311F"/>
    <w:rsid w:val="00211C19"/>
    <w:rsid w:val="0021208C"/>
    <w:rsid w:val="00213909"/>
    <w:rsid w:val="00213F57"/>
    <w:rsid w:val="00221A57"/>
    <w:rsid w:val="00222649"/>
    <w:rsid w:val="002229C1"/>
    <w:rsid w:val="00230683"/>
    <w:rsid w:val="00235004"/>
    <w:rsid w:val="002417BA"/>
    <w:rsid w:val="00241A1A"/>
    <w:rsid w:val="00241B0E"/>
    <w:rsid w:val="0024380F"/>
    <w:rsid w:val="00244B15"/>
    <w:rsid w:val="00244F6C"/>
    <w:rsid w:val="00247216"/>
    <w:rsid w:val="00247483"/>
    <w:rsid w:val="0024748C"/>
    <w:rsid w:val="00253073"/>
    <w:rsid w:val="00253252"/>
    <w:rsid w:val="00256968"/>
    <w:rsid w:val="0026001A"/>
    <w:rsid w:val="002615F8"/>
    <w:rsid w:val="002616B2"/>
    <w:rsid w:val="00262B19"/>
    <w:rsid w:val="00265CB6"/>
    <w:rsid w:val="0027588C"/>
    <w:rsid w:val="00277EDF"/>
    <w:rsid w:val="0028187F"/>
    <w:rsid w:val="00281E2F"/>
    <w:rsid w:val="00284454"/>
    <w:rsid w:val="00287D0B"/>
    <w:rsid w:val="00291A32"/>
    <w:rsid w:val="0029350E"/>
    <w:rsid w:val="00297C7A"/>
    <w:rsid w:val="002A6812"/>
    <w:rsid w:val="002B2617"/>
    <w:rsid w:val="002B3D1D"/>
    <w:rsid w:val="002B44CF"/>
    <w:rsid w:val="002B7593"/>
    <w:rsid w:val="002C09BB"/>
    <w:rsid w:val="002C136F"/>
    <w:rsid w:val="002C2BF5"/>
    <w:rsid w:val="002C7EE6"/>
    <w:rsid w:val="002D0E14"/>
    <w:rsid w:val="002D3BF8"/>
    <w:rsid w:val="002D67DD"/>
    <w:rsid w:val="002D6A59"/>
    <w:rsid w:val="002E0DB1"/>
    <w:rsid w:val="002E1B54"/>
    <w:rsid w:val="002E1FA3"/>
    <w:rsid w:val="002E588A"/>
    <w:rsid w:val="002E5F38"/>
    <w:rsid w:val="002E6CDE"/>
    <w:rsid w:val="002E7E0D"/>
    <w:rsid w:val="002F1D80"/>
    <w:rsid w:val="002F294B"/>
    <w:rsid w:val="002F76F7"/>
    <w:rsid w:val="0030151F"/>
    <w:rsid w:val="00303C92"/>
    <w:rsid w:val="00310110"/>
    <w:rsid w:val="003109C3"/>
    <w:rsid w:val="00312D28"/>
    <w:rsid w:val="00314E55"/>
    <w:rsid w:val="00316FC0"/>
    <w:rsid w:val="003178DB"/>
    <w:rsid w:val="00321BF8"/>
    <w:rsid w:val="00322FF7"/>
    <w:rsid w:val="00324FBB"/>
    <w:rsid w:val="0032553B"/>
    <w:rsid w:val="003268C7"/>
    <w:rsid w:val="003278D2"/>
    <w:rsid w:val="003305C9"/>
    <w:rsid w:val="003310D6"/>
    <w:rsid w:val="003316FE"/>
    <w:rsid w:val="003350DD"/>
    <w:rsid w:val="0034000C"/>
    <w:rsid w:val="00340553"/>
    <w:rsid w:val="00340A54"/>
    <w:rsid w:val="003424C9"/>
    <w:rsid w:val="003447C7"/>
    <w:rsid w:val="0035214D"/>
    <w:rsid w:val="003525FE"/>
    <w:rsid w:val="00352D14"/>
    <w:rsid w:val="003572E8"/>
    <w:rsid w:val="00357FEC"/>
    <w:rsid w:val="00360CA3"/>
    <w:rsid w:val="00363DC0"/>
    <w:rsid w:val="0036441F"/>
    <w:rsid w:val="00365A01"/>
    <w:rsid w:val="00367BB8"/>
    <w:rsid w:val="003721CB"/>
    <w:rsid w:val="00375146"/>
    <w:rsid w:val="00375BB7"/>
    <w:rsid w:val="00376464"/>
    <w:rsid w:val="00376CD8"/>
    <w:rsid w:val="003815C6"/>
    <w:rsid w:val="00382BB7"/>
    <w:rsid w:val="003866D4"/>
    <w:rsid w:val="003927E3"/>
    <w:rsid w:val="003A659E"/>
    <w:rsid w:val="003A7764"/>
    <w:rsid w:val="003B12EB"/>
    <w:rsid w:val="003B1A58"/>
    <w:rsid w:val="003B35B1"/>
    <w:rsid w:val="003B762D"/>
    <w:rsid w:val="003C08DD"/>
    <w:rsid w:val="003C17C5"/>
    <w:rsid w:val="003C4F80"/>
    <w:rsid w:val="003C7599"/>
    <w:rsid w:val="003D2946"/>
    <w:rsid w:val="003D4ED5"/>
    <w:rsid w:val="003D5901"/>
    <w:rsid w:val="003D5FC7"/>
    <w:rsid w:val="003E05CB"/>
    <w:rsid w:val="003E0C2E"/>
    <w:rsid w:val="003E2BB0"/>
    <w:rsid w:val="003E38D0"/>
    <w:rsid w:val="003E4C56"/>
    <w:rsid w:val="003E6D78"/>
    <w:rsid w:val="003F01A2"/>
    <w:rsid w:val="003F0867"/>
    <w:rsid w:val="003F0F8F"/>
    <w:rsid w:val="003F17C3"/>
    <w:rsid w:val="00404EE4"/>
    <w:rsid w:val="0040703E"/>
    <w:rsid w:val="0041280C"/>
    <w:rsid w:val="00415397"/>
    <w:rsid w:val="00420E65"/>
    <w:rsid w:val="00422F3D"/>
    <w:rsid w:val="00425CCC"/>
    <w:rsid w:val="00433A51"/>
    <w:rsid w:val="00435B82"/>
    <w:rsid w:val="00436AA1"/>
    <w:rsid w:val="0044069D"/>
    <w:rsid w:val="00440F4C"/>
    <w:rsid w:val="00444E23"/>
    <w:rsid w:val="00445C17"/>
    <w:rsid w:val="004520C8"/>
    <w:rsid w:val="004525B3"/>
    <w:rsid w:val="00454AA5"/>
    <w:rsid w:val="004558EF"/>
    <w:rsid w:val="00461435"/>
    <w:rsid w:val="00463432"/>
    <w:rsid w:val="0046648C"/>
    <w:rsid w:val="004674B2"/>
    <w:rsid w:val="00470A32"/>
    <w:rsid w:val="00477AAF"/>
    <w:rsid w:val="0048348F"/>
    <w:rsid w:val="00487890"/>
    <w:rsid w:val="00487D60"/>
    <w:rsid w:val="00487E61"/>
    <w:rsid w:val="004911E7"/>
    <w:rsid w:val="00493A80"/>
    <w:rsid w:val="004A2C14"/>
    <w:rsid w:val="004A4EF9"/>
    <w:rsid w:val="004A7925"/>
    <w:rsid w:val="004B39AA"/>
    <w:rsid w:val="004B3FCA"/>
    <w:rsid w:val="004B74B2"/>
    <w:rsid w:val="004B7784"/>
    <w:rsid w:val="004C377B"/>
    <w:rsid w:val="004C40F4"/>
    <w:rsid w:val="004C5C2A"/>
    <w:rsid w:val="004C7209"/>
    <w:rsid w:val="004D1784"/>
    <w:rsid w:val="004D2063"/>
    <w:rsid w:val="004D6519"/>
    <w:rsid w:val="004E020D"/>
    <w:rsid w:val="004E1783"/>
    <w:rsid w:val="004E4E3A"/>
    <w:rsid w:val="004E5D65"/>
    <w:rsid w:val="004F0214"/>
    <w:rsid w:val="004F1FDF"/>
    <w:rsid w:val="004F3400"/>
    <w:rsid w:val="005013A8"/>
    <w:rsid w:val="00503ECF"/>
    <w:rsid w:val="00506ED2"/>
    <w:rsid w:val="00513CB5"/>
    <w:rsid w:val="00516524"/>
    <w:rsid w:val="00523E5B"/>
    <w:rsid w:val="00532255"/>
    <w:rsid w:val="005368D5"/>
    <w:rsid w:val="00545D9E"/>
    <w:rsid w:val="0055215A"/>
    <w:rsid w:val="0055362C"/>
    <w:rsid w:val="00555CFB"/>
    <w:rsid w:val="00556F1F"/>
    <w:rsid w:val="00557642"/>
    <w:rsid w:val="00557E89"/>
    <w:rsid w:val="00562775"/>
    <w:rsid w:val="00564250"/>
    <w:rsid w:val="00564CC6"/>
    <w:rsid w:val="005706AC"/>
    <w:rsid w:val="0057319C"/>
    <w:rsid w:val="00573ABF"/>
    <w:rsid w:val="00575BC3"/>
    <w:rsid w:val="0058043D"/>
    <w:rsid w:val="005808AE"/>
    <w:rsid w:val="00580FB8"/>
    <w:rsid w:val="005818C1"/>
    <w:rsid w:val="00582497"/>
    <w:rsid w:val="00582B36"/>
    <w:rsid w:val="00586F9F"/>
    <w:rsid w:val="0058748B"/>
    <w:rsid w:val="00595B83"/>
    <w:rsid w:val="005975A0"/>
    <w:rsid w:val="005A27F7"/>
    <w:rsid w:val="005A7AE5"/>
    <w:rsid w:val="005B195C"/>
    <w:rsid w:val="005B1C2B"/>
    <w:rsid w:val="005B3061"/>
    <w:rsid w:val="005B32C3"/>
    <w:rsid w:val="005B6244"/>
    <w:rsid w:val="005D054C"/>
    <w:rsid w:val="005D1216"/>
    <w:rsid w:val="005D3CE9"/>
    <w:rsid w:val="005D41AA"/>
    <w:rsid w:val="005E2A23"/>
    <w:rsid w:val="005E3776"/>
    <w:rsid w:val="005E67AE"/>
    <w:rsid w:val="005E6C67"/>
    <w:rsid w:val="005F1F76"/>
    <w:rsid w:val="00602A86"/>
    <w:rsid w:val="00604A21"/>
    <w:rsid w:val="00604A96"/>
    <w:rsid w:val="00605104"/>
    <w:rsid w:val="00607335"/>
    <w:rsid w:val="006134E0"/>
    <w:rsid w:val="00613BE8"/>
    <w:rsid w:val="0062116F"/>
    <w:rsid w:val="00623BE4"/>
    <w:rsid w:val="006264F5"/>
    <w:rsid w:val="00627707"/>
    <w:rsid w:val="00627BD4"/>
    <w:rsid w:val="00631275"/>
    <w:rsid w:val="00635C78"/>
    <w:rsid w:val="00636125"/>
    <w:rsid w:val="00640D08"/>
    <w:rsid w:val="0064165F"/>
    <w:rsid w:val="0064235D"/>
    <w:rsid w:val="00642F7F"/>
    <w:rsid w:val="00651D44"/>
    <w:rsid w:val="0065403D"/>
    <w:rsid w:val="0065436D"/>
    <w:rsid w:val="00655171"/>
    <w:rsid w:val="00662944"/>
    <w:rsid w:val="00664759"/>
    <w:rsid w:val="00666013"/>
    <w:rsid w:val="00671D09"/>
    <w:rsid w:val="00672100"/>
    <w:rsid w:val="006726C8"/>
    <w:rsid w:val="00676938"/>
    <w:rsid w:val="00676DCA"/>
    <w:rsid w:val="00677C72"/>
    <w:rsid w:val="00681B9A"/>
    <w:rsid w:val="00682E69"/>
    <w:rsid w:val="0068318E"/>
    <w:rsid w:val="00692307"/>
    <w:rsid w:val="0069267C"/>
    <w:rsid w:val="00692926"/>
    <w:rsid w:val="006A01A0"/>
    <w:rsid w:val="006A087D"/>
    <w:rsid w:val="006A1625"/>
    <w:rsid w:val="006A4749"/>
    <w:rsid w:val="006B2DF7"/>
    <w:rsid w:val="006B3953"/>
    <w:rsid w:val="006B511D"/>
    <w:rsid w:val="006B7D60"/>
    <w:rsid w:val="006C1FD0"/>
    <w:rsid w:val="006C20AE"/>
    <w:rsid w:val="006D15F2"/>
    <w:rsid w:val="006D2FE1"/>
    <w:rsid w:val="006D3A9F"/>
    <w:rsid w:val="006D4DB2"/>
    <w:rsid w:val="006E3670"/>
    <w:rsid w:val="006E45B2"/>
    <w:rsid w:val="006E674C"/>
    <w:rsid w:val="006F07C6"/>
    <w:rsid w:val="006F1C10"/>
    <w:rsid w:val="006F468B"/>
    <w:rsid w:val="006F78DB"/>
    <w:rsid w:val="00702DF0"/>
    <w:rsid w:val="0070782E"/>
    <w:rsid w:val="007105C9"/>
    <w:rsid w:val="00712C8C"/>
    <w:rsid w:val="00716674"/>
    <w:rsid w:val="007168D8"/>
    <w:rsid w:val="00717ECA"/>
    <w:rsid w:val="00721651"/>
    <w:rsid w:val="00722099"/>
    <w:rsid w:val="00727130"/>
    <w:rsid w:val="00742DC5"/>
    <w:rsid w:val="00746BB3"/>
    <w:rsid w:val="00755DCD"/>
    <w:rsid w:val="007568D0"/>
    <w:rsid w:val="00757232"/>
    <w:rsid w:val="00757596"/>
    <w:rsid w:val="007579E4"/>
    <w:rsid w:val="00757E80"/>
    <w:rsid w:val="0076345F"/>
    <w:rsid w:val="007662F7"/>
    <w:rsid w:val="007670A0"/>
    <w:rsid w:val="0077137B"/>
    <w:rsid w:val="00772ECE"/>
    <w:rsid w:val="0077586F"/>
    <w:rsid w:val="00775A6E"/>
    <w:rsid w:val="00777C32"/>
    <w:rsid w:val="007970AE"/>
    <w:rsid w:val="00797264"/>
    <w:rsid w:val="007A12A0"/>
    <w:rsid w:val="007B46CF"/>
    <w:rsid w:val="007B5F1B"/>
    <w:rsid w:val="007B6653"/>
    <w:rsid w:val="007B66D4"/>
    <w:rsid w:val="007B6D30"/>
    <w:rsid w:val="007C0967"/>
    <w:rsid w:val="007D089F"/>
    <w:rsid w:val="007D1A2B"/>
    <w:rsid w:val="007D562C"/>
    <w:rsid w:val="007D567D"/>
    <w:rsid w:val="007E6163"/>
    <w:rsid w:val="007F26DC"/>
    <w:rsid w:val="007F2948"/>
    <w:rsid w:val="007F73E4"/>
    <w:rsid w:val="00801580"/>
    <w:rsid w:val="00803F4A"/>
    <w:rsid w:val="00804039"/>
    <w:rsid w:val="008069E4"/>
    <w:rsid w:val="008138C4"/>
    <w:rsid w:val="008149B5"/>
    <w:rsid w:val="008224DB"/>
    <w:rsid w:val="00822F8B"/>
    <w:rsid w:val="00823AAA"/>
    <w:rsid w:val="00825362"/>
    <w:rsid w:val="00825E06"/>
    <w:rsid w:val="0082682B"/>
    <w:rsid w:val="00832EE0"/>
    <w:rsid w:val="00834A3C"/>
    <w:rsid w:val="0083571B"/>
    <w:rsid w:val="00841C8D"/>
    <w:rsid w:val="00844BAB"/>
    <w:rsid w:val="008475B0"/>
    <w:rsid w:val="00847875"/>
    <w:rsid w:val="00850F53"/>
    <w:rsid w:val="00851A10"/>
    <w:rsid w:val="0085417C"/>
    <w:rsid w:val="00855DFA"/>
    <w:rsid w:val="008565BB"/>
    <w:rsid w:val="00866FA0"/>
    <w:rsid w:val="00870A43"/>
    <w:rsid w:val="00871491"/>
    <w:rsid w:val="008738B3"/>
    <w:rsid w:val="00874D0E"/>
    <w:rsid w:val="00877C5C"/>
    <w:rsid w:val="0088012B"/>
    <w:rsid w:val="008811DC"/>
    <w:rsid w:val="00882811"/>
    <w:rsid w:val="00885512"/>
    <w:rsid w:val="0089146E"/>
    <w:rsid w:val="008A3944"/>
    <w:rsid w:val="008A6458"/>
    <w:rsid w:val="008B230D"/>
    <w:rsid w:val="008C1FB0"/>
    <w:rsid w:val="008C48D5"/>
    <w:rsid w:val="008C7B98"/>
    <w:rsid w:val="008D0E6D"/>
    <w:rsid w:val="008E4C99"/>
    <w:rsid w:val="008E6EC8"/>
    <w:rsid w:val="008E7F9E"/>
    <w:rsid w:val="008F3256"/>
    <w:rsid w:val="008F6139"/>
    <w:rsid w:val="008F71FE"/>
    <w:rsid w:val="008F7287"/>
    <w:rsid w:val="0090559E"/>
    <w:rsid w:val="00911257"/>
    <w:rsid w:val="0091153B"/>
    <w:rsid w:val="009115E4"/>
    <w:rsid w:val="00915571"/>
    <w:rsid w:val="0091641E"/>
    <w:rsid w:val="00916953"/>
    <w:rsid w:val="00916B62"/>
    <w:rsid w:val="00917CA9"/>
    <w:rsid w:val="00923870"/>
    <w:rsid w:val="0093023B"/>
    <w:rsid w:val="00931ECA"/>
    <w:rsid w:val="009345A5"/>
    <w:rsid w:val="009377B3"/>
    <w:rsid w:val="00947FB5"/>
    <w:rsid w:val="00957E5F"/>
    <w:rsid w:val="00964A79"/>
    <w:rsid w:val="00980F9C"/>
    <w:rsid w:val="00987D05"/>
    <w:rsid w:val="00991110"/>
    <w:rsid w:val="00992F7F"/>
    <w:rsid w:val="009939CB"/>
    <w:rsid w:val="00996C78"/>
    <w:rsid w:val="009A1B57"/>
    <w:rsid w:val="009A55A4"/>
    <w:rsid w:val="009A5D0A"/>
    <w:rsid w:val="009A7A07"/>
    <w:rsid w:val="009B16DE"/>
    <w:rsid w:val="009B382E"/>
    <w:rsid w:val="009C3208"/>
    <w:rsid w:val="009C3882"/>
    <w:rsid w:val="009C5AA6"/>
    <w:rsid w:val="009C5DB0"/>
    <w:rsid w:val="009C6C8D"/>
    <w:rsid w:val="009D053D"/>
    <w:rsid w:val="009D0FB8"/>
    <w:rsid w:val="009D24D4"/>
    <w:rsid w:val="009D5054"/>
    <w:rsid w:val="009D6325"/>
    <w:rsid w:val="009D7648"/>
    <w:rsid w:val="009D7BAD"/>
    <w:rsid w:val="009E01DC"/>
    <w:rsid w:val="009E0965"/>
    <w:rsid w:val="009E5A10"/>
    <w:rsid w:val="009F3694"/>
    <w:rsid w:val="00A02658"/>
    <w:rsid w:val="00A02BF8"/>
    <w:rsid w:val="00A035D3"/>
    <w:rsid w:val="00A0445B"/>
    <w:rsid w:val="00A12EF2"/>
    <w:rsid w:val="00A14C3A"/>
    <w:rsid w:val="00A161F6"/>
    <w:rsid w:val="00A169E7"/>
    <w:rsid w:val="00A1767B"/>
    <w:rsid w:val="00A17EF7"/>
    <w:rsid w:val="00A23FCF"/>
    <w:rsid w:val="00A25F5B"/>
    <w:rsid w:val="00A26005"/>
    <w:rsid w:val="00A30199"/>
    <w:rsid w:val="00A32F79"/>
    <w:rsid w:val="00A33704"/>
    <w:rsid w:val="00A40A13"/>
    <w:rsid w:val="00A41EDE"/>
    <w:rsid w:val="00A420DD"/>
    <w:rsid w:val="00A43D32"/>
    <w:rsid w:val="00A5773A"/>
    <w:rsid w:val="00A601BA"/>
    <w:rsid w:val="00A63E8A"/>
    <w:rsid w:val="00A64F42"/>
    <w:rsid w:val="00A67962"/>
    <w:rsid w:val="00A70C8E"/>
    <w:rsid w:val="00A72B66"/>
    <w:rsid w:val="00A72D38"/>
    <w:rsid w:val="00A744F4"/>
    <w:rsid w:val="00A765E4"/>
    <w:rsid w:val="00A8047E"/>
    <w:rsid w:val="00A80B69"/>
    <w:rsid w:val="00A876CA"/>
    <w:rsid w:val="00A91B41"/>
    <w:rsid w:val="00A91BD1"/>
    <w:rsid w:val="00A934AB"/>
    <w:rsid w:val="00A94144"/>
    <w:rsid w:val="00A94EF0"/>
    <w:rsid w:val="00A95502"/>
    <w:rsid w:val="00A95FD6"/>
    <w:rsid w:val="00AA18BD"/>
    <w:rsid w:val="00AA2449"/>
    <w:rsid w:val="00AA3723"/>
    <w:rsid w:val="00AA3FFA"/>
    <w:rsid w:val="00AB1AA6"/>
    <w:rsid w:val="00AB25F1"/>
    <w:rsid w:val="00AB55EA"/>
    <w:rsid w:val="00AB7A18"/>
    <w:rsid w:val="00AC1672"/>
    <w:rsid w:val="00AC204E"/>
    <w:rsid w:val="00AC73BF"/>
    <w:rsid w:val="00AD029A"/>
    <w:rsid w:val="00AD0726"/>
    <w:rsid w:val="00AD1D1F"/>
    <w:rsid w:val="00AD46C2"/>
    <w:rsid w:val="00AD77EC"/>
    <w:rsid w:val="00AE1B0D"/>
    <w:rsid w:val="00AE5097"/>
    <w:rsid w:val="00AE61B9"/>
    <w:rsid w:val="00AE7083"/>
    <w:rsid w:val="00AF1A3A"/>
    <w:rsid w:val="00AF2EF3"/>
    <w:rsid w:val="00AF5206"/>
    <w:rsid w:val="00AF708A"/>
    <w:rsid w:val="00B00E40"/>
    <w:rsid w:val="00B01A64"/>
    <w:rsid w:val="00B135E0"/>
    <w:rsid w:val="00B14890"/>
    <w:rsid w:val="00B226CA"/>
    <w:rsid w:val="00B2721A"/>
    <w:rsid w:val="00B30868"/>
    <w:rsid w:val="00B30942"/>
    <w:rsid w:val="00B3266E"/>
    <w:rsid w:val="00B32B38"/>
    <w:rsid w:val="00B32CAA"/>
    <w:rsid w:val="00B33114"/>
    <w:rsid w:val="00B34192"/>
    <w:rsid w:val="00B34849"/>
    <w:rsid w:val="00B37159"/>
    <w:rsid w:val="00B41126"/>
    <w:rsid w:val="00B41C8F"/>
    <w:rsid w:val="00B50906"/>
    <w:rsid w:val="00B50B08"/>
    <w:rsid w:val="00B51EBF"/>
    <w:rsid w:val="00B521A7"/>
    <w:rsid w:val="00B5756F"/>
    <w:rsid w:val="00B61341"/>
    <w:rsid w:val="00B63090"/>
    <w:rsid w:val="00B63DC6"/>
    <w:rsid w:val="00B6535D"/>
    <w:rsid w:val="00B65EC9"/>
    <w:rsid w:val="00B6777C"/>
    <w:rsid w:val="00B67D24"/>
    <w:rsid w:val="00B73BCB"/>
    <w:rsid w:val="00B76E5D"/>
    <w:rsid w:val="00B819E6"/>
    <w:rsid w:val="00B83098"/>
    <w:rsid w:val="00B839DF"/>
    <w:rsid w:val="00B86FA9"/>
    <w:rsid w:val="00B90203"/>
    <w:rsid w:val="00B92982"/>
    <w:rsid w:val="00BA15D4"/>
    <w:rsid w:val="00BA7243"/>
    <w:rsid w:val="00BB0A84"/>
    <w:rsid w:val="00BB4174"/>
    <w:rsid w:val="00BB56BC"/>
    <w:rsid w:val="00BC16EA"/>
    <w:rsid w:val="00BC2012"/>
    <w:rsid w:val="00BC2734"/>
    <w:rsid w:val="00BC2815"/>
    <w:rsid w:val="00BC7B7F"/>
    <w:rsid w:val="00BD10E0"/>
    <w:rsid w:val="00BD4CAA"/>
    <w:rsid w:val="00BE1B61"/>
    <w:rsid w:val="00BE2EB1"/>
    <w:rsid w:val="00BE30DA"/>
    <w:rsid w:val="00BE6C8A"/>
    <w:rsid w:val="00BE739E"/>
    <w:rsid w:val="00BF5EA3"/>
    <w:rsid w:val="00BF6FB0"/>
    <w:rsid w:val="00C00E98"/>
    <w:rsid w:val="00C01398"/>
    <w:rsid w:val="00C027DB"/>
    <w:rsid w:val="00C103C6"/>
    <w:rsid w:val="00C11961"/>
    <w:rsid w:val="00C15C0D"/>
    <w:rsid w:val="00C17274"/>
    <w:rsid w:val="00C17FE0"/>
    <w:rsid w:val="00C22FE6"/>
    <w:rsid w:val="00C265B5"/>
    <w:rsid w:val="00C275E0"/>
    <w:rsid w:val="00C27A25"/>
    <w:rsid w:val="00C321E4"/>
    <w:rsid w:val="00C32EBE"/>
    <w:rsid w:val="00C33B29"/>
    <w:rsid w:val="00C40764"/>
    <w:rsid w:val="00C4331B"/>
    <w:rsid w:val="00C50DB5"/>
    <w:rsid w:val="00C5144D"/>
    <w:rsid w:val="00C518F6"/>
    <w:rsid w:val="00C53650"/>
    <w:rsid w:val="00C558CD"/>
    <w:rsid w:val="00C63BB6"/>
    <w:rsid w:val="00C73A04"/>
    <w:rsid w:val="00C75F9A"/>
    <w:rsid w:val="00C760F9"/>
    <w:rsid w:val="00C76C4A"/>
    <w:rsid w:val="00C772A5"/>
    <w:rsid w:val="00C778DD"/>
    <w:rsid w:val="00C80DCD"/>
    <w:rsid w:val="00C81AEC"/>
    <w:rsid w:val="00C81F82"/>
    <w:rsid w:val="00C840A1"/>
    <w:rsid w:val="00C860B7"/>
    <w:rsid w:val="00C86E77"/>
    <w:rsid w:val="00C87940"/>
    <w:rsid w:val="00C92F92"/>
    <w:rsid w:val="00C95B46"/>
    <w:rsid w:val="00CA0F5B"/>
    <w:rsid w:val="00CA2329"/>
    <w:rsid w:val="00CA259E"/>
    <w:rsid w:val="00CA5291"/>
    <w:rsid w:val="00CA592A"/>
    <w:rsid w:val="00CA7C07"/>
    <w:rsid w:val="00CB1762"/>
    <w:rsid w:val="00CB3478"/>
    <w:rsid w:val="00CB3E8B"/>
    <w:rsid w:val="00CC1BEB"/>
    <w:rsid w:val="00CC357F"/>
    <w:rsid w:val="00CC7EB1"/>
    <w:rsid w:val="00CD06E5"/>
    <w:rsid w:val="00CD08B7"/>
    <w:rsid w:val="00CD2F60"/>
    <w:rsid w:val="00CD5B97"/>
    <w:rsid w:val="00CE06A3"/>
    <w:rsid w:val="00CE2B29"/>
    <w:rsid w:val="00CE3985"/>
    <w:rsid w:val="00CE6EF9"/>
    <w:rsid w:val="00CF009D"/>
    <w:rsid w:val="00CF033E"/>
    <w:rsid w:val="00CF4257"/>
    <w:rsid w:val="00CF7A56"/>
    <w:rsid w:val="00D01814"/>
    <w:rsid w:val="00D02568"/>
    <w:rsid w:val="00D039E7"/>
    <w:rsid w:val="00D077BF"/>
    <w:rsid w:val="00D110BF"/>
    <w:rsid w:val="00D11E0D"/>
    <w:rsid w:val="00D12DC6"/>
    <w:rsid w:val="00D13DEC"/>
    <w:rsid w:val="00D15AE0"/>
    <w:rsid w:val="00D31929"/>
    <w:rsid w:val="00D345B6"/>
    <w:rsid w:val="00D42305"/>
    <w:rsid w:val="00D425AA"/>
    <w:rsid w:val="00D43CF9"/>
    <w:rsid w:val="00D46614"/>
    <w:rsid w:val="00D47DBA"/>
    <w:rsid w:val="00D50CF4"/>
    <w:rsid w:val="00D51BB2"/>
    <w:rsid w:val="00D53843"/>
    <w:rsid w:val="00D567F8"/>
    <w:rsid w:val="00D612FB"/>
    <w:rsid w:val="00D71B59"/>
    <w:rsid w:val="00D75184"/>
    <w:rsid w:val="00D909CF"/>
    <w:rsid w:val="00D917FE"/>
    <w:rsid w:val="00D91F7B"/>
    <w:rsid w:val="00D94C60"/>
    <w:rsid w:val="00DA0E19"/>
    <w:rsid w:val="00DB367C"/>
    <w:rsid w:val="00DB48C2"/>
    <w:rsid w:val="00DB6972"/>
    <w:rsid w:val="00DB7B39"/>
    <w:rsid w:val="00DC1FF1"/>
    <w:rsid w:val="00DC729B"/>
    <w:rsid w:val="00DC7628"/>
    <w:rsid w:val="00DD411A"/>
    <w:rsid w:val="00DD79ED"/>
    <w:rsid w:val="00DE08FE"/>
    <w:rsid w:val="00DE0A6B"/>
    <w:rsid w:val="00E03BEE"/>
    <w:rsid w:val="00E04D8A"/>
    <w:rsid w:val="00E04ECB"/>
    <w:rsid w:val="00E101F6"/>
    <w:rsid w:val="00E117F0"/>
    <w:rsid w:val="00E11948"/>
    <w:rsid w:val="00E177A4"/>
    <w:rsid w:val="00E22651"/>
    <w:rsid w:val="00E33D03"/>
    <w:rsid w:val="00E36090"/>
    <w:rsid w:val="00E41170"/>
    <w:rsid w:val="00E4162E"/>
    <w:rsid w:val="00E47336"/>
    <w:rsid w:val="00E53C24"/>
    <w:rsid w:val="00E55BA1"/>
    <w:rsid w:val="00E56E3E"/>
    <w:rsid w:val="00E575FB"/>
    <w:rsid w:val="00E6578B"/>
    <w:rsid w:val="00E67F84"/>
    <w:rsid w:val="00E8002F"/>
    <w:rsid w:val="00E81764"/>
    <w:rsid w:val="00E83DA4"/>
    <w:rsid w:val="00E85C3D"/>
    <w:rsid w:val="00E9023D"/>
    <w:rsid w:val="00E90732"/>
    <w:rsid w:val="00E910D3"/>
    <w:rsid w:val="00E91D74"/>
    <w:rsid w:val="00E93FCA"/>
    <w:rsid w:val="00E9494D"/>
    <w:rsid w:val="00E95C3E"/>
    <w:rsid w:val="00EA35B6"/>
    <w:rsid w:val="00EA3684"/>
    <w:rsid w:val="00EA52C5"/>
    <w:rsid w:val="00EA58D2"/>
    <w:rsid w:val="00EB1F83"/>
    <w:rsid w:val="00EB28D1"/>
    <w:rsid w:val="00EB3153"/>
    <w:rsid w:val="00EB53B0"/>
    <w:rsid w:val="00EC3DA5"/>
    <w:rsid w:val="00EC6130"/>
    <w:rsid w:val="00EC78EA"/>
    <w:rsid w:val="00ED057C"/>
    <w:rsid w:val="00ED6ACE"/>
    <w:rsid w:val="00EE2B6B"/>
    <w:rsid w:val="00EE2FAF"/>
    <w:rsid w:val="00EE3608"/>
    <w:rsid w:val="00EE3639"/>
    <w:rsid w:val="00EE3873"/>
    <w:rsid w:val="00EE3913"/>
    <w:rsid w:val="00EE7341"/>
    <w:rsid w:val="00EF0370"/>
    <w:rsid w:val="00EF124A"/>
    <w:rsid w:val="00EF3444"/>
    <w:rsid w:val="00EF3611"/>
    <w:rsid w:val="00EF76B1"/>
    <w:rsid w:val="00F00705"/>
    <w:rsid w:val="00F03144"/>
    <w:rsid w:val="00F12505"/>
    <w:rsid w:val="00F156D8"/>
    <w:rsid w:val="00F27961"/>
    <w:rsid w:val="00F339D5"/>
    <w:rsid w:val="00F347C7"/>
    <w:rsid w:val="00F359DE"/>
    <w:rsid w:val="00F35D89"/>
    <w:rsid w:val="00F35E45"/>
    <w:rsid w:val="00F368CD"/>
    <w:rsid w:val="00F434CD"/>
    <w:rsid w:val="00F4430F"/>
    <w:rsid w:val="00F452C3"/>
    <w:rsid w:val="00F4692D"/>
    <w:rsid w:val="00F47215"/>
    <w:rsid w:val="00F60A33"/>
    <w:rsid w:val="00F61418"/>
    <w:rsid w:val="00F6212E"/>
    <w:rsid w:val="00F65DB2"/>
    <w:rsid w:val="00F8082F"/>
    <w:rsid w:val="00F83A91"/>
    <w:rsid w:val="00F87557"/>
    <w:rsid w:val="00F935B8"/>
    <w:rsid w:val="00F95D9F"/>
    <w:rsid w:val="00FA0C4D"/>
    <w:rsid w:val="00FA363A"/>
    <w:rsid w:val="00FA4C54"/>
    <w:rsid w:val="00FA550E"/>
    <w:rsid w:val="00FA6DAD"/>
    <w:rsid w:val="00FA7CAD"/>
    <w:rsid w:val="00FA7CB9"/>
    <w:rsid w:val="00FA7DEF"/>
    <w:rsid w:val="00FB3977"/>
    <w:rsid w:val="00FB3A0A"/>
    <w:rsid w:val="00FB3C03"/>
    <w:rsid w:val="00FB4693"/>
    <w:rsid w:val="00FB4A2A"/>
    <w:rsid w:val="00FB61F3"/>
    <w:rsid w:val="00FB759F"/>
    <w:rsid w:val="00FC21BB"/>
    <w:rsid w:val="00FC47D3"/>
    <w:rsid w:val="00FD1DE5"/>
    <w:rsid w:val="00FD3E18"/>
    <w:rsid w:val="00FE42FC"/>
    <w:rsid w:val="00FE5352"/>
    <w:rsid w:val="00FE5858"/>
    <w:rsid w:val="00FF0AAD"/>
    <w:rsid w:val="00FF2848"/>
    <w:rsid w:val="00FF2A60"/>
    <w:rsid w:val="00FF3219"/>
    <w:rsid w:val="00FF45F9"/>
    <w:rsid w:val="00FF5088"/>
    <w:rsid w:val="00FF5675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8D552"/>
  <w15:docId w15:val="{F1FC8492-0C8D-4F36-BDD7-6E43D55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605104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1E0D"/>
  </w:style>
  <w:style w:type="paragraph" w:styleId="Footer">
    <w:name w:val="footer"/>
    <w:basedOn w:val="Normal"/>
    <w:link w:val="FooterChar"/>
    <w:uiPriority w:val="99"/>
    <w:unhideWhenUsed/>
    <w:rsid w:val="00D11E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1E0D"/>
  </w:style>
  <w:style w:type="paragraph" w:customStyle="1" w:styleId="desc">
    <w:name w:val="desc"/>
    <w:basedOn w:val="Normal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60510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DefaultParagraphFont"/>
    <w:rsid w:val="00605104"/>
  </w:style>
  <w:style w:type="character" w:customStyle="1" w:styleId="Heading1Char">
    <w:name w:val="Heading 1 Char"/>
    <w:basedOn w:val="DefaultParagraphFont"/>
    <w:link w:val="Heading1"/>
    <w:uiPriority w:val="9"/>
    <w:rsid w:val="00605104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5104"/>
    <w:rPr>
      <w:color w:val="0000FF"/>
      <w:u w:val="single"/>
    </w:rPr>
  </w:style>
  <w:style w:type="character" w:customStyle="1" w:styleId="highlight">
    <w:name w:val="highlight"/>
    <w:basedOn w:val="DefaultParagraphFont"/>
    <w:rsid w:val="00605104"/>
  </w:style>
  <w:style w:type="character" w:customStyle="1" w:styleId="1">
    <w:name w:val="未解決のメンション1"/>
    <w:basedOn w:val="DefaultParagraphFont"/>
    <w:uiPriority w:val="99"/>
    <w:semiHidden/>
    <w:unhideWhenUsed/>
    <w:rsid w:val="005706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2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2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F79"/>
  </w:style>
  <w:style w:type="character" w:styleId="Emphasis">
    <w:name w:val="Emphasis"/>
    <w:basedOn w:val="DefaultParagraphFont"/>
    <w:uiPriority w:val="20"/>
    <w:qFormat/>
    <w:rsid w:val="00B32B38"/>
    <w:rPr>
      <w:i/>
      <w:iCs/>
    </w:rPr>
  </w:style>
  <w:style w:type="character" w:customStyle="1" w:styleId="yiv1535312543">
    <w:name w:val="yiv1535312543"/>
    <w:basedOn w:val="DefaultParagraphFont"/>
    <w:rsid w:val="00AB1AA6"/>
  </w:style>
  <w:style w:type="paragraph" w:styleId="ListParagraph">
    <w:name w:val="List Paragraph"/>
    <w:basedOn w:val="Normal"/>
    <w:uiPriority w:val="34"/>
    <w:qFormat/>
    <w:rsid w:val="00F00705"/>
    <w:pPr>
      <w:ind w:leftChars="400" w:left="840"/>
    </w:pPr>
  </w:style>
  <w:style w:type="character" w:styleId="UnresolvedMention">
    <w:name w:val="Unresolved Mention"/>
    <w:basedOn w:val="DefaultParagraphFont"/>
    <w:uiPriority w:val="99"/>
    <w:semiHidden/>
    <w:unhideWhenUsed/>
    <w:rsid w:val="00303C9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A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38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57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d.docs.live.net/8a1592444914076c/Documents/Rifaximine/&#12522;&#12501;&#12461;&#12471;&#12510;&#35542;&#25991;20181231ver2.xlsx" TargetMode="External"/><Relationship Id="rId4" Type="http://schemas.openxmlformats.org/officeDocument/2006/relationships/themeOverride" Target="../theme/themeOverride1.xm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Sheet2!$A$1:$A$286</cx:f>
        <cx:lvl ptCount="286">
          <cx:pt idx="0">Before</cx:pt>
          <cx:pt idx="1">Before</cx:pt>
          <cx:pt idx="2">Before</cx:pt>
          <cx:pt idx="3">Before</cx:pt>
          <cx:pt idx="4">Before</cx:pt>
          <cx:pt idx="5">Before</cx:pt>
          <cx:pt idx="6">Before</cx:pt>
          <cx:pt idx="7">Before</cx:pt>
          <cx:pt idx="8">Before</cx:pt>
          <cx:pt idx="9">Before</cx:pt>
          <cx:pt idx="10">Before</cx:pt>
          <cx:pt idx="11">Before</cx:pt>
          <cx:pt idx="12">Before</cx:pt>
          <cx:pt idx="13">Before</cx:pt>
          <cx:pt idx="14">Before</cx:pt>
          <cx:pt idx="15">Before</cx:pt>
          <cx:pt idx="16">Before</cx:pt>
          <cx:pt idx="17">Before</cx:pt>
          <cx:pt idx="18">Before</cx:pt>
          <cx:pt idx="19">Before</cx:pt>
          <cx:pt idx="20">Before</cx:pt>
          <cx:pt idx="21">Before</cx:pt>
          <cx:pt idx="22">Before</cx:pt>
          <cx:pt idx="23">Before</cx:pt>
          <cx:pt idx="24">Before</cx:pt>
          <cx:pt idx="25">Before</cx:pt>
          <cx:pt idx="26">Before</cx:pt>
          <cx:pt idx="27">Before</cx:pt>
          <cx:pt idx="28">Before</cx:pt>
          <cx:pt idx="29">Before</cx:pt>
          <cx:pt idx="30">Before</cx:pt>
          <cx:pt idx="31">Before</cx:pt>
          <cx:pt idx="32">Before</cx:pt>
          <cx:pt idx="33">Before</cx:pt>
          <cx:pt idx="34">Before</cx:pt>
          <cx:pt idx="35">Before</cx:pt>
          <cx:pt idx="36">Before</cx:pt>
          <cx:pt idx="37">Before</cx:pt>
          <cx:pt idx="38">2</cx:pt>
          <cx:pt idx="39">2</cx:pt>
          <cx:pt idx="40">2</cx:pt>
          <cx:pt idx="41">2</cx:pt>
          <cx:pt idx="42">2</cx:pt>
          <cx:pt idx="43">2</cx:pt>
          <cx:pt idx="44">2</cx:pt>
          <cx:pt idx="45">2</cx:pt>
          <cx:pt idx="46">2</cx:pt>
          <cx:pt idx="47">2</cx:pt>
          <cx:pt idx="48">2</cx:pt>
          <cx:pt idx="49">2</cx:pt>
          <cx:pt idx="50">2</cx:pt>
          <cx:pt idx="51">2</cx:pt>
          <cx:pt idx="52">2</cx:pt>
          <cx:pt idx="53">2</cx:pt>
          <cx:pt idx="54">2</cx:pt>
          <cx:pt idx="55">2</cx:pt>
          <cx:pt idx="56">2</cx:pt>
          <cx:pt idx="57">2</cx:pt>
          <cx:pt idx="58">2</cx:pt>
          <cx:pt idx="59">2</cx:pt>
          <cx:pt idx="60">2</cx:pt>
          <cx:pt idx="61">2</cx:pt>
          <cx:pt idx="62">2</cx:pt>
          <cx:pt idx="63">2</cx:pt>
          <cx:pt idx="64">2</cx:pt>
          <cx:pt idx="65">2</cx:pt>
          <cx:pt idx="66">2</cx:pt>
          <cx:pt idx="67">2</cx:pt>
          <cx:pt idx="68">4</cx:pt>
          <cx:pt idx="69">4</cx:pt>
          <cx:pt idx="70">4</cx:pt>
          <cx:pt idx="71">4</cx:pt>
          <cx:pt idx="72">4</cx:pt>
          <cx:pt idx="73">4</cx:pt>
          <cx:pt idx="74">4</cx:pt>
          <cx:pt idx="75">4</cx:pt>
          <cx:pt idx="76">4</cx:pt>
          <cx:pt idx="77">4</cx:pt>
          <cx:pt idx="78">4</cx:pt>
          <cx:pt idx="79">4</cx:pt>
          <cx:pt idx="80">4</cx:pt>
          <cx:pt idx="81">4</cx:pt>
          <cx:pt idx="82">4</cx:pt>
          <cx:pt idx="83">4</cx:pt>
          <cx:pt idx="84">4</cx:pt>
          <cx:pt idx="85">4</cx:pt>
          <cx:pt idx="86">4</cx:pt>
          <cx:pt idx="87">4</cx:pt>
          <cx:pt idx="88">4</cx:pt>
          <cx:pt idx="89">4</cx:pt>
          <cx:pt idx="90">4</cx:pt>
          <cx:pt idx="91">4</cx:pt>
          <cx:pt idx="92">4</cx:pt>
          <cx:pt idx="93">4</cx:pt>
          <cx:pt idx="94">4</cx:pt>
          <cx:pt idx="95">4</cx:pt>
          <cx:pt idx="96">4</cx:pt>
          <cx:pt idx="97">4</cx:pt>
          <cx:pt idx="98">4</cx:pt>
          <cx:pt idx="99">4</cx:pt>
          <cx:pt idx="100">4</cx:pt>
          <cx:pt idx="101">4</cx:pt>
          <cx:pt idx="102">4</cx:pt>
          <cx:pt idx="103">4</cx:pt>
          <cx:pt idx="104">4</cx:pt>
          <cx:pt idx="105">8</cx:pt>
          <cx:pt idx="106">8</cx:pt>
          <cx:pt idx="107">8</cx:pt>
          <cx:pt idx="108">8</cx:pt>
          <cx:pt idx="109">8</cx:pt>
          <cx:pt idx="110">8</cx:pt>
          <cx:pt idx="111">8</cx:pt>
          <cx:pt idx="112">8</cx:pt>
          <cx:pt idx="113">8</cx:pt>
          <cx:pt idx="114">8</cx:pt>
          <cx:pt idx="115">8</cx:pt>
          <cx:pt idx="116">8</cx:pt>
          <cx:pt idx="117">8</cx:pt>
          <cx:pt idx="118">8</cx:pt>
          <cx:pt idx="119">8</cx:pt>
          <cx:pt idx="120">8</cx:pt>
          <cx:pt idx="121">8</cx:pt>
          <cx:pt idx="122">8</cx:pt>
          <cx:pt idx="123">8</cx:pt>
          <cx:pt idx="124">8</cx:pt>
          <cx:pt idx="125">8</cx:pt>
          <cx:pt idx="126">8</cx:pt>
          <cx:pt idx="127">8</cx:pt>
          <cx:pt idx="128">8</cx:pt>
          <cx:pt idx="129">8</cx:pt>
          <cx:pt idx="130">8</cx:pt>
          <cx:pt idx="131">8</cx:pt>
          <cx:pt idx="132">8</cx:pt>
          <cx:pt idx="133">8</cx:pt>
          <cx:pt idx="134">8</cx:pt>
          <cx:pt idx="135">8</cx:pt>
          <cx:pt idx="136">8</cx:pt>
          <cx:pt idx="137">8</cx:pt>
          <cx:pt idx="138">8</cx:pt>
          <cx:pt idx="139">8</cx:pt>
          <cx:pt idx="140">8</cx:pt>
          <cx:pt idx="141">8</cx:pt>
          <cx:pt idx="142">8</cx:pt>
          <cx:pt idx="143">12</cx:pt>
          <cx:pt idx="144">12</cx:pt>
          <cx:pt idx="145">12</cx:pt>
          <cx:pt idx="146">12</cx:pt>
          <cx:pt idx="147">12</cx:pt>
          <cx:pt idx="148">12</cx:pt>
          <cx:pt idx="149">12</cx:pt>
          <cx:pt idx="150">12</cx:pt>
          <cx:pt idx="151">12</cx:pt>
          <cx:pt idx="152">12</cx:pt>
          <cx:pt idx="153">12</cx:pt>
          <cx:pt idx="154">12</cx:pt>
          <cx:pt idx="155">12</cx:pt>
          <cx:pt idx="156">12</cx:pt>
          <cx:pt idx="157">12</cx:pt>
          <cx:pt idx="158">12</cx:pt>
          <cx:pt idx="159">12</cx:pt>
          <cx:pt idx="160">12</cx:pt>
          <cx:pt idx="161">12</cx:pt>
          <cx:pt idx="162">12</cx:pt>
          <cx:pt idx="163">12</cx:pt>
          <cx:pt idx="164">12</cx:pt>
          <cx:pt idx="165">12</cx:pt>
          <cx:pt idx="166">12</cx:pt>
          <cx:pt idx="167">12</cx:pt>
          <cx:pt idx="168">12</cx:pt>
          <cx:pt idx="169">12</cx:pt>
          <cx:pt idx="170">12</cx:pt>
          <cx:pt idx="171">12</cx:pt>
          <cx:pt idx="172">12</cx:pt>
          <cx:pt idx="173">12</cx:pt>
          <cx:pt idx="174">12</cx:pt>
          <cx:pt idx="175">12</cx:pt>
          <cx:pt idx="176">12</cx:pt>
          <cx:pt idx="177">12</cx:pt>
          <cx:pt idx="178">12</cx:pt>
          <cx:pt idx="179">12</cx:pt>
          <cx:pt idx="180">12</cx:pt>
          <cx:pt idx="181">24</cx:pt>
          <cx:pt idx="182">24</cx:pt>
          <cx:pt idx="183">24</cx:pt>
          <cx:pt idx="184">24</cx:pt>
          <cx:pt idx="185">24</cx:pt>
          <cx:pt idx="186">24</cx:pt>
          <cx:pt idx="187">24</cx:pt>
          <cx:pt idx="188">24</cx:pt>
          <cx:pt idx="189">24</cx:pt>
          <cx:pt idx="190">24</cx:pt>
          <cx:pt idx="191">24</cx:pt>
          <cx:pt idx="192">24</cx:pt>
          <cx:pt idx="193">24</cx:pt>
          <cx:pt idx="194">24</cx:pt>
          <cx:pt idx="195">24</cx:pt>
          <cx:pt idx="196">24</cx:pt>
          <cx:pt idx="197">24</cx:pt>
          <cx:pt idx="198">24</cx:pt>
          <cx:pt idx="199">24</cx:pt>
          <cx:pt idx="200">24</cx:pt>
          <cx:pt idx="201">24</cx:pt>
          <cx:pt idx="202">24</cx:pt>
          <cx:pt idx="203">24</cx:pt>
          <cx:pt idx="204">24</cx:pt>
          <cx:pt idx="205">24</cx:pt>
          <cx:pt idx="206">24</cx:pt>
          <cx:pt idx="207">24</cx:pt>
          <cx:pt idx="208">24</cx:pt>
          <cx:pt idx="209">24</cx:pt>
          <cx:pt idx="210">24</cx:pt>
          <cx:pt idx="211">24</cx:pt>
          <cx:pt idx="212">24</cx:pt>
          <cx:pt idx="213">24</cx:pt>
          <cx:pt idx="214">24</cx:pt>
          <cx:pt idx="215">24</cx:pt>
          <cx:pt idx="216">24</cx:pt>
          <cx:pt idx="217">36</cx:pt>
          <cx:pt idx="218">36</cx:pt>
          <cx:pt idx="219">36</cx:pt>
          <cx:pt idx="220">36</cx:pt>
          <cx:pt idx="221">36</cx:pt>
          <cx:pt idx="222">36</cx:pt>
          <cx:pt idx="223">36</cx:pt>
          <cx:pt idx="224">36</cx:pt>
          <cx:pt idx="225">36</cx:pt>
          <cx:pt idx="226">36</cx:pt>
          <cx:pt idx="227">36</cx:pt>
          <cx:pt idx="228">36</cx:pt>
          <cx:pt idx="229">36</cx:pt>
          <cx:pt idx="230">36</cx:pt>
          <cx:pt idx="231">36</cx:pt>
          <cx:pt idx="232">36</cx:pt>
          <cx:pt idx="233">36</cx:pt>
          <cx:pt idx="234">36</cx:pt>
          <cx:pt idx="235">36</cx:pt>
          <cx:pt idx="236">36</cx:pt>
          <cx:pt idx="237">36</cx:pt>
          <cx:pt idx="238">36</cx:pt>
          <cx:pt idx="239">36</cx:pt>
          <cx:pt idx="240">36</cx:pt>
          <cx:pt idx="241">36</cx:pt>
          <cx:pt idx="242">36</cx:pt>
          <cx:pt idx="243">36</cx:pt>
          <cx:pt idx="244">36</cx:pt>
          <cx:pt idx="245">36</cx:pt>
          <cx:pt idx="246">36</cx:pt>
          <cx:pt idx="247">48</cx:pt>
          <cx:pt idx="248">48</cx:pt>
          <cx:pt idx="249">48</cx:pt>
          <cx:pt idx="250">48</cx:pt>
          <cx:pt idx="251">48</cx:pt>
          <cx:pt idx="252">48</cx:pt>
          <cx:pt idx="253">48</cx:pt>
          <cx:pt idx="254">48</cx:pt>
          <cx:pt idx="255">48</cx:pt>
          <cx:pt idx="256">48</cx:pt>
          <cx:pt idx="257">48</cx:pt>
          <cx:pt idx="258">48</cx:pt>
          <cx:pt idx="259">48</cx:pt>
          <cx:pt idx="260">48</cx:pt>
          <cx:pt idx="261">48</cx:pt>
          <cx:pt idx="262">48</cx:pt>
          <cx:pt idx="263">48</cx:pt>
          <cx:pt idx="264">48</cx:pt>
          <cx:pt idx="265">48</cx:pt>
          <cx:pt idx="266">48</cx:pt>
          <cx:pt idx="267">48</cx:pt>
          <cx:pt idx="268">48</cx:pt>
          <cx:pt idx="269">48</cx:pt>
          <cx:pt idx="270">60</cx:pt>
          <cx:pt idx="271">60</cx:pt>
          <cx:pt idx="272">60</cx:pt>
          <cx:pt idx="273">60</cx:pt>
          <cx:pt idx="274">60</cx:pt>
          <cx:pt idx="275">60</cx:pt>
          <cx:pt idx="276">60</cx:pt>
          <cx:pt idx="277">60</cx:pt>
          <cx:pt idx="278">60</cx:pt>
          <cx:pt idx="279">60</cx:pt>
          <cx:pt idx="280">60</cx:pt>
          <cx:pt idx="281">60</cx:pt>
          <cx:pt idx="282">60</cx:pt>
          <cx:pt idx="283">60</cx:pt>
          <cx:pt idx="284">60</cx:pt>
          <cx:pt idx="285">60</cx:pt>
        </cx:lvl>
      </cx:strDim>
      <cx:numDim type="val">
        <cx:f>Sheet2!$B$1:$B$286</cx:f>
        <cx:lvl ptCount="286" formatCode="0_);[赤]!(0!)">
          <cx:pt idx="0">112</cx:pt>
          <cx:pt idx="1">132</cx:pt>
          <cx:pt idx="2">106</cx:pt>
          <cx:pt idx="3">59</cx:pt>
          <cx:pt idx="4">122</cx:pt>
          <cx:pt idx="5">125</cx:pt>
          <cx:pt idx="6">181</cx:pt>
          <cx:pt idx="7">184</cx:pt>
          <cx:pt idx="8">64</cx:pt>
          <cx:pt idx="9">73</cx:pt>
          <cx:pt idx="10">86</cx:pt>
          <cx:pt idx="11">93</cx:pt>
          <cx:pt idx="12">70</cx:pt>
          <cx:pt idx="13">114</cx:pt>
          <cx:pt idx="14">222</cx:pt>
          <cx:pt idx="15">99</cx:pt>
          <cx:pt idx="16">117</cx:pt>
          <cx:pt idx="17">297</cx:pt>
          <cx:pt idx="18">102</cx:pt>
          <cx:pt idx="19">102</cx:pt>
          <cx:pt idx="20">159</cx:pt>
          <cx:pt idx="21">84</cx:pt>
          <cx:pt idx="22">190</cx:pt>
          <cx:pt idx="23">95</cx:pt>
          <cx:pt idx="24">94</cx:pt>
          <cx:pt idx="25">61</cx:pt>
          <cx:pt idx="26">100</cx:pt>
          <cx:pt idx="27">121</cx:pt>
          <cx:pt idx="28">94</cx:pt>
          <cx:pt idx="29">87</cx:pt>
          <cx:pt idx="30">101</cx:pt>
          <cx:pt idx="31">108</cx:pt>
          <cx:pt idx="32">133</cx:pt>
          <cx:pt idx="33">69</cx:pt>
          <cx:pt idx="34">112</cx:pt>
          <cx:pt idx="35">93</cx:pt>
          <cx:pt idx="36">109</cx:pt>
          <cx:pt idx="37">165</cx:pt>
          <cx:pt idx="38">86</cx:pt>
          <cx:pt idx="39">139</cx:pt>
          <cx:pt idx="40">92</cx:pt>
          <cx:pt idx="41">40</cx:pt>
          <cx:pt idx="42">42</cx:pt>
          <cx:pt idx="43">84</cx:pt>
          <cx:pt idx="44">138</cx:pt>
          <cx:pt idx="45">67</cx:pt>
          <cx:pt idx="46">69</cx:pt>
          <cx:pt idx="47">53</cx:pt>
          <cx:pt idx="48">84</cx:pt>
          <cx:pt idx="49">59</cx:pt>
          <cx:pt idx="50">117</cx:pt>
          <cx:pt idx="51">112</cx:pt>
          <cx:pt idx="52">127</cx:pt>
          <cx:pt idx="53">109</cx:pt>
          <cx:pt idx="54">137</cx:pt>
          <cx:pt idx="55">69</cx:pt>
          <cx:pt idx="56">153</cx:pt>
          <cx:pt idx="57">65</cx:pt>
          <cx:pt idx="58">102</cx:pt>
          <cx:pt idx="59">144</cx:pt>
          <cx:pt idx="60">110</cx:pt>
          <cx:pt idx="61">79</cx:pt>
          <cx:pt idx="62">34</cx:pt>
          <cx:pt idx="63">57</cx:pt>
          <cx:pt idx="64">72</cx:pt>
          <cx:pt idx="65">54</cx:pt>
          <cx:pt idx="66">94</cx:pt>
          <cx:pt idx="67">104</cx:pt>
          <cx:pt idx="68">65</cx:pt>
          <cx:pt idx="69">128</cx:pt>
          <cx:pt idx="70">71</cx:pt>
          <cx:pt idx="71">70</cx:pt>
          <cx:pt idx="72">47</cx:pt>
          <cx:pt idx="73">59</cx:pt>
          <cx:pt idx="74">120</cx:pt>
          <cx:pt idx="75">74</cx:pt>
          <cx:pt idx="76">60</cx:pt>
          <cx:pt idx="77">65</cx:pt>
          <cx:pt idx="78">67</cx:pt>
          <cx:pt idx="79">63</cx:pt>
          <cx:pt idx="80">69</cx:pt>
          <cx:pt idx="81">120</cx:pt>
          <cx:pt idx="82">131</cx:pt>
          <cx:pt idx="83">67</cx:pt>
          <cx:pt idx="84">196</cx:pt>
          <cx:pt idx="85">74</cx:pt>
          <cx:pt idx="86">61</cx:pt>
          <cx:pt idx="87">169</cx:pt>
          <cx:pt idx="88">64</cx:pt>
          <cx:pt idx="89">160</cx:pt>
          <cx:pt idx="90">57</cx:pt>
          <cx:pt idx="91">114</cx:pt>
          <cx:pt idx="92">100</cx:pt>
          <cx:pt idx="93">69</cx:pt>
          <cx:pt idx="94">81</cx:pt>
          <cx:pt idx="95">70</cx:pt>
          <cx:pt idx="96">53</cx:pt>
          <cx:pt idx="97">65</cx:pt>
          <cx:pt idx="98">83</cx:pt>
          <cx:pt idx="99">77</cx:pt>
          <cx:pt idx="100">83</cx:pt>
          <cx:pt idx="101">80</cx:pt>
          <cx:pt idx="102">341</cx:pt>
          <cx:pt idx="103">85</cx:pt>
          <cx:pt idx="104">67</cx:pt>
          <cx:pt idx="105">84</cx:pt>
          <cx:pt idx="106">185</cx:pt>
          <cx:pt idx="107">72</cx:pt>
          <cx:pt idx="108">62</cx:pt>
          <cx:pt idx="109">85</cx:pt>
          <cx:pt idx="110">65</cx:pt>
          <cx:pt idx="111">141</cx:pt>
          <cx:pt idx="112">102</cx:pt>
          <cx:pt idx="113">60</cx:pt>
          <cx:pt idx="114">71</cx:pt>
          <cx:pt idx="115">78</cx:pt>
          <cx:pt idx="116">94</cx:pt>
          <cx:pt idx="117">48</cx:pt>
          <cx:pt idx="118">141</cx:pt>
          <cx:pt idx="119">91</cx:pt>
          <cx:pt idx="120">67</cx:pt>
          <cx:pt idx="121">84</cx:pt>
          <cx:pt idx="122">215</cx:pt>
          <cx:pt idx="123">76</cx:pt>
          <cx:pt idx="124">110</cx:pt>
          <cx:pt idx="125">132</cx:pt>
          <cx:pt idx="126">37</cx:pt>
          <cx:pt idx="127">149</cx:pt>
          <cx:pt idx="128">120</cx:pt>
          <cx:pt idx="129">112</cx:pt>
          <cx:pt idx="130">61</cx:pt>
          <cx:pt idx="131">73</cx:pt>
          <cx:pt idx="132">79</cx:pt>
          <cx:pt idx="133">67</cx:pt>
          <cx:pt idx="134">69</cx:pt>
          <cx:pt idx="135">95</cx:pt>
          <cx:pt idx="136">75</cx:pt>
          <cx:pt idx="137">88</cx:pt>
          <cx:pt idx="138">68</cx:pt>
          <cx:pt idx="139">66</cx:pt>
          <cx:pt idx="140">172</cx:pt>
          <cx:pt idx="141">41</cx:pt>
          <cx:pt idx="142">80</cx:pt>
          <cx:pt idx="143">86</cx:pt>
          <cx:pt idx="144">164</cx:pt>
          <cx:pt idx="145">65</cx:pt>
          <cx:pt idx="146">79</cx:pt>
          <cx:pt idx="147">122</cx:pt>
          <cx:pt idx="148">50</cx:pt>
          <cx:pt idx="149">169</cx:pt>
          <cx:pt idx="150">71</cx:pt>
          <cx:pt idx="151">45</cx:pt>
          <cx:pt idx="152">58</cx:pt>
          <cx:pt idx="153">42</cx:pt>
          <cx:pt idx="154">109</cx:pt>
          <cx:pt idx="155">31</cx:pt>
          <cx:pt idx="156">129</cx:pt>
          <cx:pt idx="157">115</cx:pt>
          <cx:pt idx="158">53</cx:pt>
          <cx:pt idx="159">56</cx:pt>
          <cx:pt idx="160">221</cx:pt>
          <cx:pt idx="161">58</cx:pt>
          <cx:pt idx="162">95</cx:pt>
          <cx:pt idx="163">124</cx:pt>
          <cx:pt idx="164">59</cx:pt>
          <cx:pt idx="165">102</cx:pt>
          <cx:pt idx="166">35</cx:pt>
          <cx:pt idx="167">111</cx:pt>
          <cx:pt idx="168">202</cx:pt>
          <cx:pt idx="169">62</cx:pt>
          <cx:pt idx="170">57</cx:pt>
          <cx:pt idx="171">97</cx:pt>
          <cx:pt idx="172">69</cx:pt>
          <cx:pt idx="173">80</cx:pt>
          <cx:pt idx="174">135</cx:pt>
          <cx:pt idx="175">138</cx:pt>
          <cx:pt idx="176">54</cx:pt>
          <cx:pt idx="177">54</cx:pt>
          <cx:pt idx="178">63</cx:pt>
          <cx:pt idx="179">56</cx:pt>
          <cx:pt idx="180">46</cx:pt>
          <cx:pt idx="181">54</cx:pt>
          <cx:pt idx="182">129</cx:pt>
          <cx:pt idx="183">46</cx:pt>
          <cx:pt idx="184">57</cx:pt>
          <cx:pt idx="185">66</cx:pt>
          <cx:pt idx="186">60</cx:pt>
          <cx:pt idx="187">132</cx:pt>
          <cx:pt idx="188">113</cx:pt>
          <cx:pt idx="189">148</cx:pt>
          <cx:pt idx="190">57</cx:pt>
          <cx:pt idx="191">55</cx:pt>
          <cx:pt idx="192">85</cx:pt>
          <cx:pt idx="193">45</cx:pt>
          <cx:pt idx="194">81</cx:pt>
          <cx:pt idx="195">150</cx:pt>
          <cx:pt idx="196">57</cx:pt>
          <cx:pt idx="197">44</cx:pt>
          <cx:pt idx="198">101</cx:pt>
          <cx:pt idx="199">119</cx:pt>
          <cx:pt idx="200">80</cx:pt>
          <cx:pt idx="201">110</cx:pt>
          <cx:pt idx="202">139</cx:pt>
          <cx:pt idx="203">94</cx:pt>
          <cx:pt idx="204">96</cx:pt>
          <cx:pt idx="205">87</cx:pt>
          <cx:pt idx="206">51</cx:pt>
          <cx:pt idx="207">67</cx:pt>
          <cx:pt idx="208">67</cx:pt>
          <cx:pt idx="209">67</cx:pt>
          <cx:pt idx="210">130</cx:pt>
          <cx:pt idx="211">93</cx:pt>
          <cx:pt idx="212">68</cx:pt>
          <cx:pt idx="213">87</cx:pt>
          <cx:pt idx="214">68</cx:pt>
          <cx:pt idx="215">80</cx:pt>
          <cx:pt idx="216">82</cx:pt>
          <cx:pt idx="217">81</cx:pt>
          <cx:pt idx="218">133</cx:pt>
          <cx:pt idx="219">64</cx:pt>
          <cx:pt idx="220">65</cx:pt>
          <cx:pt idx="221">81</cx:pt>
          <cx:pt idx="222">76</cx:pt>
          <cx:pt idx="223">105</cx:pt>
          <cx:pt idx="224">79</cx:pt>
          <cx:pt idx="225">72</cx:pt>
          <cx:pt idx="226">43</cx:pt>
          <cx:pt idx="227">98</cx:pt>
          <cx:pt idx="228">147</cx:pt>
          <cx:pt idx="229">168</cx:pt>
          <cx:pt idx="230">83</cx:pt>
          <cx:pt idx="231">55</cx:pt>
          <cx:pt idx="232">183</cx:pt>
          <cx:pt idx="233">77</cx:pt>
          <cx:pt idx="234">141</cx:pt>
          <cx:pt idx="235">298</cx:pt>
          <cx:pt idx="236">105</cx:pt>
          <cx:pt idx="237">55</cx:pt>
          <cx:pt idx="238">105</cx:pt>
          <cx:pt idx="239">78</cx:pt>
          <cx:pt idx="240">94</cx:pt>
          <cx:pt idx="241">56</cx:pt>
          <cx:pt idx="242">134</cx:pt>
          <cx:pt idx="243">40</cx:pt>
          <cx:pt idx="244">112</cx:pt>
          <cx:pt idx="245">53</cx:pt>
          <cx:pt idx="246">62</cx:pt>
          <cx:pt idx="247">88</cx:pt>
          <cx:pt idx="248">132</cx:pt>
          <cx:pt idx="249">72</cx:pt>
          <cx:pt idx="250">100</cx:pt>
          <cx:pt idx="251">53</cx:pt>
          <cx:pt idx="252">147</cx:pt>
          <cx:pt idx="253">69</cx:pt>
          <cx:pt idx="254">57</cx:pt>
          <cx:pt idx="255">65</cx:pt>
          <cx:pt idx="256">121</cx:pt>
          <cx:pt idx="257">91</cx:pt>
          <cx:pt idx="258">119</cx:pt>
          <cx:pt idx="259">60</cx:pt>
          <cx:pt idx="260">169</cx:pt>
          <cx:pt idx="261">152</cx:pt>
          <cx:pt idx="262">100</cx:pt>
          <cx:pt idx="263">122</cx:pt>
          <cx:pt idx="264">72</cx:pt>
          <cx:pt idx="265">103</cx:pt>
          <cx:pt idx="266">91</cx:pt>
          <cx:pt idx="267">59</cx:pt>
          <cx:pt idx="268">87</cx:pt>
          <cx:pt idx="269">102</cx:pt>
          <cx:pt idx="270">45</cx:pt>
          <cx:pt idx="271">122</cx:pt>
          <cx:pt idx="272">81</cx:pt>
          <cx:pt idx="273">106</cx:pt>
          <cx:pt idx="274">45</cx:pt>
          <cx:pt idx="275">117</cx:pt>
          <cx:pt idx="276">135</cx:pt>
          <cx:pt idx="277">64</cx:pt>
          <cx:pt idx="278">85</cx:pt>
          <cx:pt idx="279">85</cx:pt>
          <cx:pt idx="280">77</cx:pt>
          <cx:pt idx="281">105</cx:pt>
          <cx:pt idx="282">192</cx:pt>
          <cx:pt idx="283">52</cx:pt>
          <cx:pt idx="284">117</cx:pt>
          <cx:pt idx="285">66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 cap="none" baseline="0"/>
            </a:pPr>
            <a:r>
              <a:rPr lang="en-US" altLang="ja-JP" sz="1000" b="0" i="0" u="none" strike="noStrike" cap="non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  <a:ea typeface="游ゴシック" panose="020B0400000000000000" pitchFamily="50" charset="-128"/>
              </a:rPr>
              <a:t>Ammonia Transition</a:t>
            </a:r>
            <a:endParaRPr lang="ja-JP" altLang="en-US" sz="1000" b="0" i="0" u="none" strike="noStrike" cap="non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  <a:ea typeface="游ゴシック" panose="020B0400000000000000" pitchFamily="50" charset="-128"/>
            </a:endParaRPr>
          </a:p>
        </cx:rich>
      </cx:tx>
    </cx:title>
    <cx:plotArea>
      <cx:plotAreaRegion>
        <cx:series layoutId="boxWhisker" uniqueId="{E9F126D2-D1DB-4722-B78C-7DAD842D1BCA}" formatIdx="0">
          <cx:dataId val="0"/>
          <cx:layoutPr>
            <cx:visibility meanLine="1" meanMarker="1" nonoutliers="0" outliers="0"/>
            <cx:statistics quartileMethod="exclusive"/>
          </cx:layoutPr>
        </cx:series>
      </cx:plotAreaRegion>
      <cx:axis id="0">
        <cx:catScaling gapWidth="1.10000002"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800"/>
                </a:pPr>
                <a:r>
                  <a:rPr lang="en-US" altLang="ja-JP" sz="8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Weeks</a:t>
                </a:r>
                <a:endParaRPr lang="ja-JP" altLang="en-US" sz="8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  <a:ea typeface="游ゴシック" panose="020B0400000000000000" pitchFamily="50" charset="-128"/>
                </a:endParaRPr>
              </a:p>
            </cx:rich>
          </cx:tx>
        </cx:title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/>
            </a:pPr>
            <a:endParaRPr lang="ja-JP" altLang="en-US" sz="10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  <a:ea typeface="游ゴシック" panose="020B0400000000000000" pitchFamily="50" charset="-128"/>
            </a:endParaRPr>
          </a:p>
        </cx:txPr>
      </cx:axis>
      <cx:axis id="1">
        <cx:valScaling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/>
                </a:pPr>
                <a:r>
                  <a:rPr lang="en-US" altLang="ja-JP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Ammonia</a:t>
                </a:r>
                <a:r>
                  <a:rPr lang="ja-JP" altLang="en-US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 </a:t>
                </a:r>
                <a:r>
                  <a:rPr lang="en-US" altLang="ja-JP" sz="900" b="1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  <a:ea typeface="游ゴシック" panose="020B0400000000000000" pitchFamily="50" charset="-128"/>
                  </a:rPr>
                  <a:t>(μg/dL)</a:t>
                </a:r>
                <a:endParaRPr lang="ja-JP" altLang="en-US" sz="9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  <a:ea typeface="游ゴシック" panose="020B0400000000000000" pitchFamily="50" charset="-128"/>
                </a:endParaRPr>
              </a:p>
            </cx:rich>
          </cx:tx>
        </cx:title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cap="all" spc="15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ゴシック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B63F-8AB3-4842-A183-D4FA6AB6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5698</Words>
  <Characters>32480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Nishida</dc:creator>
  <cp:lastModifiedBy>Li Ma</cp:lastModifiedBy>
  <cp:revision>3</cp:revision>
  <cp:lastPrinted>2019-02-07T03:22:00Z</cp:lastPrinted>
  <dcterms:created xsi:type="dcterms:W3CDTF">2019-06-17T19:38:00Z</dcterms:created>
  <dcterms:modified xsi:type="dcterms:W3CDTF">2019-06-17T20:20:00Z</dcterms:modified>
</cp:coreProperties>
</file>