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4286" w14:textId="77777777" w:rsidR="00FF6956" w:rsidRPr="005E32D9" w:rsidRDefault="00FF6956" w:rsidP="00FF6956">
      <w:pPr>
        <w:adjustRightInd w:val="0"/>
        <w:snapToGrid w:val="0"/>
        <w:spacing w:line="360" w:lineRule="auto"/>
        <w:jc w:val="both"/>
        <w:rPr>
          <w:rFonts w:ascii="Book Antiqua" w:hAnsi="Book Antiqua"/>
          <w:b/>
          <w:color w:val="0000FF"/>
        </w:rPr>
      </w:pPr>
      <w:r w:rsidRPr="005E32D9">
        <w:rPr>
          <w:rFonts w:ascii="Book Antiqua" w:hAnsi="Book Antiqua" w:cs="Arial"/>
          <w:b/>
          <w:color w:val="000000" w:themeColor="text1"/>
          <w:shd w:val="clear" w:color="auto" w:fill="FFFFFF"/>
        </w:rPr>
        <w:t xml:space="preserve">Name of Journal: </w:t>
      </w:r>
      <w:r w:rsidRPr="005E32D9">
        <w:rPr>
          <w:rFonts w:ascii="Book Antiqua" w:hAnsi="Book Antiqua" w:cs="Arial"/>
          <w:b/>
          <w:i/>
          <w:color w:val="000000" w:themeColor="text1"/>
          <w:shd w:val="clear" w:color="auto" w:fill="FFFFFF"/>
        </w:rPr>
        <w:t>World Journal of Gastrointestinal Endoscopy</w:t>
      </w:r>
    </w:p>
    <w:p w14:paraId="271BFC3A" w14:textId="77777777" w:rsidR="00FF6956" w:rsidRPr="005E32D9" w:rsidRDefault="00FF6956" w:rsidP="00FF6956">
      <w:pPr>
        <w:adjustRightInd w:val="0"/>
        <w:snapToGrid w:val="0"/>
        <w:spacing w:line="360" w:lineRule="auto"/>
        <w:jc w:val="both"/>
        <w:rPr>
          <w:rFonts w:ascii="Book Antiqua" w:eastAsia="宋体" w:hAnsi="Book Antiqua" w:cs="Arial"/>
          <w:b/>
          <w:color w:val="000000" w:themeColor="text1"/>
          <w:shd w:val="clear" w:color="auto" w:fill="FFFFFF"/>
          <w:lang w:eastAsia="zh-CN"/>
        </w:rPr>
      </w:pPr>
      <w:r w:rsidRPr="005E32D9">
        <w:rPr>
          <w:rFonts w:ascii="Book Antiqua" w:hAnsi="Book Antiqua" w:cs="Arial"/>
          <w:b/>
          <w:color w:val="000000" w:themeColor="text1"/>
          <w:shd w:val="clear" w:color="auto" w:fill="FFFFFF"/>
        </w:rPr>
        <w:t xml:space="preserve">Manuscript NO: </w:t>
      </w:r>
      <w:r w:rsidRPr="005E32D9">
        <w:rPr>
          <w:rFonts w:ascii="Book Antiqua" w:eastAsia="宋体" w:hAnsi="Book Antiqua" w:cs="Arial"/>
          <w:b/>
          <w:color w:val="000000" w:themeColor="text1"/>
          <w:shd w:val="clear" w:color="auto" w:fill="FFFFFF"/>
          <w:lang w:eastAsia="zh-CN"/>
        </w:rPr>
        <w:t>48945</w:t>
      </w:r>
    </w:p>
    <w:p w14:paraId="77A805F9" w14:textId="77777777" w:rsidR="00FF6956" w:rsidRPr="005E32D9" w:rsidRDefault="00FF6956" w:rsidP="00FF6956">
      <w:pPr>
        <w:adjustRightInd w:val="0"/>
        <w:snapToGrid w:val="0"/>
        <w:spacing w:line="360" w:lineRule="auto"/>
        <w:jc w:val="both"/>
        <w:rPr>
          <w:rFonts w:ascii="Book Antiqua" w:eastAsia="宋体" w:hAnsi="Book Antiqua" w:cs="AdvAGaramond-R"/>
          <w:b/>
          <w:caps/>
          <w:color w:val="000000" w:themeColor="text1"/>
          <w:lang w:eastAsia="zh-CN" w:bidi="en-US"/>
        </w:rPr>
      </w:pPr>
      <w:bookmarkStart w:id="0" w:name="OLE_LINK3"/>
      <w:bookmarkStart w:id="1" w:name="OLE_LINK4"/>
      <w:r w:rsidRPr="005E32D9">
        <w:rPr>
          <w:rFonts w:ascii="Book Antiqua" w:hAnsi="Book Antiqua"/>
          <w:b/>
          <w:color w:val="000000"/>
          <w:shd w:val="clear" w:color="auto" w:fill="FFFFFF"/>
        </w:rPr>
        <w:t>Manuscript Type</w:t>
      </w:r>
      <w:bookmarkEnd w:id="0"/>
      <w:bookmarkEnd w:id="1"/>
      <w:r w:rsidRPr="005E32D9">
        <w:rPr>
          <w:rFonts w:ascii="Book Antiqua" w:hAnsi="Book Antiqua" w:cs="Arial"/>
          <w:b/>
          <w:color w:val="000000" w:themeColor="text1"/>
          <w:shd w:val="clear" w:color="auto" w:fill="FFFFFF"/>
        </w:rPr>
        <w:t xml:space="preserve">: </w:t>
      </w:r>
      <w:r w:rsidRPr="005E32D9">
        <w:rPr>
          <w:rFonts w:ascii="Book Antiqua" w:hAnsi="Book Antiqua" w:cs="AdvAGaramond-R"/>
          <w:b/>
          <w:caps/>
          <w:color w:val="000000" w:themeColor="text1"/>
          <w:lang w:bidi="en-US"/>
        </w:rPr>
        <w:t>Letter to the Editor</w:t>
      </w:r>
    </w:p>
    <w:p w14:paraId="03FA178C" w14:textId="77777777" w:rsidR="00FF6956" w:rsidRPr="005E32D9" w:rsidRDefault="00FF6956" w:rsidP="00FF6956">
      <w:pPr>
        <w:adjustRightInd w:val="0"/>
        <w:snapToGrid w:val="0"/>
        <w:spacing w:line="360" w:lineRule="auto"/>
        <w:jc w:val="both"/>
        <w:rPr>
          <w:rFonts w:ascii="Book Antiqua" w:eastAsia="宋体" w:hAnsi="Book Antiqua"/>
          <w:lang w:eastAsia="zh-CN"/>
        </w:rPr>
      </w:pPr>
    </w:p>
    <w:p w14:paraId="58C802D7" w14:textId="3A0427D3" w:rsidR="009114AD" w:rsidRPr="005E32D9" w:rsidRDefault="00FF6956" w:rsidP="00FF6956">
      <w:pPr>
        <w:adjustRightInd w:val="0"/>
        <w:snapToGrid w:val="0"/>
        <w:spacing w:line="360" w:lineRule="auto"/>
        <w:jc w:val="both"/>
        <w:rPr>
          <w:rFonts w:ascii="Book Antiqua" w:hAnsi="Book Antiqua"/>
          <w:b/>
          <w:bCs/>
        </w:rPr>
      </w:pPr>
      <w:bookmarkStart w:id="2" w:name="OLE_LINK1100"/>
      <w:r w:rsidRPr="005E32D9">
        <w:rPr>
          <w:rFonts w:ascii="Book Antiqua" w:hAnsi="Book Antiqua"/>
          <w:b/>
          <w:bCs/>
        </w:rPr>
        <w:t>Lack of proper reimbursement is hampering adoption of minimally invasive gastrointestinal endoscopy in North America</w:t>
      </w:r>
    </w:p>
    <w:bookmarkEnd w:id="2"/>
    <w:p w14:paraId="4C78A2AB" w14:textId="4B054BDE" w:rsidR="00120814" w:rsidRPr="005E32D9" w:rsidRDefault="00120814" w:rsidP="00FF6956">
      <w:pPr>
        <w:adjustRightInd w:val="0"/>
        <w:snapToGrid w:val="0"/>
        <w:spacing w:line="360" w:lineRule="auto"/>
        <w:jc w:val="both"/>
        <w:rPr>
          <w:rFonts w:ascii="Book Antiqua" w:hAnsi="Book Antiqua"/>
          <w:b/>
          <w:bCs/>
        </w:rPr>
      </w:pPr>
    </w:p>
    <w:p w14:paraId="253C6402" w14:textId="1CA81305" w:rsidR="00120814" w:rsidRPr="005E32D9" w:rsidRDefault="00120814" w:rsidP="00FF6956">
      <w:pPr>
        <w:adjustRightInd w:val="0"/>
        <w:snapToGrid w:val="0"/>
        <w:spacing w:line="360" w:lineRule="auto"/>
        <w:jc w:val="both"/>
        <w:rPr>
          <w:rFonts w:ascii="Book Antiqua" w:hAnsi="Book Antiqua"/>
        </w:rPr>
      </w:pPr>
      <w:r w:rsidRPr="005E32D9">
        <w:rPr>
          <w:rFonts w:ascii="Book Antiqua" w:hAnsi="Book Antiqua"/>
        </w:rPr>
        <w:t xml:space="preserve">Iqbal S </w:t>
      </w:r>
      <w:r w:rsidRPr="005E32D9">
        <w:rPr>
          <w:rFonts w:ascii="Book Antiqua" w:hAnsi="Book Antiqua"/>
          <w:i/>
          <w:iCs/>
        </w:rPr>
        <w:t>et al</w:t>
      </w:r>
      <w:r w:rsidRPr="005E32D9">
        <w:rPr>
          <w:rFonts w:ascii="Book Antiqua" w:hAnsi="Book Antiqua"/>
        </w:rPr>
        <w:t xml:space="preserve">. Lack of reimbursement of </w:t>
      </w:r>
      <w:r w:rsidR="00351E35" w:rsidRPr="005E32D9">
        <w:rPr>
          <w:rFonts w:ascii="Book Antiqua" w:hAnsi="Book Antiqua"/>
        </w:rPr>
        <w:t>ESD</w:t>
      </w:r>
    </w:p>
    <w:p w14:paraId="6C993D87" w14:textId="77777777" w:rsidR="00120814" w:rsidRPr="005E32D9" w:rsidRDefault="00120814" w:rsidP="00FF6956">
      <w:pPr>
        <w:adjustRightInd w:val="0"/>
        <w:snapToGrid w:val="0"/>
        <w:spacing w:line="360" w:lineRule="auto"/>
        <w:jc w:val="both"/>
        <w:rPr>
          <w:rFonts w:ascii="Book Antiqua" w:hAnsi="Book Antiqua"/>
        </w:rPr>
      </w:pPr>
    </w:p>
    <w:p w14:paraId="0C21D22B" w14:textId="55CFEEFE" w:rsidR="009114AD" w:rsidRPr="005E32D9" w:rsidRDefault="009114AD" w:rsidP="00FF6956">
      <w:pPr>
        <w:adjustRightInd w:val="0"/>
        <w:snapToGrid w:val="0"/>
        <w:spacing w:line="360" w:lineRule="auto"/>
        <w:jc w:val="both"/>
        <w:rPr>
          <w:rFonts w:ascii="Book Antiqua" w:hAnsi="Book Antiqua"/>
        </w:rPr>
      </w:pPr>
      <w:proofErr w:type="spellStart"/>
      <w:r w:rsidRPr="005E32D9">
        <w:rPr>
          <w:rFonts w:ascii="Book Antiqua" w:hAnsi="Book Antiqua"/>
        </w:rPr>
        <w:t>Shahzad</w:t>
      </w:r>
      <w:proofErr w:type="spellEnd"/>
      <w:r w:rsidRPr="005E32D9">
        <w:rPr>
          <w:rFonts w:ascii="Book Antiqua" w:hAnsi="Book Antiqua"/>
        </w:rPr>
        <w:t xml:space="preserve"> </w:t>
      </w:r>
      <w:proofErr w:type="spellStart"/>
      <w:r w:rsidRPr="005E32D9">
        <w:rPr>
          <w:rFonts w:ascii="Book Antiqua" w:hAnsi="Book Antiqua"/>
        </w:rPr>
        <w:t>Iqbal</w:t>
      </w:r>
      <w:proofErr w:type="spellEnd"/>
      <w:r w:rsidRPr="005E32D9">
        <w:rPr>
          <w:rFonts w:ascii="Book Antiqua" w:hAnsi="Book Antiqua"/>
        </w:rPr>
        <w:t xml:space="preserve">, </w:t>
      </w:r>
      <w:proofErr w:type="spellStart"/>
      <w:r w:rsidRPr="005E32D9">
        <w:rPr>
          <w:rFonts w:ascii="Book Antiqua" w:hAnsi="Book Antiqua"/>
        </w:rPr>
        <w:t>Aman</w:t>
      </w:r>
      <w:proofErr w:type="spellEnd"/>
      <w:r w:rsidRPr="005E32D9">
        <w:rPr>
          <w:rFonts w:ascii="Book Antiqua" w:hAnsi="Book Antiqua"/>
        </w:rPr>
        <w:t xml:space="preserve"> Ali, </w:t>
      </w:r>
      <w:proofErr w:type="spellStart"/>
      <w:r w:rsidRPr="005E32D9">
        <w:rPr>
          <w:rFonts w:ascii="Book Antiqua" w:hAnsi="Book Antiqua"/>
        </w:rPr>
        <w:t>Arham</w:t>
      </w:r>
      <w:proofErr w:type="spellEnd"/>
      <w:r w:rsidRPr="005E32D9">
        <w:rPr>
          <w:rFonts w:ascii="Book Antiqua" w:hAnsi="Book Antiqua"/>
        </w:rPr>
        <w:t xml:space="preserve"> </w:t>
      </w:r>
      <w:proofErr w:type="spellStart"/>
      <w:r w:rsidRPr="005E32D9">
        <w:rPr>
          <w:rFonts w:ascii="Book Antiqua" w:hAnsi="Book Antiqua"/>
        </w:rPr>
        <w:t>Razzaq</w:t>
      </w:r>
      <w:proofErr w:type="spellEnd"/>
      <w:r w:rsidRPr="005E32D9">
        <w:rPr>
          <w:rFonts w:ascii="Book Antiqua" w:hAnsi="Book Antiqua"/>
        </w:rPr>
        <w:t xml:space="preserve">, </w:t>
      </w:r>
      <w:proofErr w:type="spellStart"/>
      <w:r w:rsidRPr="005E32D9">
        <w:rPr>
          <w:rFonts w:ascii="Book Antiqua" w:hAnsi="Book Antiqua"/>
        </w:rPr>
        <w:t>Eman</w:t>
      </w:r>
      <w:proofErr w:type="spellEnd"/>
      <w:r w:rsidRPr="005E32D9">
        <w:rPr>
          <w:rFonts w:ascii="Book Antiqua" w:hAnsi="Book Antiqua"/>
        </w:rPr>
        <w:t xml:space="preserve"> </w:t>
      </w:r>
      <w:proofErr w:type="spellStart"/>
      <w:r w:rsidRPr="005E32D9">
        <w:rPr>
          <w:rFonts w:ascii="Book Antiqua" w:hAnsi="Book Antiqua"/>
        </w:rPr>
        <w:t>Shahzad</w:t>
      </w:r>
      <w:proofErr w:type="spellEnd"/>
    </w:p>
    <w:p w14:paraId="7451ACCE" w14:textId="77777777" w:rsidR="009114AD" w:rsidRPr="005E32D9" w:rsidRDefault="009114AD" w:rsidP="00FF6956">
      <w:pPr>
        <w:adjustRightInd w:val="0"/>
        <w:snapToGrid w:val="0"/>
        <w:spacing w:line="360" w:lineRule="auto"/>
        <w:jc w:val="both"/>
        <w:rPr>
          <w:rFonts w:ascii="Book Antiqua" w:hAnsi="Book Antiqua"/>
        </w:rPr>
      </w:pPr>
    </w:p>
    <w:p w14:paraId="7C5F4827" w14:textId="38810C99" w:rsidR="009114AD" w:rsidRPr="005E32D9" w:rsidRDefault="00120814" w:rsidP="00FF6956">
      <w:pPr>
        <w:adjustRightInd w:val="0"/>
        <w:snapToGrid w:val="0"/>
        <w:spacing w:line="360" w:lineRule="auto"/>
        <w:jc w:val="both"/>
        <w:rPr>
          <w:rFonts w:ascii="Book Antiqua" w:hAnsi="Book Antiqua"/>
        </w:rPr>
      </w:pPr>
      <w:r w:rsidRPr="005E32D9">
        <w:rPr>
          <w:rFonts w:ascii="Book Antiqua" w:hAnsi="Book Antiqua"/>
          <w:b/>
          <w:bCs/>
        </w:rPr>
        <w:t xml:space="preserve">Shahzad Iqbal, </w:t>
      </w:r>
      <w:r w:rsidRPr="005E32D9">
        <w:rPr>
          <w:rFonts w:ascii="Book Antiqua" w:hAnsi="Book Antiqua"/>
        </w:rPr>
        <w:t xml:space="preserve">Department of Gastroenterology, </w:t>
      </w:r>
      <w:r w:rsidR="009114AD" w:rsidRPr="005E32D9">
        <w:rPr>
          <w:rFonts w:ascii="Book Antiqua" w:hAnsi="Book Antiqua"/>
        </w:rPr>
        <w:t>Good Samaritan Hospital, West Islip, NY</w:t>
      </w:r>
      <w:r w:rsidR="0094161F" w:rsidRPr="005E32D9">
        <w:rPr>
          <w:rFonts w:ascii="Book Antiqua" w:hAnsi="Book Antiqua"/>
        </w:rPr>
        <w:t xml:space="preserve"> 11795</w:t>
      </w:r>
      <w:r w:rsidRPr="005E32D9">
        <w:rPr>
          <w:rFonts w:ascii="Book Antiqua" w:hAnsi="Book Antiqua"/>
        </w:rPr>
        <w:t>, United States</w:t>
      </w:r>
    </w:p>
    <w:p w14:paraId="44E67B64" w14:textId="77777777" w:rsidR="00120814" w:rsidRPr="005E32D9" w:rsidRDefault="00120814" w:rsidP="00FF6956">
      <w:pPr>
        <w:adjustRightInd w:val="0"/>
        <w:snapToGrid w:val="0"/>
        <w:spacing w:line="360" w:lineRule="auto"/>
        <w:jc w:val="both"/>
        <w:rPr>
          <w:rFonts w:ascii="Book Antiqua" w:hAnsi="Book Antiqua"/>
        </w:rPr>
      </w:pPr>
    </w:p>
    <w:p w14:paraId="6E6000F8" w14:textId="7BD2DC2B" w:rsidR="009114AD" w:rsidRPr="005E32D9" w:rsidRDefault="00120814" w:rsidP="00FF6956">
      <w:pPr>
        <w:adjustRightInd w:val="0"/>
        <w:snapToGrid w:val="0"/>
        <w:spacing w:line="360" w:lineRule="auto"/>
        <w:jc w:val="both"/>
        <w:rPr>
          <w:rFonts w:ascii="Book Antiqua" w:hAnsi="Book Antiqua"/>
        </w:rPr>
      </w:pPr>
      <w:r w:rsidRPr="005E32D9">
        <w:rPr>
          <w:rFonts w:ascii="Book Antiqua" w:hAnsi="Book Antiqua"/>
          <w:b/>
          <w:bCs/>
        </w:rPr>
        <w:t>Aman Ali,</w:t>
      </w:r>
      <w:r w:rsidRPr="005E32D9">
        <w:rPr>
          <w:rFonts w:ascii="Book Antiqua" w:hAnsi="Book Antiqua"/>
        </w:rPr>
        <w:t xml:space="preserve"> Department of Gastroenterology, </w:t>
      </w:r>
      <w:r w:rsidR="008231AC" w:rsidRPr="005E32D9">
        <w:rPr>
          <w:rFonts w:ascii="Book Antiqua" w:hAnsi="Book Antiqua"/>
        </w:rPr>
        <w:t>Lancaster General Hospital, Lancaster, PA</w:t>
      </w:r>
      <w:r w:rsidR="0094161F" w:rsidRPr="005E32D9">
        <w:rPr>
          <w:rFonts w:ascii="Book Antiqua" w:hAnsi="Book Antiqua"/>
        </w:rPr>
        <w:t xml:space="preserve"> 17602</w:t>
      </w:r>
      <w:r w:rsidRPr="005E32D9">
        <w:rPr>
          <w:rFonts w:ascii="Book Antiqua" w:hAnsi="Book Antiqua"/>
        </w:rPr>
        <w:t>, United States</w:t>
      </w:r>
    </w:p>
    <w:p w14:paraId="1AEDA8FD" w14:textId="77777777" w:rsidR="00120814" w:rsidRPr="005E32D9" w:rsidRDefault="00120814" w:rsidP="00FF6956">
      <w:pPr>
        <w:adjustRightInd w:val="0"/>
        <w:snapToGrid w:val="0"/>
        <w:spacing w:line="360" w:lineRule="auto"/>
        <w:jc w:val="both"/>
        <w:rPr>
          <w:rFonts w:ascii="Book Antiqua" w:hAnsi="Book Antiqua"/>
        </w:rPr>
      </w:pPr>
    </w:p>
    <w:p w14:paraId="74120D39" w14:textId="5946B8C3" w:rsidR="008231AC" w:rsidRPr="005E32D9" w:rsidRDefault="00120814" w:rsidP="00FF6956">
      <w:pPr>
        <w:adjustRightInd w:val="0"/>
        <w:snapToGrid w:val="0"/>
        <w:spacing w:line="360" w:lineRule="auto"/>
        <w:jc w:val="both"/>
        <w:rPr>
          <w:rFonts w:ascii="Book Antiqua" w:hAnsi="Book Antiqua"/>
        </w:rPr>
      </w:pPr>
      <w:proofErr w:type="spellStart"/>
      <w:r w:rsidRPr="005E32D9">
        <w:rPr>
          <w:rFonts w:ascii="Book Antiqua" w:hAnsi="Book Antiqua"/>
          <w:b/>
          <w:bCs/>
        </w:rPr>
        <w:t>Arham</w:t>
      </w:r>
      <w:proofErr w:type="spellEnd"/>
      <w:r w:rsidRPr="005E32D9">
        <w:rPr>
          <w:rFonts w:ascii="Book Antiqua" w:hAnsi="Book Antiqua"/>
          <w:b/>
          <w:bCs/>
        </w:rPr>
        <w:t xml:space="preserve"> </w:t>
      </w:r>
      <w:proofErr w:type="spellStart"/>
      <w:r w:rsidRPr="005E32D9">
        <w:rPr>
          <w:rFonts w:ascii="Book Antiqua" w:hAnsi="Book Antiqua"/>
          <w:b/>
          <w:bCs/>
        </w:rPr>
        <w:t>Razzaq</w:t>
      </w:r>
      <w:proofErr w:type="spellEnd"/>
      <w:r w:rsidRPr="005E32D9">
        <w:rPr>
          <w:rFonts w:ascii="Book Antiqua" w:hAnsi="Book Antiqua"/>
          <w:b/>
          <w:bCs/>
        </w:rPr>
        <w:t xml:space="preserve">, </w:t>
      </w:r>
      <w:proofErr w:type="spellStart"/>
      <w:r w:rsidRPr="005E32D9">
        <w:rPr>
          <w:rFonts w:ascii="Book Antiqua" w:hAnsi="Book Antiqua"/>
          <w:b/>
          <w:bCs/>
        </w:rPr>
        <w:t>Eman</w:t>
      </w:r>
      <w:proofErr w:type="spellEnd"/>
      <w:r w:rsidRPr="005E32D9">
        <w:rPr>
          <w:rFonts w:ascii="Book Antiqua" w:hAnsi="Book Antiqua"/>
          <w:b/>
          <w:bCs/>
        </w:rPr>
        <w:t xml:space="preserve"> </w:t>
      </w:r>
      <w:proofErr w:type="spellStart"/>
      <w:r w:rsidRPr="005E32D9">
        <w:rPr>
          <w:rFonts w:ascii="Book Antiqua" w:hAnsi="Book Antiqua"/>
          <w:b/>
          <w:bCs/>
        </w:rPr>
        <w:t>Shahzad</w:t>
      </w:r>
      <w:proofErr w:type="spellEnd"/>
      <w:r w:rsidRPr="005E32D9">
        <w:rPr>
          <w:rFonts w:ascii="Book Antiqua" w:hAnsi="Book Antiqua"/>
          <w:b/>
          <w:bCs/>
        </w:rPr>
        <w:t xml:space="preserve">, </w:t>
      </w:r>
      <w:r w:rsidR="008231AC" w:rsidRPr="005E32D9">
        <w:rPr>
          <w:rFonts w:ascii="Book Antiqua" w:hAnsi="Book Antiqua"/>
        </w:rPr>
        <w:t>Herricks High School, New Hyde Park, NY</w:t>
      </w:r>
      <w:r w:rsidR="0094161F" w:rsidRPr="005E32D9">
        <w:rPr>
          <w:rFonts w:ascii="Book Antiqua" w:hAnsi="Book Antiqua"/>
        </w:rPr>
        <w:t xml:space="preserve"> 11040</w:t>
      </w:r>
      <w:r w:rsidRPr="005E32D9">
        <w:rPr>
          <w:rFonts w:ascii="Book Antiqua" w:hAnsi="Book Antiqua"/>
        </w:rPr>
        <w:t>, United States</w:t>
      </w:r>
    </w:p>
    <w:p w14:paraId="73922988" w14:textId="77777777" w:rsidR="009114AD" w:rsidRPr="005E32D9" w:rsidRDefault="009114AD" w:rsidP="00FF6956">
      <w:pPr>
        <w:adjustRightInd w:val="0"/>
        <w:snapToGrid w:val="0"/>
        <w:spacing w:line="360" w:lineRule="auto"/>
        <w:jc w:val="both"/>
        <w:rPr>
          <w:rFonts w:ascii="Book Antiqua" w:hAnsi="Book Antiqua"/>
        </w:rPr>
      </w:pPr>
    </w:p>
    <w:p w14:paraId="3489FE9D" w14:textId="6088107A" w:rsidR="0094161F" w:rsidRPr="005E32D9" w:rsidRDefault="00E82226" w:rsidP="00FF6956">
      <w:pPr>
        <w:adjustRightInd w:val="0"/>
        <w:snapToGrid w:val="0"/>
        <w:spacing w:line="360" w:lineRule="auto"/>
        <w:jc w:val="both"/>
        <w:rPr>
          <w:rFonts w:ascii="Book Antiqua" w:eastAsia="Times New Roman" w:hAnsi="Book Antiqua" w:cs="Times New Roman"/>
        </w:rPr>
      </w:pPr>
      <w:r w:rsidRPr="005E32D9">
        <w:rPr>
          <w:rFonts w:ascii="Book Antiqua" w:hAnsi="Book Antiqua" w:cs="Times New Roman"/>
          <w:b/>
          <w:color w:val="000000" w:themeColor="text1"/>
        </w:rPr>
        <w:t>ORCID number:</w:t>
      </w:r>
      <w:r w:rsidRPr="005E32D9">
        <w:rPr>
          <w:rFonts w:ascii="Book Antiqua" w:hAnsi="Book Antiqua" w:cs="Times New Roman"/>
          <w:color w:val="000000" w:themeColor="text1"/>
        </w:rPr>
        <w:t xml:space="preserve"> </w:t>
      </w:r>
      <w:proofErr w:type="spellStart"/>
      <w:r w:rsidR="0094161F" w:rsidRPr="005E32D9">
        <w:rPr>
          <w:rFonts w:ascii="Book Antiqua" w:hAnsi="Book Antiqua"/>
        </w:rPr>
        <w:t>Shahzad</w:t>
      </w:r>
      <w:proofErr w:type="spellEnd"/>
      <w:r w:rsidR="0094161F" w:rsidRPr="005E32D9">
        <w:rPr>
          <w:rFonts w:ascii="Book Antiqua" w:hAnsi="Book Antiqua"/>
        </w:rPr>
        <w:t xml:space="preserve"> </w:t>
      </w:r>
      <w:proofErr w:type="spellStart"/>
      <w:r w:rsidR="0094161F" w:rsidRPr="005E32D9">
        <w:rPr>
          <w:rFonts w:ascii="Book Antiqua" w:hAnsi="Book Antiqua"/>
        </w:rPr>
        <w:t>Iqbal</w:t>
      </w:r>
      <w:proofErr w:type="spellEnd"/>
      <w:r w:rsidR="0094161F" w:rsidRPr="005E32D9">
        <w:rPr>
          <w:rFonts w:ascii="Book Antiqua" w:hAnsi="Book Antiqua"/>
        </w:rPr>
        <w:t xml:space="preserve"> </w:t>
      </w:r>
      <w:r w:rsidRPr="005E32D9">
        <w:rPr>
          <w:rFonts w:ascii="Book Antiqua" w:hAnsi="Book Antiqua"/>
        </w:rPr>
        <w:t>(</w:t>
      </w:r>
      <w:r w:rsidR="0094161F" w:rsidRPr="005E32D9">
        <w:rPr>
          <w:rFonts w:ascii="Book Antiqua" w:hAnsi="Book Antiqua"/>
        </w:rPr>
        <w:t>0000-0001-7149-9724</w:t>
      </w:r>
      <w:r w:rsidRPr="005E32D9">
        <w:rPr>
          <w:rFonts w:ascii="Book Antiqua" w:hAnsi="Book Antiqua"/>
        </w:rPr>
        <w:t xml:space="preserve">); </w:t>
      </w:r>
      <w:proofErr w:type="spellStart"/>
      <w:r w:rsidR="0094161F" w:rsidRPr="005E32D9">
        <w:rPr>
          <w:rFonts w:ascii="Book Antiqua" w:hAnsi="Book Antiqua"/>
        </w:rPr>
        <w:t>Aman</w:t>
      </w:r>
      <w:proofErr w:type="spellEnd"/>
      <w:r w:rsidR="0094161F" w:rsidRPr="005E32D9">
        <w:rPr>
          <w:rFonts w:ascii="Book Antiqua" w:hAnsi="Book Antiqua"/>
        </w:rPr>
        <w:t xml:space="preserve"> Ali </w:t>
      </w:r>
      <w:r w:rsidRPr="005E32D9">
        <w:rPr>
          <w:rFonts w:ascii="Book Antiqua" w:hAnsi="Book Antiqua"/>
        </w:rPr>
        <w:t>(</w:t>
      </w:r>
      <w:r w:rsidR="0094161F" w:rsidRPr="005E32D9">
        <w:rPr>
          <w:rFonts w:ascii="Book Antiqua" w:hAnsi="Book Antiqua"/>
        </w:rPr>
        <w:t>0000-0003-4543-6556</w:t>
      </w:r>
      <w:r w:rsidRPr="005E32D9">
        <w:rPr>
          <w:rFonts w:ascii="Book Antiqua" w:hAnsi="Book Antiqua"/>
        </w:rPr>
        <w:t xml:space="preserve">); </w:t>
      </w:r>
      <w:proofErr w:type="spellStart"/>
      <w:r w:rsidR="0094161F" w:rsidRPr="005E32D9">
        <w:rPr>
          <w:rFonts w:ascii="Book Antiqua" w:hAnsi="Book Antiqua"/>
        </w:rPr>
        <w:t>Arham</w:t>
      </w:r>
      <w:proofErr w:type="spellEnd"/>
      <w:r w:rsidR="0094161F" w:rsidRPr="005E32D9">
        <w:rPr>
          <w:rFonts w:ascii="Book Antiqua" w:hAnsi="Book Antiqua"/>
        </w:rPr>
        <w:t xml:space="preserve"> </w:t>
      </w:r>
      <w:proofErr w:type="spellStart"/>
      <w:r w:rsidR="0094161F" w:rsidRPr="005E32D9">
        <w:rPr>
          <w:rFonts w:ascii="Book Antiqua" w:hAnsi="Book Antiqua"/>
        </w:rPr>
        <w:t>Razzaq</w:t>
      </w:r>
      <w:proofErr w:type="spellEnd"/>
      <w:r w:rsidR="0094161F" w:rsidRPr="005E32D9">
        <w:rPr>
          <w:rFonts w:ascii="Book Antiqua" w:hAnsi="Book Antiqua"/>
        </w:rPr>
        <w:t xml:space="preserve"> </w:t>
      </w:r>
      <w:r w:rsidRPr="005E32D9">
        <w:rPr>
          <w:rFonts w:ascii="Book Antiqua" w:hAnsi="Book Antiqua"/>
        </w:rPr>
        <w:t>(</w:t>
      </w:r>
      <w:r w:rsidR="0094161F" w:rsidRPr="005E32D9">
        <w:rPr>
          <w:rFonts w:ascii="Book Antiqua" w:hAnsi="Book Antiqua"/>
        </w:rPr>
        <w:t>0000-0001-7771-0578</w:t>
      </w:r>
      <w:r w:rsidRPr="005E32D9">
        <w:rPr>
          <w:rFonts w:ascii="Book Antiqua" w:hAnsi="Book Antiqua"/>
        </w:rPr>
        <w:t xml:space="preserve">); </w:t>
      </w:r>
      <w:proofErr w:type="spellStart"/>
      <w:r w:rsidR="0094161F" w:rsidRPr="005E32D9">
        <w:rPr>
          <w:rFonts w:ascii="Book Antiqua" w:hAnsi="Book Antiqua"/>
        </w:rPr>
        <w:t>Eman</w:t>
      </w:r>
      <w:proofErr w:type="spellEnd"/>
      <w:r w:rsidR="0094161F" w:rsidRPr="005E32D9">
        <w:rPr>
          <w:rFonts w:ascii="Book Antiqua" w:hAnsi="Book Antiqua"/>
        </w:rPr>
        <w:t xml:space="preserve"> </w:t>
      </w:r>
      <w:proofErr w:type="spellStart"/>
      <w:r w:rsidR="0094161F" w:rsidRPr="005E32D9">
        <w:rPr>
          <w:rFonts w:ascii="Book Antiqua" w:hAnsi="Book Antiqua"/>
        </w:rPr>
        <w:t>Shahzad</w:t>
      </w:r>
      <w:proofErr w:type="spellEnd"/>
      <w:r w:rsidR="0094161F" w:rsidRPr="005E32D9">
        <w:rPr>
          <w:rFonts w:ascii="Book Antiqua" w:hAnsi="Book Antiqua"/>
        </w:rPr>
        <w:t xml:space="preserve"> </w:t>
      </w:r>
      <w:r w:rsidRPr="005E32D9">
        <w:rPr>
          <w:rFonts w:ascii="Book Antiqua" w:hAnsi="Book Antiqua"/>
        </w:rPr>
        <w:t>(</w:t>
      </w:r>
      <w:r w:rsidR="0094161F" w:rsidRPr="005E32D9">
        <w:rPr>
          <w:rFonts w:ascii="Book Antiqua" w:hAnsi="Book Antiqua"/>
        </w:rPr>
        <w:t>0000-0002-7803-3705</w:t>
      </w:r>
      <w:r w:rsidRPr="005E32D9">
        <w:rPr>
          <w:rFonts w:ascii="Book Antiqua" w:hAnsi="Book Antiqua"/>
        </w:rPr>
        <w:t>).</w:t>
      </w:r>
    </w:p>
    <w:p w14:paraId="26D72A40" w14:textId="7CF44322" w:rsidR="008231AC" w:rsidRPr="005E32D9" w:rsidRDefault="008231AC" w:rsidP="00FF6956">
      <w:pPr>
        <w:adjustRightInd w:val="0"/>
        <w:snapToGrid w:val="0"/>
        <w:spacing w:line="360" w:lineRule="auto"/>
        <w:jc w:val="both"/>
        <w:rPr>
          <w:rFonts w:ascii="Book Antiqua" w:hAnsi="Book Antiqua"/>
        </w:rPr>
      </w:pPr>
    </w:p>
    <w:p w14:paraId="41C06CA2" w14:textId="6666C6FD" w:rsidR="00E82226" w:rsidRPr="005E32D9" w:rsidRDefault="00E82226" w:rsidP="00FF6956">
      <w:pPr>
        <w:adjustRightInd w:val="0"/>
        <w:snapToGrid w:val="0"/>
        <w:spacing w:line="360" w:lineRule="auto"/>
        <w:jc w:val="both"/>
        <w:rPr>
          <w:rFonts w:ascii="Book Antiqua" w:hAnsi="Book Antiqua" w:cs="Times New Roman"/>
          <w:color w:val="000000" w:themeColor="text1"/>
        </w:rPr>
      </w:pPr>
      <w:r w:rsidRPr="005E32D9">
        <w:rPr>
          <w:rFonts w:ascii="Book Antiqua" w:hAnsi="Book Antiqua" w:cs="Times New Roman"/>
          <w:b/>
          <w:color w:val="000000" w:themeColor="text1"/>
        </w:rPr>
        <w:t>Author contributions:</w:t>
      </w:r>
      <w:r w:rsidRPr="005E32D9">
        <w:rPr>
          <w:rFonts w:ascii="Book Antiqua" w:eastAsia="DengXian" w:hAnsi="Book Antiqua" w:cs="Times New Roman"/>
          <w:b/>
          <w:color w:val="000000" w:themeColor="text1"/>
          <w:lang w:eastAsia="zh-CN"/>
        </w:rPr>
        <w:t xml:space="preserve"> </w:t>
      </w:r>
      <w:r w:rsidRPr="005E32D9">
        <w:rPr>
          <w:rFonts w:ascii="Book Antiqua" w:hAnsi="Book Antiqua" w:cs="Times New Roman"/>
          <w:color w:val="000000" w:themeColor="text1"/>
        </w:rPr>
        <w:t>All authors equally contributed to the following criteria for authorship: drafting of the article, critical revision of the article for important intellectual content, and final approval of the article.</w:t>
      </w:r>
    </w:p>
    <w:p w14:paraId="0F802178" w14:textId="77777777" w:rsidR="00E82226" w:rsidRPr="005E32D9" w:rsidRDefault="00E82226" w:rsidP="00FF6956">
      <w:pPr>
        <w:adjustRightInd w:val="0"/>
        <w:snapToGrid w:val="0"/>
        <w:spacing w:line="360" w:lineRule="auto"/>
        <w:jc w:val="both"/>
        <w:rPr>
          <w:rFonts w:ascii="Book Antiqua" w:hAnsi="Book Antiqua"/>
        </w:rPr>
      </w:pPr>
    </w:p>
    <w:p w14:paraId="14531838" w14:textId="1B0603B6" w:rsidR="008231AC" w:rsidRPr="005E32D9" w:rsidRDefault="00E82226" w:rsidP="00FF6956">
      <w:pPr>
        <w:adjustRightInd w:val="0"/>
        <w:snapToGrid w:val="0"/>
        <w:spacing w:line="360" w:lineRule="auto"/>
        <w:jc w:val="both"/>
        <w:rPr>
          <w:rFonts w:ascii="Book Antiqua" w:eastAsia="MS Mincho" w:hAnsi="Book Antiqua" w:cs="Times New Roman"/>
          <w:color w:val="000000"/>
          <w:kern w:val="2"/>
          <w:lang w:eastAsia="ja-JP"/>
        </w:rPr>
      </w:pPr>
      <w:r w:rsidRPr="005E32D9">
        <w:rPr>
          <w:rFonts w:ascii="Book Antiqua" w:eastAsia="MS Mincho" w:hAnsi="Book Antiqua" w:cs="Times New Roman"/>
          <w:b/>
          <w:color w:val="000000"/>
          <w:kern w:val="2"/>
          <w:lang w:eastAsia="ja-JP"/>
        </w:rPr>
        <w:lastRenderedPageBreak/>
        <w:t xml:space="preserve">Conflict-of-interest statement: </w:t>
      </w:r>
      <w:r w:rsidRPr="005E32D9">
        <w:rPr>
          <w:rFonts w:ascii="Book Antiqua" w:eastAsia="MS Mincho" w:hAnsi="Book Antiqua" w:cs="Times New Roman"/>
          <w:color w:val="000000"/>
          <w:kern w:val="2"/>
          <w:lang w:eastAsia="ja-JP"/>
        </w:rPr>
        <w:t>There are no conflicts of interest to declare in relation to this article.</w:t>
      </w:r>
    </w:p>
    <w:p w14:paraId="50C91949" w14:textId="77777777" w:rsidR="00E82226" w:rsidRPr="005E32D9" w:rsidRDefault="00E82226" w:rsidP="00FF6956">
      <w:pPr>
        <w:adjustRightInd w:val="0"/>
        <w:snapToGrid w:val="0"/>
        <w:spacing w:line="360" w:lineRule="auto"/>
        <w:jc w:val="both"/>
        <w:rPr>
          <w:rFonts w:ascii="Book Antiqua" w:hAnsi="Book Antiqua"/>
        </w:rPr>
      </w:pPr>
    </w:p>
    <w:p w14:paraId="1DB0D9C4" w14:textId="77777777" w:rsidR="00E82226" w:rsidRPr="005E32D9" w:rsidRDefault="00E82226" w:rsidP="00E82226">
      <w:pPr>
        <w:widowControl w:val="0"/>
        <w:suppressAutoHyphens/>
        <w:spacing w:line="360" w:lineRule="auto"/>
        <w:jc w:val="both"/>
        <w:rPr>
          <w:rFonts w:ascii="Book Antiqua" w:eastAsia="MS Mincho" w:hAnsi="Book Antiqua" w:cs="Times New Roman"/>
          <w:color w:val="000000"/>
          <w:kern w:val="2"/>
          <w:lang w:eastAsia="ja-JP"/>
        </w:rPr>
      </w:pPr>
      <w:r w:rsidRPr="005E32D9">
        <w:rPr>
          <w:rFonts w:ascii="Book Antiqua" w:eastAsia="MS Mincho" w:hAnsi="Book Antiqua" w:cs="Times New Roman"/>
          <w:b/>
          <w:bCs/>
          <w:color w:val="000000"/>
          <w:kern w:val="2"/>
          <w:lang w:eastAsia="ja-JP"/>
        </w:rPr>
        <w:t>Open-Access:</w:t>
      </w:r>
      <w:r w:rsidRPr="005E32D9">
        <w:rPr>
          <w:rFonts w:ascii="Book Antiqua" w:eastAsia="MS Mincho" w:hAnsi="Book Antiqua" w:cs="Times New Roman"/>
          <w:color w:val="000000"/>
          <w:kern w:val="2"/>
          <w:lang w:eastAsia="ja-JP"/>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49EEE59" w14:textId="77777777" w:rsidR="00E82226" w:rsidRPr="005E32D9" w:rsidRDefault="00E82226" w:rsidP="00E82226">
      <w:pPr>
        <w:widowControl w:val="0"/>
        <w:suppressAutoHyphens/>
        <w:spacing w:line="360" w:lineRule="auto"/>
        <w:jc w:val="both"/>
        <w:rPr>
          <w:rFonts w:ascii="Book Antiqua" w:eastAsia="MS Mincho" w:hAnsi="Book Antiqua" w:cs="Times New Roman"/>
          <w:color w:val="000000"/>
          <w:kern w:val="2"/>
          <w:lang w:eastAsia="ja-JP"/>
        </w:rPr>
      </w:pPr>
    </w:p>
    <w:p w14:paraId="002AA461" w14:textId="77777777" w:rsidR="00E82226" w:rsidRPr="005E32D9" w:rsidRDefault="00E82226" w:rsidP="00E82226">
      <w:pPr>
        <w:widowControl w:val="0"/>
        <w:suppressAutoHyphens/>
        <w:spacing w:line="360" w:lineRule="auto"/>
        <w:jc w:val="both"/>
        <w:rPr>
          <w:rFonts w:ascii="Book Antiqua" w:eastAsia="DengXian" w:hAnsi="Book Antiqua" w:cs="Arial"/>
          <w:b/>
          <w:kern w:val="2"/>
          <w:lang w:eastAsia="zh-CN"/>
        </w:rPr>
      </w:pPr>
      <w:r w:rsidRPr="005E32D9">
        <w:rPr>
          <w:rFonts w:ascii="Book Antiqua" w:eastAsia="MS Mincho" w:hAnsi="Book Antiqua" w:cs="Arial"/>
          <w:b/>
          <w:kern w:val="2"/>
          <w:lang w:eastAsia="ja-JP"/>
        </w:rPr>
        <w:t>Manuscript source:</w:t>
      </w:r>
      <w:r w:rsidRPr="005E32D9">
        <w:rPr>
          <w:rFonts w:ascii="Book Antiqua" w:eastAsia="MS Mincho" w:hAnsi="Book Antiqua" w:cs="Arial"/>
          <w:kern w:val="2"/>
          <w:lang w:eastAsia="ja-JP"/>
        </w:rPr>
        <w:t xml:space="preserve"> Unsolicited manuscript</w:t>
      </w:r>
    </w:p>
    <w:p w14:paraId="5F02CD7C" w14:textId="77777777" w:rsidR="00560CEC" w:rsidRPr="005E32D9" w:rsidRDefault="00560CEC" w:rsidP="00FF6956">
      <w:pPr>
        <w:adjustRightInd w:val="0"/>
        <w:snapToGrid w:val="0"/>
        <w:spacing w:line="360" w:lineRule="auto"/>
        <w:jc w:val="both"/>
        <w:rPr>
          <w:rFonts w:ascii="Book Antiqua" w:hAnsi="Book Antiqua"/>
        </w:rPr>
      </w:pPr>
    </w:p>
    <w:p w14:paraId="7527796F" w14:textId="428794DD" w:rsidR="008231AC" w:rsidRPr="005E32D9" w:rsidRDefault="00E82226" w:rsidP="00FF6956">
      <w:pPr>
        <w:adjustRightInd w:val="0"/>
        <w:snapToGrid w:val="0"/>
        <w:spacing w:line="360" w:lineRule="auto"/>
        <w:jc w:val="both"/>
        <w:rPr>
          <w:rFonts w:ascii="Book Antiqua" w:hAnsi="Book Antiqua"/>
        </w:rPr>
      </w:pPr>
      <w:r w:rsidRPr="005E32D9">
        <w:rPr>
          <w:rFonts w:ascii="Book Antiqua" w:hAnsi="Book Antiqua" w:cs="Times New Roman"/>
          <w:b/>
          <w:color w:val="000000" w:themeColor="text1"/>
        </w:rPr>
        <w:t xml:space="preserve">Corresponding author: </w:t>
      </w:r>
      <w:r w:rsidR="00560CEC" w:rsidRPr="005E32D9">
        <w:rPr>
          <w:rFonts w:ascii="Book Antiqua" w:hAnsi="Book Antiqua"/>
          <w:b/>
          <w:bCs/>
        </w:rPr>
        <w:t xml:space="preserve">Shahzad Iqbal, </w:t>
      </w:r>
      <w:r w:rsidRPr="005E32D9">
        <w:rPr>
          <w:rFonts w:ascii="Book Antiqua" w:hAnsi="Book Antiqua"/>
          <w:b/>
          <w:bCs/>
        </w:rPr>
        <w:t xml:space="preserve">AGAF, FACG, FASGE, MD, Associate Professor, </w:t>
      </w:r>
      <w:r w:rsidRPr="005E32D9">
        <w:rPr>
          <w:rFonts w:ascii="Book Antiqua" w:hAnsi="Book Antiqua"/>
        </w:rPr>
        <w:t>Department of Gastroenterology, Good Samaritan Hospital,</w:t>
      </w:r>
      <w:r w:rsidRPr="005E32D9">
        <w:rPr>
          <w:rFonts w:ascii="Book Antiqua" w:hAnsi="Book Antiqua" w:hint="eastAsia"/>
        </w:rPr>
        <w:t xml:space="preserve"> </w:t>
      </w:r>
      <w:r w:rsidR="00560CEC" w:rsidRPr="005E32D9">
        <w:rPr>
          <w:rFonts w:ascii="Book Antiqua" w:hAnsi="Book Antiqua"/>
        </w:rPr>
        <w:t>1111 Montauk Highway, Floor 3</w:t>
      </w:r>
      <w:r w:rsidR="00560CEC" w:rsidRPr="005E32D9">
        <w:rPr>
          <w:rFonts w:ascii="Book Antiqua" w:hAnsi="Book Antiqua"/>
          <w:vertAlign w:val="superscript"/>
        </w:rPr>
        <w:t>rd</w:t>
      </w:r>
      <w:r w:rsidR="00560CEC" w:rsidRPr="005E32D9">
        <w:rPr>
          <w:rFonts w:ascii="Book Antiqua" w:hAnsi="Book Antiqua"/>
        </w:rPr>
        <w:t>,</w:t>
      </w:r>
      <w:r w:rsidRPr="005E32D9">
        <w:rPr>
          <w:rFonts w:ascii="Book Antiqua" w:hAnsi="Book Antiqua" w:hint="eastAsia"/>
        </w:rPr>
        <w:t xml:space="preserve"> </w:t>
      </w:r>
      <w:r w:rsidR="00560CEC" w:rsidRPr="005E32D9">
        <w:rPr>
          <w:rFonts w:ascii="Book Antiqua" w:hAnsi="Book Antiqua"/>
        </w:rPr>
        <w:t>West Islip, NY 11795</w:t>
      </w:r>
      <w:r w:rsidRPr="005E32D9">
        <w:rPr>
          <w:rFonts w:ascii="Book Antiqua" w:hAnsi="Book Antiqua"/>
        </w:rPr>
        <w:t>, United States.</w:t>
      </w:r>
      <w:r w:rsidRPr="005E32D9">
        <w:rPr>
          <w:rFonts w:ascii="Book Antiqua" w:hAnsi="Book Antiqua" w:hint="eastAsia"/>
        </w:rPr>
        <w:t xml:space="preserve"> </w:t>
      </w:r>
      <w:hyperlink r:id="rId8" w:history="1">
        <w:r w:rsidR="00560CEC" w:rsidRPr="005E32D9">
          <w:rPr>
            <w:rStyle w:val="a4"/>
            <w:rFonts w:ascii="Book Antiqua" w:hAnsi="Book Antiqua"/>
          </w:rPr>
          <w:t>siqbal50@gmail.com</w:t>
        </w:r>
      </w:hyperlink>
    </w:p>
    <w:p w14:paraId="3F1DC389" w14:textId="1AF6805C" w:rsidR="00560CEC" w:rsidRPr="005E32D9" w:rsidRDefault="00E82226" w:rsidP="00FF6956">
      <w:pPr>
        <w:adjustRightInd w:val="0"/>
        <w:snapToGrid w:val="0"/>
        <w:spacing w:line="360" w:lineRule="auto"/>
        <w:jc w:val="both"/>
        <w:rPr>
          <w:rFonts w:ascii="Book Antiqua" w:hAnsi="Book Antiqua"/>
        </w:rPr>
      </w:pPr>
      <w:r w:rsidRPr="005E32D9">
        <w:rPr>
          <w:rFonts w:ascii="Book Antiqua" w:hAnsi="Book Antiqua" w:hint="eastAsia"/>
          <w:b/>
          <w:bCs/>
        </w:rPr>
        <w:t>T</w:t>
      </w:r>
      <w:r w:rsidRPr="005E32D9">
        <w:rPr>
          <w:rFonts w:ascii="Book Antiqua" w:hAnsi="Book Antiqua"/>
          <w:b/>
          <w:bCs/>
        </w:rPr>
        <w:t>elephone:</w:t>
      </w:r>
      <w:r w:rsidRPr="005E32D9">
        <w:rPr>
          <w:rFonts w:ascii="Book Antiqua" w:hAnsi="Book Antiqua"/>
        </w:rPr>
        <w:t xml:space="preserve"> </w:t>
      </w:r>
      <w:bookmarkStart w:id="3" w:name="OLE_LINK28"/>
      <w:bookmarkStart w:id="4" w:name="OLE_LINK29"/>
      <w:r w:rsidRPr="005E32D9">
        <w:rPr>
          <w:rFonts w:ascii="Book Antiqua" w:hAnsi="Book Antiqua"/>
        </w:rPr>
        <w:t>+1-631-6691171</w:t>
      </w:r>
      <w:bookmarkEnd w:id="3"/>
      <w:bookmarkEnd w:id="4"/>
    </w:p>
    <w:p w14:paraId="066A9189" w14:textId="77777777" w:rsidR="008231AC" w:rsidRPr="005E32D9" w:rsidRDefault="008231AC" w:rsidP="00FF6956">
      <w:pPr>
        <w:adjustRightInd w:val="0"/>
        <w:snapToGrid w:val="0"/>
        <w:spacing w:line="360" w:lineRule="auto"/>
        <w:jc w:val="both"/>
        <w:rPr>
          <w:rFonts w:ascii="Book Antiqua" w:hAnsi="Book Antiqua"/>
        </w:rPr>
      </w:pPr>
    </w:p>
    <w:p w14:paraId="3C97F7B8" w14:textId="478E9F25" w:rsidR="00853404" w:rsidRPr="005E32D9" w:rsidRDefault="00853404" w:rsidP="00853404">
      <w:pPr>
        <w:suppressAutoHyphens/>
        <w:adjustRightInd w:val="0"/>
        <w:snapToGrid w:val="0"/>
        <w:spacing w:line="360" w:lineRule="auto"/>
        <w:jc w:val="both"/>
        <w:rPr>
          <w:rFonts w:ascii="Book Antiqua" w:eastAsia="MS Mincho" w:hAnsi="Book Antiqua" w:cs="Arial"/>
          <w:b/>
          <w:kern w:val="2"/>
          <w:lang w:eastAsia="ja-JP"/>
        </w:rPr>
      </w:pPr>
      <w:r w:rsidRPr="005E32D9">
        <w:rPr>
          <w:rFonts w:ascii="Book Antiqua" w:eastAsia="MS Mincho" w:hAnsi="Book Antiqua" w:cs="Arial"/>
          <w:b/>
          <w:kern w:val="2"/>
          <w:lang w:eastAsia="ja-JP"/>
        </w:rPr>
        <w:t xml:space="preserve">Received: </w:t>
      </w:r>
      <w:r w:rsidRPr="005E32D9">
        <w:rPr>
          <w:rFonts w:ascii="Book Antiqua" w:eastAsia="DengXian" w:hAnsi="Book Antiqua" w:cs="Arial"/>
          <w:kern w:val="2"/>
          <w:lang w:eastAsia="zh-CN"/>
        </w:rPr>
        <w:t>May 8, 2019</w:t>
      </w:r>
    </w:p>
    <w:p w14:paraId="2D072942" w14:textId="7F5BFBBD" w:rsidR="00853404" w:rsidRPr="005E32D9" w:rsidRDefault="00853404" w:rsidP="00853404">
      <w:pPr>
        <w:suppressAutoHyphens/>
        <w:adjustRightInd w:val="0"/>
        <w:snapToGrid w:val="0"/>
        <w:spacing w:line="360" w:lineRule="auto"/>
        <w:jc w:val="both"/>
        <w:rPr>
          <w:rFonts w:ascii="Book Antiqua" w:eastAsia="Yu Mincho" w:hAnsi="Book Antiqua" w:cs="Arial"/>
          <w:b/>
          <w:kern w:val="2"/>
          <w:lang w:eastAsia="zh-CN"/>
        </w:rPr>
      </w:pPr>
      <w:r w:rsidRPr="005E32D9">
        <w:rPr>
          <w:rFonts w:ascii="Book Antiqua" w:eastAsia="MS Mincho" w:hAnsi="Book Antiqua" w:cs="Arial"/>
          <w:b/>
          <w:kern w:val="2"/>
          <w:lang w:eastAsia="ja-JP"/>
        </w:rPr>
        <w:t>Peer-review started:</w:t>
      </w:r>
      <w:r w:rsidRPr="005E32D9">
        <w:rPr>
          <w:rFonts w:ascii="Book Antiqua" w:eastAsia="Yu Mincho" w:hAnsi="Book Antiqua" w:cs="Arial"/>
          <w:b/>
          <w:kern w:val="2"/>
          <w:lang w:eastAsia="zh-CN"/>
        </w:rPr>
        <w:t xml:space="preserve"> </w:t>
      </w:r>
      <w:r w:rsidRPr="005E32D9">
        <w:rPr>
          <w:rFonts w:ascii="Book Antiqua" w:eastAsia="DengXian" w:hAnsi="Book Antiqua" w:cs="Arial"/>
          <w:kern w:val="2"/>
          <w:lang w:eastAsia="zh-CN"/>
        </w:rPr>
        <w:t>May 10, 2019</w:t>
      </w:r>
    </w:p>
    <w:p w14:paraId="06C69389" w14:textId="77777777" w:rsidR="00853404" w:rsidRPr="005E32D9" w:rsidRDefault="00853404" w:rsidP="00853404">
      <w:pPr>
        <w:suppressAutoHyphens/>
        <w:adjustRightInd w:val="0"/>
        <w:snapToGrid w:val="0"/>
        <w:spacing w:line="360" w:lineRule="auto"/>
        <w:jc w:val="both"/>
        <w:rPr>
          <w:rFonts w:ascii="Book Antiqua" w:eastAsia="DengXian" w:hAnsi="Book Antiqua" w:cs="Arial"/>
          <w:b/>
          <w:kern w:val="2"/>
          <w:lang w:eastAsia="zh-CN"/>
        </w:rPr>
      </w:pPr>
      <w:r w:rsidRPr="005E32D9">
        <w:rPr>
          <w:rFonts w:ascii="Book Antiqua" w:eastAsia="MS Mincho" w:hAnsi="Book Antiqua" w:cs="Arial"/>
          <w:b/>
          <w:kern w:val="2"/>
          <w:lang w:eastAsia="ja-JP"/>
        </w:rPr>
        <w:t>First decision:</w:t>
      </w:r>
      <w:r w:rsidRPr="005E32D9">
        <w:rPr>
          <w:rFonts w:ascii="Book Antiqua" w:eastAsia="Yu Mincho" w:hAnsi="Book Antiqua" w:cs="Arial"/>
          <w:b/>
          <w:kern w:val="2"/>
          <w:lang w:eastAsia="zh-CN"/>
        </w:rPr>
        <w:t xml:space="preserve"> </w:t>
      </w:r>
      <w:r w:rsidRPr="005E32D9">
        <w:rPr>
          <w:rFonts w:ascii="Book Antiqua" w:eastAsia="DengXian" w:hAnsi="Book Antiqua" w:cs="Arial"/>
          <w:kern w:val="2"/>
          <w:lang w:eastAsia="zh-CN"/>
        </w:rPr>
        <w:t>August 2, 2019</w:t>
      </w:r>
    </w:p>
    <w:p w14:paraId="0B1697FC" w14:textId="30285996" w:rsidR="00853404" w:rsidRPr="005E32D9" w:rsidRDefault="00853404" w:rsidP="00853404">
      <w:pPr>
        <w:suppressAutoHyphens/>
        <w:adjustRightInd w:val="0"/>
        <w:snapToGrid w:val="0"/>
        <w:spacing w:line="360" w:lineRule="auto"/>
        <w:jc w:val="both"/>
        <w:rPr>
          <w:rFonts w:ascii="Book Antiqua" w:eastAsia="MS Mincho" w:hAnsi="Book Antiqua" w:cs="Arial"/>
          <w:b/>
          <w:kern w:val="2"/>
          <w:lang w:eastAsia="ja-JP"/>
        </w:rPr>
      </w:pPr>
      <w:r w:rsidRPr="005E32D9">
        <w:rPr>
          <w:rFonts w:ascii="Book Antiqua" w:eastAsia="MS Mincho" w:hAnsi="Book Antiqua" w:cs="Arial"/>
          <w:b/>
          <w:kern w:val="2"/>
          <w:lang w:eastAsia="ja-JP"/>
        </w:rPr>
        <w:t xml:space="preserve">Revised: </w:t>
      </w:r>
      <w:r w:rsidRPr="005E32D9">
        <w:rPr>
          <w:rFonts w:ascii="Book Antiqua" w:eastAsia="DengXian" w:hAnsi="Book Antiqua" w:cs="Arial"/>
          <w:kern w:val="2"/>
          <w:lang w:eastAsia="zh-CN"/>
        </w:rPr>
        <w:t>October 18, 2019</w:t>
      </w:r>
    </w:p>
    <w:p w14:paraId="7CD14E46" w14:textId="05041470" w:rsidR="00853404" w:rsidRPr="005E32D9" w:rsidRDefault="00853404" w:rsidP="00853404">
      <w:pPr>
        <w:suppressAutoHyphens/>
        <w:adjustRightInd w:val="0"/>
        <w:snapToGrid w:val="0"/>
        <w:spacing w:line="360" w:lineRule="auto"/>
        <w:jc w:val="both"/>
        <w:rPr>
          <w:rFonts w:ascii="Book Antiqua" w:eastAsia="MS Mincho" w:hAnsi="Book Antiqua" w:cs="Arial"/>
          <w:b/>
          <w:kern w:val="2"/>
          <w:lang w:eastAsia="ja-JP"/>
        </w:rPr>
      </w:pPr>
      <w:r w:rsidRPr="005E32D9">
        <w:rPr>
          <w:rFonts w:ascii="Book Antiqua" w:eastAsia="MS Mincho" w:hAnsi="Book Antiqua" w:cs="Arial"/>
          <w:b/>
          <w:kern w:val="2"/>
          <w:lang w:eastAsia="ja-JP"/>
        </w:rPr>
        <w:t>Accepted:</w:t>
      </w:r>
      <w:r w:rsidRPr="005E32D9">
        <w:rPr>
          <w:rFonts w:ascii="Century" w:eastAsia="MS Mincho" w:hAnsi="Century" w:cs="Arial"/>
          <w:kern w:val="2"/>
          <w:sz w:val="21"/>
          <w:szCs w:val="22"/>
          <w:lang w:eastAsia="ja-JP"/>
        </w:rPr>
        <w:t xml:space="preserve"> </w:t>
      </w:r>
      <w:r w:rsidR="006504A6" w:rsidRPr="005E32D9">
        <w:rPr>
          <w:rFonts w:ascii="Book Antiqua" w:eastAsia="MS Mincho" w:hAnsi="Book Antiqua" w:cs="Arial"/>
          <w:kern w:val="2"/>
          <w:lang w:eastAsia="ja-JP"/>
        </w:rPr>
        <w:t>November 4, 2019</w:t>
      </w:r>
    </w:p>
    <w:p w14:paraId="04B4C852" w14:textId="604E10EE" w:rsidR="00853404" w:rsidRPr="005E32D9" w:rsidRDefault="00853404" w:rsidP="00853404">
      <w:pPr>
        <w:suppressAutoHyphens/>
        <w:adjustRightInd w:val="0"/>
        <w:snapToGrid w:val="0"/>
        <w:spacing w:line="360" w:lineRule="auto"/>
        <w:jc w:val="both"/>
        <w:rPr>
          <w:rFonts w:ascii="Book Antiqua" w:eastAsia="宋体" w:hAnsi="Book Antiqua" w:cs="Arial"/>
          <w:b/>
          <w:kern w:val="2"/>
          <w:lang w:eastAsia="zh-CN"/>
        </w:rPr>
      </w:pPr>
      <w:r w:rsidRPr="005E32D9">
        <w:rPr>
          <w:rFonts w:ascii="Book Antiqua" w:eastAsia="MS Mincho" w:hAnsi="Book Antiqua" w:cs="Arial"/>
          <w:b/>
          <w:kern w:val="2"/>
          <w:lang w:eastAsia="ja-JP"/>
        </w:rPr>
        <w:t>Article in press:</w:t>
      </w:r>
      <w:r w:rsidR="005E32D9">
        <w:rPr>
          <w:rFonts w:ascii="Book Antiqua" w:eastAsia="宋体" w:hAnsi="Book Antiqua" w:cs="Arial" w:hint="eastAsia"/>
          <w:b/>
          <w:kern w:val="2"/>
          <w:lang w:eastAsia="zh-CN"/>
        </w:rPr>
        <w:t xml:space="preserve"> </w:t>
      </w:r>
      <w:r w:rsidR="005E32D9" w:rsidRPr="005E32D9">
        <w:rPr>
          <w:rFonts w:ascii="Book Antiqua" w:eastAsia="MS Mincho" w:hAnsi="Book Antiqua" w:cs="Arial"/>
          <w:kern w:val="2"/>
          <w:lang w:eastAsia="ja-JP"/>
        </w:rPr>
        <w:t>November 4, 2019</w:t>
      </w:r>
    </w:p>
    <w:p w14:paraId="2675B30E" w14:textId="52DAFB1A" w:rsidR="00853404" w:rsidRPr="005E32D9" w:rsidRDefault="00853404" w:rsidP="00853404">
      <w:pPr>
        <w:suppressAutoHyphens/>
        <w:adjustRightInd w:val="0"/>
        <w:snapToGrid w:val="0"/>
        <w:spacing w:line="360" w:lineRule="auto"/>
        <w:jc w:val="both"/>
        <w:rPr>
          <w:rFonts w:ascii="Book Antiqua" w:eastAsia="宋体" w:hAnsi="Book Antiqua" w:cs="Arial"/>
          <w:b/>
          <w:kern w:val="2"/>
          <w:lang w:eastAsia="zh-CN"/>
        </w:rPr>
      </w:pPr>
      <w:r w:rsidRPr="005E32D9">
        <w:rPr>
          <w:rFonts w:ascii="Book Antiqua" w:eastAsia="MS Mincho" w:hAnsi="Book Antiqua" w:cs="Arial"/>
          <w:b/>
          <w:kern w:val="2"/>
          <w:lang w:eastAsia="ja-JP"/>
        </w:rPr>
        <w:t>Published online:</w:t>
      </w:r>
      <w:r w:rsidR="005E32D9">
        <w:rPr>
          <w:rFonts w:ascii="Book Antiqua" w:eastAsia="宋体" w:hAnsi="Book Antiqua" w:cs="Arial" w:hint="eastAsia"/>
          <w:b/>
          <w:kern w:val="2"/>
          <w:lang w:eastAsia="zh-CN"/>
        </w:rPr>
        <w:t xml:space="preserve"> </w:t>
      </w:r>
      <w:proofErr w:type="gramStart"/>
      <w:r w:rsidR="005E32D9">
        <w:rPr>
          <w:rFonts w:ascii="Book Antiqua" w:eastAsia="宋体" w:hAnsi="Book Antiqua" w:cs="Arial" w:hint="eastAsia"/>
          <w:kern w:val="2"/>
          <w:lang w:eastAsia="zh-CN"/>
        </w:rPr>
        <w:t xml:space="preserve">January </w:t>
      </w:r>
      <w:r w:rsidR="005E32D9" w:rsidRPr="005E32D9">
        <w:rPr>
          <w:rFonts w:ascii="Book Antiqua" w:eastAsia="MS Mincho" w:hAnsi="Book Antiqua" w:cs="Arial"/>
          <w:kern w:val="2"/>
          <w:lang w:eastAsia="ja-JP"/>
        </w:rPr>
        <w:t xml:space="preserve"> </w:t>
      </w:r>
      <w:r w:rsidR="005E32D9">
        <w:rPr>
          <w:rFonts w:ascii="Book Antiqua" w:eastAsia="宋体" w:hAnsi="Book Antiqua" w:cs="Arial" w:hint="eastAsia"/>
          <w:kern w:val="2"/>
          <w:lang w:eastAsia="zh-CN"/>
        </w:rPr>
        <w:t>16</w:t>
      </w:r>
      <w:proofErr w:type="gramEnd"/>
      <w:r w:rsidR="005E32D9" w:rsidRPr="005E32D9">
        <w:rPr>
          <w:rFonts w:ascii="Book Antiqua" w:eastAsia="MS Mincho" w:hAnsi="Book Antiqua" w:cs="Arial"/>
          <w:kern w:val="2"/>
          <w:lang w:eastAsia="ja-JP"/>
        </w:rPr>
        <w:t>, 20</w:t>
      </w:r>
      <w:r w:rsidR="005E32D9">
        <w:rPr>
          <w:rFonts w:ascii="Book Antiqua" w:eastAsia="宋体" w:hAnsi="Book Antiqua" w:cs="Arial" w:hint="eastAsia"/>
          <w:kern w:val="2"/>
          <w:lang w:eastAsia="zh-CN"/>
        </w:rPr>
        <w:t>20</w:t>
      </w:r>
    </w:p>
    <w:p w14:paraId="02AC8D56" w14:textId="77777777" w:rsidR="00853404" w:rsidRPr="005E32D9" w:rsidRDefault="00853404">
      <w:pPr>
        <w:rPr>
          <w:rFonts w:ascii="Book Antiqua" w:hAnsi="Book Antiqua"/>
        </w:rPr>
      </w:pPr>
      <w:r w:rsidRPr="005E32D9">
        <w:rPr>
          <w:rFonts w:ascii="Book Antiqua" w:hAnsi="Book Antiqua"/>
        </w:rPr>
        <w:br w:type="page"/>
      </w:r>
    </w:p>
    <w:p w14:paraId="6B661FD7" w14:textId="31EA402B" w:rsidR="00F85061" w:rsidRPr="005E32D9" w:rsidRDefault="00A5639B" w:rsidP="00FF6956">
      <w:pPr>
        <w:adjustRightInd w:val="0"/>
        <w:snapToGrid w:val="0"/>
        <w:spacing w:line="360" w:lineRule="auto"/>
        <w:jc w:val="both"/>
        <w:rPr>
          <w:rFonts w:ascii="Book Antiqua" w:hAnsi="Book Antiqua"/>
          <w:color w:val="0000FF"/>
          <w:lang w:val="en"/>
        </w:rPr>
      </w:pPr>
      <w:r w:rsidRPr="005E32D9">
        <w:rPr>
          <w:rFonts w:ascii="Book Antiqua" w:hAnsi="Book Antiqua" w:cs="Tahoma"/>
          <w:b/>
          <w:color w:val="000000" w:themeColor="text1"/>
        </w:rPr>
        <w:lastRenderedPageBreak/>
        <w:t>Abstract</w:t>
      </w:r>
      <w:r w:rsidRPr="005E32D9">
        <w:rPr>
          <w:rFonts w:ascii="Book Antiqua" w:hAnsi="Book Antiqua"/>
          <w:color w:val="0000FF"/>
          <w:lang w:val="en"/>
        </w:rPr>
        <w:t xml:space="preserve"> </w:t>
      </w:r>
    </w:p>
    <w:p w14:paraId="52683BED" w14:textId="2CA7B4B6" w:rsidR="00F85061" w:rsidRPr="005E32D9" w:rsidRDefault="00F85061" w:rsidP="00351E35">
      <w:pPr>
        <w:adjustRightInd w:val="0"/>
        <w:snapToGrid w:val="0"/>
        <w:spacing w:line="360" w:lineRule="auto"/>
        <w:jc w:val="both"/>
        <w:rPr>
          <w:rFonts w:ascii="Book Antiqua" w:hAnsi="Book Antiqua"/>
          <w:color w:val="000000" w:themeColor="text1"/>
        </w:rPr>
      </w:pPr>
      <w:bookmarkStart w:id="5" w:name="OLE_LINK1"/>
      <w:bookmarkStart w:id="6" w:name="OLE_LINK2"/>
      <w:bookmarkStart w:id="7" w:name="OLE_LINK20"/>
      <w:r w:rsidRPr="005E32D9">
        <w:rPr>
          <w:rFonts w:ascii="Book Antiqua" w:hAnsi="Book Antiqua" w:cs="Arial"/>
          <w:color w:val="000000" w:themeColor="text1"/>
        </w:rPr>
        <w:t>Endoscopic submucosal dissection</w:t>
      </w:r>
      <w:bookmarkEnd w:id="5"/>
      <w:bookmarkEnd w:id="6"/>
      <w:bookmarkEnd w:id="7"/>
      <w:r w:rsidRPr="005E32D9">
        <w:rPr>
          <w:rFonts w:ascii="Book Antiqua" w:hAnsi="Book Antiqua" w:cs="Arial"/>
          <w:color w:val="000000" w:themeColor="text1"/>
        </w:rPr>
        <w:t xml:space="preserve"> (ESD) and related procedures are minimally invasive and cost-effective alternates to surgery. However, there is no approved or listed </w:t>
      </w:r>
      <w:bookmarkStart w:id="8" w:name="OLE_LINK23"/>
      <w:bookmarkStart w:id="9" w:name="OLE_LINK24"/>
      <w:bookmarkStart w:id="10" w:name="OLE_LINK25"/>
      <w:r w:rsidR="00351E35" w:rsidRPr="005E32D9">
        <w:rPr>
          <w:rFonts w:ascii="Book Antiqua" w:hAnsi="Book Antiqua" w:cs="Arial"/>
          <w:color w:val="000000" w:themeColor="text1"/>
        </w:rPr>
        <w:t>current procedural terminology</w:t>
      </w:r>
      <w:bookmarkEnd w:id="8"/>
      <w:bookmarkEnd w:id="9"/>
      <w:bookmarkEnd w:id="10"/>
      <w:r w:rsidR="00351E35" w:rsidRPr="005E32D9">
        <w:rPr>
          <w:rFonts w:ascii="Book Antiqua" w:hAnsi="Book Antiqua" w:cs="Arial"/>
          <w:color w:val="000000" w:themeColor="text1"/>
        </w:rPr>
        <w:t xml:space="preserve"> </w:t>
      </w:r>
      <w:r w:rsidRPr="005E32D9">
        <w:rPr>
          <w:rFonts w:ascii="Book Antiqua" w:hAnsi="Book Antiqua" w:cs="Arial"/>
          <w:color w:val="000000" w:themeColor="text1"/>
        </w:rPr>
        <w:t>(</w:t>
      </w:r>
      <w:r w:rsidR="00351E35" w:rsidRPr="005E32D9">
        <w:rPr>
          <w:rFonts w:ascii="Book Antiqua" w:hAnsi="Book Antiqua" w:cs="Arial"/>
          <w:color w:val="000000" w:themeColor="text1"/>
        </w:rPr>
        <w:t>CPT</w:t>
      </w:r>
      <w:r w:rsidRPr="005E32D9">
        <w:rPr>
          <w:rFonts w:ascii="Book Antiqua" w:hAnsi="Book Antiqua" w:cs="Arial"/>
          <w:color w:val="000000" w:themeColor="text1"/>
        </w:rPr>
        <w:t xml:space="preserve">) for ESD. We aimed to review the current </w:t>
      </w:r>
      <w:r w:rsidRPr="005E32D9">
        <w:rPr>
          <w:rFonts w:ascii="Book Antiqua" w:hAnsi="Book Antiqua"/>
          <w:color w:val="000000" w:themeColor="text1"/>
        </w:rPr>
        <w:t>reimbursement process hurdles for ESD procedures in private practice model in U</w:t>
      </w:r>
      <w:r w:rsidR="00351E35" w:rsidRPr="005E32D9">
        <w:rPr>
          <w:rFonts w:ascii="Book Antiqua" w:hAnsi="Book Antiqua"/>
          <w:color w:val="000000" w:themeColor="text1"/>
        </w:rPr>
        <w:t>nited States</w:t>
      </w:r>
      <w:r w:rsidRPr="005E32D9">
        <w:rPr>
          <w:rFonts w:ascii="Book Antiqua" w:hAnsi="Book Antiqua"/>
          <w:color w:val="000000" w:themeColor="text1"/>
        </w:rPr>
        <w:t>. We reviewed the data of two advanced endoscopists (one in New York and other in Pennsylvania State) performing ESD in their private practice set-ups. We found the</w:t>
      </w:r>
      <w:r w:rsidRPr="005E32D9">
        <w:rPr>
          <w:rFonts w:ascii="Book Antiqua" w:hAnsi="Book Antiqua" w:cs="Arial"/>
          <w:color w:val="000000" w:themeColor="text1"/>
        </w:rPr>
        <w:t xml:space="preserve"> reimbursement process was complex, with number of refusals varied from 0-9 for ESD procedures. It was not paid at all in 8.3% of cases by the medical insurance. </w:t>
      </w:r>
      <w:r w:rsidR="00351E35" w:rsidRPr="005E32D9">
        <w:rPr>
          <w:rFonts w:ascii="Book Antiqua" w:hAnsi="Book Antiqua" w:cs="Arial"/>
          <w:color w:val="000000" w:themeColor="text1"/>
        </w:rPr>
        <w:t>E</w:t>
      </w:r>
      <w:r w:rsidRPr="005E32D9">
        <w:rPr>
          <w:rFonts w:ascii="Book Antiqua" w:hAnsi="Book Antiqua" w:cs="Arial"/>
          <w:color w:val="000000" w:themeColor="text1"/>
        </w:rPr>
        <w:t xml:space="preserve">ndoscopic mucosal resection, which is considered inferior as compared to ESD, but has a listed CPT, was denied in only 0.83% cases. Our data highlights the billing hurdles by the endoscopists to adopt ESD-related procedures in private practice model. </w:t>
      </w:r>
    </w:p>
    <w:p w14:paraId="74795D13" w14:textId="77777777" w:rsidR="00A5639B" w:rsidRPr="005E32D9" w:rsidRDefault="00A5639B" w:rsidP="00FF6956">
      <w:pPr>
        <w:adjustRightInd w:val="0"/>
        <w:snapToGrid w:val="0"/>
        <w:spacing w:line="360" w:lineRule="auto"/>
        <w:jc w:val="both"/>
        <w:rPr>
          <w:rFonts w:ascii="Book Antiqua" w:eastAsia="宋体" w:hAnsi="Book Antiqua" w:cs="Tahoma"/>
          <w:b/>
          <w:color w:val="000000" w:themeColor="text1"/>
          <w:lang w:eastAsia="zh-CN"/>
        </w:rPr>
      </w:pPr>
    </w:p>
    <w:p w14:paraId="6EF48747" w14:textId="603F7ED7" w:rsidR="00A5639B" w:rsidRPr="005E32D9" w:rsidRDefault="00A5639B" w:rsidP="00FF6956">
      <w:pPr>
        <w:adjustRightInd w:val="0"/>
        <w:snapToGrid w:val="0"/>
        <w:spacing w:line="360" w:lineRule="auto"/>
        <w:jc w:val="both"/>
        <w:rPr>
          <w:rFonts w:ascii="Book Antiqua" w:eastAsia="宋体" w:hAnsi="Book Antiqua" w:cs="Tahoma"/>
          <w:b/>
          <w:color w:val="000000" w:themeColor="text1"/>
          <w:lang w:eastAsia="zh-CN"/>
        </w:rPr>
      </w:pPr>
      <w:r w:rsidRPr="005E32D9">
        <w:rPr>
          <w:rFonts w:ascii="Book Antiqua" w:hAnsi="Book Antiqua" w:cs="Tahoma"/>
          <w:b/>
          <w:color w:val="000000" w:themeColor="text1"/>
        </w:rPr>
        <w:t>Key</w:t>
      </w:r>
      <w:r w:rsidRPr="005E32D9">
        <w:rPr>
          <w:rFonts w:ascii="Book Antiqua" w:eastAsia="宋体" w:hAnsi="Book Antiqua" w:cs="Tahoma"/>
          <w:b/>
          <w:color w:val="000000" w:themeColor="text1"/>
          <w:lang w:eastAsia="zh-CN"/>
        </w:rPr>
        <w:t xml:space="preserve"> </w:t>
      </w:r>
      <w:r w:rsidRPr="005E32D9">
        <w:rPr>
          <w:rFonts w:ascii="Book Antiqua" w:hAnsi="Book Antiqua" w:cs="Tahoma"/>
          <w:b/>
          <w:color w:val="000000" w:themeColor="text1"/>
        </w:rPr>
        <w:t>words</w:t>
      </w:r>
      <w:r w:rsidRPr="005E32D9">
        <w:rPr>
          <w:rFonts w:ascii="Book Antiqua" w:eastAsia="宋体" w:hAnsi="Book Antiqua" w:cs="Tahoma"/>
          <w:b/>
          <w:color w:val="000000" w:themeColor="text1"/>
          <w:lang w:eastAsia="zh-CN"/>
        </w:rPr>
        <w:t xml:space="preserve">: </w:t>
      </w:r>
      <w:bookmarkStart w:id="11" w:name="OLE_LINK30"/>
      <w:bookmarkStart w:id="12" w:name="OLE_LINK31"/>
      <w:r w:rsidR="00B44649" w:rsidRPr="005E32D9">
        <w:rPr>
          <w:rFonts w:ascii="Book Antiqua" w:eastAsia="宋体" w:hAnsi="Book Antiqua" w:cs="Tahoma"/>
          <w:color w:val="000000" w:themeColor="text1"/>
          <w:lang w:eastAsia="zh-CN"/>
        </w:rPr>
        <w:t>Endoscopic</w:t>
      </w:r>
      <w:r w:rsidR="00351E35" w:rsidRPr="005E32D9">
        <w:rPr>
          <w:rFonts w:ascii="Book Antiqua" w:eastAsia="宋体" w:hAnsi="Book Antiqua" w:cs="Tahoma"/>
          <w:color w:val="000000" w:themeColor="text1"/>
          <w:lang w:eastAsia="zh-CN"/>
        </w:rPr>
        <w:t xml:space="preserve"> submucosal dissectio</w:t>
      </w:r>
      <w:r w:rsidR="00B44649" w:rsidRPr="005E32D9">
        <w:rPr>
          <w:rFonts w:ascii="Book Antiqua" w:eastAsia="宋体" w:hAnsi="Book Antiqua" w:cs="Tahoma"/>
          <w:color w:val="000000" w:themeColor="text1"/>
          <w:lang w:eastAsia="zh-CN"/>
        </w:rPr>
        <w:t>n</w:t>
      </w:r>
      <w:bookmarkEnd w:id="11"/>
      <w:bookmarkEnd w:id="12"/>
      <w:r w:rsidR="00B44649" w:rsidRPr="005E32D9">
        <w:rPr>
          <w:rFonts w:ascii="Book Antiqua" w:eastAsia="宋体" w:hAnsi="Book Antiqua" w:cs="Tahoma"/>
          <w:color w:val="000000" w:themeColor="text1"/>
          <w:lang w:eastAsia="zh-CN"/>
        </w:rPr>
        <w:t xml:space="preserve">; </w:t>
      </w:r>
      <w:bookmarkStart w:id="13" w:name="OLE_LINK32"/>
      <w:bookmarkStart w:id="14" w:name="OLE_LINK33"/>
      <w:r w:rsidR="0097411F" w:rsidRPr="005E32D9">
        <w:rPr>
          <w:rFonts w:ascii="Book Antiqua" w:eastAsia="宋体" w:hAnsi="Book Antiqua" w:cs="Tahoma"/>
          <w:color w:val="000000" w:themeColor="text1"/>
          <w:lang w:eastAsia="zh-CN"/>
        </w:rPr>
        <w:t>Lack o</w:t>
      </w:r>
      <w:r w:rsidR="00351E35" w:rsidRPr="005E32D9">
        <w:rPr>
          <w:rFonts w:ascii="Book Antiqua" w:eastAsia="宋体" w:hAnsi="Book Antiqua" w:cs="Tahoma"/>
          <w:color w:val="000000" w:themeColor="text1"/>
          <w:lang w:eastAsia="zh-CN"/>
        </w:rPr>
        <w:t>f reimbursemen</w:t>
      </w:r>
      <w:r w:rsidR="0097411F" w:rsidRPr="005E32D9">
        <w:rPr>
          <w:rFonts w:ascii="Book Antiqua" w:eastAsia="宋体" w:hAnsi="Book Antiqua" w:cs="Tahoma"/>
          <w:color w:val="000000" w:themeColor="text1"/>
          <w:lang w:eastAsia="zh-CN"/>
        </w:rPr>
        <w:t>t</w:t>
      </w:r>
      <w:bookmarkEnd w:id="13"/>
      <w:bookmarkEnd w:id="14"/>
      <w:r w:rsidR="0097411F" w:rsidRPr="005E32D9">
        <w:rPr>
          <w:rFonts w:ascii="Book Antiqua" w:eastAsia="宋体" w:hAnsi="Book Antiqua" w:cs="Tahoma"/>
          <w:color w:val="000000" w:themeColor="text1"/>
          <w:lang w:eastAsia="zh-CN"/>
        </w:rPr>
        <w:t xml:space="preserve">; </w:t>
      </w:r>
      <w:r w:rsidR="0097411F" w:rsidRPr="005E32D9">
        <w:rPr>
          <w:rFonts w:ascii="Book Antiqua" w:hAnsi="Book Antiqua" w:cs="Arial"/>
          <w:color w:val="000000" w:themeColor="text1"/>
        </w:rPr>
        <w:t>Current procedural terminology; Minimally invasive gastrointestinal endoscopy; North America</w:t>
      </w:r>
      <w:r w:rsidRPr="005E32D9">
        <w:rPr>
          <w:rFonts w:ascii="Book Antiqua" w:eastAsia="宋体" w:hAnsi="Book Antiqua"/>
          <w:color w:val="0000FF"/>
          <w:lang w:val="en" w:eastAsia="zh-CN"/>
        </w:rPr>
        <w:t xml:space="preserve"> </w:t>
      </w:r>
    </w:p>
    <w:p w14:paraId="35F6A5DB" w14:textId="77777777" w:rsidR="00A5639B" w:rsidRPr="005E32D9" w:rsidRDefault="00A5639B" w:rsidP="00FF6956">
      <w:pPr>
        <w:adjustRightInd w:val="0"/>
        <w:snapToGrid w:val="0"/>
        <w:spacing w:line="360" w:lineRule="auto"/>
        <w:jc w:val="both"/>
        <w:rPr>
          <w:rFonts w:ascii="Book Antiqua" w:eastAsia="Arial Unicode MS" w:hAnsi="Book Antiqua" w:cs="Arial Unicode MS"/>
          <w:b/>
          <w:color w:val="000000" w:themeColor="text1"/>
          <w:lang w:eastAsia="zh-CN"/>
        </w:rPr>
      </w:pPr>
    </w:p>
    <w:p w14:paraId="516B9F4C" w14:textId="46577A1A" w:rsidR="00A5639B" w:rsidRPr="005E32D9" w:rsidRDefault="00292AF0" w:rsidP="00FF6956">
      <w:pPr>
        <w:adjustRightInd w:val="0"/>
        <w:snapToGrid w:val="0"/>
        <w:spacing w:line="360" w:lineRule="auto"/>
        <w:jc w:val="both"/>
        <w:rPr>
          <w:rFonts w:ascii="Book Antiqua" w:eastAsia="MS Mincho" w:hAnsi="Book Antiqua" w:cs="Times New Roman"/>
          <w:color w:val="000000"/>
          <w:kern w:val="2"/>
          <w:lang w:eastAsia="ja-JP"/>
        </w:rPr>
      </w:pPr>
      <w:r w:rsidRPr="005E32D9">
        <w:rPr>
          <w:rFonts w:ascii="Book Antiqua" w:eastAsia="MS Mincho" w:hAnsi="Book Antiqua" w:cs="Times New Roman"/>
          <w:b/>
          <w:color w:val="000000"/>
          <w:kern w:val="2"/>
          <w:lang w:eastAsia="ja-JP"/>
        </w:rPr>
        <w:t xml:space="preserve">© The Author(s) </w:t>
      </w:r>
      <w:r w:rsidRPr="005E32D9">
        <w:rPr>
          <w:rFonts w:ascii="Book Antiqua" w:eastAsia="DengXian" w:hAnsi="Book Antiqua" w:cs="Times New Roman"/>
          <w:b/>
          <w:color w:val="000000"/>
          <w:kern w:val="2"/>
          <w:lang w:eastAsia="zh-CN"/>
        </w:rPr>
        <w:t>2019</w:t>
      </w:r>
      <w:r w:rsidRPr="005E32D9">
        <w:rPr>
          <w:rFonts w:ascii="Book Antiqua" w:eastAsia="MS Mincho" w:hAnsi="Book Antiqua" w:cs="Times New Roman"/>
          <w:b/>
          <w:color w:val="000000"/>
          <w:kern w:val="2"/>
          <w:lang w:eastAsia="ja-JP"/>
        </w:rPr>
        <w:t xml:space="preserve">. </w:t>
      </w:r>
      <w:r w:rsidRPr="005E32D9">
        <w:rPr>
          <w:rFonts w:ascii="Book Antiqua" w:eastAsia="MS Mincho" w:hAnsi="Book Antiqua" w:cs="Times New Roman"/>
          <w:color w:val="000000"/>
          <w:kern w:val="2"/>
          <w:lang w:eastAsia="ja-JP"/>
        </w:rPr>
        <w:t xml:space="preserve">Published by </w:t>
      </w:r>
      <w:proofErr w:type="spellStart"/>
      <w:r w:rsidRPr="005E32D9">
        <w:rPr>
          <w:rFonts w:ascii="Book Antiqua" w:eastAsia="MS Mincho" w:hAnsi="Book Antiqua" w:cs="Times New Roman"/>
          <w:color w:val="000000"/>
          <w:kern w:val="2"/>
          <w:lang w:eastAsia="ja-JP"/>
        </w:rPr>
        <w:t>Baishideng</w:t>
      </w:r>
      <w:proofErr w:type="spellEnd"/>
      <w:r w:rsidRPr="005E32D9">
        <w:rPr>
          <w:rFonts w:ascii="Book Antiqua" w:eastAsia="MS Mincho" w:hAnsi="Book Antiqua" w:cs="Times New Roman"/>
          <w:color w:val="000000"/>
          <w:kern w:val="2"/>
          <w:lang w:eastAsia="ja-JP"/>
        </w:rPr>
        <w:t xml:space="preserve"> Publishing Group Inc. All rights reserved.</w:t>
      </w:r>
    </w:p>
    <w:p w14:paraId="24F41E79" w14:textId="77777777" w:rsidR="00292AF0" w:rsidRPr="005E32D9" w:rsidRDefault="00292AF0" w:rsidP="00FF6956">
      <w:pPr>
        <w:adjustRightInd w:val="0"/>
        <w:snapToGrid w:val="0"/>
        <w:spacing w:line="360" w:lineRule="auto"/>
        <w:jc w:val="both"/>
        <w:rPr>
          <w:rFonts w:ascii="Book Antiqua" w:eastAsia="Arial Unicode MS" w:hAnsi="Book Antiqua" w:cs="Arial Unicode MS"/>
          <w:b/>
          <w:color w:val="000000" w:themeColor="text1"/>
          <w:lang w:eastAsia="zh-CN"/>
        </w:rPr>
      </w:pPr>
    </w:p>
    <w:p w14:paraId="28CB0FBC" w14:textId="260B15BE" w:rsidR="00A5639B" w:rsidRPr="005E32D9" w:rsidRDefault="00A5639B" w:rsidP="00FF6956">
      <w:pPr>
        <w:adjustRightInd w:val="0"/>
        <w:snapToGrid w:val="0"/>
        <w:spacing w:line="360" w:lineRule="auto"/>
        <w:jc w:val="both"/>
        <w:rPr>
          <w:rFonts w:ascii="Book Antiqua" w:hAnsi="Book Antiqua"/>
          <w:color w:val="0000FF"/>
        </w:rPr>
      </w:pPr>
      <w:r w:rsidRPr="005E32D9">
        <w:rPr>
          <w:rFonts w:ascii="Book Antiqua" w:eastAsia="Arial Unicode MS" w:hAnsi="Book Antiqua" w:cs="Arial Unicode MS"/>
          <w:b/>
          <w:color w:val="000000" w:themeColor="text1"/>
        </w:rPr>
        <w:t>Core tip</w:t>
      </w:r>
      <w:r w:rsidRPr="005E32D9">
        <w:rPr>
          <w:rFonts w:ascii="Book Antiqua" w:eastAsia="Arial Unicode MS" w:hAnsi="Book Antiqua" w:cs="Arial Unicode MS"/>
          <w:b/>
          <w:color w:val="000000" w:themeColor="text1"/>
          <w:lang w:eastAsia="zh-CN"/>
        </w:rPr>
        <w:t>:</w:t>
      </w:r>
      <w:r w:rsidR="00292AF0" w:rsidRPr="005E32D9">
        <w:rPr>
          <w:rFonts w:ascii="Book Antiqua" w:hAnsi="Book Antiqua" w:hint="eastAsia"/>
          <w:color w:val="0000FF"/>
        </w:rPr>
        <w:t xml:space="preserve"> </w:t>
      </w:r>
      <w:r w:rsidR="0097411F" w:rsidRPr="005E32D9">
        <w:rPr>
          <w:rFonts w:ascii="Book Antiqua" w:hAnsi="Book Antiqua"/>
        </w:rPr>
        <w:t xml:space="preserve">Despite being minimally invasive and cost-effective alternates to surgery for removal of large gastrointestinal mucosal lesions, Endoscopic submucosal dissection has no approved or listed current procedural terminology for billing. It leads to much higher denial rate by the health insurance companies in North America. This scenario is </w:t>
      </w:r>
      <w:r w:rsidR="00183DF6" w:rsidRPr="005E32D9">
        <w:rPr>
          <w:rFonts w:ascii="Book Antiqua" w:hAnsi="Book Antiqua"/>
        </w:rPr>
        <w:t>highlighted in our article</w:t>
      </w:r>
      <w:r w:rsidR="00292AF0" w:rsidRPr="005E32D9">
        <w:rPr>
          <w:rFonts w:ascii="Book Antiqua" w:hAnsi="Book Antiqua"/>
        </w:rPr>
        <w:t xml:space="preserve"> </w:t>
      </w:r>
      <w:r w:rsidR="00183DF6" w:rsidRPr="005E32D9">
        <w:rPr>
          <w:rFonts w:ascii="Book Antiqua" w:hAnsi="Book Antiqua"/>
        </w:rPr>
        <w:t xml:space="preserve">and is </w:t>
      </w:r>
      <w:r w:rsidR="0097411F" w:rsidRPr="005E32D9">
        <w:rPr>
          <w:rFonts w:ascii="Book Antiqua" w:hAnsi="Book Antiqua"/>
        </w:rPr>
        <w:t>a hurdle in adoption of such useful techniques in private practice set-up.</w:t>
      </w:r>
    </w:p>
    <w:p w14:paraId="09289232" w14:textId="77777777" w:rsidR="008231AC" w:rsidRPr="005E32D9" w:rsidRDefault="008231AC" w:rsidP="00FF6956">
      <w:pPr>
        <w:adjustRightInd w:val="0"/>
        <w:snapToGrid w:val="0"/>
        <w:spacing w:line="360" w:lineRule="auto"/>
        <w:jc w:val="both"/>
        <w:rPr>
          <w:rFonts w:ascii="Book Antiqua" w:hAnsi="Book Antiqua"/>
        </w:rPr>
      </w:pPr>
    </w:p>
    <w:p w14:paraId="7919DD82" w14:textId="77777777" w:rsidR="005E32D9" w:rsidRDefault="005E32D9" w:rsidP="005E32D9">
      <w:pPr>
        <w:adjustRightInd w:val="0"/>
        <w:snapToGrid w:val="0"/>
        <w:spacing w:line="360" w:lineRule="auto"/>
        <w:rPr>
          <w:rFonts w:ascii="Book Antiqua" w:eastAsia="宋体" w:hAnsi="Book Antiqua" w:cs="Calibri"/>
          <w:color w:val="000000"/>
          <w:lang w:eastAsia="zh-CN"/>
        </w:rPr>
      </w:pPr>
      <w:bookmarkStart w:id="15" w:name="OLE_LINK34"/>
      <w:bookmarkStart w:id="16" w:name="OLE_LINK35"/>
      <w:r w:rsidRPr="005E32D9">
        <w:rPr>
          <w:rFonts w:ascii="Book Antiqua" w:eastAsia="宋体" w:hAnsi="Book Antiqua" w:hint="eastAsia"/>
          <w:b/>
          <w:lang w:eastAsia="zh-CN"/>
        </w:rPr>
        <w:lastRenderedPageBreak/>
        <w:t>Citation</w:t>
      </w:r>
      <w:r w:rsidRPr="005E32D9">
        <w:rPr>
          <w:rFonts w:ascii="Book Antiqua" w:eastAsia="宋体" w:hAnsi="Book Antiqua" w:hint="eastAsia"/>
          <w:b/>
          <w:lang w:eastAsia="zh-CN"/>
        </w:rPr>
        <w:t>：</w:t>
      </w:r>
      <w:r>
        <w:rPr>
          <w:rFonts w:ascii="Book Antiqua" w:eastAsia="宋体" w:hAnsi="Book Antiqua" w:hint="eastAsia"/>
          <w:lang w:eastAsia="zh-CN"/>
        </w:rPr>
        <w:t xml:space="preserve"> </w:t>
      </w:r>
      <w:proofErr w:type="spellStart"/>
      <w:r w:rsidRPr="00FF6956">
        <w:rPr>
          <w:rFonts w:ascii="Book Antiqua" w:hAnsi="Book Antiqua"/>
        </w:rPr>
        <w:t>Iqbal</w:t>
      </w:r>
      <w:proofErr w:type="spellEnd"/>
      <w:r>
        <w:rPr>
          <w:rFonts w:ascii="Book Antiqua" w:hAnsi="Book Antiqua"/>
        </w:rPr>
        <w:t xml:space="preserve"> S</w:t>
      </w:r>
      <w:r w:rsidRPr="00FF6956">
        <w:rPr>
          <w:rFonts w:ascii="Book Antiqua" w:hAnsi="Book Antiqua"/>
        </w:rPr>
        <w:t>, Ali</w:t>
      </w:r>
      <w:r>
        <w:rPr>
          <w:rFonts w:ascii="Book Antiqua" w:hAnsi="Book Antiqua"/>
        </w:rPr>
        <w:t xml:space="preserve"> A</w:t>
      </w:r>
      <w:r w:rsidRPr="00FF6956">
        <w:rPr>
          <w:rFonts w:ascii="Book Antiqua" w:hAnsi="Book Antiqua"/>
        </w:rPr>
        <w:t xml:space="preserve">, </w:t>
      </w:r>
      <w:proofErr w:type="spellStart"/>
      <w:r w:rsidRPr="00FF6956">
        <w:rPr>
          <w:rFonts w:ascii="Book Antiqua" w:hAnsi="Book Antiqua"/>
        </w:rPr>
        <w:t>Razzaq</w:t>
      </w:r>
      <w:proofErr w:type="spellEnd"/>
      <w:r>
        <w:rPr>
          <w:rFonts w:ascii="Book Antiqua" w:hAnsi="Book Antiqua"/>
        </w:rPr>
        <w:t xml:space="preserve"> A</w:t>
      </w:r>
      <w:r w:rsidRPr="00FF6956">
        <w:rPr>
          <w:rFonts w:ascii="Book Antiqua" w:hAnsi="Book Antiqua"/>
        </w:rPr>
        <w:t xml:space="preserve">, </w:t>
      </w:r>
      <w:proofErr w:type="spellStart"/>
      <w:r w:rsidRPr="00FF6956">
        <w:rPr>
          <w:rFonts w:ascii="Book Antiqua" w:hAnsi="Book Antiqua"/>
        </w:rPr>
        <w:t>Shahzad</w:t>
      </w:r>
      <w:proofErr w:type="spellEnd"/>
      <w:r>
        <w:rPr>
          <w:rFonts w:ascii="Book Antiqua" w:hAnsi="Book Antiqua"/>
        </w:rPr>
        <w:t xml:space="preserve"> E. </w:t>
      </w:r>
      <w:r w:rsidRPr="00292AF0">
        <w:rPr>
          <w:rFonts w:ascii="Book Antiqua" w:hAnsi="Book Antiqua"/>
        </w:rPr>
        <w:t>Lack of proper reimbursement is hampering adoption of minimally invasive gastrointestinal endoscopy in North America</w:t>
      </w:r>
      <w:r>
        <w:rPr>
          <w:rFonts w:ascii="Book Antiqua" w:hAnsi="Book Antiqua"/>
        </w:rPr>
        <w:t xml:space="preserve">. </w:t>
      </w:r>
      <w:r w:rsidRPr="00292AF0">
        <w:rPr>
          <w:rFonts w:ascii="Book Antiqua" w:eastAsia="MS Mincho" w:hAnsi="Book Antiqua" w:cs="Arial"/>
          <w:i/>
          <w:color w:val="000000"/>
          <w:lang w:eastAsia="ja-JP"/>
        </w:rPr>
        <w:t xml:space="preserve">World J </w:t>
      </w:r>
      <w:proofErr w:type="spellStart"/>
      <w:r w:rsidRPr="00292AF0">
        <w:rPr>
          <w:rFonts w:ascii="Book Antiqua" w:eastAsia="MS Mincho" w:hAnsi="Book Antiqua" w:cs="Arial"/>
          <w:i/>
          <w:color w:val="000000"/>
          <w:lang w:eastAsia="ja-JP"/>
        </w:rPr>
        <w:t>Gastrointest</w:t>
      </w:r>
      <w:proofErr w:type="spellEnd"/>
      <w:r w:rsidRPr="00292AF0">
        <w:rPr>
          <w:rFonts w:ascii="Book Antiqua" w:eastAsia="MS Mincho" w:hAnsi="Book Antiqua" w:cs="Arial"/>
          <w:i/>
          <w:color w:val="000000"/>
          <w:lang w:eastAsia="ja-JP"/>
        </w:rPr>
        <w:t xml:space="preserve"> </w:t>
      </w:r>
      <w:proofErr w:type="spellStart"/>
      <w:r w:rsidRPr="00292AF0">
        <w:rPr>
          <w:rFonts w:ascii="Book Antiqua" w:eastAsia="MS Mincho" w:hAnsi="Book Antiqua" w:cs="Arial"/>
          <w:i/>
          <w:color w:val="000000"/>
          <w:lang w:eastAsia="ja-JP"/>
        </w:rPr>
        <w:t>Endosc</w:t>
      </w:r>
      <w:proofErr w:type="spellEnd"/>
      <w:r w:rsidRPr="00292AF0">
        <w:rPr>
          <w:rFonts w:ascii="Book Antiqua" w:eastAsia="MS Mincho" w:hAnsi="Book Antiqua" w:cs="Arial"/>
          <w:color w:val="000000"/>
          <w:lang w:eastAsia="ja-JP"/>
        </w:rPr>
        <w:t xml:space="preserve"> </w:t>
      </w:r>
      <w:r w:rsidRPr="00AB2617">
        <w:rPr>
          <w:rFonts w:ascii="Book Antiqua" w:hAnsi="Book Antiqua" w:cs="Calibri"/>
          <w:color w:val="000000"/>
        </w:rPr>
        <w:t xml:space="preserve">2020; 12(1): </w:t>
      </w:r>
      <w:r>
        <w:rPr>
          <w:rFonts w:ascii="Book Antiqua" w:eastAsia="宋体" w:hAnsi="Book Antiqua" w:cs="Calibri" w:hint="eastAsia"/>
          <w:color w:val="000000"/>
        </w:rPr>
        <w:t>49</w:t>
      </w:r>
      <w:r w:rsidRPr="00AB2617">
        <w:rPr>
          <w:rFonts w:ascii="Book Antiqua" w:hAnsi="Book Antiqua" w:cs="Calibri"/>
          <w:color w:val="000000"/>
        </w:rPr>
        <w:t>-</w:t>
      </w:r>
      <w:r>
        <w:rPr>
          <w:rFonts w:ascii="Book Antiqua" w:eastAsia="宋体" w:hAnsi="Book Antiqua" w:cs="Calibri" w:hint="eastAsia"/>
          <w:color w:val="000000"/>
        </w:rPr>
        <w:t>52</w:t>
      </w:r>
      <w:r w:rsidRPr="00AB2617">
        <w:rPr>
          <w:rFonts w:ascii="Book Antiqua" w:hAnsi="Book Antiqua" w:cs="Calibri"/>
          <w:color w:val="000000"/>
        </w:rPr>
        <w:t xml:space="preserve">  </w:t>
      </w:r>
    </w:p>
    <w:p w14:paraId="574A913A" w14:textId="609DE421" w:rsidR="005E32D9" w:rsidRDefault="005E32D9" w:rsidP="005E32D9">
      <w:pPr>
        <w:adjustRightInd w:val="0"/>
        <w:snapToGrid w:val="0"/>
        <w:spacing w:line="360" w:lineRule="auto"/>
        <w:rPr>
          <w:rFonts w:ascii="Book Antiqua" w:eastAsia="宋体" w:hAnsi="Book Antiqua" w:cs="Calibri"/>
          <w:color w:val="000000"/>
          <w:lang w:eastAsia="zh-CN"/>
        </w:rPr>
      </w:pPr>
      <w:r w:rsidRPr="005E32D9">
        <w:rPr>
          <w:rFonts w:ascii="Book Antiqua" w:hAnsi="Book Antiqua" w:cs="Calibri"/>
          <w:b/>
          <w:color w:val="000000"/>
        </w:rPr>
        <w:t>URL:</w:t>
      </w:r>
      <w:r w:rsidRPr="00AB2617">
        <w:rPr>
          <w:rFonts w:ascii="Book Antiqua" w:hAnsi="Book Antiqua" w:cs="Calibri"/>
          <w:color w:val="000000"/>
        </w:rPr>
        <w:t xml:space="preserve"> https://www.wjgnet.com/1948-5190/full/v1</w:t>
      </w:r>
      <w:r w:rsidR="00805C65">
        <w:rPr>
          <w:rFonts w:ascii="Book Antiqua" w:eastAsia="宋体" w:hAnsi="Book Antiqua" w:cs="Calibri" w:hint="eastAsia"/>
          <w:color w:val="000000"/>
          <w:lang w:eastAsia="zh-CN"/>
        </w:rPr>
        <w:t>2</w:t>
      </w:r>
      <w:bookmarkStart w:id="17" w:name="_GoBack"/>
      <w:bookmarkEnd w:id="17"/>
      <w:r w:rsidRPr="00AB2617">
        <w:rPr>
          <w:rFonts w:ascii="Book Antiqua" w:hAnsi="Book Antiqua" w:cs="Calibri"/>
          <w:color w:val="000000"/>
        </w:rPr>
        <w:t>/i1/</w:t>
      </w:r>
      <w:r>
        <w:rPr>
          <w:rFonts w:ascii="Book Antiqua" w:eastAsia="宋体" w:hAnsi="Book Antiqua" w:cs="Calibri" w:hint="eastAsia"/>
          <w:color w:val="000000"/>
        </w:rPr>
        <w:t>49</w:t>
      </w:r>
      <w:r w:rsidRPr="00AB2617">
        <w:rPr>
          <w:rFonts w:ascii="Book Antiqua" w:hAnsi="Book Antiqua" w:cs="Calibri"/>
          <w:color w:val="000000"/>
        </w:rPr>
        <w:t xml:space="preserve">.htm  </w:t>
      </w:r>
    </w:p>
    <w:p w14:paraId="3897FFDA" w14:textId="62B23A4E" w:rsidR="005E32D9" w:rsidRPr="00682347" w:rsidRDefault="005E32D9" w:rsidP="005E32D9">
      <w:pPr>
        <w:adjustRightInd w:val="0"/>
        <w:snapToGrid w:val="0"/>
        <w:spacing w:line="360" w:lineRule="auto"/>
        <w:rPr>
          <w:rFonts w:ascii="Book Antiqua" w:eastAsia="宋体" w:hAnsi="Book Antiqua"/>
        </w:rPr>
      </w:pPr>
      <w:r w:rsidRPr="005E32D9">
        <w:rPr>
          <w:rFonts w:ascii="Book Antiqua" w:hAnsi="Book Antiqua" w:cs="Calibri"/>
          <w:b/>
          <w:color w:val="000000"/>
        </w:rPr>
        <w:t>DOI:</w:t>
      </w:r>
      <w:r w:rsidRPr="00AB2617">
        <w:rPr>
          <w:rFonts w:ascii="Book Antiqua" w:hAnsi="Book Antiqua" w:cs="Calibri"/>
          <w:color w:val="000000"/>
        </w:rPr>
        <w:t xml:space="preserve"> https://dx.doi.org/10.4253/wjge.v12.i1.</w:t>
      </w:r>
      <w:r>
        <w:rPr>
          <w:rFonts w:ascii="Book Antiqua" w:eastAsia="宋体" w:hAnsi="Book Antiqua" w:cs="Calibri" w:hint="eastAsia"/>
          <w:color w:val="000000"/>
        </w:rPr>
        <w:t>49</w:t>
      </w:r>
    </w:p>
    <w:bookmarkEnd w:id="15"/>
    <w:bookmarkEnd w:id="16"/>
    <w:p w14:paraId="3597B5AD" w14:textId="77777777" w:rsidR="00292AF0" w:rsidRPr="005E32D9" w:rsidRDefault="00292AF0">
      <w:pPr>
        <w:rPr>
          <w:rFonts w:ascii="Book Antiqua" w:hAnsi="Book Antiqua"/>
        </w:rPr>
      </w:pPr>
      <w:r w:rsidRPr="005E32D9">
        <w:rPr>
          <w:rFonts w:ascii="Book Antiqua" w:hAnsi="Book Antiqua"/>
        </w:rPr>
        <w:br w:type="page"/>
      </w:r>
    </w:p>
    <w:p w14:paraId="48B76D82" w14:textId="1821806C" w:rsidR="008231AC" w:rsidRPr="005E32D9" w:rsidRDefault="00A5639B" w:rsidP="00292AF0">
      <w:pPr>
        <w:autoSpaceDE w:val="0"/>
        <w:autoSpaceDN w:val="0"/>
        <w:adjustRightInd w:val="0"/>
        <w:snapToGrid w:val="0"/>
        <w:spacing w:line="360" w:lineRule="auto"/>
        <w:jc w:val="both"/>
        <w:rPr>
          <w:rFonts w:ascii="Book Antiqua" w:eastAsia="宋体" w:hAnsi="Book Antiqua" w:cs="Times New Roman"/>
          <w:b/>
          <w:caps/>
          <w:color w:val="000000" w:themeColor="text1"/>
          <w:lang w:eastAsia="zh-CN"/>
        </w:rPr>
      </w:pPr>
      <w:r w:rsidRPr="005E32D9">
        <w:rPr>
          <w:rFonts w:ascii="Book Antiqua" w:hAnsi="Book Antiqua" w:cs="Times New Roman"/>
          <w:b/>
          <w:caps/>
          <w:color w:val="000000" w:themeColor="text1"/>
        </w:rPr>
        <w:lastRenderedPageBreak/>
        <w:t>To the Editor</w:t>
      </w:r>
    </w:p>
    <w:p w14:paraId="154AF8A8" w14:textId="70A1B381" w:rsidR="005D3D16" w:rsidRPr="005E32D9" w:rsidRDefault="005D3D16" w:rsidP="00FF6956">
      <w:pPr>
        <w:adjustRightInd w:val="0"/>
        <w:snapToGrid w:val="0"/>
        <w:spacing w:line="360" w:lineRule="auto"/>
        <w:jc w:val="both"/>
        <w:rPr>
          <w:rFonts w:ascii="Book Antiqua" w:hAnsi="Book Antiqua"/>
        </w:rPr>
      </w:pPr>
      <w:r w:rsidRPr="005E32D9">
        <w:rPr>
          <w:rFonts w:ascii="Book Antiqua" w:hAnsi="Book Antiqua"/>
        </w:rPr>
        <w:t>Patients with large gastrointestinal (</w:t>
      </w:r>
      <w:bookmarkStart w:id="18" w:name="OLE_LINK7"/>
      <w:bookmarkStart w:id="19" w:name="OLE_LINK8"/>
      <w:r w:rsidRPr="005E32D9">
        <w:rPr>
          <w:rFonts w:ascii="Book Antiqua" w:hAnsi="Book Antiqua"/>
        </w:rPr>
        <w:t>GI</w:t>
      </w:r>
      <w:bookmarkEnd w:id="18"/>
      <w:bookmarkEnd w:id="19"/>
      <w:r w:rsidRPr="005E32D9">
        <w:rPr>
          <w:rFonts w:ascii="Book Antiqua" w:hAnsi="Book Antiqua"/>
        </w:rPr>
        <w:t xml:space="preserve">) mucosal polyps and lesions including carcinoids, muscle tumors including </w:t>
      </w:r>
      <w:r w:rsidR="00292AF0" w:rsidRPr="005E32D9">
        <w:rPr>
          <w:rFonts w:ascii="Book Antiqua" w:hAnsi="Book Antiqua"/>
        </w:rPr>
        <w:t>GI stromal tumor</w:t>
      </w:r>
      <w:r w:rsidRPr="005E32D9">
        <w:rPr>
          <w:rFonts w:ascii="Book Antiqua" w:hAnsi="Book Antiqua"/>
        </w:rPr>
        <w:t xml:space="preserve">, and achalasia, traditionally undergo surgery. Not only there is morbidity and mortality involved, surgical procedures are costly. The total cost for elective colectomy </w:t>
      </w:r>
      <w:r w:rsidR="00292AF0" w:rsidRPr="005E32D9">
        <w:rPr>
          <w:rFonts w:ascii="Book Antiqua" w:hAnsi="Book Antiqua"/>
        </w:rPr>
        <w:t>varies</w:t>
      </w:r>
      <w:r w:rsidRPr="005E32D9">
        <w:rPr>
          <w:rFonts w:ascii="Book Antiqua" w:hAnsi="Book Antiqua"/>
        </w:rPr>
        <w:t xml:space="preserve"> with type of surgery performed.</w:t>
      </w:r>
      <w:r w:rsidR="00292AF0" w:rsidRPr="005E32D9">
        <w:rPr>
          <w:rFonts w:ascii="Book Antiqua" w:hAnsi="Book Antiqua"/>
        </w:rPr>
        <w:t xml:space="preserve"> </w:t>
      </w:r>
      <w:r w:rsidRPr="005E32D9">
        <w:rPr>
          <w:rFonts w:ascii="Book Antiqua" w:hAnsi="Book Antiqua"/>
        </w:rPr>
        <w:t xml:space="preserve">According to an estimate, the total average costs were $31601 with open versus $24196 with laparoscopic surgical </w:t>
      </w:r>
      <w:proofErr w:type="gramStart"/>
      <w:r w:rsidRPr="005E32D9">
        <w:rPr>
          <w:rFonts w:ascii="Book Antiqua" w:hAnsi="Book Antiqua"/>
        </w:rPr>
        <w:t>approach</w:t>
      </w:r>
      <w:r w:rsidR="00292AF0" w:rsidRPr="005E32D9">
        <w:rPr>
          <w:rFonts w:ascii="Book Antiqua" w:hAnsi="Book Antiqua"/>
          <w:vertAlign w:val="superscript"/>
        </w:rPr>
        <w:t>[</w:t>
      </w:r>
      <w:proofErr w:type="gramEnd"/>
      <w:r w:rsidRPr="005E32D9">
        <w:rPr>
          <w:rFonts w:ascii="Book Antiqua" w:hAnsi="Book Antiqua"/>
          <w:vertAlign w:val="superscript"/>
        </w:rPr>
        <w:t>1</w:t>
      </w:r>
      <w:r w:rsidR="00292AF0" w:rsidRPr="005E32D9">
        <w:rPr>
          <w:rFonts w:ascii="Book Antiqua" w:hAnsi="Book Antiqua"/>
          <w:vertAlign w:val="superscript"/>
        </w:rPr>
        <w:t>]</w:t>
      </w:r>
      <w:r w:rsidRPr="005E32D9">
        <w:rPr>
          <w:rFonts w:ascii="Book Antiqua" w:hAnsi="Book Antiqua"/>
        </w:rPr>
        <w:t xml:space="preserve">. </w:t>
      </w:r>
    </w:p>
    <w:p w14:paraId="2FA749F2" w14:textId="633BBE0F" w:rsidR="005D3D16" w:rsidRPr="005E32D9" w:rsidRDefault="005D3D16" w:rsidP="00292AF0">
      <w:pPr>
        <w:adjustRightInd w:val="0"/>
        <w:snapToGrid w:val="0"/>
        <w:spacing w:line="360" w:lineRule="auto"/>
        <w:ind w:firstLineChars="100" w:firstLine="240"/>
        <w:jc w:val="both"/>
        <w:rPr>
          <w:rFonts w:ascii="Book Antiqua" w:hAnsi="Book Antiqua"/>
        </w:rPr>
      </w:pPr>
      <w:bookmarkStart w:id="20" w:name="OLE_LINK9"/>
      <w:bookmarkStart w:id="21" w:name="OLE_LINK10"/>
      <w:bookmarkStart w:id="22" w:name="OLE_LINK17"/>
      <w:r w:rsidRPr="005E32D9">
        <w:rPr>
          <w:rFonts w:ascii="Book Antiqua" w:hAnsi="Book Antiqua"/>
        </w:rPr>
        <w:t>Endoscopic submucosal dissection</w:t>
      </w:r>
      <w:bookmarkEnd w:id="20"/>
      <w:bookmarkEnd w:id="21"/>
      <w:bookmarkEnd w:id="22"/>
      <w:r w:rsidRPr="005E32D9">
        <w:rPr>
          <w:rFonts w:ascii="Book Antiqua" w:hAnsi="Book Antiqua"/>
        </w:rPr>
        <w:t xml:space="preserve"> (ESD) and related </w:t>
      </w:r>
      <w:r w:rsidR="00292AF0" w:rsidRPr="005E32D9">
        <w:rPr>
          <w:rFonts w:ascii="Book Antiqua" w:hAnsi="Book Antiqua"/>
        </w:rPr>
        <w:t>GI</w:t>
      </w:r>
      <w:r w:rsidRPr="005E32D9">
        <w:rPr>
          <w:rFonts w:ascii="Book Antiqua" w:hAnsi="Book Antiqua"/>
        </w:rPr>
        <w:t xml:space="preserve"> procedures are minimally invasive as well as cost-effective alternates to surgery for above conditions.</w:t>
      </w:r>
      <w:r w:rsidR="001745A8" w:rsidRPr="005E32D9">
        <w:rPr>
          <w:rFonts w:ascii="Book Antiqua" w:hAnsi="Book Antiqua"/>
        </w:rPr>
        <w:t xml:space="preserve"> </w:t>
      </w:r>
      <w:r w:rsidRPr="005E32D9">
        <w:rPr>
          <w:rFonts w:ascii="Book Antiqua" w:hAnsi="Book Antiqua"/>
        </w:rPr>
        <w:t xml:space="preserve">According to a decision analysis model, the cost of endoscopic removal for complex colon polyp was $5570 per patient versus $18717 per patient for laparoscopic </w:t>
      </w:r>
      <w:proofErr w:type="gramStart"/>
      <w:r w:rsidRPr="005E32D9">
        <w:rPr>
          <w:rFonts w:ascii="Book Antiqua" w:hAnsi="Book Antiqua"/>
        </w:rPr>
        <w:t>surgery</w:t>
      </w:r>
      <w:r w:rsidR="00292AF0" w:rsidRPr="005E32D9">
        <w:rPr>
          <w:rFonts w:ascii="Book Antiqua" w:hAnsi="Book Antiqua"/>
          <w:vertAlign w:val="superscript"/>
        </w:rPr>
        <w:t>[</w:t>
      </w:r>
      <w:proofErr w:type="gramEnd"/>
      <w:r w:rsidRPr="005E32D9">
        <w:rPr>
          <w:rFonts w:ascii="Book Antiqua" w:hAnsi="Book Antiqua"/>
          <w:vertAlign w:val="superscript"/>
        </w:rPr>
        <w:t>2</w:t>
      </w:r>
      <w:r w:rsidR="00292AF0" w:rsidRPr="005E32D9">
        <w:rPr>
          <w:rFonts w:ascii="Book Antiqua" w:hAnsi="Book Antiqua"/>
          <w:vertAlign w:val="superscript"/>
        </w:rPr>
        <w:t>]</w:t>
      </w:r>
      <w:r w:rsidRPr="005E32D9">
        <w:rPr>
          <w:rFonts w:ascii="Book Antiqua" w:hAnsi="Book Antiqua"/>
        </w:rPr>
        <w:t xml:space="preserve">. Medicare reimbursements for physicians are significantly lower for endoscopic procedures compared to invasive surgery even though by performing these ultra-minimally invasive endoscopic procedures, significant morbidity is avoided, organs are preserved and minimal or no recovery time is needed hence preventing work loss days. Total gastrectomy is reimbursed at $2028.89 </w:t>
      </w:r>
      <w:r w:rsidRPr="005E32D9">
        <w:rPr>
          <w:rFonts w:ascii="Book Antiqua" w:hAnsi="Book Antiqua"/>
          <w:i/>
          <w:iCs/>
        </w:rPr>
        <w:t>vs</w:t>
      </w:r>
      <w:r w:rsidRPr="005E32D9">
        <w:rPr>
          <w:rFonts w:ascii="Book Antiqua" w:hAnsi="Book Antiqua"/>
        </w:rPr>
        <w:t xml:space="preserve"> </w:t>
      </w:r>
      <w:bookmarkStart w:id="23" w:name="OLE_LINK11"/>
      <w:bookmarkStart w:id="24" w:name="OLE_LINK12"/>
      <w:r w:rsidRPr="005E32D9">
        <w:rPr>
          <w:rFonts w:ascii="Book Antiqua" w:hAnsi="Book Antiqua"/>
        </w:rPr>
        <w:t xml:space="preserve">endoscopic mucosal resection </w:t>
      </w:r>
      <w:bookmarkEnd w:id="23"/>
      <w:bookmarkEnd w:id="24"/>
      <w:r w:rsidRPr="005E32D9">
        <w:rPr>
          <w:rFonts w:ascii="Book Antiqua" w:hAnsi="Book Antiqua"/>
        </w:rPr>
        <w:t>(EMR) is paid $280.22</w:t>
      </w:r>
      <w:r w:rsidR="00292AF0" w:rsidRPr="005E32D9">
        <w:rPr>
          <w:rFonts w:ascii="Book Antiqua" w:hAnsi="Book Antiqua"/>
          <w:vertAlign w:val="superscript"/>
        </w:rPr>
        <w:t>[</w:t>
      </w:r>
      <w:r w:rsidRPr="005E32D9">
        <w:rPr>
          <w:rFonts w:ascii="Book Antiqua" w:hAnsi="Book Antiqua"/>
          <w:vertAlign w:val="superscript"/>
        </w:rPr>
        <w:t>3</w:t>
      </w:r>
      <w:r w:rsidR="00292AF0" w:rsidRPr="005E32D9">
        <w:rPr>
          <w:rFonts w:ascii="Book Antiqua" w:hAnsi="Book Antiqua"/>
          <w:vertAlign w:val="superscript"/>
        </w:rPr>
        <w:t>]</w:t>
      </w:r>
      <w:r w:rsidRPr="005E32D9">
        <w:rPr>
          <w:rFonts w:ascii="Book Antiqua" w:hAnsi="Book Antiqua"/>
        </w:rPr>
        <w:t xml:space="preserve">. Total esophagectomy is paid </w:t>
      </w:r>
      <w:r w:rsidR="00292AF0" w:rsidRPr="005E32D9">
        <w:rPr>
          <w:rFonts w:ascii="Book Antiqua" w:hAnsi="Book Antiqua"/>
        </w:rPr>
        <w:t>$</w:t>
      </w:r>
      <w:r w:rsidRPr="005E32D9">
        <w:rPr>
          <w:rFonts w:ascii="Book Antiqua" w:hAnsi="Book Antiqua"/>
        </w:rPr>
        <w:t xml:space="preserve">3080.89 </w:t>
      </w:r>
      <w:r w:rsidRPr="005E32D9">
        <w:rPr>
          <w:rFonts w:ascii="Book Antiqua" w:hAnsi="Book Antiqua"/>
          <w:i/>
          <w:iCs/>
        </w:rPr>
        <w:t>vs</w:t>
      </w:r>
      <w:r w:rsidRPr="005E32D9">
        <w:rPr>
          <w:rFonts w:ascii="Book Antiqua" w:hAnsi="Book Antiqua"/>
        </w:rPr>
        <w:t xml:space="preserve"> EMR at </w:t>
      </w:r>
      <w:bookmarkStart w:id="25" w:name="OLE_LINK13"/>
      <w:bookmarkStart w:id="26" w:name="OLE_LINK14"/>
      <w:r w:rsidRPr="005E32D9">
        <w:rPr>
          <w:rFonts w:ascii="Book Antiqua" w:hAnsi="Book Antiqua"/>
        </w:rPr>
        <w:t>$</w:t>
      </w:r>
      <w:bookmarkEnd w:id="25"/>
      <w:bookmarkEnd w:id="26"/>
      <w:r w:rsidRPr="005E32D9">
        <w:rPr>
          <w:rFonts w:ascii="Book Antiqua" w:hAnsi="Book Antiqua"/>
        </w:rPr>
        <w:t xml:space="preserve">280.22. Abdominoperineal resection is paid </w:t>
      </w:r>
      <w:bookmarkStart w:id="27" w:name="OLE_LINK15"/>
      <w:bookmarkStart w:id="28" w:name="OLE_LINK16"/>
      <w:r w:rsidRPr="005E32D9">
        <w:rPr>
          <w:rFonts w:ascii="Book Antiqua" w:hAnsi="Book Antiqua"/>
        </w:rPr>
        <w:t>$</w:t>
      </w:r>
      <w:bookmarkEnd w:id="27"/>
      <w:bookmarkEnd w:id="28"/>
      <w:r w:rsidRPr="005E32D9">
        <w:rPr>
          <w:rFonts w:ascii="Book Antiqua" w:hAnsi="Book Antiqua"/>
        </w:rPr>
        <w:t xml:space="preserve">2024.27 </w:t>
      </w:r>
      <w:r w:rsidRPr="005E32D9">
        <w:rPr>
          <w:rFonts w:ascii="Book Antiqua" w:hAnsi="Book Antiqua"/>
          <w:i/>
          <w:iCs/>
        </w:rPr>
        <w:t xml:space="preserve">vs </w:t>
      </w:r>
      <w:r w:rsidR="00292AF0" w:rsidRPr="005E32D9">
        <w:rPr>
          <w:rFonts w:ascii="Book Antiqua" w:hAnsi="Book Antiqua"/>
        </w:rPr>
        <w:t>c</w:t>
      </w:r>
      <w:r w:rsidRPr="005E32D9">
        <w:rPr>
          <w:rFonts w:ascii="Book Antiqua" w:hAnsi="Book Antiqua"/>
        </w:rPr>
        <w:t>olonoscopy EMR at $345.18. ESD is more time consuming, complex procedure with higher skills sets requirements however since these are lumped together in “unlisted code” category, at times it’s not compensated at all and other times reimbursed at much lower skill level of EMR or standard polypectomy. This is one of the discouraging factors for dissemination of these valuable techniques amongst skilled endoscopist in U</w:t>
      </w:r>
      <w:r w:rsidR="00292AF0" w:rsidRPr="005E32D9">
        <w:rPr>
          <w:rFonts w:ascii="Book Antiqua" w:hAnsi="Book Antiqua"/>
        </w:rPr>
        <w:t>nited States</w:t>
      </w:r>
      <w:r w:rsidRPr="005E32D9">
        <w:rPr>
          <w:rFonts w:ascii="Book Antiqua" w:hAnsi="Book Antiqua"/>
        </w:rPr>
        <w:t xml:space="preserve">. </w:t>
      </w:r>
    </w:p>
    <w:p w14:paraId="49221955" w14:textId="7CF3C9A7" w:rsidR="005D3D16" w:rsidRPr="005E32D9" w:rsidRDefault="005D3D16" w:rsidP="00292AF0">
      <w:pPr>
        <w:adjustRightInd w:val="0"/>
        <w:snapToGrid w:val="0"/>
        <w:spacing w:line="360" w:lineRule="auto"/>
        <w:ind w:firstLineChars="100" w:firstLine="240"/>
        <w:jc w:val="both"/>
        <w:rPr>
          <w:rFonts w:ascii="Book Antiqua" w:hAnsi="Book Antiqua"/>
        </w:rPr>
      </w:pPr>
      <w:r w:rsidRPr="005E32D9">
        <w:rPr>
          <w:rFonts w:ascii="Book Antiqua" w:hAnsi="Book Antiqua"/>
        </w:rPr>
        <w:t xml:space="preserve">ESD and related procedures are increasingly being performed in Asia as well as in Europe. However, these procedures are limited to selective tertiary care facilities in </w:t>
      </w:r>
      <w:r w:rsidR="00292AF0" w:rsidRPr="005E32D9">
        <w:rPr>
          <w:rFonts w:ascii="Book Antiqua" w:hAnsi="Book Antiqua"/>
        </w:rPr>
        <w:t>United States</w:t>
      </w:r>
      <w:r w:rsidRPr="005E32D9">
        <w:rPr>
          <w:rFonts w:ascii="Book Antiqua" w:hAnsi="Book Antiqua"/>
        </w:rPr>
        <w:t xml:space="preserve">. Due to lack of proper reimbursement, these procedures </w:t>
      </w:r>
      <w:r w:rsidRPr="005E32D9">
        <w:rPr>
          <w:rFonts w:ascii="Book Antiqua" w:hAnsi="Book Antiqua"/>
        </w:rPr>
        <w:lastRenderedPageBreak/>
        <w:t xml:space="preserve">remain unknown in private practice system. At present, there remains no approved or listed </w:t>
      </w:r>
      <w:r w:rsidR="00292AF0" w:rsidRPr="005E32D9">
        <w:rPr>
          <w:rFonts w:ascii="Book Antiqua" w:hAnsi="Book Antiqua"/>
        </w:rPr>
        <w:t xml:space="preserve">current procedural terminology </w:t>
      </w:r>
      <w:r w:rsidRPr="005E32D9">
        <w:rPr>
          <w:rFonts w:ascii="Book Antiqua" w:hAnsi="Book Antiqua"/>
        </w:rPr>
        <w:t>(</w:t>
      </w:r>
      <w:r w:rsidR="00292AF0" w:rsidRPr="005E32D9">
        <w:rPr>
          <w:rFonts w:ascii="Book Antiqua" w:hAnsi="Book Antiqua"/>
        </w:rPr>
        <w:t>CPT</w:t>
      </w:r>
      <w:r w:rsidRPr="005E32D9">
        <w:rPr>
          <w:rFonts w:ascii="Book Antiqua" w:hAnsi="Book Antiqua"/>
        </w:rPr>
        <w:t xml:space="preserve">) for </w:t>
      </w:r>
      <w:proofErr w:type="gramStart"/>
      <w:r w:rsidRPr="005E32D9">
        <w:rPr>
          <w:rFonts w:ascii="Book Antiqua" w:hAnsi="Book Antiqua"/>
        </w:rPr>
        <w:t>ESD</w:t>
      </w:r>
      <w:r w:rsidR="00292AF0" w:rsidRPr="005E32D9">
        <w:rPr>
          <w:rFonts w:ascii="Book Antiqua" w:hAnsi="Book Antiqua"/>
          <w:vertAlign w:val="superscript"/>
        </w:rPr>
        <w:t>[</w:t>
      </w:r>
      <w:proofErr w:type="gramEnd"/>
      <w:r w:rsidRPr="005E32D9">
        <w:rPr>
          <w:rFonts w:ascii="Book Antiqua" w:hAnsi="Book Antiqua"/>
          <w:vertAlign w:val="superscript"/>
        </w:rPr>
        <w:t>4</w:t>
      </w:r>
      <w:r w:rsidR="00292AF0" w:rsidRPr="005E32D9">
        <w:rPr>
          <w:rFonts w:ascii="Book Antiqua" w:hAnsi="Book Antiqua"/>
          <w:vertAlign w:val="superscript"/>
        </w:rPr>
        <w:t>]</w:t>
      </w:r>
      <w:r w:rsidRPr="005E32D9">
        <w:rPr>
          <w:rFonts w:ascii="Book Antiqua" w:hAnsi="Book Antiqua"/>
        </w:rPr>
        <w:t>. Only unlisted CPT can be used for reimbursement: 45399 for lower, and 43499 for upper GI tract endoscopic procedures. It first requires approval and authorization from the insurance carrier. Documentation is provided by the endoscopist’s office in terms of the need for ESD and any other alternates. Many times, it leads to peer-to-peer review between the performing endoscopist and the reviewer physician at the insurance office. This article will highlight the billing and reimbursement hurdles to adopt ESD-related procedures in private practice model in U</w:t>
      </w:r>
      <w:r w:rsidR="00292AF0" w:rsidRPr="005E32D9">
        <w:rPr>
          <w:rFonts w:ascii="Book Antiqua" w:hAnsi="Book Antiqua"/>
        </w:rPr>
        <w:t>nited States</w:t>
      </w:r>
      <w:r w:rsidRPr="005E32D9">
        <w:rPr>
          <w:rFonts w:ascii="Book Antiqua" w:hAnsi="Book Antiqua"/>
        </w:rPr>
        <w:t xml:space="preserve"> healthcare system.</w:t>
      </w:r>
    </w:p>
    <w:p w14:paraId="7C9F7E48" w14:textId="77777777" w:rsidR="005D3D16" w:rsidRPr="005E32D9" w:rsidRDefault="005D3D16" w:rsidP="00292AF0">
      <w:pPr>
        <w:adjustRightInd w:val="0"/>
        <w:snapToGrid w:val="0"/>
        <w:spacing w:line="360" w:lineRule="auto"/>
        <w:ind w:firstLineChars="100" w:firstLine="240"/>
        <w:jc w:val="both"/>
        <w:rPr>
          <w:rFonts w:ascii="Book Antiqua" w:hAnsi="Book Antiqua"/>
        </w:rPr>
      </w:pPr>
      <w:r w:rsidRPr="005E32D9">
        <w:rPr>
          <w:rFonts w:ascii="Book Antiqua" w:hAnsi="Book Antiqua"/>
        </w:rPr>
        <w:t>We reviewed the data of two advanced endoscopists (one in New York and other in Pennsylvania State) who been performing ESD-related procedures in their private practice set-ups from last three years. Both endoscopists had dedicated training in ESD-related procedures. All such procedures were performed in the nearby hospitals under deep sedation (either intravenous propofol or general anesthesia). Prophylactic antibiotics were administered as necessary. Patients were mostly discharged home the same day or hospitalized for few days (depending upon the nature of ESD procedure, like per-oral endoscopic myotomy for achalasia treatment or endoscopic Zenker’s diverticulectomy).</w:t>
      </w:r>
    </w:p>
    <w:p w14:paraId="17457C60" w14:textId="7801A2D0" w:rsidR="005D3D16" w:rsidRPr="005E32D9" w:rsidRDefault="005D3D16" w:rsidP="00292AF0">
      <w:pPr>
        <w:adjustRightInd w:val="0"/>
        <w:snapToGrid w:val="0"/>
        <w:spacing w:line="360" w:lineRule="auto"/>
        <w:ind w:firstLineChars="100" w:firstLine="240"/>
        <w:jc w:val="both"/>
        <w:rPr>
          <w:rFonts w:ascii="Book Antiqua" w:hAnsi="Book Antiqua"/>
        </w:rPr>
      </w:pPr>
      <w:r w:rsidRPr="005E32D9">
        <w:rPr>
          <w:rFonts w:ascii="Book Antiqua" w:hAnsi="Book Antiqua"/>
        </w:rPr>
        <w:t xml:space="preserve">Table 1 shows the data of all the patients who underwent ESD-related procedures in both states. Both lower and upper GI tract ESD-related procedures were performed. The main indication was GI tract mucosal polyps/lesions (67.5%). It was a mixed health insurance payer population (Commercial and Medicare). The unlisted CPT for lower GI endoscopy ESD used was 45399, while 43499 were used for upper ESD. These CPT were denied initially in 42 patients, with initial denial rate of 35%. After each denial, the bill was re-processed with more documentation. The number of denials varied from 0-9. The procedure ultimately got paid as a listed CPT like 45385 (colonoscopy with removal of </w:t>
      </w:r>
      <w:r w:rsidRPr="005E32D9">
        <w:rPr>
          <w:rFonts w:ascii="Book Antiqua" w:hAnsi="Book Antiqua"/>
        </w:rPr>
        <w:lastRenderedPageBreak/>
        <w:t xml:space="preserve">lesion), 45390 (colonoscopy with </w:t>
      </w:r>
      <w:r w:rsidR="00292AF0" w:rsidRPr="005E32D9">
        <w:rPr>
          <w:rFonts w:ascii="Book Antiqua" w:hAnsi="Book Antiqua"/>
        </w:rPr>
        <w:t>EMR</w:t>
      </w:r>
      <w:r w:rsidRPr="005E32D9">
        <w:rPr>
          <w:rFonts w:ascii="Book Antiqua" w:hAnsi="Book Antiqua"/>
        </w:rPr>
        <w:t>), or 43251 (EGD with biopsy). However, 10 cases remain unpaid with final denial rate of 8.33%. It is much higher as compared to other endoscopic procedures with listed CPT. The average denial rate for a GI endoscopic procedure is reported to be very low (&lt;</w:t>
      </w:r>
      <w:r w:rsidR="00292AF0" w:rsidRPr="005E32D9">
        <w:rPr>
          <w:rFonts w:ascii="Book Antiqua" w:hAnsi="Book Antiqua"/>
        </w:rPr>
        <w:t xml:space="preserve"> </w:t>
      </w:r>
      <w:r w:rsidRPr="005E32D9">
        <w:rPr>
          <w:rFonts w:ascii="Book Antiqua" w:hAnsi="Book Antiqua"/>
        </w:rPr>
        <w:t>1%).</w:t>
      </w:r>
      <w:r w:rsidR="001745A8" w:rsidRPr="005E32D9">
        <w:rPr>
          <w:rFonts w:ascii="Book Antiqua" w:hAnsi="Book Antiqua"/>
        </w:rPr>
        <w:t xml:space="preserve"> </w:t>
      </w:r>
      <w:r w:rsidRPr="005E32D9">
        <w:rPr>
          <w:rFonts w:ascii="Book Antiqua" w:hAnsi="Book Antiqua"/>
        </w:rPr>
        <w:t xml:space="preserve">In some cases in our data, more than one lesion was removed in the same session either by ESD or other endoscopic techniques. </w:t>
      </w:r>
    </w:p>
    <w:p w14:paraId="0F4CC880" w14:textId="50CFE688" w:rsidR="005D3D16" w:rsidRPr="005E32D9" w:rsidRDefault="005D3D16" w:rsidP="00292AF0">
      <w:pPr>
        <w:adjustRightInd w:val="0"/>
        <w:snapToGrid w:val="0"/>
        <w:spacing w:line="360" w:lineRule="auto"/>
        <w:ind w:firstLineChars="100" w:firstLine="240"/>
        <w:jc w:val="both"/>
        <w:rPr>
          <w:rFonts w:ascii="Book Antiqua" w:hAnsi="Book Antiqua"/>
        </w:rPr>
      </w:pPr>
      <w:r w:rsidRPr="005E32D9">
        <w:rPr>
          <w:rFonts w:ascii="Book Antiqua" w:hAnsi="Book Antiqua"/>
        </w:rPr>
        <w:t xml:space="preserve">ESD-related complications were noted in only three patients (2.5% rate): 2 post-procedural bleeding that were managed conservatively, and 1 esophageal stricture that was successfully managed by balloon dilation. Not listed in table 1 are additional 120 patients with sessile-flat colorectal lesions 15 mm and above that were removed by EMR technique. There already exits a listed CPT for EMR: 45390 (colonoscopy with EMR), and 43254 (EGD with EMR). Only 3 cases (2.5%) were initially denied. After re-processing, only one EMR case remain denied (with final denial rate of 0.83%). However, piecemeal EMR is considered inferior as compared to ESD. In a meta-analysis, piecemeal EMR had lower en-bloc resection and higher local recurrence rates for colorectal </w:t>
      </w:r>
      <w:proofErr w:type="gramStart"/>
      <w:r w:rsidRPr="005E32D9">
        <w:rPr>
          <w:rFonts w:ascii="Book Antiqua" w:hAnsi="Book Antiqua"/>
        </w:rPr>
        <w:t>lesions</w:t>
      </w:r>
      <w:r w:rsidR="00292AF0" w:rsidRPr="005E32D9">
        <w:rPr>
          <w:rFonts w:ascii="Book Antiqua" w:hAnsi="Book Antiqua"/>
          <w:vertAlign w:val="superscript"/>
        </w:rPr>
        <w:t>[</w:t>
      </w:r>
      <w:proofErr w:type="gramEnd"/>
      <w:r w:rsidRPr="005E32D9">
        <w:rPr>
          <w:rFonts w:ascii="Book Antiqua" w:hAnsi="Book Antiqua"/>
          <w:vertAlign w:val="superscript"/>
        </w:rPr>
        <w:t>5</w:t>
      </w:r>
      <w:r w:rsidR="00292AF0" w:rsidRPr="005E32D9">
        <w:rPr>
          <w:rFonts w:ascii="Book Antiqua" w:hAnsi="Book Antiqua"/>
          <w:vertAlign w:val="superscript"/>
        </w:rPr>
        <w:t>]</w:t>
      </w:r>
      <w:r w:rsidRPr="005E32D9">
        <w:rPr>
          <w:rFonts w:ascii="Book Antiqua" w:hAnsi="Book Antiqua"/>
        </w:rPr>
        <w:t xml:space="preserve">. Had there been a listed CPT for ESD or health insurance authorized unlisted CPT for ESD in our cases, these patients could have benefited from ESD-related technique. </w:t>
      </w:r>
    </w:p>
    <w:p w14:paraId="1CAAE728" w14:textId="4D6319FD" w:rsidR="005D3D16" w:rsidRPr="005E32D9" w:rsidRDefault="005D3D16" w:rsidP="00292AF0">
      <w:pPr>
        <w:adjustRightInd w:val="0"/>
        <w:snapToGrid w:val="0"/>
        <w:spacing w:line="360" w:lineRule="auto"/>
        <w:ind w:firstLineChars="100" w:firstLine="240"/>
        <w:jc w:val="both"/>
        <w:rPr>
          <w:rFonts w:ascii="Book Antiqua" w:hAnsi="Book Antiqua"/>
        </w:rPr>
      </w:pPr>
      <w:r w:rsidRPr="005E32D9">
        <w:rPr>
          <w:rFonts w:ascii="Book Antiqua" w:hAnsi="Book Antiqua"/>
        </w:rPr>
        <w:t>ESD-related procedures are time consuming. The procedure time (from introduction of the endoscope to complete removal of the target ESD lesion) ranged from 20-120 min. Our data shows the financial frustrations of the advanced endoscopists who may like to perform such procedures so as to benefit patients in their practices. There needs to be proper CPT for ESD-related technique (separate for upper and lower GI endoscopic procedures). It should reimburse the endoscopists appropriately considering in-view of the complexity of the procedure as well as time-spent by the endoscopist. If any other lesion besides the ESD target lesion is noted during the endoscopy, there is a need to develop a mechanism</w:t>
      </w:r>
      <w:r w:rsidR="00292AF0" w:rsidRPr="005E32D9">
        <w:rPr>
          <w:rFonts w:ascii="Book Antiqua" w:hAnsi="Book Antiqua"/>
        </w:rPr>
        <w:t xml:space="preserve"> where by</w:t>
      </w:r>
      <w:r w:rsidRPr="005E32D9">
        <w:rPr>
          <w:rFonts w:ascii="Book Antiqua" w:hAnsi="Book Antiqua"/>
        </w:rPr>
        <w:t xml:space="preserve"> the endoscopist can remove and bill for the second lesion as well. Otherwise, the patient may need a separate endoscopic </w:t>
      </w:r>
      <w:r w:rsidRPr="005E32D9">
        <w:rPr>
          <w:rFonts w:ascii="Book Antiqua" w:hAnsi="Book Antiqua"/>
        </w:rPr>
        <w:lastRenderedPageBreak/>
        <w:t xml:space="preserve">procedure. If more than one lesion is removed </w:t>
      </w:r>
      <w:r w:rsidRPr="005E32D9">
        <w:rPr>
          <w:rFonts w:ascii="Book Antiqua" w:hAnsi="Book Antiqua"/>
          <w:i/>
          <w:iCs/>
        </w:rPr>
        <w:t>via</w:t>
      </w:r>
      <w:r w:rsidRPr="005E32D9">
        <w:rPr>
          <w:rFonts w:ascii="Book Antiqua" w:hAnsi="Book Antiqua"/>
        </w:rPr>
        <w:t xml:space="preserve"> ESD technique, there also need to be a mechanism to bill accordingly. Different medical societies including </w:t>
      </w:r>
      <w:r w:rsidR="00292AF0" w:rsidRPr="005E32D9">
        <w:rPr>
          <w:rFonts w:ascii="Book Antiqua" w:hAnsi="Book Antiqua"/>
        </w:rPr>
        <w:t>American Medical Association</w:t>
      </w:r>
      <w:r w:rsidRPr="005E32D9">
        <w:rPr>
          <w:rFonts w:ascii="Book Antiqua" w:hAnsi="Book Antiqua"/>
        </w:rPr>
        <w:t>, American Gastroenterology Association, American Society of Gastrointestinal Endoscopy and American College of Gastroenterology should play their roles and pull legal strings.</w:t>
      </w:r>
    </w:p>
    <w:p w14:paraId="5FF5E0A1" w14:textId="77777777" w:rsidR="00292AF0" w:rsidRPr="005E32D9" w:rsidRDefault="00292AF0">
      <w:pPr>
        <w:rPr>
          <w:rFonts w:ascii="Book Antiqua" w:hAnsi="Book Antiqua"/>
        </w:rPr>
      </w:pPr>
      <w:r w:rsidRPr="005E32D9">
        <w:rPr>
          <w:rFonts w:ascii="Book Antiqua" w:hAnsi="Book Antiqua"/>
        </w:rPr>
        <w:br w:type="page"/>
      </w:r>
    </w:p>
    <w:p w14:paraId="1513D703" w14:textId="7E03F0F9" w:rsidR="005C548A" w:rsidRPr="005E32D9" w:rsidRDefault="00292AF0" w:rsidP="00FF6956">
      <w:pPr>
        <w:adjustRightInd w:val="0"/>
        <w:snapToGrid w:val="0"/>
        <w:spacing w:line="360" w:lineRule="auto"/>
        <w:jc w:val="both"/>
        <w:rPr>
          <w:rFonts w:ascii="Book Antiqua" w:hAnsi="Book Antiqua"/>
          <w:b/>
          <w:bCs/>
        </w:rPr>
      </w:pPr>
      <w:r w:rsidRPr="005E32D9">
        <w:rPr>
          <w:rFonts w:ascii="Book Antiqua" w:hAnsi="Book Antiqua"/>
          <w:b/>
          <w:bCs/>
        </w:rPr>
        <w:lastRenderedPageBreak/>
        <w:t>REFERENCES</w:t>
      </w:r>
    </w:p>
    <w:p w14:paraId="623FCCD2" w14:textId="77777777" w:rsidR="000C4D71" w:rsidRPr="005E32D9" w:rsidRDefault="000C4D71" w:rsidP="000C4D71">
      <w:pPr>
        <w:pStyle w:val="a5"/>
        <w:adjustRightInd w:val="0"/>
        <w:snapToGrid w:val="0"/>
        <w:spacing w:line="360" w:lineRule="auto"/>
        <w:ind w:left="0"/>
        <w:contextualSpacing w:val="0"/>
        <w:jc w:val="both"/>
        <w:rPr>
          <w:rFonts w:ascii="Book Antiqua" w:hAnsi="Book Antiqua"/>
          <w:kern w:val="36"/>
        </w:rPr>
      </w:pPr>
      <w:r w:rsidRPr="005E32D9">
        <w:rPr>
          <w:rFonts w:ascii="Book Antiqua" w:hAnsi="Book Antiqua"/>
          <w:kern w:val="36"/>
        </w:rPr>
        <w:t>1 </w:t>
      </w:r>
      <w:proofErr w:type="spellStart"/>
      <w:r w:rsidRPr="005E32D9">
        <w:rPr>
          <w:rFonts w:ascii="Book Antiqua" w:hAnsi="Book Antiqua"/>
          <w:b/>
          <w:bCs/>
          <w:kern w:val="36"/>
        </w:rPr>
        <w:t>Crawshaw</w:t>
      </w:r>
      <w:proofErr w:type="spellEnd"/>
      <w:r w:rsidRPr="005E32D9">
        <w:rPr>
          <w:rFonts w:ascii="Book Antiqua" w:hAnsi="Book Antiqua"/>
          <w:b/>
          <w:bCs/>
          <w:kern w:val="36"/>
        </w:rPr>
        <w:t xml:space="preserve"> BP</w:t>
      </w:r>
      <w:r w:rsidRPr="005E32D9">
        <w:rPr>
          <w:rFonts w:ascii="Book Antiqua" w:hAnsi="Book Antiqua"/>
          <w:kern w:val="36"/>
        </w:rPr>
        <w:t xml:space="preserve">, </w:t>
      </w:r>
      <w:proofErr w:type="spellStart"/>
      <w:r w:rsidRPr="005E32D9">
        <w:rPr>
          <w:rFonts w:ascii="Book Antiqua" w:hAnsi="Book Antiqua"/>
          <w:kern w:val="36"/>
        </w:rPr>
        <w:t>Chien</w:t>
      </w:r>
      <w:proofErr w:type="spellEnd"/>
      <w:r w:rsidRPr="005E32D9">
        <w:rPr>
          <w:rFonts w:ascii="Book Antiqua" w:hAnsi="Book Antiqua"/>
          <w:kern w:val="36"/>
        </w:rPr>
        <w:t xml:space="preserve"> HL, </w:t>
      </w:r>
      <w:proofErr w:type="spellStart"/>
      <w:r w:rsidRPr="005E32D9">
        <w:rPr>
          <w:rFonts w:ascii="Book Antiqua" w:hAnsi="Book Antiqua"/>
          <w:kern w:val="36"/>
        </w:rPr>
        <w:t>Augestad</w:t>
      </w:r>
      <w:proofErr w:type="spellEnd"/>
      <w:r w:rsidRPr="005E32D9">
        <w:rPr>
          <w:rFonts w:ascii="Book Antiqua" w:hAnsi="Book Antiqua"/>
          <w:kern w:val="36"/>
        </w:rPr>
        <w:t xml:space="preserve"> KM, Delaney CP. Effect of laparoscopic surgery on health care utilization and costs in patients who undergo colectomy. </w:t>
      </w:r>
      <w:r w:rsidRPr="005E32D9">
        <w:rPr>
          <w:rFonts w:ascii="Book Antiqua" w:hAnsi="Book Antiqua"/>
          <w:i/>
          <w:iCs/>
          <w:kern w:val="36"/>
        </w:rPr>
        <w:t>JAMA Surg</w:t>
      </w:r>
      <w:r w:rsidRPr="005E32D9">
        <w:rPr>
          <w:rFonts w:ascii="Book Antiqua" w:hAnsi="Book Antiqua"/>
          <w:kern w:val="36"/>
        </w:rPr>
        <w:t> 2015; </w:t>
      </w:r>
      <w:r w:rsidRPr="005E32D9">
        <w:rPr>
          <w:rFonts w:ascii="Book Antiqua" w:hAnsi="Book Antiqua"/>
          <w:b/>
          <w:bCs/>
          <w:kern w:val="36"/>
        </w:rPr>
        <w:t>150</w:t>
      </w:r>
      <w:r w:rsidRPr="005E32D9">
        <w:rPr>
          <w:rFonts w:ascii="Book Antiqua" w:hAnsi="Book Antiqua"/>
          <w:kern w:val="36"/>
        </w:rPr>
        <w:t>: 410-415 [PMID: 25806476 DOI: 10.1001/jamasurg.2014.3171]</w:t>
      </w:r>
    </w:p>
    <w:p w14:paraId="44A18B93" w14:textId="77777777" w:rsidR="000C4D71" w:rsidRPr="005E32D9" w:rsidRDefault="000C4D71" w:rsidP="000C4D71">
      <w:pPr>
        <w:pStyle w:val="a5"/>
        <w:adjustRightInd w:val="0"/>
        <w:snapToGrid w:val="0"/>
        <w:spacing w:line="360" w:lineRule="auto"/>
        <w:ind w:left="0"/>
        <w:contextualSpacing w:val="0"/>
        <w:jc w:val="both"/>
        <w:rPr>
          <w:rFonts w:ascii="Book Antiqua" w:hAnsi="Book Antiqua"/>
          <w:kern w:val="36"/>
        </w:rPr>
      </w:pPr>
      <w:r w:rsidRPr="005E32D9">
        <w:rPr>
          <w:rFonts w:ascii="Book Antiqua" w:hAnsi="Book Antiqua"/>
          <w:kern w:val="36"/>
        </w:rPr>
        <w:t>2 </w:t>
      </w:r>
      <w:r w:rsidRPr="005E32D9">
        <w:rPr>
          <w:rFonts w:ascii="Book Antiqua" w:hAnsi="Book Antiqua"/>
          <w:b/>
          <w:bCs/>
          <w:kern w:val="36"/>
        </w:rPr>
        <w:t>Law R</w:t>
      </w:r>
      <w:r w:rsidRPr="005E32D9">
        <w:rPr>
          <w:rFonts w:ascii="Book Antiqua" w:hAnsi="Book Antiqua"/>
          <w:kern w:val="36"/>
        </w:rPr>
        <w:t xml:space="preserve">, Das A, Gregory D, </w:t>
      </w:r>
      <w:proofErr w:type="spellStart"/>
      <w:r w:rsidRPr="005E32D9">
        <w:rPr>
          <w:rFonts w:ascii="Book Antiqua" w:hAnsi="Book Antiqua"/>
          <w:kern w:val="36"/>
        </w:rPr>
        <w:t>Komanduri</w:t>
      </w:r>
      <w:proofErr w:type="spellEnd"/>
      <w:r w:rsidRPr="005E32D9">
        <w:rPr>
          <w:rFonts w:ascii="Book Antiqua" w:hAnsi="Book Antiqua"/>
          <w:kern w:val="36"/>
        </w:rPr>
        <w:t xml:space="preserve"> S, </w:t>
      </w:r>
      <w:proofErr w:type="spellStart"/>
      <w:r w:rsidRPr="005E32D9">
        <w:rPr>
          <w:rFonts w:ascii="Book Antiqua" w:hAnsi="Book Antiqua"/>
          <w:kern w:val="36"/>
        </w:rPr>
        <w:t>Muthusamy</w:t>
      </w:r>
      <w:proofErr w:type="spellEnd"/>
      <w:r w:rsidRPr="005E32D9">
        <w:rPr>
          <w:rFonts w:ascii="Book Antiqua" w:hAnsi="Book Antiqua"/>
          <w:kern w:val="36"/>
        </w:rPr>
        <w:t xml:space="preserve"> R, Rastogi A, Vargo J, Wallace MB, </w:t>
      </w:r>
      <w:proofErr w:type="spellStart"/>
      <w:r w:rsidRPr="005E32D9">
        <w:rPr>
          <w:rFonts w:ascii="Book Antiqua" w:hAnsi="Book Antiqua"/>
          <w:kern w:val="36"/>
        </w:rPr>
        <w:t>Raju</w:t>
      </w:r>
      <w:proofErr w:type="spellEnd"/>
      <w:r w:rsidRPr="005E32D9">
        <w:rPr>
          <w:rFonts w:ascii="Book Antiqua" w:hAnsi="Book Antiqua"/>
          <w:kern w:val="36"/>
        </w:rPr>
        <w:t xml:space="preserve"> GS, </w:t>
      </w:r>
      <w:proofErr w:type="spellStart"/>
      <w:r w:rsidRPr="005E32D9">
        <w:rPr>
          <w:rFonts w:ascii="Book Antiqua" w:hAnsi="Book Antiqua"/>
          <w:kern w:val="36"/>
        </w:rPr>
        <w:t>Mounzer</w:t>
      </w:r>
      <w:proofErr w:type="spellEnd"/>
      <w:r w:rsidRPr="005E32D9">
        <w:rPr>
          <w:rFonts w:ascii="Book Antiqua" w:hAnsi="Book Antiqua"/>
          <w:kern w:val="36"/>
        </w:rPr>
        <w:t xml:space="preserve"> R, </w:t>
      </w:r>
      <w:proofErr w:type="spellStart"/>
      <w:r w:rsidRPr="005E32D9">
        <w:rPr>
          <w:rFonts w:ascii="Book Antiqua" w:hAnsi="Book Antiqua"/>
          <w:kern w:val="36"/>
        </w:rPr>
        <w:t>Klapman</w:t>
      </w:r>
      <w:proofErr w:type="spellEnd"/>
      <w:r w:rsidRPr="005E32D9">
        <w:rPr>
          <w:rFonts w:ascii="Book Antiqua" w:hAnsi="Book Antiqua"/>
          <w:kern w:val="36"/>
        </w:rPr>
        <w:t xml:space="preserve"> J, Shah J, Watson R, Wilson R, </w:t>
      </w:r>
      <w:proofErr w:type="spellStart"/>
      <w:r w:rsidRPr="005E32D9">
        <w:rPr>
          <w:rFonts w:ascii="Book Antiqua" w:hAnsi="Book Antiqua"/>
          <w:kern w:val="36"/>
        </w:rPr>
        <w:t>Edmundowicz</w:t>
      </w:r>
      <w:proofErr w:type="spellEnd"/>
      <w:r w:rsidRPr="005E32D9">
        <w:rPr>
          <w:rFonts w:ascii="Book Antiqua" w:hAnsi="Book Antiqua"/>
          <w:kern w:val="36"/>
        </w:rPr>
        <w:t xml:space="preserve"> SA, </w:t>
      </w:r>
      <w:proofErr w:type="spellStart"/>
      <w:r w:rsidRPr="005E32D9">
        <w:rPr>
          <w:rFonts w:ascii="Book Antiqua" w:hAnsi="Book Antiqua"/>
          <w:kern w:val="36"/>
        </w:rPr>
        <w:t>Wani</w:t>
      </w:r>
      <w:proofErr w:type="spellEnd"/>
      <w:r w:rsidRPr="005E32D9">
        <w:rPr>
          <w:rFonts w:ascii="Book Antiqua" w:hAnsi="Book Antiqua"/>
          <w:kern w:val="36"/>
        </w:rPr>
        <w:t xml:space="preserve"> S. Endoscopic resection is cost-effective compared with laparoscopic resection in the management of complex colon polyps: an economic analysis. </w:t>
      </w:r>
      <w:proofErr w:type="spellStart"/>
      <w:r w:rsidRPr="005E32D9">
        <w:rPr>
          <w:rFonts w:ascii="Book Antiqua" w:hAnsi="Book Antiqua"/>
          <w:i/>
          <w:iCs/>
          <w:kern w:val="36"/>
        </w:rPr>
        <w:t>Gastrointest</w:t>
      </w:r>
      <w:proofErr w:type="spellEnd"/>
      <w:r w:rsidRPr="005E32D9">
        <w:rPr>
          <w:rFonts w:ascii="Book Antiqua" w:hAnsi="Book Antiqua"/>
          <w:i/>
          <w:iCs/>
          <w:kern w:val="36"/>
        </w:rPr>
        <w:t xml:space="preserve"> </w:t>
      </w:r>
      <w:proofErr w:type="spellStart"/>
      <w:r w:rsidRPr="005E32D9">
        <w:rPr>
          <w:rFonts w:ascii="Book Antiqua" w:hAnsi="Book Antiqua"/>
          <w:i/>
          <w:iCs/>
          <w:kern w:val="36"/>
        </w:rPr>
        <w:t>Endosc</w:t>
      </w:r>
      <w:proofErr w:type="spellEnd"/>
      <w:r w:rsidRPr="005E32D9">
        <w:rPr>
          <w:rFonts w:ascii="Book Antiqua" w:hAnsi="Book Antiqua"/>
          <w:kern w:val="36"/>
        </w:rPr>
        <w:t> 2016; </w:t>
      </w:r>
      <w:r w:rsidRPr="005E32D9">
        <w:rPr>
          <w:rFonts w:ascii="Book Antiqua" w:hAnsi="Book Antiqua"/>
          <w:b/>
          <w:bCs/>
          <w:kern w:val="36"/>
        </w:rPr>
        <w:t>83</w:t>
      </w:r>
      <w:r w:rsidRPr="005E32D9">
        <w:rPr>
          <w:rFonts w:ascii="Book Antiqua" w:hAnsi="Book Antiqua"/>
          <w:kern w:val="36"/>
        </w:rPr>
        <w:t>: 1248-1257 [PMID: 26608129 DOI: 10.1016/j.gie.2015.11.014]</w:t>
      </w:r>
    </w:p>
    <w:p w14:paraId="047466D7" w14:textId="6BFAF541" w:rsidR="000C4D71" w:rsidRPr="005E32D9" w:rsidRDefault="000C4D71" w:rsidP="000C4D71">
      <w:pPr>
        <w:pStyle w:val="a5"/>
        <w:adjustRightInd w:val="0"/>
        <w:snapToGrid w:val="0"/>
        <w:spacing w:line="360" w:lineRule="auto"/>
        <w:ind w:left="0"/>
        <w:contextualSpacing w:val="0"/>
        <w:jc w:val="both"/>
        <w:rPr>
          <w:rFonts w:ascii="Book Antiqua" w:hAnsi="Book Antiqua"/>
          <w:kern w:val="36"/>
        </w:rPr>
      </w:pPr>
      <w:r w:rsidRPr="005E32D9">
        <w:rPr>
          <w:rFonts w:ascii="Book Antiqua" w:hAnsi="Book Antiqua"/>
          <w:kern w:val="36"/>
        </w:rPr>
        <w:t xml:space="preserve">3 </w:t>
      </w:r>
      <w:proofErr w:type="spellStart"/>
      <w:r w:rsidR="002E1973" w:rsidRPr="005E32D9">
        <w:rPr>
          <w:rFonts w:ascii="Book Antiqua" w:hAnsi="Book Antiqua"/>
          <w:b/>
          <w:bCs/>
          <w:kern w:val="36"/>
        </w:rPr>
        <w:t>FeeLookup</w:t>
      </w:r>
      <w:proofErr w:type="spellEnd"/>
      <w:r w:rsidR="002E1973" w:rsidRPr="005E32D9">
        <w:rPr>
          <w:rFonts w:ascii="Book Antiqua" w:hAnsi="Book Antiqua"/>
          <w:kern w:val="36"/>
        </w:rPr>
        <w:t xml:space="preserve">. </w:t>
      </w:r>
      <w:r w:rsidRPr="005E32D9">
        <w:rPr>
          <w:rFonts w:ascii="Book Antiqua" w:hAnsi="Book Antiqua"/>
          <w:kern w:val="36"/>
        </w:rPr>
        <w:t xml:space="preserve">Available from: </w:t>
      </w:r>
      <w:bookmarkStart w:id="29" w:name="OLE_LINK1101"/>
      <w:r w:rsidRPr="005E32D9">
        <w:rPr>
          <w:rFonts w:ascii="Book Antiqua" w:hAnsi="Book Antiqua"/>
          <w:kern w:val="36"/>
        </w:rPr>
        <w:t>https://www.novitas-solutions.com/webcenter/portal/MedicareJL/FeeLookup</w:t>
      </w:r>
    </w:p>
    <w:bookmarkEnd w:id="29"/>
    <w:p w14:paraId="0099F0D2" w14:textId="77777777" w:rsidR="000C4D71" w:rsidRPr="005E32D9" w:rsidRDefault="000C4D71" w:rsidP="000C4D71">
      <w:pPr>
        <w:pStyle w:val="a5"/>
        <w:adjustRightInd w:val="0"/>
        <w:snapToGrid w:val="0"/>
        <w:spacing w:line="360" w:lineRule="auto"/>
        <w:ind w:left="0"/>
        <w:contextualSpacing w:val="0"/>
        <w:jc w:val="both"/>
        <w:rPr>
          <w:rFonts w:ascii="Book Antiqua" w:hAnsi="Book Antiqua"/>
          <w:kern w:val="36"/>
        </w:rPr>
      </w:pPr>
      <w:r w:rsidRPr="005E32D9">
        <w:rPr>
          <w:rFonts w:ascii="Book Antiqua" w:hAnsi="Book Antiqua"/>
          <w:kern w:val="36"/>
        </w:rPr>
        <w:t>4 </w:t>
      </w:r>
      <w:r w:rsidRPr="005E32D9">
        <w:rPr>
          <w:rFonts w:ascii="Book Antiqua" w:hAnsi="Book Antiqua"/>
          <w:b/>
          <w:bCs/>
          <w:kern w:val="36"/>
        </w:rPr>
        <w:t>Rex DK</w:t>
      </w:r>
      <w:r w:rsidRPr="005E32D9">
        <w:rPr>
          <w:rFonts w:ascii="Book Antiqua" w:hAnsi="Book Antiqua"/>
          <w:kern w:val="36"/>
        </w:rPr>
        <w:t>, Hassan C, Dewitt JM. Colorectal endoscopic submucosal dissection in the United States: Why do we hear so much about it and do so little of it? </w:t>
      </w:r>
      <w:proofErr w:type="spellStart"/>
      <w:r w:rsidRPr="005E32D9">
        <w:rPr>
          <w:rFonts w:ascii="Book Antiqua" w:hAnsi="Book Antiqua"/>
          <w:i/>
          <w:iCs/>
          <w:kern w:val="36"/>
        </w:rPr>
        <w:t>Gastrointest</w:t>
      </w:r>
      <w:proofErr w:type="spellEnd"/>
      <w:r w:rsidRPr="005E32D9">
        <w:rPr>
          <w:rFonts w:ascii="Book Antiqua" w:hAnsi="Book Antiqua"/>
          <w:i/>
          <w:iCs/>
          <w:kern w:val="36"/>
        </w:rPr>
        <w:t xml:space="preserve"> </w:t>
      </w:r>
      <w:proofErr w:type="spellStart"/>
      <w:r w:rsidRPr="005E32D9">
        <w:rPr>
          <w:rFonts w:ascii="Book Antiqua" w:hAnsi="Book Antiqua"/>
          <w:i/>
          <w:iCs/>
          <w:kern w:val="36"/>
        </w:rPr>
        <w:t>Endosc</w:t>
      </w:r>
      <w:proofErr w:type="spellEnd"/>
      <w:r w:rsidRPr="005E32D9">
        <w:rPr>
          <w:rFonts w:ascii="Book Antiqua" w:hAnsi="Book Antiqua"/>
          <w:kern w:val="36"/>
        </w:rPr>
        <w:t> 2017; </w:t>
      </w:r>
      <w:r w:rsidRPr="005E32D9">
        <w:rPr>
          <w:rFonts w:ascii="Book Antiqua" w:hAnsi="Book Antiqua"/>
          <w:b/>
          <w:bCs/>
          <w:kern w:val="36"/>
        </w:rPr>
        <w:t>85</w:t>
      </w:r>
      <w:r w:rsidRPr="005E32D9">
        <w:rPr>
          <w:rFonts w:ascii="Book Antiqua" w:hAnsi="Book Antiqua"/>
          <w:kern w:val="36"/>
        </w:rPr>
        <w:t>: 554-558 [PMID: 28215767 DOI: 10.1016/j.gie.2016.09.015]</w:t>
      </w:r>
    </w:p>
    <w:p w14:paraId="2CB849EF" w14:textId="77777777" w:rsidR="000C4D71" w:rsidRPr="005E32D9" w:rsidRDefault="000C4D71" w:rsidP="000C4D71">
      <w:pPr>
        <w:pStyle w:val="a5"/>
        <w:adjustRightInd w:val="0"/>
        <w:snapToGrid w:val="0"/>
        <w:spacing w:line="360" w:lineRule="auto"/>
        <w:ind w:left="0"/>
        <w:contextualSpacing w:val="0"/>
        <w:jc w:val="both"/>
        <w:rPr>
          <w:rFonts w:ascii="Book Antiqua" w:hAnsi="Book Antiqua"/>
          <w:kern w:val="36"/>
        </w:rPr>
      </w:pPr>
      <w:r w:rsidRPr="005E32D9">
        <w:rPr>
          <w:rFonts w:ascii="Book Antiqua" w:hAnsi="Book Antiqua"/>
          <w:kern w:val="36"/>
        </w:rPr>
        <w:t>5 </w:t>
      </w:r>
      <w:r w:rsidRPr="005E32D9">
        <w:rPr>
          <w:rFonts w:ascii="Book Antiqua" w:hAnsi="Book Antiqua"/>
          <w:b/>
          <w:bCs/>
          <w:kern w:val="36"/>
        </w:rPr>
        <w:t>Wang J</w:t>
      </w:r>
      <w:r w:rsidRPr="005E32D9">
        <w:rPr>
          <w:rFonts w:ascii="Book Antiqua" w:hAnsi="Book Antiqua"/>
          <w:kern w:val="36"/>
        </w:rPr>
        <w:t>, Zhang XH, Ge J, Yang CM, Liu JY, Zhao SL. Endoscopic submucosal dissection vs endoscopic mucosal resection for colorectal tumors: a meta-analysis. </w:t>
      </w:r>
      <w:r w:rsidRPr="005E32D9">
        <w:rPr>
          <w:rFonts w:ascii="Book Antiqua" w:hAnsi="Book Antiqua"/>
          <w:i/>
          <w:iCs/>
          <w:kern w:val="36"/>
        </w:rPr>
        <w:t>World J Gastroenterol</w:t>
      </w:r>
      <w:r w:rsidRPr="005E32D9">
        <w:rPr>
          <w:rFonts w:ascii="Book Antiqua" w:hAnsi="Book Antiqua"/>
          <w:kern w:val="36"/>
        </w:rPr>
        <w:t> 2014; </w:t>
      </w:r>
      <w:r w:rsidRPr="005E32D9">
        <w:rPr>
          <w:rFonts w:ascii="Book Antiqua" w:hAnsi="Book Antiqua"/>
          <w:b/>
          <w:bCs/>
          <w:kern w:val="36"/>
        </w:rPr>
        <w:t>20</w:t>
      </w:r>
      <w:r w:rsidRPr="005E32D9">
        <w:rPr>
          <w:rFonts w:ascii="Book Antiqua" w:hAnsi="Book Antiqua"/>
          <w:kern w:val="36"/>
        </w:rPr>
        <w:t>: 8282-8287 [PMID: 25009404 DOI: 10.3748/wjg.v20.i25.8282]</w:t>
      </w:r>
    </w:p>
    <w:p w14:paraId="47105B31" w14:textId="09CD89A3" w:rsidR="00292AF0" w:rsidRPr="005E32D9" w:rsidRDefault="00292AF0" w:rsidP="000C4D71">
      <w:pPr>
        <w:pStyle w:val="a5"/>
        <w:adjustRightInd w:val="0"/>
        <w:snapToGrid w:val="0"/>
        <w:spacing w:line="360" w:lineRule="auto"/>
        <w:ind w:left="0"/>
        <w:contextualSpacing w:val="0"/>
        <w:jc w:val="both"/>
        <w:rPr>
          <w:rFonts w:ascii="Book Antiqua" w:hAnsi="Book Antiqua"/>
          <w:color w:val="000000" w:themeColor="text1"/>
        </w:rPr>
      </w:pPr>
    </w:p>
    <w:p w14:paraId="61C9AA3B" w14:textId="1A3F84C5" w:rsidR="004F7E23" w:rsidRPr="005E32D9" w:rsidRDefault="004F7E23" w:rsidP="005E32D9">
      <w:pPr>
        <w:widowControl w:val="0"/>
        <w:suppressAutoHyphens/>
        <w:wordWrap w:val="0"/>
        <w:spacing w:line="360" w:lineRule="auto"/>
        <w:jc w:val="right"/>
        <w:rPr>
          <w:rFonts w:ascii="Book Antiqua" w:eastAsia="宋体" w:hAnsi="Book Antiqua" w:cs="Arial"/>
          <w:b/>
          <w:color w:val="000000"/>
          <w:kern w:val="2"/>
          <w:lang w:eastAsia="zh-CN"/>
        </w:rPr>
      </w:pPr>
      <w:r w:rsidRPr="005E32D9">
        <w:rPr>
          <w:rFonts w:ascii="Book Antiqua" w:eastAsia="MS Mincho" w:hAnsi="Book Antiqua" w:cs="Arial"/>
          <w:b/>
          <w:color w:val="000000"/>
          <w:kern w:val="2"/>
          <w:lang w:eastAsia="ja-JP"/>
        </w:rPr>
        <w:t xml:space="preserve">P-Reviewer: </w:t>
      </w:r>
      <w:r w:rsidRPr="005E32D9">
        <w:rPr>
          <w:rFonts w:ascii="Book Antiqua" w:eastAsia="MS Mincho" w:hAnsi="Book Antiqua" w:cs="Arial"/>
          <w:kern w:val="2"/>
          <w:lang w:eastAsia="ja-JP"/>
        </w:rPr>
        <w:t>Han JH, Huang HJ</w:t>
      </w:r>
      <w:r w:rsidRPr="005E32D9">
        <w:rPr>
          <w:rFonts w:ascii="Book Antiqua" w:eastAsia="DengXian" w:hAnsi="Book Antiqua" w:cs="Arial" w:hint="eastAsia"/>
          <w:kern w:val="2"/>
          <w:lang w:eastAsia="zh-CN"/>
        </w:rPr>
        <w:t xml:space="preserve"> </w:t>
      </w:r>
      <w:r w:rsidRPr="005E32D9">
        <w:rPr>
          <w:rFonts w:ascii="Book Antiqua" w:eastAsia="MS Mincho" w:hAnsi="Book Antiqua" w:cs="Arial"/>
          <w:b/>
          <w:color w:val="000000"/>
          <w:kern w:val="2"/>
          <w:lang w:eastAsia="ja-JP"/>
        </w:rPr>
        <w:t xml:space="preserve">S-Editor: </w:t>
      </w:r>
      <w:r w:rsidRPr="005E32D9">
        <w:rPr>
          <w:rFonts w:ascii="Book Antiqua" w:eastAsia="MS Mincho" w:hAnsi="Book Antiqua" w:cs="Arial"/>
          <w:color w:val="000000"/>
          <w:kern w:val="2"/>
          <w:lang w:eastAsia="ja-JP"/>
        </w:rPr>
        <w:t>Ma RY</w:t>
      </w:r>
      <w:r w:rsidRPr="005E32D9">
        <w:rPr>
          <w:rFonts w:ascii="Book Antiqua" w:eastAsia="MS Mincho" w:hAnsi="Book Antiqua" w:cs="Arial"/>
          <w:b/>
          <w:color w:val="000000"/>
          <w:kern w:val="2"/>
          <w:lang w:eastAsia="ja-JP"/>
        </w:rPr>
        <w:t xml:space="preserve"> L-Editor:</w:t>
      </w:r>
      <w:r w:rsidR="005E32D9">
        <w:rPr>
          <w:rFonts w:ascii="Book Antiqua" w:eastAsia="宋体" w:hAnsi="Book Antiqua" w:cs="Arial" w:hint="eastAsia"/>
          <w:b/>
          <w:color w:val="000000"/>
          <w:kern w:val="2"/>
          <w:lang w:eastAsia="zh-CN"/>
        </w:rPr>
        <w:t xml:space="preserve"> </w:t>
      </w:r>
      <w:proofErr w:type="gramStart"/>
      <w:r w:rsidR="005E32D9" w:rsidRPr="005E32D9">
        <w:rPr>
          <w:rFonts w:ascii="Book Antiqua" w:eastAsia="宋体" w:hAnsi="Book Antiqua" w:cs="Arial" w:hint="eastAsia"/>
          <w:color w:val="000000"/>
          <w:kern w:val="2"/>
          <w:lang w:eastAsia="zh-CN"/>
        </w:rPr>
        <w:t>A</w:t>
      </w:r>
      <w:r w:rsidR="005E32D9">
        <w:rPr>
          <w:rFonts w:ascii="Book Antiqua" w:eastAsia="宋体" w:hAnsi="Book Antiqua" w:cs="Arial" w:hint="eastAsia"/>
          <w:b/>
          <w:color w:val="000000"/>
          <w:kern w:val="2"/>
          <w:lang w:eastAsia="zh-CN"/>
        </w:rPr>
        <w:t xml:space="preserve"> </w:t>
      </w:r>
      <w:r w:rsidRPr="005E32D9">
        <w:rPr>
          <w:rFonts w:ascii="Book Antiqua" w:eastAsia="MS Mincho" w:hAnsi="Book Antiqua" w:cs="Arial"/>
          <w:b/>
          <w:color w:val="000000"/>
          <w:kern w:val="2"/>
          <w:lang w:eastAsia="ja-JP"/>
        </w:rPr>
        <w:t xml:space="preserve"> E</w:t>
      </w:r>
      <w:proofErr w:type="gramEnd"/>
      <w:r w:rsidRPr="005E32D9">
        <w:rPr>
          <w:rFonts w:ascii="Book Antiqua" w:eastAsia="MS Mincho" w:hAnsi="Book Antiqua" w:cs="Arial"/>
          <w:b/>
          <w:color w:val="000000"/>
          <w:kern w:val="2"/>
          <w:lang w:eastAsia="ja-JP"/>
        </w:rPr>
        <w:t>-Editor:</w:t>
      </w:r>
      <w:r w:rsidR="005E32D9">
        <w:rPr>
          <w:rFonts w:ascii="Book Antiqua" w:eastAsia="宋体" w:hAnsi="Book Antiqua" w:cs="Arial" w:hint="eastAsia"/>
          <w:b/>
          <w:color w:val="000000"/>
          <w:kern w:val="2"/>
          <w:lang w:eastAsia="zh-CN"/>
        </w:rPr>
        <w:t xml:space="preserve"> </w:t>
      </w:r>
      <w:r w:rsidR="005E32D9" w:rsidRPr="005E32D9">
        <w:rPr>
          <w:rFonts w:ascii="Book Antiqua" w:eastAsia="宋体" w:hAnsi="Book Antiqua" w:cs="Arial" w:hint="eastAsia"/>
          <w:color w:val="000000"/>
          <w:kern w:val="2"/>
          <w:lang w:eastAsia="zh-CN"/>
        </w:rPr>
        <w:t>Ma YJ</w:t>
      </w:r>
    </w:p>
    <w:p w14:paraId="10948BB4" w14:textId="77777777" w:rsidR="004F7E23" w:rsidRPr="005E32D9" w:rsidRDefault="004F7E23" w:rsidP="004F7E23">
      <w:pPr>
        <w:widowControl w:val="0"/>
        <w:spacing w:line="360" w:lineRule="auto"/>
        <w:jc w:val="both"/>
        <w:rPr>
          <w:rFonts w:ascii="Book Antiqua" w:eastAsia="宋体" w:hAnsi="Book Antiqua" w:cs="Courier New"/>
          <w:b/>
          <w:color w:val="000000"/>
          <w:kern w:val="2"/>
          <w:lang w:eastAsia="zh-CN"/>
        </w:rPr>
      </w:pPr>
      <w:r w:rsidRPr="005E32D9">
        <w:rPr>
          <w:rFonts w:ascii="Book Antiqua" w:eastAsia="宋体" w:hAnsi="Book Antiqua" w:cs="Courier New"/>
          <w:b/>
          <w:color w:val="000000"/>
          <w:kern w:val="2"/>
          <w:lang w:eastAsia="zh-CN"/>
        </w:rPr>
        <w:t xml:space="preserve"> </w:t>
      </w:r>
    </w:p>
    <w:p w14:paraId="2DC02BF1" w14:textId="77777777" w:rsidR="004F7E23" w:rsidRPr="005E32D9" w:rsidRDefault="004F7E23" w:rsidP="004F7E23">
      <w:pPr>
        <w:widowControl w:val="0"/>
        <w:suppressAutoHyphens/>
        <w:snapToGrid w:val="0"/>
        <w:spacing w:line="360" w:lineRule="auto"/>
        <w:jc w:val="both"/>
        <w:rPr>
          <w:rFonts w:ascii="Book Antiqua" w:eastAsia="MS Mincho" w:hAnsi="Book Antiqua" w:cs="Helvetica"/>
          <w:b/>
          <w:color w:val="000000"/>
          <w:kern w:val="2"/>
          <w:lang w:eastAsia="ja-JP"/>
        </w:rPr>
      </w:pPr>
      <w:r w:rsidRPr="005E32D9">
        <w:rPr>
          <w:rFonts w:ascii="Book Antiqua" w:eastAsia="MS Mincho" w:hAnsi="Book Antiqua" w:cs="Helvetica"/>
          <w:b/>
          <w:color w:val="000000"/>
          <w:kern w:val="2"/>
          <w:lang w:eastAsia="ja-JP"/>
        </w:rPr>
        <w:t xml:space="preserve">Specialty type: </w:t>
      </w:r>
      <w:r w:rsidRPr="005E32D9">
        <w:rPr>
          <w:rFonts w:ascii="Book Antiqua" w:eastAsia="微软雅黑" w:hAnsi="Book Antiqua" w:cs="Arial"/>
          <w:color w:val="000000"/>
          <w:kern w:val="2"/>
          <w:lang w:eastAsia="ja-JP"/>
        </w:rPr>
        <w:t>Gastroenterology and hepatology</w:t>
      </w:r>
    </w:p>
    <w:p w14:paraId="40629531" w14:textId="56015A7F" w:rsidR="004F7E23" w:rsidRPr="005E32D9" w:rsidRDefault="004F7E23" w:rsidP="004F7E23">
      <w:pPr>
        <w:widowControl w:val="0"/>
        <w:suppressAutoHyphens/>
        <w:snapToGrid w:val="0"/>
        <w:spacing w:line="360" w:lineRule="auto"/>
        <w:jc w:val="both"/>
        <w:rPr>
          <w:rFonts w:ascii="Book Antiqua" w:eastAsia="DengXian" w:hAnsi="Book Antiqua" w:cs="Helvetica"/>
          <w:b/>
          <w:color w:val="000000"/>
          <w:kern w:val="2"/>
          <w:lang w:eastAsia="zh-CN"/>
        </w:rPr>
      </w:pPr>
      <w:r w:rsidRPr="005E32D9">
        <w:rPr>
          <w:rFonts w:ascii="Book Antiqua" w:eastAsia="MS Mincho" w:hAnsi="Book Antiqua" w:cs="Helvetica"/>
          <w:b/>
          <w:color w:val="000000"/>
          <w:kern w:val="2"/>
          <w:lang w:eastAsia="ja-JP"/>
        </w:rPr>
        <w:t xml:space="preserve">Country of origin: </w:t>
      </w:r>
      <w:r w:rsidRPr="005E32D9">
        <w:rPr>
          <w:rFonts w:ascii="Book Antiqua" w:eastAsia="DengXian" w:hAnsi="Book Antiqua" w:cs="Arial"/>
          <w:color w:val="000000"/>
          <w:kern w:val="2"/>
          <w:lang w:eastAsia="zh-CN"/>
        </w:rPr>
        <w:t>United States</w:t>
      </w:r>
    </w:p>
    <w:p w14:paraId="21024E12" w14:textId="77777777" w:rsidR="004F7E23" w:rsidRPr="005E32D9" w:rsidRDefault="004F7E23" w:rsidP="004F7E23">
      <w:pPr>
        <w:widowControl w:val="0"/>
        <w:suppressAutoHyphens/>
        <w:snapToGrid w:val="0"/>
        <w:spacing w:line="360" w:lineRule="auto"/>
        <w:jc w:val="both"/>
        <w:rPr>
          <w:rFonts w:ascii="Book Antiqua" w:eastAsia="MS Mincho" w:hAnsi="Book Antiqua" w:cs="Helvetica"/>
          <w:b/>
          <w:color w:val="000000"/>
          <w:kern w:val="2"/>
          <w:lang w:eastAsia="ja-JP"/>
        </w:rPr>
      </w:pPr>
      <w:r w:rsidRPr="005E32D9">
        <w:rPr>
          <w:rFonts w:ascii="Book Antiqua" w:eastAsia="MS Mincho" w:hAnsi="Book Antiqua" w:cs="Helvetica"/>
          <w:b/>
          <w:color w:val="000000"/>
          <w:kern w:val="2"/>
          <w:lang w:eastAsia="ja-JP"/>
        </w:rPr>
        <w:t>Peer-review report classification</w:t>
      </w:r>
    </w:p>
    <w:p w14:paraId="7079D723" w14:textId="2DB07679" w:rsidR="004F7E23" w:rsidRPr="005E32D9" w:rsidRDefault="004F7E23" w:rsidP="004F7E23">
      <w:pPr>
        <w:widowControl w:val="0"/>
        <w:suppressAutoHyphens/>
        <w:snapToGrid w:val="0"/>
        <w:spacing w:line="360" w:lineRule="auto"/>
        <w:jc w:val="both"/>
        <w:rPr>
          <w:rFonts w:ascii="Book Antiqua" w:eastAsia="DengXian" w:hAnsi="Book Antiqua" w:cs="Helvetica"/>
          <w:color w:val="000000"/>
          <w:kern w:val="2"/>
          <w:lang w:eastAsia="zh-CN"/>
        </w:rPr>
      </w:pPr>
      <w:r w:rsidRPr="005E32D9">
        <w:rPr>
          <w:rFonts w:ascii="Book Antiqua" w:eastAsia="MS Mincho" w:hAnsi="Book Antiqua" w:cs="Helvetica"/>
          <w:color w:val="000000"/>
          <w:kern w:val="2"/>
          <w:lang w:eastAsia="ja-JP"/>
        </w:rPr>
        <w:t xml:space="preserve">Grade A (Excellent): </w:t>
      </w:r>
      <w:r w:rsidRPr="005E32D9">
        <w:rPr>
          <w:rFonts w:ascii="Book Antiqua" w:eastAsia="DengXian" w:hAnsi="Book Antiqua" w:cs="Helvetica"/>
          <w:color w:val="000000"/>
          <w:kern w:val="2"/>
          <w:lang w:eastAsia="zh-CN"/>
        </w:rPr>
        <w:t>0</w:t>
      </w:r>
    </w:p>
    <w:p w14:paraId="0D3F4850" w14:textId="071C6462" w:rsidR="004F7E23" w:rsidRPr="005E32D9" w:rsidRDefault="004F7E23" w:rsidP="004F7E23">
      <w:pPr>
        <w:widowControl w:val="0"/>
        <w:suppressAutoHyphens/>
        <w:snapToGrid w:val="0"/>
        <w:spacing w:line="360" w:lineRule="auto"/>
        <w:jc w:val="both"/>
        <w:rPr>
          <w:rFonts w:ascii="Book Antiqua" w:eastAsia="MS Mincho" w:hAnsi="Book Antiqua" w:cs="Helvetica"/>
          <w:color w:val="000000"/>
          <w:kern w:val="2"/>
          <w:lang w:eastAsia="ja-JP"/>
        </w:rPr>
      </w:pPr>
      <w:r w:rsidRPr="005E32D9">
        <w:rPr>
          <w:rFonts w:ascii="Book Antiqua" w:eastAsia="MS Mincho" w:hAnsi="Book Antiqua" w:cs="Helvetica"/>
          <w:color w:val="000000"/>
          <w:kern w:val="2"/>
          <w:lang w:eastAsia="ja-JP"/>
        </w:rPr>
        <w:t>Grade B (Very good): B</w:t>
      </w:r>
    </w:p>
    <w:p w14:paraId="4FC5DC6F" w14:textId="77777777" w:rsidR="004F7E23" w:rsidRPr="005E32D9" w:rsidRDefault="004F7E23" w:rsidP="004F7E23">
      <w:pPr>
        <w:widowControl w:val="0"/>
        <w:suppressAutoHyphens/>
        <w:snapToGrid w:val="0"/>
        <w:spacing w:line="360" w:lineRule="auto"/>
        <w:jc w:val="both"/>
        <w:rPr>
          <w:rFonts w:ascii="Book Antiqua" w:eastAsia="DengXian" w:hAnsi="Book Antiqua" w:cs="Helvetica"/>
          <w:color w:val="000000"/>
          <w:kern w:val="2"/>
          <w:lang w:eastAsia="zh-CN"/>
        </w:rPr>
      </w:pPr>
      <w:r w:rsidRPr="005E32D9">
        <w:rPr>
          <w:rFonts w:ascii="Book Antiqua" w:eastAsia="MS Mincho" w:hAnsi="Book Antiqua" w:cs="Helvetica"/>
          <w:color w:val="000000"/>
          <w:kern w:val="2"/>
          <w:lang w:eastAsia="ja-JP"/>
        </w:rPr>
        <w:lastRenderedPageBreak/>
        <w:t xml:space="preserve">Grade C (Good): </w:t>
      </w:r>
      <w:r w:rsidRPr="005E32D9">
        <w:rPr>
          <w:rFonts w:ascii="Book Antiqua" w:eastAsia="DengXian" w:hAnsi="Book Antiqua" w:cs="Helvetica"/>
          <w:color w:val="000000"/>
          <w:kern w:val="2"/>
          <w:lang w:eastAsia="zh-CN"/>
        </w:rPr>
        <w:t>C</w:t>
      </w:r>
    </w:p>
    <w:p w14:paraId="74A67114" w14:textId="3A7F70A7" w:rsidR="004F7E23" w:rsidRPr="005E32D9" w:rsidRDefault="004F7E23" w:rsidP="004F7E23">
      <w:pPr>
        <w:widowControl w:val="0"/>
        <w:suppressAutoHyphens/>
        <w:snapToGrid w:val="0"/>
        <w:spacing w:line="360" w:lineRule="auto"/>
        <w:jc w:val="both"/>
        <w:rPr>
          <w:rFonts w:ascii="Book Antiqua" w:eastAsia="DengXian" w:hAnsi="Book Antiqua" w:cs="Helvetica"/>
          <w:color w:val="000000"/>
          <w:kern w:val="2"/>
          <w:lang w:eastAsia="zh-CN"/>
        </w:rPr>
      </w:pPr>
      <w:r w:rsidRPr="005E32D9">
        <w:rPr>
          <w:rFonts w:ascii="Book Antiqua" w:eastAsia="MS Mincho" w:hAnsi="Book Antiqua" w:cs="Helvetica"/>
          <w:color w:val="000000"/>
          <w:kern w:val="2"/>
          <w:lang w:eastAsia="ja-JP"/>
        </w:rPr>
        <w:t>Grade D (Fair): 0</w:t>
      </w:r>
    </w:p>
    <w:p w14:paraId="304CF58B" w14:textId="77777777" w:rsidR="004F7E23" w:rsidRPr="005E32D9" w:rsidRDefault="004F7E23" w:rsidP="004F7E23">
      <w:pPr>
        <w:widowControl w:val="0"/>
        <w:suppressAutoHyphens/>
        <w:snapToGrid w:val="0"/>
        <w:spacing w:line="360" w:lineRule="auto"/>
        <w:jc w:val="both"/>
        <w:rPr>
          <w:rFonts w:ascii="Book Antiqua" w:eastAsia="MS Mincho" w:hAnsi="Book Antiqua" w:cs="Helvetica"/>
          <w:color w:val="000000"/>
          <w:kern w:val="2"/>
          <w:lang w:eastAsia="ja-JP"/>
        </w:rPr>
      </w:pPr>
      <w:r w:rsidRPr="005E32D9">
        <w:rPr>
          <w:rFonts w:ascii="Book Antiqua" w:eastAsia="MS Mincho" w:hAnsi="Book Antiqua" w:cs="Helvetica"/>
          <w:color w:val="000000"/>
          <w:kern w:val="2"/>
          <w:lang w:eastAsia="ja-JP"/>
        </w:rPr>
        <w:t>Grade E (Poor): 0</w:t>
      </w:r>
    </w:p>
    <w:p w14:paraId="2D25F307" w14:textId="77777777" w:rsidR="00FA641C" w:rsidRPr="005E32D9" w:rsidRDefault="00FA641C" w:rsidP="00292AF0">
      <w:pPr>
        <w:pStyle w:val="a5"/>
        <w:adjustRightInd w:val="0"/>
        <w:snapToGrid w:val="0"/>
        <w:spacing w:line="360" w:lineRule="auto"/>
        <w:ind w:left="0"/>
        <w:contextualSpacing w:val="0"/>
        <w:jc w:val="both"/>
        <w:rPr>
          <w:rFonts w:ascii="Book Antiqua" w:hAnsi="Book Antiqua"/>
          <w:color w:val="000000" w:themeColor="text1"/>
        </w:rPr>
      </w:pPr>
    </w:p>
    <w:p w14:paraId="617A5E51" w14:textId="2E8125E4" w:rsidR="00292AF0" w:rsidRPr="005E32D9" w:rsidRDefault="00292AF0">
      <w:pPr>
        <w:rPr>
          <w:rFonts w:ascii="Book Antiqua" w:hAnsi="Book Antiqua"/>
          <w:color w:val="000000" w:themeColor="text1"/>
        </w:rPr>
      </w:pPr>
      <w:r w:rsidRPr="005E32D9">
        <w:rPr>
          <w:rFonts w:ascii="Book Antiqua" w:hAnsi="Book Antiqua"/>
          <w:color w:val="000000" w:themeColor="text1"/>
        </w:rPr>
        <w:br w:type="page"/>
      </w:r>
    </w:p>
    <w:p w14:paraId="679EEB70" w14:textId="22E4799A" w:rsidR="00292AF0" w:rsidRPr="005E32D9" w:rsidRDefault="00292AF0" w:rsidP="00292AF0">
      <w:pPr>
        <w:adjustRightInd w:val="0"/>
        <w:snapToGrid w:val="0"/>
        <w:spacing w:line="360" w:lineRule="auto"/>
        <w:jc w:val="both"/>
        <w:rPr>
          <w:rFonts w:ascii="Book Antiqua" w:hAnsi="Book Antiqua"/>
          <w:b/>
          <w:bCs/>
        </w:rPr>
      </w:pPr>
      <w:r w:rsidRPr="005E32D9">
        <w:rPr>
          <w:rFonts w:ascii="Book Antiqua" w:hAnsi="Book Antiqua"/>
          <w:b/>
          <w:bCs/>
        </w:rPr>
        <w:lastRenderedPageBreak/>
        <w:t>Table 1</w:t>
      </w:r>
      <w:r w:rsidR="004F0D2A" w:rsidRPr="005E32D9">
        <w:rPr>
          <w:rFonts w:ascii="Book Antiqua" w:hAnsi="Book Antiqua"/>
          <w:b/>
          <w:bCs/>
        </w:rPr>
        <w:t xml:space="preserve"> </w:t>
      </w:r>
      <w:r w:rsidRPr="005E32D9">
        <w:rPr>
          <w:rFonts w:ascii="Book Antiqua" w:hAnsi="Book Antiqua"/>
          <w:b/>
          <w:bCs/>
        </w:rPr>
        <w:t xml:space="preserve">Billing </w:t>
      </w:r>
      <w:r w:rsidR="004F0D2A" w:rsidRPr="005E32D9">
        <w:rPr>
          <w:rFonts w:ascii="Book Antiqua" w:hAnsi="Book Antiqua"/>
          <w:b/>
          <w:bCs/>
        </w:rPr>
        <w:t>data for endoscopic submucosal dissection-related endoscopic procedures</w:t>
      </w:r>
    </w:p>
    <w:tbl>
      <w:tblPr>
        <w:tblStyle w:val="a3"/>
        <w:tblW w:w="0" w:type="auto"/>
        <w:tblLook w:val="04A0" w:firstRow="1" w:lastRow="0" w:firstColumn="1" w:lastColumn="0" w:noHBand="0" w:noVBand="1"/>
      </w:tblPr>
      <w:tblGrid>
        <w:gridCol w:w="3708"/>
        <w:gridCol w:w="5148"/>
      </w:tblGrid>
      <w:tr w:rsidR="00292AF0" w:rsidRPr="005E32D9" w14:paraId="765ABD30" w14:textId="77777777" w:rsidTr="00B44261">
        <w:tc>
          <w:tcPr>
            <w:tcW w:w="3708" w:type="dxa"/>
          </w:tcPr>
          <w:p w14:paraId="7940FF4A" w14:textId="6ED844C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Total </w:t>
            </w:r>
            <w:r w:rsidR="004F0D2A" w:rsidRPr="005E32D9">
              <w:rPr>
                <w:rFonts w:ascii="Book Antiqua" w:hAnsi="Book Antiqua"/>
              </w:rPr>
              <w:t>p</w:t>
            </w:r>
            <w:r w:rsidRPr="005E32D9">
              <w:rPr>
                <w:rFonts w:ascii="Book Antiqua" w:hAnsi="Book Antiqua"/>
              </w:rPr>
              <w:t>atients</w:t>
            </w:r>
          </w:p>
        </w:tc>
        <w:tc>
          <w:tcPr>
            <w:tcW w:w="5148" w:type="dxa"/>
          </w:tcPr>
          <w:p w14:paraId="4D8EB24B"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120</w:t>
            </w:r>
          </w:p>
        </w:tc>
      </w:tr>
      <w:tr w:rsidR="00292AF0" w:rsidRPr="005E32D9" w14:paraId="0E73A63B" w14:textId="77777777" w:rsidTr="00B44261">
        <w:tc>
          <w:tcPr>
            <w:tcW w:w="3708" w:type="dxa"/>
          </w:tcPr>
          <w:p w14:paraId="1218C164"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Gender</w:t>
            </w:r>
          </w:p>
        </w:tc>
        <w:tc>
          <w:tcPr>
            <w:tcW w:w="5148" w:type="dxa"/>
          </w:tcPr>
          <w:p w14:paraId="5ABFE2FB" w14:textId="2E16E6C6"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Male 64; </w:t>
            </w:r>
            <w:r w:rsidR="00DB66D5" w:rsidRPr="005E32D9">
              <w:rPr>
                <w:rFonts w:ascii="Book Antiqua" w:hAnsi="Book Antiqua"/>
              </w:rPr>
              <w:t>f</w:t>
            </w:r>
            <w:r w:rsidRPr="005E32D9">
              <w:rPr>
                <w:rFonts w:ascii="Book Antiqua" w:hAnsi="Book Antiqua"/>
              </w:rPr>
              <w:t>emale 56</w:t>
            </w:r>
          </w:p>
        </w:tc>
      </w:tr>
      <w:tr w:rsidR="00292AF0" w:rsidRPr="005E32D9" w14:paraId="5D0A6A19" w14:textId="77777777" w:rsidTr="00B44261">
        <w:tc>
          <w:tcPr>
            <w:tcW w:w="3708" w:type="dxa"/>
          </w:tcPr>
          <w:p w14:paraId="05BCE042" w14:textId="5A6B40A4"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Type of GI</w:t>
            </w:r>
            <w:r w:rsidR="004F0D2A" w:rsidRPr="005E32D9">
              <w:rPr>
                <w:rFonts w:ascii="Book Antiqua" w:hAnsi="Book Antiqua"/>
              </w:rPr>
              <w:t xml:space="preserve"> e</w:t>
            </w:r>
            <w:r w:rsidRPr="005E32D9">
              <w:rPr>
                <w:rFonts w:ascii="Book Antiqua" w:hAnsi="Book Antiqua"/>
              </w:rPr>
              <w:t>ndoscopy</w:t>
            </w:r>
          </w:p>
        </w:tc>
        <w:tc>
          <w:tcPr>
            <w:tcW w:w="5148" w:type="dxa"/>
          </w:tcPr>
          <w:p w14:paraId="39F3E7A5" w14:textId="784EDED3"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Lower 76; </w:t>
            </w:r>
            <w:r w:rsidR="00DB66D5" w:rsidRPr="005E32D9">
              <w:rPr>
                <w:rFonts w:ascii="Book Antiqua" w:hAnsi="Book Antiqua"/>
              </w:rPr>
              <w:t>u</w:t>
            </w:r>
            <w:r w:rsidRPr="005E32D9">
              <w:rPr>
                <w:rFonts w:ascii="Book Antiqua" w:hAnsi="Book Antiqua"/>
              </w:rPr>
              <w:t>pper 44</w:t>
            </w:r>
          </w:p>
        </w:tc>
      </w:tr>
      <w:tr w:rsidR="00292AF0" w:rsidRPr="005E32D9" w14:paraId="2AFF7D9F" w14:textId="77777777" w:rsidTr="00B44261">
        <w:tc>
          <w:tcPr>
            <w:tcW w:w="3708" w:type="dxa"/>
          </w:tcPr>
          <w:p w14:paraId="73953405" w14:textId="7D99502E"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Age (</w:t>
            </w:r>
            <w:proofErr w:type="spellStart"/>
            <w:r w:rsidRPr="005E32D9">
              <w:rPr>
                <w:rFonts w:ascii="Book Antiqua" w:hAnsi="Book Antiqua"/>
              </w:rPr>
              <w:t>y</w:t>
            </w:r>
            <w:r w:rsidR="00DB66D5" w:rsidRPr="005E32D9">
              <w:rPr>
                <w:rFonts w:ascii="Book Antiqua" w:hAnsi="Book Antiqua"/>
              </w:rPr>
              <w:t>r</w:t>
            </w:r>
            <w:proofErr w:type="spellEnd"/>
            <w:r w:rsidRPr="005E32D9">
              <w:rPr>
                <w:rFonts w:ascii="Book Antiqua" w:hAnsi="Book Antiqua"/>
              </w:rPr>
              <w:t>)</w:t>
            </w:r>
          </w:p>
        </w:tc>
        <w:tc>
          <w:tcPr>
            <w:tcW w:w="5148" w:type="dxa"/>
          </w:tcPr>
          <w:p w14:paraId="3DF99615"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Range 22-92</w:t>
            </w:r>
          </w:p>
        </w:tc>
      </w:tr>
      <w:tr w:rsidR="00292AF0" w:rsidRPr="005E32D9" w14:paraId="57B10F59" w14:textId="77777777" w:rsidTr="00B44261">
        <w:tc>
          <w:tcPr>
            <w:tcW w:w="3708" w:type="dxa"/>
          </w:tcPr>
          <w:p w14:paraId="2682F602" w14:textId="3A426225"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Indication of </w:t>
            </w:r>
            <w:r w:rsidR="00DB66D5" w:rsidRPr="005E32D9">
              <w:rPr>
                <w:rFonts w:ascii="Book Antiqua" w:hAnsi="Book Antiqua"/>
              </w:rPr>
              <w:t>p</w:t>
            </w:r>
            <w:r w:rsidRPr="005E32D9">
              <w:rPr>
                <w:rFonts w:ascii="Book Antiqua" w:hAnsi="Book Antiqua"/>
              </w:rPr>
              <w:t>rocedure</w:t>
            </w:r>
          </w:p>
        </w:tc>
        <w:tc>
          <w:tcPr>
            <w:tcW w:w="5148" w:type="dxa"/>
          </w:tcPr>
          <w:p w14:paraId="09247BE1" w14:textId="23E593B4"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Mucosal </w:t>
            </w:r>
            <w:r w:rsidR="00DB66D5" w:rsidRPr="005E32D9">
              <w:rPr>
                <w:rFonts w:ascii="Book Antiqua" w:hAnsi="Book Antiqua"/>
              </w:rPr>
              <w:t>p</w:t>
            </w:r>
            <w:r w:rsidRPr="005E32D9">
              <w:rPr>
                <w:rFonts w:ascii="Book Antiqua" w:hAnsi="Book Antiqua"/>
              </w:rPr>
              <w:t xml:space="preserve">olyps/lesions 81, </w:t>
            </w:r>
            <w:r w:rsidR="00DB66D5" w:rsidRPr="005E32D9">
              <w:rPr>
                <w:rFonts w:ascii="Book Antiqua" w:hAnsi="Book Antiqua"/>
              </w:rPr>
              <w:t>s</w:t>
            </w:r>
            <w:r w:rsidRPr="005E32D9">
              <w:rPr>
                <w:rFonts w:ascii="Book Antiqua" w:hAnsi="Book Antiqua"/>
              </w:rPr>
              <w:t xml:space="preserve">ubmucosal lesions 15, </w:t>
            </w:r>
            <w:r w:rsidR="00DB66D5" w:rsidRPr="005E32D9">
              <w:rPr>
                <w:rFonts w:ascii="Book Antiqua" w:hAnsi="Book Antiqua"/>
              </w:rPr>
              <w:t>m</w:t>
            </w:r>
            <w:r w:rsidRPr="005E32D9">
              <w:rPr>
                <w:rFonts w:ascii="Book Antiqua" w:hAnsi="Book Antiqua"/>
              </w:rPr>
              <w:t>yotomy 24</w:t>
            </w:r>
          </w:p>
        </w:tc>
      </w:tr>
      <w:tr w:rsidR="00292AF0" w:rsidRPr="005E32D9" w14:paraId="3A394946" w14:textId="77777777" w:rsidTr="00B44261">
        <w:tc>
          <w:tcPr>
            <w:tcW w:w="3708" w:type="dxa"/>
          </w:tcPr>
          <w:p w14:paraId="3EA6B468" w14:textId="7DA5F6A2"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Length of </w:t>
            </w:r>
            <w:bookmarkStart w:id="30" w:name="OLE_LINK18"/>
            <w:bookmarkStart w:id="31" w:name="OLE_LINK19"/>
            <w:r w:rsidRPr="005E32D9">
              <w:rPr>
                <w:rFonts w:ascii="Book Antiqua" w:hAnsi="Book Antiqua"/>
              </w:rPr>
              <w:t>ESD</w:t>
            </w:r>
            <w:bookmarkEnd w:id="30"/>
            <w:bookmarkEnd w:id="31"/>
            <w:r w:rsidRPr="005E32D9">
              <w:rPr>
                <w:rFonts w:ascii="Book Antiqua" w:hAnsi="Book Antiqua"/>
              </w:rPr>
              <w:t xml:space="preserve"> (min)</w:t>
            </w:r>
          </w:p>
        </w:tc>
        <w:tc>
          <w:tcPr>
            <w:tcW w:w="5148" w:type="dxa"/>
          </w:tcPr>
          <w:p w14:paraId="1C63C2EA"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Range 20-120</w:t>
            </w:r>
          </w:p>
        </w:tc>
      </w:tr>
      <w:tr w:rsidR="00292AF0" w:rsidRPr="005E32D9" w14:paraId="192D5B12" w14:textId="77777777" w:rsidTr="00B44261">
        <w:tc>
          <w:tcPr>
            <w:tcW w:w="3708" w:type="dxa"/>
          </w:tcPr>
          <w:p w14:paraId="42BCDA19"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Complications</w:t>
            </w:r>
          </w:p>
        </w:tc>
        <w:tc>
          <w:tcPr>
            <w:tcW w:w="5148" w:type="dxa"/>
          </w:tcPr>
          <w:p w14:paraId="6207B87D"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3 (2.5%)</w:t>
            </w:r>
          </w:p>
          <w:p w14:paraId="5D3D7138" w14:textId="5BB8EA1E"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(2 post-ESD bleed; 1 </w:t>
            </w:r>
            <w:r w:rsidR="00DB66D5" w:rsidRPr="005E32D9">
              <w:rPr>
                <w:rFonts w:ascii="Book Antiqua" w:hAnsi="Book Antiqua"/>
              </w:rPr>
              <w:t>e</w:t>
            </w:r>
            <w:r w:rsidRPr="005E32D9">
              <w:rPr>
                <w:rFonts w:ascii="Book Antiqua" w:hAnsi="Book Antiqua"/>
              </w:rPr>
              <w:t>sophageal stricture requiring dilation)</w:t>
            </w:r>
          </w:p>
        </w:tc>
      </w:tr>
      <w:tr w:rsidR="00292AF0" w:rsidRPr="005E32D9" w14:paraId="1DBBD695" w14:textId="77777777" w:rsidTr="00B44261">
        <w:tc>
          <w:tcPr>
            <w:tcW w:w="3708" w:type="dxa"/>
          </w:tcPr>
          <w:p w14:paraId="7C0B8053" w14:textId="22161ABB"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Type o</w:t>
            </w:r>
            <w:r w:rsidR="00DB66D5" w:rsidRPr="005E32D9">
              <w:rPr>
                <w:rFonts w:ascii="Book Antiqua" w:hAnsi="Book Antiqua"/>
              </w:rPr>
              <w:t>f health insuranc</w:t>
            </w:r>
            <w:r w:rsidRPr="005E32D9">
              <w:rPr>
                <w:rFonts w:ascii="Book Antiqua" w:hAnsi="Book Antiqua"/>
              </w:rPr>
              <w:t>e</w:t>
            </w:r>
          </w:p>
        </w:tc>
        <w:tc>
          <w:tcPr>
            <w:tcW w:w="5148" w:type="dxa"/>
          </w:tcPr>
          <w:p w14:paraId="6046F898" w14:textId="0299026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Commercial 52 (43%), </w:t>
            </w:r>
            <w:proofErr w:type="spellStart"/>
            <w:r w:rsidR="00DB66D5" w:rsidRPr="005E32D9">
              <w:rPr>
                <w:rFonts w:ascii="Book Antiqua" w:hAnsi="Book Antiqua"/>
              </w:rPr>
              <w:t>m</w:t>
            </w:r>
            <w:r w:rsidRPr="005E32D9">
              <w:rPr>
                <w:rFonts w:ascii="Book Antiqua" w:hAnsi="Book Antiqua"/>
              </w:rPr>
              <w:t>edicare</w:t>
            </w:r>
            <w:proofErr w:type="spellEnd"/>
            <w:r w:rsidRPr="005E32D9">
              <w:rPr>
                <w:rFonts w:ascii="Book Antiqua" w:hAnsi="Book Antiqua"/>
              </w:rPr>
              <w:t xml:space="preserve"> 49 (40.8%), </w:t>
            </w:r>
            <w:bookmarkStart w:id="32" w:name="OLE_LINK21"/>
            <w:bookmarkStart w:id="33" w:name="OLE_LINK22"/>
            <w:r w:rsidRPr="005E32D9">
              <w:rPr>
                <w:rFonts w:ascii="Book Antiqua" w:hAnsi="Book Antiqua"/>
              </w:rPr>
              <w:t xml:space="preserve">HMO </w:t>
            </w:r>
            <w:bookmarkEnd w:id="32"/>
            <w:bookmarkEnd w:id="33"/>
            <w:r w:rsidRPr="005E32D9">
              <w:rPr>
                <w:rFonts w:ascii="Book Antiqua" w:hAnsi="Book Antiqua"/>
              </w:rPr>
              <w:t>19 (15.8%)</w:t>
            </w:r>
          </w:p>
        </w:tc>
      </w:tr>
      <w:tr w:rsidR="00292AF0" w:rsidRPr="005E32D9" w14:paraId="623C00C8" w14:textId="77777777" w:rsidTr="00B44261">
        <w:tc>
          <w:tcPr>
            <w:tcW w:w="3708" w:type="dxa"/>
          </w:tcPr>
          <w:p w14:paraId="4A23D32B" w14:textId="2A5772D3"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Not </w:t>
            </w:r>
            <w:r w:rsidR="00DB66D5" w:rsidRPr="005E32D9">
              <w:rPr>
                <w:rFonts w:ascii="Book Antiqua" w:hAnsi="Book Antiqua"/>
              </w:rPr>
              <w:t>paid as unlist</w:t>
            </w:r>
            <w:r w:rsidRPr="005E32D9">
              <w:rPr>
                <w:rFonts w:ascii="Book Antiqua" w:hAnsi="Book Antiqua"/>
              </w:rPr>
              <w:t>ed CPT</w:t>
            </w:r>
          </w:p>
        </w:tc>
        <w:tc>
          <w:tcPr>
            <w:tcW w:w="5148" w:type="dxa"/>
          </w:tcPr>
          <w:p w14:paraId="5B68E592"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42</w:t>
            </w:r>
          </w:p>
        </w:tc>
      </w:tr>
      <w:tr w:rsidR="00292AF0" w:rsidRPr="005E32D9" w14:paraId="203F0792" w14:textId="77777777" w:rsidTr="00B44261">
        <w:tc>
          <w:tcPr>
            <w:tcW w:w="3708" w:type="dxa"/>
          </w:tcPr>
          <w:p w14:paraId="32F6E454" w14:textId="17911E1E"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Initial</w:t>
            </w:r>
            <w:r w:rsidR="00DB66D5" w:rsidRPr="005E32D9">
              <w:rPr>
                <w:rFonts w:ascii="Book Antiqua" w:hAnsi="Book Antiqua"/>
              </w:rPr>
              <w:t xml:space="preserve"> denial rate</w:t>
            </w:r>
          </w:p>
        </w:tc>
        <w:tc>
          <w:tcPr>
            <w:tcW w:w="5148" w:type="dxa"/>
          </w:tcPr>
          <w:p w14:paraId="44A24507"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35%</w:t>
            </w:r>
          </w:p>
        </w:tc>
      </w:tr>
      <w:tr w:rsidR="00292AF0" w:rsidRPr="005E32D9" w14:paraId="6ED64C4F" w14:textId="77777777" w:rsidTr="00B44261">
        <w:tc>
          <w:tcPr>
            <w:tcW w:w="3708" w:type="dxa"/>
          </w:tcPr>
          <w:p w14:paraId="2D122057" w14:textId="070D47D2"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Not </w:t>
            </w:r>
            <w:r w:rsidR="00DB66D5" w:rsidRPr="005E32D9">
              <w:rPr>
                <w:rFonts w:ascii="Book Antiqua" w:hAnsi="Book Antiqua"/>
              </w:rPr>
              <w:t>paid at all</w:t>
            </w:r>
          </w:p>
        </w:tc>
        <w:tc>
          <w:tcPr>
            <w:tcW w:w="5148" w:type="dxa"/>
          </w:tcPr>
          <w:p w14:paraId="2B6F7B34"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10</w:t>
            </w:r>
          </w:p>
        </w:tc>
      </w:tr>
      <w:tr w:rsidR="00292AF0" w:rsidRPr="005E32D9" w14:paraId="7267D20C" w14:textId="77777777" w:rsidTr="00B44261">
        <w:tc>
          <w:tcPr>
            <w:tcW w:w="3708" w:type="dxa"/>
          </w:tcPr>
          <w:p w14:paraId="2E3A6B69" w14:textId="5B32AF0F"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Final </w:t>
            </w:r>
            <w:r w:rsidR="00DB66D5" w:rsidRPr="005E32D9">
              <w:rPr>
                <w:rFonts w:ascii="Book Antiqua" w:hAnsi="Book Antiqua"/>
              </w:rPr>
              <w:t>denial rate</w:t>
            </w:r>
          </w:p>
        </w:tc>
        <w:tc>
          <w:tcPr>
            <w:tcW w:w="5148" w:type="dxa"/>
          </w:tcPr>
          <w:p w14:paraId="1237669A"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8.33%</w:t>
            </w:r>
          </w:p>
        </w:tc>
      </w:tr>
      <w:tr w:rsidR="00292AF0" w:rsidRPr="005E32D9" w14:paraId="148D8D75" w14:textId="77777777" w:rsidTr="00B44261">
        <w:tc>
          <w:tcPr>
            <w:tcW w:w="3708" w:type="dxa"/>
          </w:tcPr>
          <w:p w14:paraId="13F207BB" w14:textId="396AEACA"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 xml:space="preserve">Number of </w:t>
            </w:r>
            <w:r w:rsidR="00DB66D5" w:rsidRPr="005E32D9">
              <w:rPr>
                <w:rFonts w:ascii="Book Antiqua" w:hAnsi="Book Antiqua"/>
              </w:rPr>
              <w:t>denials</w:t>
            </w:r>
          </w:p>
        </w:tc>
        <w:tc>
          <w:tcPr>
            <w:tcW w:w="5148" w:type="dxa"/>
          </w:tcPr>
          <w:p w14:paraId="471F3DAA" w14:textId="77777777" w:rsidR="00292AF0" w:rsidRPr="005E32D9" w:rsidRDefault="00292AF0" w:rsidP="00B44261">
            <w:pPr>
              <w:adjustRightInd w:val="0"/>
              <w:snapToGrid w:val="0"/>
              <w:spacing w:line="360" w:lineRule="auto"/>
              <w:jc w:val="both"/>
              <w:rPr>
                <w:rFonts w:ascii="Book Antiqua" w:hAnsi="Book Antiqua"/>
              </w:rPr>
            </w:pPr>
            <w:r w:rsidRPr="005E32D9">
              <w:rPr>
                <w:rFonts w:ascii="Book Antiqua" w:hAnsi="Book Antiqua"/>
              </w:rPr>
              <w:t>Range 0 to 9</w:t>
            </w:r>
          </w:p>
        </w:tc>
      </w:tr>
    </w:tbl>
    <w:p w14:paraId="4CF26767" w14:textId="0BF24F31" w:rsidR="00292AF0" w:rsidRPr="00FF6956" w:rsidRDefault="00DB66D5" w:rsidP="00292AF0">
      <w:pPr>
        <w:adjustRightInd w:val="0"/>
        <w:snapToGrid w:val="0"/>
        <w:spacing w:line="360" w:lineRule="auto"/>
        <w:jc w:val="both"/>
        <w:rPr>
          <w:rFonts w:ascii="Book Antiqua" w:hAnsi="Book Antiqua"/>
        </w:rPr>
      </w:pPr>
      <w:r w:rsidRPr="005E32D9">
        <w:rPr>
          <w:rFonts w:ascii="Book Antiqua" w:hAnsi="Book Antiqua"/>
        </w:rPr>
        <w:t xml:space="preserve">GI: Gastrointestinal; ESD: </w:t>
      </w:r>
      <w:r w:rsidRPr="005E32D9">
        <w:rPr>
          <w:rFonts w:ascii="Book Antiqua" w:hAnsi="Book Antiqua" w:cs="Arial"/>
          <w:color w:val="000000" w:themeColor="text1"/>
        </w:rPr>
        <w:t xml:space="preserve">Endoscopic submucosal dissection; </w:t>
      </w:r>
      <w:r w:rsidRPr="005E32D9">
        <w:rPr>
          <w:rFonts w:ascii="Book Antiqua" w:hAnsi="Book Antiqua"/>
        </w:rPr>
        <w:t xml:space="preserve">CPT: </w:t>
      </w:r>
      <w:r w:rsidRPr="005E32D9">
        <w:rPr>
          <w:rFonts w:ascii="Book Antiqua" w:hAnsi="Book Antiqua" w:cs="Arial"/>
          <w:color w:val="000000" w:themeColor="text1"/>
        </w:rPr>
        <w:t>Current procedural terminology.</w:t>
      </w:r>
    </w:p>
    <w:p w14:paraId="2B9754DA" w14:textId="77777777" w:rsidR="00292AF0" w:rsidRPr="00FF6956" w:rsidRDefault="00292AF0" w:rsidP="00292AF0">
      <w:pPr>
        <w:pStyle w:val="a5"/>
        <w:adjustRightInd w:val="0"/>
        <w:snapToGrid w:val="0"/>
        <w:spacing w:line="360" w:lineRule="auto"/>
        <w:ind w:left="0"/>
        <w:contextualSpacing w:val="0"/>
        <w:jc w:val="both"/>
        <w:rPr>
          <w:rFonts w:ascii="Book Antiqua" w:hAnsi="Book Antiqua"/>
          <w:color w:val="000000" w:themeColor="text1"/>
        </w:rPr>
      </w:pPr>
    </w:p>
    <w:sectPr w:rsidR="00292AF0" w:rsidRPr="00FF6956" w:rsidSect="006D11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7384" w14:textId="77777777" w:rsidR="00EF1AA4" w:rsidRDefault="00EF1AA4" w:rsidP="002E1973">
      <w:r>
        <w:separator/>
      </w:r>
    </w:p>
  </w:endnote>
  <w:endnote w:type="continuationSeparator" w:id="0">
    <w:p w14:paraId="698ED5C4" w14:textId="77777777" w:rsidR="00EF1AA4" w:rsidRDefault="00EF1AA4" w:rsidP="002E1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DengXian">
    <w:altName w:val="等线"/>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D2887" w14:textId="77777777" w:rsidR="00EF1AA4" w:rsidRDefault="00EF1AA4" w:rsidP="002E1973">
      <w:r>
        <w:separator/>
      </w:r>
    </w:p>
  </w:footnote>
  <w:footnote w:type="continuationSeparator" w:id="0">
    <w:p w14:paraId="7A81B6FC" w14:textId="77777777" w:rsidR="00EF1AA4" w:rsidRDefault="00EF1AA4" w:rsidP="002E1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1EE3"/>
    <w:multiLevelType w:val="hybridMultilevel"/>
    <w:tmpl w:val="52E23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D352A"/>
    <w:multiLevelType w:val="hybridMultilevel"/>
    <w:tmpl w:val="157ECB36"/>
    <w:lvl w:ilvl="0" w:tplc="1B501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A"/>
    <w:rsid w:val="000C4D71"/>
    <w:rsid w:val="00120814"/>
    <w:rsid w:val="001374C0"/>
    <w:rsid w:val="001745A8"/>
    <w:rsid w:val="00183DF6"/>
    <w:rsid w:val="00292AF0"/>
    <w:rsid w:val="002E1973"/>
    <w:rsid w:val="00341F4C"/>
    <w:rsid w:val="003454A0"/>
    <w:rsid w:val="00351E35"/>
    <w:rsid w:val="00496FC6"/>
    <w:rsid w:val="004F0D2A"/>
    <w:rsid w:val="004F7E23"/>
    <w:rsid w:val="00522ABA"/>
    <w:rsid w:val="0053581F"/>
    <w:rsid w:val="00560CEC"/>
    <w:rsid w:val="005C548A"/>
    <w:rsid w:val="005D3D16"/>
    <w:rsid w:val="005E32D9"/>
    <w:rsid w:val="006504A6"/>
    <w:rsid w:val="00693F53"/>
    <w:rsid w:val="006D1153"/>
    <w:rsid w:val="006F7B59"/>
    <w:rsid w:val="007B122D"/>
    <w:rsid w:val="00805C65"/>
    <w:rsid w:val="008231AC"/>
    <w:rsid w:val="00853404"/>
    <w:rsid w:val="009114AD"/>
    <w:rsid w:val="0094161F"/>
    <w:rsid w:val="0097411F"/>
    <w:rsid w:val="00A4468D"/>
    <w:rsid w:val="00A5639B"/>
    <w:rsid w:val="00AB2078"/>
    <w:rsid w:val="00AF549D"/>
    <w:rsid w:val="00B44649"/>
    <w:rsid w:val="00C5230E"/>
    <w:rsid w:val="00C8041A"/>
    <w:rsid w:val="00D01FBC"/>
    <w:rsid w:val="00DA13E2"/>
    <w:rsid w:val="00DB66D5"/>
    <w:rsid w:val="00E54A98"/>
    <w:rsid w:val="00E82226"/>
    <w:rsid w:val="00EF1AA4"/>
    <w:rsid w:val="00F14958"/>
    <w:rsid w:val="00F7076F"/>
    <w:rsid w:val="00F85061"/>
    <w:rsid w:val="00FA641C"/>
    <w:rsid w:val="00FF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22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8A"/>
  </w:style>
  <w:style w:type="paragraph" w:styleId="1">
    <w:name w:val="heading 1"/>
    <w:basedOn w:val="a"/>
    <w:link w:val="1Char"/>
    <w:uiPriority w:val="9"/>
    <w:qFormat/>
    <w:rsid w:val="005C548A"/>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548A"/>
    <w:rPr>
      <w:rFonts w:ascii="Times New Roman" w:hAnsi="Times New Roman"/>
      <w:b/>
      <w:bCs/>
      <w:kern w:val="36"/>
      <w:sz w:val="48"/>
      <w:szCs w:val="48"/>
    </w:rPr>
  </w:style>
  <w:style w:type="table" w:styleId="a3">
    <w:name w:val="Table Grid"/>
    <w:basedOn w:val="a1"/>
    <w:uiPriority w:val="59"/>
    <w:rsid w:val="005C5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C548A"/>
    <w:rPr>
      <w:color w:val="0000FF"/>
      <w:u w:val="single"/>
    </w:rPr>
  </w:style>
  <w:style w:type="character" w:customStyle="1" w:styleId="apple-converted-space">
    <w:name w:val="apple-converted-space"/>
    <w:basedOn w:val="a0"/>
    <w:rsid w:val="005C548A"/>
  </w:style>
  <w:style w:type="character" w:customStyle="1" w:styleId="highlight">
    <w:name w:val="highlight"/>
    <w:basedOn w:val="a0"/>
    <w:rsid w:val="005C548A"/>
  </w:style>
  <w:style w:type="paragraph" w:styleId="a5">
    <w:name w:val="List Paragraph"/>
    <w:basedOn w:val="a"/>
    <w:uiPriority w:val="34"/>
    <w:qFormat/>
    <w:rsid w:val="005C548A"/>
    <w:pPr>
      <w:ind w:left="720"/>
      <w:contextualSpacing/>
    </w:pPr>
  </w:style>
  <w:style w:type="character" w:styleId="a6">
    <w:name w:val="annotation reference"/>
    <w:basedOn w:val="a0"/>
    <w:uiPriority w:val="99"/>
    <w:semiHidden/>
    <w:unhideWhenUsed/>
    <w:rsid w:val="00A5639B"/>
    <w:rPr>
      <w:sz w:val="21"/>
      <w:szCs w:val="21"/>
    </w:rPr>
  </w:style>
  <w:style w:type="paragraph" w:styleId="a7">
    <w:name w:val="annotation text"/>
    <w:basedOn w:val="a"/>
    <w:link w:val="Char"/>
    <w:uiPriority w:val="99"/>
    <w:semiHidden/>
    <w:unhideWhenUsed/>
    <w:qFormat/>
    <w:rsid w:val="00A5639B"/>
  </w:style>
  <w:style w:type="character" w:customStyle="1" w:styleId="Char">
    <w:name w:val="批注文字 Char"/>
    <w:basedOn w:val="a0"/>
    <w:link w:val="a7"/>
    <w:uiPriority w:val="99"/>
    <w:semiHidden/>
    <w:qFormat/>
    <w:rsid w:val="00A5639B"/>
  </w:style>
  <w:style w:type="paragraph" w:styleId="a8">
    <w:name w:val="annotation subject"/>
    <w:basedOn w:val="a7"/>
    <w:next w:val="a7"/>
    <w:link w:val="Char0"/>
    <w:uiPriority w:val="99"/>
    <w:semiHidden/>
    <w:unhideWhenUsed/>
    <w:rsid w:val="00A5639B"/>
    <w:rPr>
      <w:b/>
      <w:bCs/>
    </w:rPr>
  </w:style>
  <w:style w:type="character" w:customStyle="1" w:styleId="Char0">
    <w:name w:val="批注主题 Char"/>
    <w:basedOn w:val="Char"/>
    <w:link w:val="a8"/>
    <w:uiPriority w:val="99"/>
    <w:semiHidden/>
    <w:rsid w:val="00A5639B"/>
    <w:rPr>
      <w:b/>
      <w:bCs/>
    </w:rPr>
  </w:style>
  <w:style w:type="paragraph" w:styleId="a9">
    <w:name w:val="Balloon Text"/>
    <w:basedOn w:val="a"/>
    <w:link w:val="Char1"/>
    <w:uiPriority w:val="99"/>
    <w:semiHidden/>
    <w:unhideWhenUsed/>
    <w:rsid w:val="00A5639B"/>
    <w:rPr>
      <w:sz w:val="18"/>
      <w:szCs w:val="18"/>
    </w:rPr>
  </w:style>
  <w:style w:type="character" w:customStyle="1" w:styleId="Char1">
    <w:name w:val="批注框文本 Char"/>
    <w:basedOn w:val="a0"/>
    <w:link w:val="a9"/>
    <w:uiPriority w:val="99"/>
    <w:semiHidden/>
    <w:rsid w:val="00A5639B"/>
    <w:rPr>
      <w:sz w:val="18"/>
      <w:szCs w:val="18"/>
    </w:rPr>
  </w:style>
  <w:style w:type="paragraph" w:styleId="aa">
    <w:name w:val="Normal (Web)"/>
    <w:basedOn w:val="a"/>
    <w:uiPriority w:val="99"/>
    <w:semiHidden/>
    <w:unhideWhenUsed/>
    <w:rsid w:val="00F85061"/>
    <w:pPr>
      <w:spacing w:before="100" w:beforeAutospacing="1" w:after="100" w:afterAutospacing="1"/>
    </w:pPr>
    <w:rPr>
      <w:rFonts w:ascii="Times New Roman" w:hAnsi="Times New Roman" w:cs="Times New Roman"/>
      <w:sz w:val="20"/>
      <w:szCs w:val="20"/>
    </w:rPr>
  </w:style>
  <w:style w:type="character" w:styleId="ab">
    <w:name w:val="FollowedHyperlink"/>
    <w:basedOn w:val="a0"/>
    <w:uiPriority w:val="99"/>
    <w:semiHidden/>
    <w:unhideWhenUsed/>
    <w:rsid w:val="00E54A98"/>
    <w:rPr>
      <w:color w:val="800080" w:themeColor="followedHyperlink"/>
      <w:u w:val="single"/>
    </w:rPr>
  </w:style>
  <w:style w:type="paragraph" w:styleId="ac">
    <w:name w:val="header"/>
    <w:basedOn w:val="a"/>
    <w:link w:val="Char2"/>
    <w:uiPriority w:val="99"/>
    <w:unhideWhenUsed/>
    <w:rsid w:val="002E19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2E1973"/>
    <w:rPr>
      <w:sz w:val="18"/>
      <w:szCs w:val="18"/>
    </w:rPr>
  </w:style>
  <w:style w:type="paragraph" w:styleId="ad">
    <w:name w:val="footer"/>
    <w:basedOn w:val="a"/>
    <w:link w:val="Char3"/>
    <w:uiPriority w:val="99"/>
    <w:unhideWhenUsed/>
    <w:rsid w:val="002E1973"/>
    <w:pPr>
      <w:tabs>
        <w:tab w:val="center" w:pos="4153"/>
        <w:tab w:val="right" w:pos="8306"/>
      </w:tabs>
      <w:snapToGrid w:val="0"/>
    </w:pPr>
    <w:rPr>
      <w:sz w:val="18"/>
      <w:szCs w:val="18"/>
    </w:rPr>
  </w:style>
  <w:style w:type="character" w:customStyle="1" w:styleId="Char3">
    <w:name w:val="页脚 Char"/>
    <w:basedOn w:val="a0"/>
    <w:link w:val="ad"/>
    <w:uiPriority w:val="99"/>
    <w:rsid w:val="002E19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8A"/>
  </w:style>
  <w:style w:type="paragraph" w:styleId="1">
    <w:name w:val="heading 1"/>
    <w:basedOn w:val="a"/>
    <w:link w:val="1Char"/>
    <w:uiPriority w:val="9"/>
    <w:qFormat/>
    <w:rsid w:val="005C548A"/>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548A"/>
    <w:rPr>
      <w:rFonts w:ascii="Times New Roman" w:hAnsi="Times New Roman"/>
      <w:b/>
      <w:bCs/>
      <w:kern w:val="36"/>
      <w:sz w:val="48"/>
      <w:szCs w:val="48"/>
    </w:rPr>
  </w:style>
  <w:style w:type="table" w:styleId="a3">
    <w:name w:val="Table Grid"/>
    <w:basedOn w:val="a1"/>
    <w:uiPriority w:val="59"/>
    <w:rsid w:val="005C5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C548A"/>
    <w:rPr>
      <w:color w:val="0000FF"/>
      <w:u w:val="single"/>
    </w:rPr>
  </w:style>
  <w:style w:type="character" w:customStyle="1" w:styleId="apple-converted-space">
    <w:name w:val="apple-converted-space"/>
    <w:basedOn w:val="a0"/>
    <w:rsid w:val="005C548A"/>
  </w:style>
  <w:style w:type="character" w:customStyle="1" w:styleId="highlight">
    <w:name w:val="highlight"/>
    <w:basedOn w:val="a0"/>
    <w:rsid w:val="005C548A"/>
  </w:style>
  <w:style w:type="paragraph" w:styleId="a5">
    <w:name w:val="List Paragraph"/>
    <w:basedOn w:val="a"/>
    <w:uiPriority w:val="34"/>
    <w:qFormat/>
    <w:rsid w:val="005C548A"/>
    <w:pPr>
      <w:ind w:left="720"/>
      <w:contextualSpacing/>
    </w:pPr>
  </w:style>
  <w:style w:type="character" w:styleId="a6">
    <w:name w:val="annotation reference"/>
    <w:basedOn w:val="a0"/>
    <w:uiPriority w:val="99"/>
    <w:semiHidden/>
    <w:unhideWhenUsed/>
    <w:rsid w:val="00A5639B"/>
    <w:rPr>
      <w:sz w:val="21"/>
      <w:szCs w:val="21"/>
    </w:rPr>
  </w:style>
  <w:style w:type="paragraph" w:styleId="a7">
    <w:name w:val="annotation text"/>
    <w:basedOn w:val="a"/>
    <w:link w:val="Char"/>
    <w:uiPriority w:val="99"/>
    <w:semiHidden/>
    <w:unhideWhenUsed/>
    <w:qFormat/>
    <w:rsid w:val="00A5639B"/>
  </w:style>
  <w:style w:type="character" w:customStyle="1" w:styleId="Char">
    <w:name w:val="批注文字 Char"/>
    <w:basedOn w:val="a0"/>
    <w:link w:val="a7"/>
    <w:uiPriority w:val="99"/>
    <w:semiHidden/>
    <w:qFormat/>
    <w:rsid w:val="00A5639B"/>
  </w:style>
  <w:style w:type="paragraph" w:styleId="a8">
    <w:name w:val="annotation subject"/>
    <w:basedOn w:val="a7"/>
    <w:next w:val="a7"/>
    <w:link w:val="Char0"/>
    <w:uiPriority w:val="99"/>
    <w:semiHidden/>
    <w:unhideWhenUsed/>
    <w:rsid w:val="00A5639B"/>
    <w:rPr>
      <w:b/>
      <w:bCs/>
    </w:rPr>
  </w:style>
  <w:style w:type="character" w:customStyle="1" w:styleId="Char0">
    <w:name w:val="批注主题 Char"/>
    <w:basedOn w:val="Char"/>
    <w:link w:val="a8"/>
    <w:uiPriority w:val="99"/>
    <w:semiHidden/>
    <w:rsid w:val="00A5639B"/>
    <w:rPr>
      <w:b/>
      <w:bCs/>
    </w:rPr>
  </w:style>
  <w:style w:type="paragraph" w:styleId="a9">
    <w:name w:val="Balloon Text"/>
    <w:basedOn w:val="a"/>
    <w:link w:val="Char1"/>
    <w:uiPriority w:val="99"/>
    <w:semiHidden/>
    <w:unhideWhenUsed/>
    <w:rsid w:val="00A5639B"/>
    <w:rPr>
      <w:sz w:val="18"/>
      <w:szCs w:val="18"/>
    </w:rPr>
  </w:style>
  <w:style w:type="character" w:customStyle="1" w:styleId="Char1">
    <w:name w:val="批注框文本 Char"/>
    <w:basedOn w:val="a0"/>
    <w:link w:val="a9"/>
    <w:uiPriority w:val="99"/>
    <w:semiHidden/>
    <w:rsid w:val="00A5639B"/>
    <w:rPr>
      <w:sz w:val="18"/>
      <w:szCs w:val="18"/>
    </w:rPr>
  </w:style>
  <w:style w:type="paragraph" w:styleId="aa">
    <w:name w:val="Normal (Web)"/>
    <w:basedOn w:val="a"/>
    <w:uiPriority w:val="99"/>
    <w:semiHidden/>
    <w:unhideWhenUsed/>
    <w:rsid w:val="00F85061"/>
    <w:pPr>
      <w:spacing w:before="100" w:beforeAutospacing="1" w:after="100" w:afterAutospacing="1"/>
    </w:pPr>
    <w:rPr>
      <w:rFonts w:ascii="Times New Roman" w:hAnsi="Times New Roman" w:cs="Times New Roman"/>
      <w:sz w:val="20"/>
      <w:szCs w:val="20"/>
    </w:rPr>
  </w:style>
  <w:style w:type="character" w:styleId="ab">
    <w:name w:val="FollowedHyperlink"/>
    <w:basedOn w:val="a0"/>
    <w:uiPriority w:val="99"/>
    <w:semiHidden/>
    <w:unhideWhenUsed/>
    <w:rsid w:val="00E54A98"/>
    <w:rPr>
      <w:color w:val="800080" w:themeColor="followedHyperlink"/>
      <w:u w:val="single"/>
    </w:rPr>
  </w:style>
  <w:style w:type="paragraph" w:styleId="ac">
    <w:name w:val="header"/>
    <w:basedOn w:val="a"/>
    <w:link w:val="Char2"/>
    <w:uiPriority w:val="99"/>
    <w:unhideWhenUsed/>
    <w:rsid w:val="002E197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2E1973"/>
    <w:rPr>
      <w:sz w:val="18"/>
      <w:szCs w:val="18"/>
    </w:rPr>
  </w:style>
  <w:style w:type="paragraph" w:styleId="ad">
    <w:name w:val="footer"/>
    <w:basedOn w:val="a"/>
    <w:link w:val="Char3"/>
    <w:uiPriority w:val="99"/>
    <w:unhideWhenUsed/>
    <w:rsid w:val="002E1973"/>
    <w:pPr>
      <w:tabs>
        <w:tab w:val="center" w:pos="4153"/>
        <w:tab w:val="right" w:pos="8306"/>
      </w:tabs>
      <w:snapToGrid w:val="0"/>
    </w:pPr>
    <w:rPr>
      <w:sz w:val="18"/>
      <w:szCs w:val="18"/>
    </w:rPr>
  </w:style>
  <w:style w:type="character" w:customStyle="1" w:styleId="Char3">
    <w:name w:val="页脚 Char"/>
    <w:basedOn w:val="a0"/>
    <w:link w:val="ad"/>
    <w:uiPriority w:val="99"/>
    <w:rsid w:val="002E19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9">
      <w:bodyDiv w:val="1"/>
      <w:marLeft w:val="0"/>
      <w:marRight w:val="0"/>
      <w:marTop w:val="0"/>
      <w:marBottom w:val="0"/>
      <w:divBdr>
        <w:top w:val="none" w:sz="0" w:space="0" w:color="auto"/>
        <w:left w:val="none" w:sz="0" w:space="0" w:color="auto"/>
        <w:bottom w:val="none" w:sz="0" w:space="0" w:color="auto"/>
        <w:right w:val="none" w:sz="0" w:space="0" w:color="auto"/>
      </w:divBdr>
    </w:div>
    <w:div w:id="662973556">
      <w:bodyDiv w:val="1"/>
      <w:marLeft w:val="0"/>
      <w:marRight w:val="0"/>
      <w:marTop w:val="0"/>
      <w:marBottom w:val="0"/>
      <w:divBdr>
        <w:top w:val="none" w:sz="0" w:space="0" w:color="auto"/>
        <w:left w:val="none" w:sz="0" w:space="0" w:color="auto"/>
        <w:bottom w:val="none" w:sz="0" w:space="0" w:color="auto"/>
        <w:right w:val="none" w:sz="0" w:space="0" w:color="auto"/>
      </w:divBdr>
    </w:div>
    <w:div w:id="733546164">
      <w:bodyDiv w:val="1"/>
      <w:marLeft w:val="0"/>
      <w:marRight w:val="0"/>
      <w:marTop w:val="0"/>
      <w:marBottom w:val="0"/>
      <w:divBdr>
        <w:top w:val="none" w:sz="0" w:space="0" w:color="auto"/>
        <w:left w:val="none" w:sz="0" w:space="0" w:color="auto"/>
        <w:bottom w:val="none" w:sz="0" w:space="0" w:color="auto"/>
        <w:right w:val="none" w:sz="0" w:space="0" w:color="auto"/>
      </w:divBdr>
    </w:div>
    <w:div w:id="923103490">
      <w:bodyDiv w:val="1"/>
      <w:marLeft w:val="0"/>
      <w:marRight w:val="0"/>
      <w:marTop w:val="0"/>
      <w:marBottom w:val="0"/>
      <w:divBdr>
        <w:top w:val="none" w:sz="0" w:space="0" w:color="auto"/>
        <w:left w:val="none" w:sz="0" w:space="0" w:color="auto"/>
        <w:bottom w:val="none" w:sz="0" w:space="0" w:color="auto"/>
        <w:right w:val="none" w:sz="0" w:space="0" w:color="auto"/>
      </w:divBdr>
    </w:div>
    <w:div w:id="1200971815">
      <w:bodyDiv w:val="1"/>
      <w:marLeft w:val="0"/>
      <w:marRight w:val="0"/>
      <w:marTop w:val="0"/>
      <w:marBottom w:val="0"/>
      <w:divBdr>
        <w:top w:val="none" w:sz="0" w:space="0" w:color="auto"/>
        <w:left w:val="none" w:sz="0" w:space="0" w:color="auto"/>
        <w:bottom w:val="none" w:sz="0" w:space="0" w:color="auto"/>
        <w:right w:val="none" w:sz="0" w:space="0" w:color="auto"/>
      </w:divBdr>
    </w:div>
    <w:div w:id="1206529340">
      <w:bodyDiv w:val="1"/>
      <w:marLeft w:val="0"/>
      <w:marRight w:val="0"/>
      <w:marTop w:val="0"/>
      <w:marBottom w:val="0"/>
      <w:divBdr>
        <w:top w:val="none" w:sz="0" w:space="0" w:color="auto"/>
        <w:left w:val="none" w:sz="0" w:space="0" w:color="auto"/>
        <w:bottom w:val="none" w:sz="0" w:space="0" w:color="auto"/>
        <w:right w:val="none" w:sz="0" w:space="0" w:color="auto"/>
      </w:divBdr>
    </w:div>
    <w:div w:id="1312254239">
      <w:bodyDiv w:val="1"/>
      <w:marLeft w:val="0"/>
      <w:marRight w:val="0"/>
      <w:marTop w:val="0"/>
      <w:marBottom w:val="0"/>
      <w:divBdr>
        <w:top w:val="none" w:sz="0" w:space="0" w:color="auto"/>
        <w:left w:val="none" w:sz="0" w:space="0" w:color="auto"/>
        <w:bottom w:val="none" w:sz="0" w:space="0" w:color="auto"/>
        <w:right w:val="none" w:sz="0" w:space="0" w:color="auto"/>
      </w:divBdr>
    </w:div>
    <w:div w:id="1313414330">
      <w:bodyDiv w:val="1"/>
      <w:marLeft w:val="0"/>
      <w:marRight w:val="0"/>
      <w:marTop w:val="0"/>
      <w:marBottom w:val="0"/>
      <w:divBdr>
        <w:top w:val="none" w:sz="0" w:space="0" w:color="auto"/>
        <w:left w:val="none" w:sz="0" w:space="0" w:color="auto"/>
        <w:bottom w:val="none" w:sz="0" w:space="0" w:color="auto"/>
        <w:right w:val="none" w:sz="0" w:space="0" w:color="auto"/>
      </w:divBdr>
    </w:div>
    <w:div w:id="1455055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qbal50@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1950</Words>
  <Characters>11116</Characters>
  <Application>Microsoft Office Word</Application>
  <DocSecurity>0</DocSecurity>
  <Lines>92</Lines>
  <Paragraphs>26</Paragraphs>
  <ScaleCrop>false</ScaleCrop>
  <Company>home</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 Iqbal</dc:creator>
  <cp:lastModifiedBy>8613716430021</cp:lastModifiedBy>
  <cp:revision>3</cp:revision>
  <dcterms:created xsi:type="dcterms:W3CDTF">2019-12-16T03:28:00Z</dcterms:created>
  <dcterms:modified xsi:type="dcterms:W3CDTF">2019-12-16T05:27:00Z</dcterms:modified>
</cp:coreProperties>
</file>