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CCC2" w14:textId="7A3388F6" w:rsidR="00DD09BC" w:rsidRPr="00502F71" w:rsidRDefault="00DD09BC" w:rsidP="001734D6">
      <w:pPr>
        <w:spacing w:line="360" w:lineRule="auto"/>
        <w:jc w:val="both"/>
        <w:rPr>
          <w:rFonts w:ascii="Book Antiqua" w:hAnsi="Book Antiqua" w:cs="SimSun"/>
          <w:i/>
          <w:iCs/>
        </w:rPr>
      </w:pPr>
      <w:r w:rsidRPr="006C44DB">
        <w:rPr>
          <w:rFonts w:ascii="Book Antiqua" w:hAnsi="Book Antiqua" w:cs="SimSun"/>
          <w:b/>
        </w:rPr>
        <w:t xml:space="preserve">Name of Journal: </w:t>
      </w:r>
      <w:r w:rsidRPr="00502F71">
        <w:rPr>
          <w:rFonts w:ascii="Book Antiqua" w:hAnsi="Book Antiqua" w:cs="SimSun"/>
          <w:i/>
          <w:iCs/>
        </w:rPr>
        <w:t>World Journal of Gastrointestinal Endoscopy</w:t>
      </w:r>
    </w:p>
    <w:p w14:paraId="0FF9B176" w14:textId="6BFFFE24" w:rsidR="00806796" w:rsidRPr="006C44DB" w:rsidRDefault="00806796" w:rsidP="001734D6">
      <w:pPr>
        <w:adjustRightInd w:val="0"/>
        <w:snapToGrid w:val="0"/>
        <w:spacing w:line="360" w:lineRule="auto"/>
        <w:jc w:val="both"/>
        <w:rPr>
          <w:rFonts w:ascii="Book Antiqua" w:hAnsi="Book Antiqua" w:cs="Arial"/>
          <w:b/>
          <w:color w:val="000000"/>
          <w:lang w:val="en"/>
        </w:rPr>
      </w:pPr>
      <w:r w:rsidRPr="006C44DB">
        <w:rPr>
          <w:rFonts w:ascii="Book Antiqua" w:eastAsia="Times New Roman" w:hAnsi="Book Antiqua"/>
          <w:b/>
          <w:bCs/>
          <w:color w:val="000000"/>
        </w:rPr>
        <w:t>Manuscript NO</w:t>
      </w:r>
      <w:r w:rsidRPr="006C44DB">
        <w:rPr>
          <w:rFonts w:ascii="Book Antiqua" w:hAnsi="Book Antiqua" w:cs="Arial"/>
          <w:b/>
          <w:color w:val="000000"/>
          <w:lang w:val="en"/>
        </w:rPr>
        <w:t xml:space="preserve">: </w:t>
      </w:r>
      <w:r w:rsidRPr="00502F71">
        <w:rPr>
          <w:rFonts w:ascii="Book Antiqua" w:eastAsia="SimSun" w:hAnsi="Book Antiqua" w:cs="Arial"/>
          <w:color w:val="000000"/>
          <w:lang w:val="en" w:eastAsia="zh-CN"/>
        </w:rPr>
        <w:t>49003</w:t>
      </w:r>
    </w:p>
    <w:p w14:paraId="7F4F7AB2" w14:textId="2568FE10" w:rsidR="00DD09BC" w:rsidRPr="006C44DB" w:rsidRDefault="00806796" w:rsidP="001734D6">
      <w:pPr>
        <w:spacing w:line="360" w:lineRule="auto"/>
        <w:jc w:val="both"/>
        <w:rPr>
          <w:rFonts w:ascii="Book Antiqua" w:hAnsi="Book Antiqua" w:cs="SimSun"/>
          <w:b/>
        </w:rPr>
      </w:pPr>
      <w:r w:rsidRPr="006C44DB">
        <w:rPr>
          <w:rFonts w:ascii="Book Antiqua" w:hAnsi="Book Antiqua"/>
          <w:b/>
          <w:color w:val="000000"/>
        </w:rPr>
        <w:t xml:space="preserve">Manuscript Type: </w:t>
      </w:r>
      <w:r w:rsidR="007C2A53" w:rsidRPr="00502F71">
        <w:rPr>
          <w:rFonts w:ascii="Book Antiqua" w:hAnsi="Book Antiqua" w:cs="SimSun"/>
          <w:caps/>
        </w:rPr>
        <w:t>Case Report</w:t>
      </w:r>
    </w:p>
    <w:p w14:paraId="50212A5F" w14:textId="77777777" w:rsidR="00DD09BC" w:rsidRPr="006C44DB" w:rsidRDefault="00DD09BC" w:rsidP="001734D6">
      <w:pPr>
        <w:spacing w:line="360" w:lineRule="auto"/>
        <w:jc w:val="both"/>
        <w:rPr>
          <w:rFonts w:ascii="Book Antiqua" w:hAnsi="Book Antiqua" w:cs="Arial"/>
        </w:rPr>
      </w:pPr>
    </w:p>
    <w:p w14:paraId="11CF651E" w14:textId="394F3A96" w:rsidR="00CF1178" w:rsidRPr="006C44DB" w:rsidRDefault="00CF1178" w:rsidP="001734D6">
      <w:pPr>
        <w:spacing w:line="360" w:lineRule="auto"/>
        <w:jc w:val="both"/>
        <w:rPr>
          <w:rFonts w:ascii="Book Antiqua" w:hAnsi="Book Antiqua" w:cs="Arial"/>
          <w:b/>
          <w:lang w:val="en-US"/>
        </w:rPr>
      </w:pPr>
      <w:r w:rsidRPr="006C44DB">
        <w:rPr>
          <w:rFonts w:ascii="Book Antiqua" w:hAnsi="Book Antiqua" w:cs="Arial"/>
          <w:b/>
          <w:lang w:val="en-US"/>
        </w:rPr>
        <w:t>Endoscop</w:t>
      </w:r>
      <w:r w:rsidR="003677C6" w:rsidRPr="006C44DB">
        <w:rPr>
          <w:rFonts w:ascii="Book Antiqua" w:hAnsi="Book Antiqua" w:cs="Arial"/>
          <w:b/>
          <w:lang w:val="en-US"/>
        </w:rPr>
        <w:t>ic management of massive rectal bleeding fr</w:t>
      </w:r>
      <w:r w:rsidR="0034340E" w:rsidRPr="006C44DB">
        <w:rPr>
          <w:rFonts w:ascii="Book Antiqua" w:hAnsi="Book Antiqua" w:cs="Arial"/>
          <w:b/>
          <w:lang w:val="en-US"/>
        </w:rPr>
        <w:t xml:space="preserve">om a </w:t>
      </w:r>
      <w:proofErr w:type="spellStart"/>
      <w:r w:rsidR="0034340E" w:rsidRPr="006C44DB">
        <w:rPr>
          <w:rFonts w:ascii="Book Antiqua" w:hAnsi="Book Antiqua" w:cs="Arial"/>
          <w:b/>
          <w:lang w:val="en-US"/>
        </w:rPr>
        <w:t>Dieulafoy'</w:t>
      </w:r>
      <w:r w:rsidRPr="006C44DB">
        <w:rPr>
          <w:rFonts w:ascii="Book Antiqua" w:hAnsi="Book Antiqua" w:cs="Arial"/>
          <w:b/>
          <w:lang w:val="en-US"/>
        </w:rPr>
        <w:t>s</w:t>
      </w:r>
      <w:proofErr w:type="spellEnd"/>
      <w:r w:rsidRPr="006C44DB">
        <w:rPr>
          <w:rFonts w:ascii="Book Antiqua" w:hAnsi="Book Antiqua" w:cs="Arial"/>
          <w:b/>
          <w:lang w:val="en-US"/>
        </w:rPr>
        <w:t xml:space="preserve"> lesion: </w:t>
      </w:r>
      <w:r w:rsidRPr="006C44DB">
        <w:rPr>
          <w:rFonts w:ascii="Book Antiqua" w:hAnsi="Book Antiqua" w:cs="Arial"/>
          <w:b/>
          <w:caps/>
          <w:lang w:val="en-US"/>
        </w:rPr>
        <w:t>c</w:t>
      </w:r>
      <w:r w:rsidRPr="006C44DB">
        <w:rPr>
          <w:rFonts w:ascii="Book Antiqua" w:hAnsi="Book Antiqua" w:cs="Arial"/>
          <w:b/>
          <w:lang w:val="en-US"/>
        </w:rPr>
        <w:t>ase report</w:t>
      </w:r>
    </w:p>
    <w:p w14:paraId="5C66EFF6" w14:textId="2A866427" w:rsidR="00CF1178" w:rsidRPr="006C44DB" w:rsidRDefault="00CF1178" w:rsidP="001734D6">
      <w:pPr>
        <w:spacing w:line="360" w:lineRule="auto"/>
        <w:jc w:val="both"/>
        <w:rPr>
          <w:rFonts w:ascii="Book Antiqua" w:hAnsi="Book Antiqua" w:cs="Arial"/>
          <w:lang w:val="en-US"/>
        </w:rPr>
      </w:pPr>
    </w:p>
    <w:p w14:paraId="42465FDA" w14:textId="070B78A9" w:rsidR="00367969" w:rsidRPr="006C44DB" w:rsidRDefault="00CF00FE" w:rsidP="001734D6">
      <w:pPr>
        <w:pStyle w:val="BodyA"/>
        <w:spacing w:line="360" w:lineRule="auto"/>
        <w:jc w:val="both"/>
        <w:rPr>
          <w:rFonts w:ascii="Book Antiqua" w:eastAsia="SimSun" w:hAnsi="Book Antiqua" w:cs="Book Antiqua"/>
          <w:color w:val="auto"/>
          <w:sz w:val="24"/>
          <w:szCs w:val="24"/>
          <w:lang w:eastAsia="zh-CN"/>
        </w:rPr>
      </w:pPr>
      <w:r w:rsidRPr="006C44DB">
        <w:rPr>
          <w:rFonts w:ascii="Book Antiqua" w:hAnsi="Book Antiqua" w:cs="Arial"/>
          <w:sz w:val="24"/>
          <w:szCs w:val="24"/>
        </w:rPr>
        <w:t xml:space="preserve">Pineda-De Paz MR </w:t>
      </w:r>
      <w:r w:rsidRPr="006C44DB">
        <w:rPr>
          <w:rFonts w:ascii="Book Antiqua" w:eastAsia="SimSun" w:hAnsi="Book Antiqua" w:cs="SimSun"/>
          <w:i/>
          <w:iCs/>
          <w:sz w:val="24"/>
          <w:szCs w:val="24"/>
          <w:lang w:eastAsia="zh-CN"/>
        </w:rPr>
        <w:t>et al</w:t>
      </w:r>
      <w:r w:rsidRPr="006C44DB">
        <w:rPr>
          <w:rFonts w:ascii="Book Antiqua" w:eastAsia="SimSun" w:hAnsi="Book Antiqua" w:cs="SimSun"/>
          <w:sz w:val="24"/>
          <w:szCs w:val="24"/>
          <w:lang w:eastAsia="zh-CN"/>
        </w:rPr>
        <w:t>.</w:t>
      </w:r>
      <w:r w:rsidR="00EA12E3" w:rsidRPr="006C44DB">
        <w:rPr>
          <w:rFonts w:ascii="Book Antiqua" w:eastAsia="SimSun" w:hAnsi="Book Antiqua" w:cs="Book Antiqua"/>
          <w:b/>
          <w:bCs/>
          <w:color w:val="auto"/>
          <w:sz w:val="24"/>
          <w:szCs w:val="24"/>
          <w:lang w:eastAsia="zh-CN"/>
        </w:rPr>
        <w:t xml:space="preserve"> </w:t>
      </w:r>
      <w:proofErr w:type="spellStart"/>
      <w:r w:rsidR="001C69ED" w:rsidRPr="006C44DB">
        <w:rPr>
          <w:rFonts w:ascii="Book Antiqua" w:eastAsia="SimSun" w:hAnsi="Book Antiqua" w:cs="Book Antiqua"/>
          <w:color w:val="auto"/>
          <w:sz w:val="24"/>
          <w:szCs w:val="24"/>
          <w:lang w:eastAsia="zh-CN"/>
        </w:rPr>
        <w:t>Dieulafoy</w:t>
      </w:r>
      <w:r w:rsidR="00EA12E3" w:rsidRPr="006C44DB">
        <w:rPr>
          <w:rFonts w:ascii="Book Antiqua" w:eastAsia="SimSun" w:hAnsi="Book Antiqua" w:cs="Book Antiqua"/>
          <w:color w:val="auto"/>
          <w:sz w:val="24"/>
          <w:szCs w:val="24"/>
          <w:lang w:eastAsia="zh-CN"/>
        </w:rPr>
        <w:t>'s</w:t>
      </w:r>
      <w:proofErr w:type="spellEnd"/>
      <w:r w:rsidR="001C69ED" w:rsidRPr="006C44DB">
        <w:rPr>
          <w:rFonts w:ascii="Book Antiqua" w:eastAsia="SimSun" w:hAnsi="Book Antiqua" w:cs="Book Antiqua"/>
          <w:color w:val="auto"/>
          <w:sz w:val="24"/>
          <w:szCs w:val="24"/>
          <w:lang w:eastAsia="zh-CN"/>
        </w:rPr>
        <w:t xml:space="preserve"> lesion</w:t>
      </w:r>
      <w:r w:rsidR="00EA12E3" w:rsidRPr="006C44DB">
        <w:rPr>
          <w:rFonts w:ascii="Book Antiqua" w:eastAsia="SimSun" w:hAnsi="Book Antiqua" w:cs="Book Antiqua"/>
          <w:color w:val="auto"/>
          <w:sz w:val="24"/>
          <w:szCs w:val="24"/>
          <w:lang w:eastAsia="zh-CN"/>
        </w:rPr>
        <w:t xml:space="preserve"> massive rectal bleeding</w:t>
      </w:r>
    </w:p>
    <w:p w14:paraId="00BCE950" w14:textId="77777777" w:rsidR="003677C6" w:rsidRPr="006C44DB" w:rsidRDefault="003677C6" w:rsidP="001734D6">
      <w:pPr>
        <w:spacing w:line="360" w:lineRule="auto"/>
        <w:jc w:val="both"/>
        <w:rPr>
          <w:rFonts w:ascii="Book Antiqua" w:hAnsi="Book Antiqua" w:cs="Arial"/>
          <w:lang w:val="en-US"/>
        </w:rPr>
      </w:pPr>
    </w:p>
    <w:p w14:paraId="0B84E0F6" w14:textId="4344B7A4" w:rsidR="00D1464E" w:rsidRPr="006C44DB" w:rsidRDefault="00D1464E" w:rsidP="001734D6">
      <w:pPr>
        <w:spacing w:line="360" w:lineRule="auto"/>
        <w:jc w:val="both"/>
        <w:rPr>
          <w:rFonts w:ascii="Book Antiqua" w:hAnsi="Book Antiqua" w:cs="Arial"/>
          <w:lang w:val="en-US"/>
        </w:rPr>
      </w:pPr>
      <w:r w:rsidRPr="006C44DB">
        <w:rPr>
          <w:rFonts w:ascii="Book Antiqua" w:hAnsi="Book Antiqua" w:cs="Arial"/>
          <w:lang w:val="en-US"/>
        </w:rPr>
        <w:t xml:space="preserve">Mario Rene Pineda-De Paz, </w:t>
      </w:r>
      <w:proofErr w:type="spellStart"/>
      <w:r w:rsidRPr="006C44DB">
        <w:rPr>
          <w:rFonts w:ascii="Book Antiqua" w:hAnsi="Book Antiqua" w:cs="Arial"/>
          <w:lang w:val="en-US"/>
        </w:rPr>
        <w:t>Massiel</w:t>
      </w:r>
      <w:proofErr w:type="spellEnd"/>
      <w:r w:rsidRPr="006C44DB">
        <w:rPr>
          <w:rFonts w:ascii="Book Antiqua" w:hAnsi="Book Antiqua" w:cs="Arial"/>
          <w:lang w:val="en-US"/>
        </w:rPr>
        <w:t xml:space="preserve"> </w:t>
      </w:r>
      <w:proofErr w:type="spellStart"/>
      <w:r w:rsidRPr="006C44DB">
        <w:rPr>
          <w:rFonts w:ascii="Book Antiqua" w:hAnsi="Book Antiqua" w:cs="Arial"/>
          <w:lang w:val="en-US"/>
        </w:rPr>
        <w:t>Madelin</w:t>
      </w:r>
      <w:proofErr w:type="spellEnd"/>
      <w:r w:rsidRPr="006C44DB">
        <w:rPr>
          <w:rFonts w:ascii="Book Antiqua" w:hAnsi="Book Antiqua" w:cs="Arial"/>
          <w:lang w:val="en-US"/>
        </w:rPr>
        <w:t xml:space="preserve"> Rosario-Morel, Jose Guadalupe Lopez-Fuentes, Luis Ariel Waller-Gonzalez, Rodrigo Soto-Solis</w:t>
      </w:r>
    </w:p>
    <w:p w14:paraId="6296F6E0" w14:textId="77777777" w:rsidR="00D1464E" w:rsidRPr="006C44DB" w:rsidRDefault="00D1464E" w:rsidP="001734D6">
      <w:pPr>
        <w:spacing w:line="360" w:lineRule="auto"/>
        <w:jc w:val="both"/>
        <w:rPr>
          <w:rFonts w:ascii="Book Antiqua" w:hAnsi="Book Antiqua" w:cs="Arial"/>
          <w:lang w:val="en-US"/>
        </w:rPr>
      </w:pPr>
    </w:p>
    <w:p w14:paraId="5D8AB1DE" w14:textId="1908B5D2" w:rsidR="00D1464E" w:rsidRPr="006C44DB" w:rsidRDefault="00D1464E" w:rsidP="001734D6">
      <w:pPr>
        <w:spacing w:line="360" w:lineRule="auto"/>
        <w:jc w:val="both"/>
        <w:rPr>
          <w:rFonts w:ascii="Book Antiqua" w:hAnsi="Book Antiqua" w:cs="Arial"/>
          <w:lang w:val="en-US"/>
        </w:rPr>
      </w:pPr>
      <w:r w:rsidRPr="006C44DB">
        <w:rPr>
          <w:rFonts w:ascii="Book Antiqua" w:hAnsi="Book Antiqua" w:cs="Arial"/>
          <w:b/>
          <w:bCs/>
          <w:lang w:val="en-US"/>
        </w:rPr>
        <w:t xml:space="preserve">Mario Rene Pineda-De Paz, </w:t>
      </w:r>
      <w:proofErr w:type="spellStart"/>
      <w:r w:rsidRPr="006C44DB">
        <w:rPr>
          <w:rFonts w:ascii="Book Antiqua" w:hAnsi="Book Antiqua" w:cs="Arial"/>
          <w:b/>
          <w:bCs/>
          <w:lang w:val="en-US"/>
        </w:rPr>
        <w:t>Massiel</w:t>
      </w:r>
      <w:proofErr w:type="spellEnd"/>
      <w:r w:rsidRPr="006C44DB">
        <w:rPr>
          <w:rFonts w:ascii="Book Antiqua" w:hAnsi="Book Antiqua" w:cs="Arial"/>
          <w:b/>
          <w:bCs/>
          <w:lang w:val="en-US"/>
        </w:rPr>
        <w:t xml:space="preserve"> </w:t>
      </w:r>
      <w:proofErr w:type="spellStart"/>
      <w:r w:rsidRPr="006C44DB">
        <w:rPr>
          <w:rFonts w:ascii="Book Antiqua" w:hAnsi="Book Antiqua" w:cs="Arial"/>
          <w:b/>
          <w:bCs/>
          <w:lang w:val="en-US"/>
        </w:rPr>
        <w:t>Madelin</w:t>
      </w:r>
      <w:proofErr w:type="spellEnd"/>
      <w:r w:rsidRPr="006C44DB">
        <w:rPr>
          <w:rFonts w:ascii="Book Antiqua" w:hAnsi="Book Antiqua" w:cs="Arial"/>
          <w:b/>
          <w:bCs/>
          <w:lang w:val="en-US"/>
        </w:rPr>
        <w:t xml:space="preserve"> Rosario-Morel, Jose Guadalupe Lopez-Fuentes, Luis Ariel Waller-Gonzalez, Rodrigo Soto-Solis,</w:t>
      </w:r>
      <w:r w:rsidRPr="006C44DB">
        <w:rPr>
          <w:rFonts w:ascii="Book Antiqua" w:hAnsi="Book Antiqua" w:cs="Arial"/>
          <w:lang w:val="en-US"/>
        </w:rPr>
        <w:t xml:space="preserve"> Department of Endoscopy, National Medical Center November 20</w:t>
      </w:r>
      <w:r w:rsidRPr="006C44DB">
        <w:rPr>
          <w:rFonts w:ascii="Book Antiqua" w:hAnsi="Book Antiqua" w:cs="Arial"/>
          <w:vertAlign w:val="superscript"/>
          <w:lang w:val="en-US"/>
        </w:rPr>
        <w:t>TH</w:t>
      </w:r>
      <w:r w:rsidRPr="006C44DB">
        <w:rPr>
          <w:rFonts w:ascii="Book Antiqua" w:hAnsi="Book Antiqua" w:cs="Arial"/>
          <w:lang w:val="en-US"/>
        </w:rPr>
        <w:t>, ISSSTE, Mexico City 03229, Mexico</w:t>
      </w:r>
    </w:p>
    <w:p w14:paraId="0A903F55" w14:textId="77777777" w:rsidR="0034340E" w:rsidRPr="006C44DB" w:rsidRDefault="0034340E" w:rsidP="001734D6">
      <w:pPr>
        <w:spacing w:line="360" w:lineRule="auto"/>
        <w:jc w:val="both"/>
        <w:rPr>
          <w:rFonts w:ascii="Book Antiqua" w:hAnsi="Book Antiqua" w:cs="Arial"/>
          <w:lang w:val="en-US"/>
        </w:rPr>
      </w:pPr>
    </w:p>
    <w:p w14:paraId="211BFB4A" w14:textId="0F61290C" w:rsidR="008F3213" w:rsidRPr="006C44DB" w:rsidRDefault="008F3213" w:rsidP="001734D6">
      <w:pPr>
        <w:pStyle w:val="BodyA"/>
        <w:spacing w:line="360" w:lineRule="auto"/>
        <w:jc w:val="both"/>
        <w:rPr>
          <w:rFonts w:ascii="Book Antiqua" w:eastAsia="Times New Roman" w:hAnsi="Book Antiqua"/>
          <w:b/>
          <w:color w:val="222222"/>
          <w:sz w:val="24"/>
          <w:szCs w:val="24"/>
          <w:lang w:eastAsia="es-HN"/>
        </w:rPr>
      </w:pPr>
      <w:r w:rsidRPr="006C44DB">
        <w:rPr>
          <w:rFonts w:ascii="Book Antiqua" w:eastAsia="Times New Roman" w:hAnsi="Book Antiqua"/>
          <w:b/>
          <w:color w:val="222222"/>
          <w:sz w:val="24"/>
          <w:szCs w:val="24"/>
          <w:lang w:eastAsia="es-HN"/>
        </w:rPr>
        <w:t>ORCID number:</w:t>
      </w:r>
      <w:r w:rsidR="00C87EF2" w:rsidRPr="006C44DB">
        <w:rPr>
          <w:rFonts w:ascii="Book Antiqua" w:hAnsi="Book Antiqua" w:cs="Arial"/>
          <w:sz w:val="24"/>
          <w:szCs w:val="24"/>
        </w:rPr>
        <w:t xml:space="preserve"> Mario Rene Pineda-De Paz (0000-0002-1546-5041); </w:t>
      </w:r>
      <w:proofErr w:type="spellStart"/>
      <w:r w:rsidR="00C87EF2" w:rsidRPr="006C44DB">
        <w:rPr>
          <w:rFonts w:ascii="Book Antiqua" w:hAnsi="Book Antiqua" w:cs="Arial"/>
          <w:sz w:val="24"/>
          <w:szCs w:val="24"/>
        </w:rPr>
        <w:t>Massiel</w:t>
      </w:r>
      <w:proofErr w:type="spellEnd"/>
      <w:r w:rsidR="00C87EF2" w:rsidRPr="006C44DB">
        <w:rPr>
          <w:rFonts w:ascii="Book Antiqua" w:hAnsi="Book Antiqua" w:cs="Arial"/>
          <w:sz w:val="24"/>
          <w:szCs w:val="24"/>
        </w:rPr>
        <w:t xml:space="preserve"> </w:t>
      </w:r>
      <w:proofErr w:type="spellStart"/>
      <w:r w:rsidR="00C87EF2" w:rsidRPr="006C44DB">
        <w:rPr>
          <w:rFonts w:ascii="Book Antiqua" w:hAnsi="Book Antiqua" w:cs="Arial"/>
          <w:sz w:val="24"/>
          <w:szCs w:val="24"/>
        </w:rPr>
        <w:t>Madelin</w:t>
      </w:r>
      <w:proofErr w:type="spellEnd"/>
      <w:r w:rsidR="00C87EF2" w:rsidRPr="006C44DB">
        <w:rPr>
          <w:rFonts w:ascii="Book Antiqua" w:hAnsi="Book Antiqua" w:cs="Arial"/>
          <w:sz w:val="24"/>
          <w:szCs w:val="24"/>
        </w:rPr>
        <w:t xml:space="preserve"> Rosario-Morel (0000-0001-6865-3532); José Guadalupe López-Fuentes (0000-0002-9409-9536); Luis Ariel Waller-González (0000</w:t>
      </w:r>
      <w:r w:rsidR="004224F7">
        <w:rPr>
          <w:rFonts w:ascii="Book Antiqua" w:hAnsi="Book Antiqua" w:cs="Arial"/>
          <w:sz w:val="24"/>
          <w:szCs w:val="24"/>
        </w:rPr>
        <w:t>-</w:t>
      </w:r>
      <w:r w:rsidR="00C87EF2" w:rsidRPr="006C44DB">
        <w:rPr>
          <w:rFonts w:ascii="Book Antiqua" w:hAnsi="Book Antiqua" w:cs="Arial"/>
          <w:sz w:val="24"/>
          <w:szCs w:val="24"/>
        </w:rPr>
        <w:t>0002</w:t>
      </w:r>
      <w:r w:rsidR="004224F7">
        <w:rPr>
          <w:rFonts w:ascii="Book Antiqua" w:hAnsi="Book Antiqua" w:cs="Arial"/>
          <w:sz w:val="24"/>
          <w:szCs w:val="24"/>
        </w:rPr>
        <w:t>-</w:t>
      </w:r>
      <w:r w:rsidR="00C87EF2" w:rsidRPr="006C44DB">
        <w:rPr>
          <w:rFonts w:ascii="Book Antiqua" w:hAnsi="Book Antiqua" w:cs="Arial"/>
          <w:sz w:val="24"/>
          <w:szCs w:val="24"/>
        </w:rPr>
        <w:t>6758-6814); Rodrigo Soto-Solís (0000-0002-8559-6397)</w:t>
      </w:r>
      <w:r w:rsidR="002A2F4A">
        <w:rPr>
          <w:rFonts w:ascii="Book Antiqua" w:hAnsi="Book Antiqua" w:cs="Arial"/>
          <w:sz w:val="24"/>
          <w:szCs w:val="24"/>
        </w:rPr>
        <w:t>.</w:t>
      </w:r>
    </w:p>
    <w:p w14:paraId="22CFAC7C" w14:textId="3B2649D8" w:rsidR="00012735" w:rsidRPr="006C44DB" w:rsidRDefault="00012735" w:rsidP="001734D6">
      <w:pPr>
        <w:spacing w:line="360" w:lineRule="auto"/>
        <w:jc w:val="both"/>
        <w:rPr>
          <w:rFonts w:ascii="Book Antiqua" w:hAnsi="Book Antiqua" w:cs="Arial"/>
          <w:lang w:val="en-US"/>
        </w:rPr>
      </w:pPr>
    </w:p>
    <w:p w14:paraId="0DD0A9A7" w14:textId="4D95839C" w:rsidR="007F4D92" w:rsidRPr="006C44DB" w:rsidRDefault="007F4D92" w:rsidP="001734D6">
      <w:pPr>
        <w:spacing w:line="360" w:lineRule="auto"/>
        <w:jc w:val="both"/>
        <w:rPr>
          <w:rFonts w:ascii="Book Antiqua" w:hAnsi="Book Antiqua" w:cs="Times New Roman"/>
          <w:b/>
        </w:rPr>
      </w:pPr>
      <w:r w:rsidRPr="006C44DB">
        <w:rPr>
          <w:rFonts w:ascii="Book Antiqua" w:hAnsi="Book Antiqua" w:cs="Times New Roman"/>
          <w:b/>
        </w:rPr>
        <w:t>Author contributions:</w:t>
      </w:r>
      <w:r w:rsidR="00C87EF2" w:rsidRPr="006C44DB">
        <w:rPr>
          <w:rFonts w:ascii="Book Antiqua" w:hAnsi="Book Antiqua" w:cs="Arial"/>
          <w:lang w:val="en-US"/>
        </w:rPr>
        <w:t xml:space="preserve"> Pineda-De Paz MR, Rosario-Morel MM, Lopez-Fuentes JG and Soto-Solis R contributed to concept and design, literature review, and drafting of the manuscript; </w:t>
      </w:r>
      <w:r w:rsidR="00412585" w:rsidRPr="006C44DB">
        <w:rPr>
          <w:rFonts w:ascii="Book Antiqua" w:hAnsi="Book Antiqua" w:cs="Arial"/>
          <w:lang w:val="en-US"/>
        </w:rPr>
        <w:t>Pineda-De Paz</w:t>
      </w:r>
      <w:r w:rsidR="00C87EF2" w:rsidRPr="006C44DB">
        <w:rPr>
          <w:rFonts w:ascii="Book Antiqua" w:hAnsi="Book Antiqua" w:cs="Arial"/>
          <w:lang w:val="en-US"/>
        </w:rPr>
        <w:t xml:space="preserve"> MR acquired the data and figures; Pineda-De Paz MR, Rosario-Morel MM, Waller-González LA, and Soto-Solis R revised the manuscript for important intellectual content; all authors had access and approved the last version of the manuscript.</w:t>
      </w:r>
    </w:p>
    <w:p w14:paraId="447B49D6" w14:textId="77777777" w:rsidR="00C87EF2" w:rsidRPr="006C44DB" w:rsidRDefault="00C87EF2" w:rsidP="001734D6">
      <w:pPr>
        <w:autoSpaceDE w:val="0"/>
        <w:autoSpaceDN w:val="0"/>
        <w:adjustRightInd w:val="0"/>
        <w:spacing w:line="360" w:lineRule="auto"/>
        <w:jc w:val="both"/>
        <w:rPr>
          <w:rFonts w:ascii="Book Antiqua" w:hAnsi="Book Antiqua"/>
          <w:b/>
          <w:bCs/>
          <w:iCs/>
          <w:color w:val="000000"/>
        </w:rPr>
      </w:pPr>
      <w:bookmarkStart w:id="0" w:name="_Hlk10467847"/>
    </w:p>
    <w:p w14:paraId="20FFEEC3" w14:textId="2021F607" w:rsidR="00D26164" w:rsidRPr="006C44DB" w:rsidRDefault="00D26164" w:rsidP="001734D6">
      <w:pPr>
        <w:autoSpaceDE w:val="0"/>
        <w:autoSpaceDN w:val="0"/>
        <w:adjustRightInd w:val="0"/>
        <w:spacing w:line="360" w:lineRule="auto"/>
        <w:jc w:val="both"/>
        <w:rPr>
          <w:rFonts w:ascii="Book Antiqua" w:hAnsi="Book Antiqua"/>
          <w:b/>
          <w:bCs/>
          <w:iCs/>
          <w:color w:val="000000"/>
        </w:rPr>
      </w:pPr>
      <w:r w:rsidRPr="006C44DB">
        <w:rPr>
          <w:rFonts w:ascii="Book Antiqua" w:hAnsi="Book Antiqua"/>
          <w:b/>
          <w:bCs/>
          <w:iCs/>
          <w:color w:val="000000"/>
        </w:rPr>
        <w:lastRenderedPageBreak/>
        <w:t>Informed consent statement:</w:t>
      </w:r>
      <w:r w:rsidR="003C37DF">
        <w:rPr>
          <w:rFonts w:ascii="Book Antiqua" w:hAnsi="Book Antiqua"/>
          <w:b/>
          <w:bCs/>
          <w:iCs/>
          <w:color w:val="000000"/>
        </w:rPr>
        <w:t xml:space="preserve"> </w:t>
      </w:r>
      <w:r w:rsidR="00C87EF2" w:rsidRPr="006C44DB">
        <w:rPr>
          <w:rFonts w:ascii="Book Antiqua" w:hAnsi="Book Antiqua" w:cs="Arial"/>
          <w:lang w:val="en-US"/>
        </w:rPr>
        <w:t>Informed written consent was obtained from the patient for endoscopic procedures and for the publication of this report.</w:t>
      </w:r>
    </w:p>
    <w:bookmarkEnd w:id="0"/>
    <w:p w14:paraId="5068B903" w14:textId="77777777" w:rsidR="00C87EF2" w:rsidRPr="006C44DB" w:rsidRDefault="00C87EF2" w:rsidP="001734D6">
      <w:pPr>
        <w:autoSpaceDE w:val="0"/>
        <w:autoSpaceDN w:val="0"/>
        <w:adjustRightInd w:val="0"/>
        <w:spacing w:line="360" w:lineRule="auto"/>
        <w:jc w:val="both"/>
        <w:rPr>
          <w:rFonts w:ascii="Book Antiqua" w:hAnsi="Book Antiqua" w:cs="TimesNewRomanPS-BoldItalicMT"/>
          <w:b/>
          <w:bCs/>
          <w:iCs/>
          <w:color w:val="000000"/>
        </w:rPr>
      </w:pPr>
    </w:p>
    <w:p w14:paraId="64CEFA64" w14:textId="5574C234" w:rsidR="00D26164" w:rsidRPr="006C44DB" w:rsidRDefault="00D26164" w:rsidP="001734D6">
      <w:pPr>
        <w:autoSpaceDE w:val="0"/>
        <w:autoSpaceDN w:val="0"/>
        <w:adjustRightInd w:val="0"/>
        <w:spacing w:line="360" w:lineRule="auto"/>
        <w:jc w:val="both"/>
        <w:rPr>
          <w:rFonts w:ascii="Book Antiqua" w:hAnsi="Book Antiqua" w:cs="TimesNewRomanPS-BoldItalicMT"/>
          <w:b/>
          <w:bCs/>
          <w:iCs/>
          <w:color w:val="000000"/>
        </w:rPr>
      </w:pPr>
      <w:r w:rsidRPr="006C44DB">
        <w:rPr>
          <w:rFonts w:ascii="Book Antiqua" w:hAnsi="Book Antiqua" w:cs="TimesNewRomanPS-BoldItalicMT"/>
          <w:b/>
          <w:bCs/>
          <w:iCs/>
          <w:color w:val="000000"/>
        </w:rPr>
        <w:t>Conflict-of-interest statement:</w:t>
      </w:r>
      <w:r w:rsidR="003C37DF">
        <w:rPr>
          <w:rFonts w:ascii="Book Antiqua" w:hAnsi="Book Antiqua" w:cs="Arial"/>
          <w:lang w:val="en-US"/>
        </w:rPr>
        <w:t xml:space="preserve"> </w:t>
      </w:r>
      <w:r w:rsidR="00C87EF2" w:rsidRPr="006C44DB">
        <w:rPr>
          <w:rFonts w:ascii="Book Antiqua" w:hAnsi="Book Antiqua" w:cs="Arial"/>
          <w:lang w:val="en-US"/>
        </w:rPr>
        <w:t>Authors declare no conflict of interest regarding this manuscript.</w:t>
      </w:r>
    </w:p>
    <w:p w14:paraId="30E34622" w14:textId="77777777" w:rsidR="00C87EF2" w:rsidRPr="006C44DB" w:rsidRDefault="00C87EF2" w:rsidP="001734D6">
      <w:pPr>
        <w:autoSpaceDE w:val="0"/>
        <w:autoSpaceDN w:val="0"/>
        <w:adjustRightInd w:val="0"/>
        <w:spacing w:line="360" w:lineRule="auto"/>
        <w:jc w:val="both"/>
        <w:rPr>
          <w:rFonts w:ascii="Book Antiqua" w:hAnsi="Book Antiqua"/>
          <w:b/>
          <w:bCs/>
          <w:color w:val="000000"/>
          <w:shd w:val="clear" w:color="auto" w:fill="FFFFFF"/>
        </w:rPr>
      </w:pPr>
    </w:p>
    <w:p w14:paraId="2E797FD1" w14:textId="119C367E" w:rsidR="002A3336" w:rsidRPr="006C44DB" w:rsidRDefault="002A3336" w:rsidP="001734D6">
      <w:pPr>
        <w:autoSpaceDE w:val="0"/>
        <w:autoSpaceDN w:val="0"/>
        <w:adjustRightInd w:val="0"/>
        <w:spacing w:line="360" w:lineRule="auto"/>
        <w:jc w:val="both"/>
        <w:rPr>
          <w:rFonts w:ascii="Book Antiqua" w:hAnsi="Book Antiqua"/>
          <w:b/>
          <w:bCs/>
          <w:iCs/>
          <w:color w:val="000000"/>
        </w:rPr>
      </w:pPr>
      <w:r w:rsidRPr="006C44DB">
        <w:rPr>
          <w:rFonts w:ascii="Book Antiqua" w:hAnsi="Book Antiqua"/>
          <w:b/>
          <w:bCs/>
          <w:color w:val="000000"/>
          <w:shd w:val="clear" w:color="auto" w:fill="FFFFFF"/>
        </w:rPr>
        <w:t>CARE Checklist – 2016</w:t>
      </w:r>
      <w:r w:rsidR="00C87EF2" w:rsidRPr="006C44DB">
        <w:rPr>
          <w:rFonts w:ascii="Book Antiqua" w:hAnsi="Book Antiqua" w:cs="Arial"/>
          <w:lang w:val="en-US"/>
        </w:rPr>
        <w:t xml:space="preserve"> The authors have read the CARE Checklist (2016), and the manuscript was prepared and revised according to the CARE Checklist (2016).</w:t>
      </w:r>
    </w:p>
    <w:p w14:paraId="46EBC327" w14:textId="7B4B3AC0" w:rsidR="008F3213" w:rsidRDefault="008F3213" w:rsidP="001734D6">
      <w:pPr>
        <w:spacing w:line="360" w:lineRule="auto"/>
        <w:jc w:val="both"/>
        <w:rPr>
          <w:rFonts w:ascii="Book Antiqua" w:hAnsi="Book Antiqua" w:cs="Arial"/>
        </w:rPr>
      </w:pPr>
    </w:p>
    <w:p w14:paraId="1019CD3E" w14:textId="2AD7121A" w:rsidR="003C37DF" w:rsidRDefault="00335ABE" w:rsidP="001734D6">
      <w:pPr>
        <w:spacing w:line="360" w:lineRule="auto"/>
        <w:jc w:val="both"/>
        <w:rPr>
          <w:rFonts w:ascii="Book Antiqua" w:hAnsi="Book Antiqua" w:cs="Arial"/>
        </w:rPr>
      </w:pPr>
      <w:r w:rsidRPr="00335ABE">
        <w:rPr>
          <w:rFonts w:ascii="Book Antiqua" w:hAnsi="Book Antiqua" w:cs="Arial"/>
          <w:b/>
          <w:bCs/>
        </w:rPr>
        <w:t xml:space="preserve">Open-Access: </w:t>
      </w:r>
      <w:r w:rsidRPr="00335ABE">
        <w:rPr>
          <w:rFonts w:ascii="Book Antiqua" w:hAnsi="Book Antiqua" w:cs="Arial"/>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7B7860" w14:textId="17DE2DA3" w:rsidR="00335ABE" w:rsidRDefault="00335ABE" w:rsidP="001734D6">
      <w:pPr>
        <w:spacing w:line="360" w:lineRule="auto"/>
        <w:jc w:val="both"/>
        <w:rPr>
          <w:rFonts w:ascii="Book Antiqua" w:hAnsi="Book Antiqua" w:cs="Arial"/>
        </w:rPr>
      </w:pPr>
    </w:p>
    <w:p w14:paraId="3AAC2042" w14:textId="77777777" w:rsidR="00153AFE" w:rsidRDefault="00153AFE" w:rsidP="001734D6">
      <w:pPr>
        <w:spacing w:line="360" w:lineRule="auto"/>
        <w:jc w:val="both"/>
        <w:rPr>
          <w:rFonts w:ascii="Book Antiqua" w:hAnsi="Book Antiqua"/>
          <w:b/>
        </w:rPr>
      </w:pPr>
      <w:r w:rsidRPr="00B757B8">
        <w:rPr>
          <w:rFonts w:ascii="Book Antiqua" w:hAnsi="Book Antiqua"/>
          <w:b/>
        </w:rPr>
        <w:t xml:space="preserve">Manuscript source: </w:t>
      </w:r>
      <w:r w:rsidRPr="00B757B8">
        <w:rPr>
          <w:rFonts w:ascii="Book Antiqua" w:hAnsi="Book Antiqua"/>
        </w:rPr>
        <w:t>Unsolicited manuscript</w:t>
      </w:r>
    </w:p>
    <w:p w14:paraId="418996EA" w14:textId="77777777" w:rsidR="00335ABE" w:rsidRPr="006C44DB" w:rsidRDefault="00335ABE" w:rsidP="001734D6">
      <w:pPr>
        <w:spacing w:line="360" w:lineRule="auto"/>
        <w:jc w:val="both"/>
        <w:rPr>
          <w:rFonts w:ascii="Book Antiqua" w:hAnsi="Book Antiqua" w:cs="Arial"/>
        </w:rPr>
      </w:pPr>
    </w:p>
    <w:p w14:paraId="6659BB4B" w14:textId="50488EE0" w:rsidR="002C7406" w:rsidRPr="004B346F" w:rsidRDefault="002C7406" w:rsidP="001734D6">
      <w:pPr>
        <w:pStyle w:val="BodyA"/>
        <w:spacing w:line="360" w:lineRule="auto"/>
        <w:jc w:val="both"/>
        <w:rPr>
          <w:rStyle w:val="Hyperlink"/>
          <w:rFonts w:ascii="Book Antiqua" w:eastAsia="SimSun" w:hAnsi="Book Antiqua" w:cs="Arial"/>
          <w:sz w:val="24"/>
          <w:szCs w:val="24"/>
          <w:lang w:eastAsia="zh-CN"/>
        </w:rPr>
      </w:pPr>
      <w:r w:rsidRPr="006C44DB">
        <w:rPr>
          <w:rFonts w:ascii="Book Antiqua" w:hAnsi="Book Antiqua" w:cs="Times New Roman"/>
          <w:b/>
          <w:sz w:val="24"/>
          <w:szCs w:val="24"/>
        </w:rPr>
        <w:t xml:space="preserve">Corresponding author: </w:t>
      </w:r>
      <w:r w:rsidR="00C87EF2" w:rsidRPr="00153AFE">
        <w:rPr>
          <w:rFonts w:ascii="Book Antiqua" w:hAnsi="Book Antiqua" w:cs="Arial"/>
          <w:b/>
          <w:bCs/>
          <w:sz w:val="24"/>
          <w:szCs w:val="24"/>
        </w:rPr>
        <w:t>Rodrigo Soto-Solis, MD, MHA</w:t>
      </w:r>
      <w:r w:rsidRPr="00153AFE">
        <w:rPr>
          <w:rFonts w:ascii="Book Antiqua" w:hAnsi="Book Antiqua" w:cs="Arial"/>
          <w:b/>
          <w:bCs/>
          <w:sz w:val="24"/>
          <w:szCs w:val="24"/>
        </w:rPr>
        <w:t xml:space="preserve">, Adjunct Professor, </w:t>
      </w:r>
      <w:r w:rsidRPr="006C44DB">
        <w:rPr>
          <w:rFonts w:ascii="Book Antiqua" w:hAnsi="Book Antiqua" w:cs="Arial"/>
          <w:sz w:val="24"/>
          <w:szCs w:val="24"/>
        </w:rPr>
        <w:t>Department of Endoscopy, National Medical Center November 20</w:t>
      </w:r>
      <w:r w:rsidRPr="006C44DB">
        <w:rPr>
          <w:rFonts w:ascii="Book Antiqua" w:hAnsi="Book Antiqua" w:cs="Arial"/>
          <w:sz w:val="24"/>
          <w:szCs w:val="24"/>
          <w:vertAlign w:val="superscript"/>
        </w:rPr>
        <w:t>TH</w:t>
      </w:r>
      <w:r w:rsidRPr="006C44DB">
        <w:rPr>
          <w:rFonts w:ascii="Book Antiqua" w:hAnsi="Book Antiqua" w:cs="Arial"/>
          <w:sz w:val="24"/>
          <w:szCs w:val="24"/>
        </w:rPr>
        <w:t>, ISSSTE, 540 Felix Cuevas A</w:t>
      </w:r>
      <w:r w:rsidR="008D732B" w:rsidRPr="006C44DB">
        <w:rPr>
          <w:rFonts w:ascii="Book Antiqua" w:hAnsi="Book Antiqua" w:cs="Arial"/>
          <w:sz w:val="24"/>
          <w:szCs w:val="24"/>
        </w:rPr>
        <w:t>venue, Del Valle, Benito Jua</w:t>
      </w:r>
      <w:r w:rsidRPr="006C44DB">
        <w:rPr>
          <w:rFonts w:ascii="Book Antiqua" w:hAnsi="Book Antiqua" w:cs="Arial"/>
          <w:sz w:val="24"/>
          <w:szCs w:val="24"/>
        </w:rPr>
        <w:t xml:space="preserve">rez, Mexico City 03229, Mexico. </w:t>
      </w:r>
      <w:hyperlink r:id="rId7" w:history="1">
        <w:r w:rsidR="004B346F" w:rsidRPr="00046F94">
          <w:rPr>
            <w:rStyle w:val="Hyperlink"/>
            <w:rFonts w:ascii="Book Antiqua" w:hAnsi="Book Antiqua" w:cs="Arial"/>
            <w:sz w:val="24"/>
            <w:szCs w:val="24"/>
          </w:rPr>
          <w:t>rodrigosotomd@hotmail.com</w:t>
        </w:r>
      </w:hyperlink>
      <w:r w:rsidR="004B346F">
        <w:rPr>
          <w:rFonts w:ascii="Book Antiqua" w:eastAsia="SimSun" w:hAnsi="Book Antiqua" w:cs="Arial" w:hint="eastAsia"/>
          <w:sz w:val="24"/>
          <w:szCs w:val="24"/>
          <w:lang w:eastAsia="zh-CN"/>
        </w:rPr>
        <w:t xml:space="preserve"> </w:t>
      </w:r>
    </w:p>
    <w:p w14:paraId="7CCE5B36" w14:textId="40EF4419" w:rsidR="004407B2" w:rsidRPr="006C44DB" w:rsidRDefault="004407B2" w:rsidP="001734D6">
      <w:pPr>
        <w:pStyle w:val="BodyA"/>
        <w:spacing w:line="360" w:lineRule="auto"/>
        <w:jc w:val="both"/>
        <w:rPr>
          <w:rFonts w:ascii="Book Antiqua" w:hAnsi="Book Antiqua" w:cs="Arial"/>
          <w:sz w:val="24"/>
          <w:szCs w:val="24"/>
        </w:rPr>
      </w:pPr>
      <w:r w:rsidRPr="006C44DB">
        <w:rPr>
          <w:rFonts w:ascii="Book Antiqua" w:hAnsi="Book Antiqua" w:cs="Arial"/>
          <w:b/>
          <w:sz w:val="24"/>
          <w:szCs w:val="24"/>
        </w:rPr>
        <w:t>Telephone</w:t>
      </w:r>
      <w:r w:rsidRPr="006C44DB">
        <w:rPr>
          <w:rFonts w:ascii="Book Antiqua" w:hAnsi="Book Antiqua" w:cs="Arial"/>
          <w:sz w:val="24"/>
          <w:szCs w:val="24"/>
        </w:rPr>
        <w:t>: +52</w:t>
      </w:r>
      <w:r w:rsidR="008E2B4E">
        <w:rPr>
          <w:rFonts w:ascii="Book Antiqua" w:hAnsi="Book Antiqua" w:cs="Arial"/>
          <w:sz w:val="24"/>
          <w:szCs w:val="24"/>
        </w:rPr>
        <w:t>-</w:t>
      </w:r>
      <w:r w:rsidRPr="006C44DB">
        <w:rPr>
          <w:rFonts w:ascii="Book Antiqua" w:hAnsi="Book Antiqua" w:cs="Arial"/>
          <w:sz w:val="24"/>
          <w:szCs w:val="24"/>
        </w:rPr>
        <w:t>55</w:t>
      </w:r>
      <w:r w:rsidR="008E2B4E">
        <w:rPr>
          <w:rFonts w:ascii="Book Antiqua" w:hAnsi="Book Antiqua" w:cs="Arial"/>
          <w:sz w:val="24"/>
          <w:szCs w:val="24"/>
        </w:rPr>
        <w:t>-</w:t>
      </w:r>
      <w:r w:rsidRPr="006C44DB">
        <w:rPr>
          <w:rFonts w:ascii="Book Antiqua" w:hAnsi="Book Antiqua" w:cs="Arial"/>
          <w:sz w:val="24"/>
          <w:szCs w:val="24"/>
        </w:rPr>
        <w:t>19591008</w:t>
      </w:r>
    </w:p>
    <w:p w14:paraId="69E2DB51" w14:textId="131A332E" w:rsidR="004407B2" w:rsidRPr="006C44DB" w:rsidRDefault="004407B2" w:rsidP="001734D6">
      <w:pPr>
        <w:pStyle w:val="BodyA"/>
        <w:spacing w:line="360" w:lineRule="auto"/>
        <w:jc w:val="both"/>
        <w:rPr>
          <w:rFonts w:ascii="Book Antiqua" w:hAnsi="Book Antiqua" w:cs="Arial"/>
          <w:sz w:val="24"/>
          <w:szCs w:val="24"/>
        </w:rPr>
      </w:pPr>
      <w:r w:rsidRPr="006C44DB">
        <w:rPr>
          <w:rFonts w:ascii="Book Antiqua" w:hAnsi="Book Antiqua" w:cs="Arial"/>
          <w:b/>
          <w:sz w:val="24"/>
          <w:szCs w:val="24"/>
        </w:rPr>
        <w:t>Fax</w:t>
      </w:r>
      <w:r w:rsidRPr="006C44DB">
        <w:rPr>
          <w:rFonts w:ascii="Book Antiqua" w:hAnsi="Book Antiqua" w:cs="Arial"/>
          <w:sz w:val="24"/>
          <w:szCs w:val="24"/>
        </w:rPr>
        <w:t>: +52</w:t>
      </w:r>
      <w:r w:rsidR="008E2B4E">
        <w:rPr>
          <w:rFonts w:ascii="Book Antiqua" w:hAnsi="Book Antiqua" w:cs="Arial"/>
          <w:sz w:val="24"/>
          <w:szCs w:val="24"/>
        </w:rPr>
        <w:t>-</w:t>
      </w:r>
      <w:r w:rsidRPr="006C44DB">
        <w:rPr>
          <w:rFonts w:ascii="Book Antiqua" w:hAnsi="Book Antiqua" w:cs="Arial"/>
          <w:sz w:val="24"/>
          <w:szCs w:val="24"/>
        </w:rPr>
        <w:t>55</w:t>
      </w:r>
      <w:r w:rsidR="008E2B4E">
        <w:rPr>
          <w:rFonts w:ascii="Book Antiqua" w:hAnsi="Book Antiqua" w:cs="Arial"/>
          <w:sz w:val="24"/>
          <w:szCs w:val="24"/>
        </w:rPr>
        <w:t>-</w:t>
      </w:r>
      <w:r w:rsidRPr="006C44DB">
        <w:rPr>
          <w:rFonts w:ascii="Book Antiqua" w:hAnsi="Book Antiqua" w:cs="Arial"/>
          <w:sz w:val="24"/>
          <w:szCs w:val="24"/>
        </w:rPr>
        <w:t>57661699</w:t>
      </w:r>
    </w:p>
    <w:p w14:paraId="6C63558D" w14:textId="450D0C5D" w:rsidR="00BA1C00" w:rsidRDefault="00BA1C00" w:rsidP="001734D6">
      <w:pPr>
        <w:pStyle w:val="BodyA"/>
        <w:spacing w:line="360" w:lineRule="auto"/>
        <w:jc w:val="both"/>
        <w:rPr>
          <w:rFonts w:ascii="Book Antiqua" w:hAnsi="Book Antiqua" w:cs="Arial"/>
          <w:sz w:val="24"/>
          <w:szCs w:val="24"/>
        </w:rPr>
      </w:pPr>
    </w:p>
    <w:p w14:paraId="015D150E" w14:textId="176E7992" w:rsidR="005D13FE" w:rsidRPr="00867A3A" w:rsidRDefault="005D13FE" w:rsidP="001734D6">
      <w:pPr>
        <w:spacing w:line="360" w:lineRule="auto"/>
        <w:jc w:val="both"/>
        <w:rPr>
          <w:rFonts w:ascii="Book Antiqua" w:hAnsi="Book Antiqua"/>
          <w:b/>
        </w:rPr>
      </w:pPr>
      <w:r w:rsidRPr="00867A3A">
        <w:rPr>
          <w:rFonts w:ascii="Book Antiqua" w:hAnsi="Book Antiqua"/>
          <w:b/>
        </w:rPr>
        <w:t xml:space="preserve">Received: </w:t>
      </w:r>
      <w:r w:rsidR="0000070E" w:rsidRPr="0000070E">
        <w:rPr>
          <w:rFonts w:ascii="Book Antiqua" w:hAnsi="Book Antiqua"/>
          <w:bCs/>
        </w:rPr>
        <w:t>May 10, 2019</w:t>
      </w:r>
      <w:r w:rsidRPr="0000070E">
        <w:rPr>
          <w:rFonts w:ascii="Book Antiqua" w:hAnsi="Book Antiqua"/>
          <w:bCs/>
        </w:rPr>
        <w:t xml:space="preserve">  </w:t>
      </w:r>
    </w:p>
    <w:p w14:paraId="6AFD5CB3" w14:textId="2DEEF47B" w:rsidR="005D13FE" w:rsidRPr="00867A3A" w:rsidRDefault="005D13FE" w:rsidP="001734D6">
      <w:pPr>
        <w:spacing w:line="360" w:lineRule="auto"/>
        <w:jc w:val="both"/>
        <w:rPr>
          <w:rFonts w:ascii="Book Antiqua" w:hAnsi="Book Antiqua"/>
          <w:b/>
        </w:rPr>
      </w:pPr>
      <w:r w:rsidRPr="00867A3A">
        <w:rPr>
          <w:rFonts w:ascii="Book Antiqua" w:hAnsi="Book Antiqua"/>
          <w:b/>
        </w:rPr>
        <w:t>Peer-review started:</w:t>
      </w:r>
      <w:r w:rsidR="0000070E">
        <w:rPr>
          <w:rFonts w:ascii="Book Antiqua" w:hAnsi="Book Antiqua"/>
          <w:b/>
        </w:rPr>
        <w:t xml:space="preserve"> </w:t>
      </w:r>
      <w:r w:rsidR="006B4265" w:rsidRPr="0000070E">
        <w:rPr>
          <w:rFonts w:ascii="Book Antiqua" w:hAnsi="Book Antiqua"/>
          <w:bCs/>
        </w:rPr>
        <w:t>May 1</w:t>
      </w:r>
      <w:r w:rsidR="006B4265">
        <w:rPr>
          <w:rFonts w:ascii="Book Antiqua" w:hAnsi="Book Antiqua"/>
          <w:bCs/>
        </w:rPr>
        <w:t>4</w:t>
      </w:r>
      <w:r w:rsidR="006B4265" w:rsidRPr="0000070E">
        <w:rPr>
          <w:rFonts w:ascii="Book Antiqua" w:hAnsi="Book Antiqua"/>
          <w:bCs/>
        </w:rPr>
        <w:t>, 2019</w:t>
      </w:r>
    </w:p>
    <w:p w14:paraId="14DA3C16" w14:textId="73978AE8" w:rsidR="005D13FE" w:rsidRPr="00867A3A" w:rsidRDefault="005D13FE" w:rsidP="001734D6">
      <w:pPr>
        <w:spacing w:line="360" w:lineRule="auto"/>
        <w:jc w:val="both"/>
        <w:rPr>
          <w:rFonts w:ascii="Book Antiqua" w:hAnsi="Book Antiqua"/>
          <w:b/>
        </w:rPr>
      </w:pPr>
      <w:r w:rsidRPr="00867A3A">
        <w:rPr>
          <w:rFonts w:ascii="Book Antiqua" w:hAnsi="Book Antiqua"/>
          <w:b/>
        </w:rPr>
        <w:lastRenderedPageBreak/>
        <w:t>First decision:</w:t>
      </w:r>
      <w:r w:rsidR="00F26041">
        <w:rPr>
          <w:rFonts w:ascii="Book Antiqua" w:hAnsi="Book Antiqua"/>
          <w:b/>
        </w:rPr>
        <w:t xml:space="preserve"> </w:t>
      </w:r>
      <w:r w:rsidR="00F26041" w:rsidRPr="0000070E">
        <w:rPr>
          <w:rFonts w:ascii="Book Antiqua" w:hAnsi="Book Antiqua"/>
          <w:bCs/>
        </w:rPr>
        <w:t xml:space="preserve">May </w:t>
      </w:r>
      <w:r w:rsidR="00F26041">
        <w:rPr>
          <w:rFonts w:ascii="Book Antiqua" w:hAnsi="Book Antiqua"/>
          <w:bCs/>
        </w:rPr>
        <w:t>31</w:t>
      </w:r>
      <w:r w:rsidR="00F26041" w:rsidRPr="0000070E">
        <w:rPr>
          <w:rFonts w:ascii="Book Antiqua" w:hAnsi="Book Antiqua"/>
          <w:bCs/>
        </w:rPr>
        <w:t>, 2019</w:t>
      </w:r>
    </w:p>
    <w:p w14:paraId="133FDD27" w14:textId="187B9A7E" w:rsidR="005D13FE" w:rsidRPr="00867A3A" w:rsidRDefault="005D13FE" w:rsidP="001734D6">
      <w:pPr>
        <w:spacing w:line="360" w:lineRule="auto"/>
        <w:jc w:val="both"/>
        <w:rPr>
          <w:rFonts w:ascii="Book Antiqua" w:hAnsi="Book Antiqua"/>
          <w:b/>
        </w:rPr>
      </w:pPr>
      <w:r w:rsidRPr="00867A3A">
        <w:rPr>
          <w:rFonts w:ascii="Book Antiqua" w:hAnsi="Book Antiqua"/>
          <w:b/>
        </w:rPr>
        <w:t xml:space="preserve">Revised:  </w:t>
      </w:r>
      <w:r w:rsidR="00D31123" w:rsidRPr="00D31123">
        <w:rPr>
          <w:rFonts w:ascii="Book Antiqua" w:hAnsi="Book Antiqua"/>
          <w:bCs/>
        </w:rPr>
        <w:t>June 5, 2019</w:t>
      </w:r>
    </w:p>
    <w:p w14:paraId="1413EDBF" w14:textId="535953CE" w:rsidR="005D13FE" w:rsidRPr="00867A3A" w:rsidRDefault="005D13FE" w:rsidP="001734D6">
      <w:pPr>
        <w:spacing w:line="360" w:lineRule="auto"/>
        <w:jc w:val="both"/>
        <w:rPr>
          <w:rFonts w:ascii="Book Antiqua" w:hAnsi="Book Antiqua"/>
          <w:b/>
        </w:rPr>
      </w:pPr>
      <w:proofErr w:type="spellStart"/>
      <w:r w:rsidRPr="00867A3A">
        <w:rPr>
          <w:rFonts w:ascii="Book Antiqua" w:hAnsi="Book Antiqua"/>
          <w:b/>
        </w:rPr>
        <w:t>Accepted</w:t>
      </w:r>
      <w:proofErr w:type="spellEnd"/>
      <w:r w:rsidRPr="00867A3A">
        <w:rPr>
          <w:rFonts w:ascii="Book Antiqua" w:hAnsi="Book Antiqua"/>
          <w:b/>
        </w:rPr>
        <w:t>:</w:t>
      </w:r>
      <w:r w:rsidR="008565EC" w:rsidRPr="008565EC">
        <w:rPr>
          <w:rFonts w:ascii="Book Antiqua" w:hAnsi="Book Antiqua"/>
        </w:rPr>
        <w:t xml:space="preserve"> </w:t>
      </w:r>
      <w:r w:rsidR="008565EC">
        <w:rPr>
          <w:rFonts w:ascii="Book Antiqua" w:hAnsi="Book Antiqua"/>
        </w:rPr>
        <w:t>June 20, 2019</w:t>
      </w:r>
      <w:r w:rsidRPr="00867A3A">
        <w:rPr>
          <w:rFonts w:ascii="Book Antiqua" w:hAnsi="Book Antiqua"/>
          <w:b/>
        </w:rPr>
        <w:t xml:space="preserve">  </w:t>
      </w:r>
    </w:p>
    <w:p w14:paraId="5B94844A" w14:textId="77777777" w:rsidR="005D13FE" w:rsidRPr="00867A3A" w:rsidRDefault="005D13FE" w:rsidP="001734D6">
      <w:pPr>
        <w:spacing w:line="360" w:lineRule="auto"/>
        <w:jc w:val="both"/>
        <w:rPr>
          <w:rFonts w:ascii="Book Antiqua" w:hAnsi="Book Antiqua"/>
          <w:b/>
        </w:rPr>
      </w:pPr>
      <w:r w:rsidRPr="00867A3A">
        <w:rPr>
          <w:rFonts w:ascii="Book Antiqua" w:hAnsi="Book Antiqua"/>
          <w:b/>
        </w:rPr>
        <w:t>Article in press:</w:t>
      </w:r>
    </w:p>
    <w:p w14:paraId="6BA3E4CB" w14:textId="77777777" w:rsidR="005D13FE" w:rsidRPr="009E3692" w:rsidRDefault="005D13FE" w:rsidP="001734D6">
      <w:pPr>
        <w:spacing w:line="360" w:lineRule="auto"/>
        <w:jc w:val="both"/>
        <w:rPr>
          <w:rFonts w:ascii="Book Antiqua" w:hAnsi="Book Antiqua"/>
        </w:rPr>
      </w:pPr>
      <w:r w:rsidRPr="00867A3A">
        <w:rPr>
          <w:rFonts w:ascii="Book Antiqua" w:hAnsi="Book Antiqua"/>
          <w:b/>
        </w:rPr>
        <w:t>Published online:</w:t>
      </w:r>
    </w:p>
    <w:p w14:paraId="20A03357" w14:textId="77777777" w:rsidR="00153AFE" w:rsidRPr="006C44DB" w:rsidRDefault="00153AFE" w:rsidP="001734D6">
      <w:pPr>
        <w:pStyle w:val="BodyA"/>
        <w:spacing w:line="360" w:lineRule="auto"/>
        <w:jc w:val="both"/>
        <w:rPr>
          <w:rFonts w:ascii="Book Antiqua" w:hAnsi="Book Antiqua" w:cs="Arial"/>
          <w:sz w:val="24"/>
          <w:szCs w:val="24"/>
        </w:rPr>
      </w:pPr>
    </w:p>
    <w:p w14:paraId="6DA989BB" w14:textId="77777777" w:rsidR="004B346F" w:rsidRDefault="004B346F">
      <w:pPr>
        <w:rPr>
          <w:rFonts w:ascii="Book Antiqua" w:eastAsia="Calibri" w:hAnsi="Book Antiqua" w:cs="Times New Roman"/>
          <w:b/>
          <w:color w:val="000000"/>
          <w:u w:color="000000"/>
          <w:bdr w:val="nil"/>
          <w:lang w:val="en-US" w:eastAsia="en-AU"/>
        </w:rPr>
      </w:pPr>
      <w:r>
        <w:rPr>
          <w:rFonts w:ascii="Book Antiqua" w:hAnsi="Book Antiqua" w:cs="Times New Roman"/>
          <w:b/>
        </w:rPr>
        <w:br w:type="page"/>
      </w:r>
    </w:p>
    <w:p w14:paraId="60A9929E" w14:textId="0A9E1573" w:rsidR="00BA1C00" w:rsidRPr="006C44DB" w:rsidRDefault="00BA1C00" w:rsidP="001734D6">
      <w:pPr>
        <w:pStyle w:val="BodyA"/>
        <w:spacing w:line="360" w:lineRule="auto"/>
        <w:jc w:val="both"/>
        <w:rPr>
          <w:rFonts w:ascii="Book Antiqua" w:hAnsi="Book Antiqua" w:cs="Times New Roman"/>
          <w:b/>
          <w:sz w:val="24"/>
          <w:szCs w:val="24"/>
        </w:rPr>
      </w:pPr>
      <w:r w:rsidRPr="006C44DB">
        <w:rPr>
          <w:rFonts w:ascii="Book Antiqua" w:hAnsi="Book Antiqua" w:cs="Times New Roman"/>
          <w:b/>
          <w:sz w:val="24"/>
          <w:szCs w:val="24"/>
        </w:rPr>
        <w:lastRenderedPageBreak/>
        <w:t>Abstract</w:t>
      </w:r>
    </w:p>
    <w:p w14:paraId="432B3F91" w14:textId="7470298F" w:rsidR="00BA1C00" w:rsidRPr="006C44DB" w:rsidRDefault="00BA1C00" w:rsidP="001734D6">
      <w:pPr>
        <w:spacing w:line="360" w:lineRule="auto"/>
        <w:jc w:val="both"/>
        <w:rPr>
          <w:rFonts w:ascii="Book Antiqua" w:hAnsi="Book Antiqua" w:cs="Arial"/>
          <w:b/>
          <w:bCs/>
          <w:i/>
          <w:iCs/>
        </w:rPr>
      </w:pPr>
      <w:r w:rsidRPr="006C44DB">
        <w:rPr>
          <w:rFonts w:ascii="Book Antiqua" w:hAnsi="Book Antiqua" w:cs="Arial"/>
          <w:b/>
          <w:bCs/>
          <w:i/>
          <w:iCs/>
        </w:rPr>
        <w:t>BACKGROUND</w:t>
      </w:r>
    </w:p>
    <w:p w14:paraId="6D3268AD" w14:textId="1E2613D7" w:rsidR="00BA1C00" w:rsidRPr="006C44DB" w:rsidRDefault="00BA1C00" w:rsidP="001734D6">
      <w:pPr>
        <w:spacing w:line="360" w:lineRule="auto"/>
        <w:jc w:val="both"/>
        <w:rPr>
          <w:rFonts w:ascii="Book Antiqua" w:hAnsi="Book Antiqua" w:cs="Arial"/>
        </w:rPr>
      </w:pPr>
      <w:r w:rsidRPr="006C44DB">
        <w:rPr>
          <w:rFonts w:ascii="Book Antiqua" w:hAnsi="Book Antiqua" w:cs="Arial"/>
        </w:rPr>
        <w:t xml:space="preserve">Rectal </w:t>
      </w:r>
      <w:r w:rsidR="008B36F2" w:rsidRPr="006C44DB">
        <w:rPr>
          <w:rFonts w:ascii="Book Antiqua" w:hAnsi="Book Antiqua" w:cs="Arial"/>
        </w:rPr>
        <w:t>Dieulafoy's lesion</w:t>
      </w:r>
      <w:r w:rsidR="007B5B6D">
        <w:rPr>
          <w:rFonts w:ascii="Book Antiqua" w:hAnsi="Book Antiqua" w:cs="Arial"/>
        </w:rPr>
        <w:t>s</w:t>
      </w:r>
      <w:r w:rsidRPr="006C44DB">
        <w:rPr>
          <w:rFonts w:ascii="Book Antiqua" w:hAnsi="Book Antiqua" w:cs="Arial"/>
        </w:rPr>
        <w:t xml:space="preserve"> </w:t>
      </w:r>
      <w:r w:rsidR="008B36F2">
        <w:rPr>
          <w:rFonts w:ascii="Book Antiqua" w:hAnsi="Book Antiqua" w:cs="Arial"/>
        </w:rPr>
        <w:t>(DL</w:t>
      </w:r>
      <w:r w:rsidR="007B5B6D">
        <w:rPr>
          <w:rFonts w:ascii="Book Antiqua" w:hAnsi="Book Antiqua" w:cs="Arial"/>
        </w:rPr>
        <w:t>s</w:t>
      </w:r>
      <w:r w:rsidR="008B36F2">
        <w:rPr>
          <w:rFonts w:ascii="Book Antiqua" w:hAnsi="Book Antiqua" w:cs="Arial"/>
        </w:rPr>
        <w:t xml:space="preserve">) </w:t>
      </w:r>
      <w:r w:rsidRPr="006C44DB">
        <w:rPr>
          <w:rFonts w:ascii="Book Antiqua" w:hAnsi="Book Antiqua" w:cs="Arial"/>
        </w:rPr>
        <w:t>are very rare; however, they can be life threatening when presented with massive hemorrhage.</w:t>
      </w:r>
    </w:p>
    <w:p w14:paraId="62F61FA8" w14:textId="77777777" w:rsidR="00BA1C00" w:rsidRPr="006C44DB" w:rsidRDefault="00BA1C00" w:rsidP="001734D6">
      <w:pPr>
        <w:spacing w:line="360" w:lineRule="auto"/>
        <w:jc w:val="both"/>
        <w:rPr>
          <w:rFonts w:ascii="Book Antiqua" w:hAnsi="Book Antiqua" w:cs="Arial"/>
        </w:rPr>
      </w:pPr>
    </w:p>
    <w:p w14:paraId="41E6AE3B" w14:textId="28680624" w:rsidR="00BA1C00" w:rsidRPr="006C44DB" w:rsidRDefault="00BA1C00" w:rsidP="001734D6">
      <w:pPr>
        <w:spacing w:line="360" w:lineRule="auto"/>
        <w:jc w:val="both"/>
        <w:rPr>
          <w:rFonts w:ascii="Book Antiqua" w:hAnsi="Book Antiqua" w:cs="Arial"/>
          <w:b/>
          <w:bCs/>
          <w:i/>
          <w:iCs/>
        </w:rPr>
      </w:pPr>
      <w:r w:rsidRPr="006C44DB">
        <w:rPr>
          <w:rFonts w:ascii="Book Antiqua" w:hAnsi="Book Antiqua" w:cs="Arial"/>
          <w:b/>
          <w:bCs/>
          <w:i/>
          <w:iCs/>
        </w:rPr>
        <w:t>CASE SUMMARY</w:t>
      </w:r>
    </w:p>
    <w:p w14:paraId="49B6F12A" w14:textId="050F1CCF" w:rsidR="00BA1C00" w:rsidRPr="006C44DB" w:rsidRDefault="00BA1C00" w:rsidP="001734D6">
      <w:pPr>
        <w:spacing w:line="360" w:lineRule="auto"/>
        <w:jc w:val="both"/>
        <w:rPr>
          <w:rFonts w:ascii="Book Antiqua" w:hAnsi="Book Antiqua" w:cs="Arial"/>
        </w:rPr>
      </w:pPr>
      <w:r w:rsidRPr="006C44DB">
        <w:rPr>
          <w:rFonts w:ascii="Book Antiqua" w:hAnsi="Book Antiqua" w:cs="Arial"/>
        </w:rPr>
        <w:t>A 44-year-old female with medical history of chronic renal failure who was on renal replacement therapy presented with lower gastrointestinal hemorrhage. Physical examination revealed signs of hypovolemic shock and massive rectal bleeding. Complete blood count revealed abrupt decrease in hematocrit. After hemodynamic stabilization, an urgent colonoscopy was performed</w:t>
      </w:r>
      <w:r w:rsidR="00C87EF2" w:rsidRPr="006C44DB">
        <w:rPr>
          <w:rFonts w:ascii="Book Antiqua" w:hAnsi="Book Antiqua" w:cs="Arial"/>
        </w:rPr>
        <w:t xml:space="preserve">. A </w:t>
      </w:r>
      <w:r w:rsidRPr="006C44DB">
        <w:rPr>
          <w:rFonts w:ascii="Book Antiqua" w:hAnsi="Book Antiqua" w:cs="Arial"/>
        </w:rPr>
        <w:t xml:space="preserve">rectal </w:t>
      </w:r>
      <w:r w:rsidR="00746DB9">
        <w:rPr>
          <w:rFonts w:ascii="Book Antiqua" w:hAnsi="Book Antiqua" w:cs="Arial"/>
        </w:rPr>
        <w:t>DL</w:t>
      </w:r>
      <w:r w:rsidR="00C87EF2" w:rsidRPr="006C44DB">
        <w:rPr>
          <w:rFonts w:ascii="Book Antiqua" w:hAnsi="Book Antiqua" w:cs="Arial"/>
        </w:rPr>
        <w:t xml:space="preserve"> was diagnosed</w:t>
      </w:r>
      <w:r w:rsidRPr="006C44DB">
        <w:rPr>
          <w:rFonts w:ascii="Book Antiqua" w:hAnsi="Book Antiqua" w:cs="Arial"/>
        </w:rPr>
        <w:t>,</w:t>
      </w:r>
      <w:r w:rsidR="00C87EF2" w:rsidRPr="006C44DB">
        <w:rPr>
          <w:rFonts w:ascii="Book Antiqua" w:hAnsi="Book Antiqua" w:cs="Arial"/>
        </w:rPr>
        <w:t xml:space="preserve"> and it</w:t>
      </w:r>
      <w:r w:rsidRPr="006C44DB">
        <w:rPr>
          <w:rFonts w:ascii="Book Antiqua" w:hAnsi="Book Antiqua" w:cs="Arial"/>
        </w:rPr>
        <w:t xml:space="preserve"> was successfully treated with two hemoclips. There were no signs of recurrent bleeding at thirty days of follow-up.</w:t>
      </w:r>
    </w:p>
    <w:p w14:paraId="20FDA026" w14:textId="77777777" w:rsidR="00BA1C00" w:rsidRPr="006C44DB" w:rsidRDefault="00BA1C00" w:rsidP="001734D6">
      <w:pPr>
        <w:spacing w:line="360" w:lineRule="auto"/>
        <w:jc w:val="both"/>
        <w:rPr>
          <w:rFonts w:ascii="Book Antiqua" w:hAnsi="Book Antiqua" w:cs="Arial"/>
        </w:rPr>
      </w:pPr>
    </w:p>
    <w:p w14:paraId="0A4EA909" w14:textId="327CC787" w:rsidR="00BA1C00" w:rsidRPr="006C44DB" w:rsidRDefault="00BA1C00" w:rsidP="001734D6">
      <w:pPr>
        <w:spacing w:line="360" w:lineRule="auto"/>
        <w:jc w:val="both"/>
        <w:rPr>
          <w:rFonts w:ascii="Book Antiqua" w:hAnsi="Book Antiqua" w:cs="Arial"/>
          <w:b/>
          <w:bCs/>
          <w:i/>
          <w:iCs/>
        </w:rPr>
      </w:pPr>
      <w:r w:rsidRPr="006C44DB">
        <w:rPr>
          <w:rFonts w:ascii="Book Antiqua" w:hAnsi="Book Antiqua" w:cs="Arial"/>
          <w:b/>
          <w:bCs/>
          <w:i/>
          <w:iCs/>
        </w:rPr>
        <w:t>CONCLUSION</w:t>
      </w:r>
    </w:p>
    <w:p w14:paraId="0F478D5A" w14:textId="5E484F69" w:rsidR="002C7406" w:rsidRPr="006C44DB" w:rsidRDefault="00BA1C00" w:rsidP="001734D6">
      <w:pPr>
        <w:spacing w:line="360" w:lineRule="auto"/>
        <w:jc w:val="both"/>
        <w:rPr>
          <w:rFonts w:ascii="Book Antiqua" w:hAnsi="Book Antiqua" w:cs="Arial"/>
        </w:rPr>
      </w:pPr>
      <w:r w:rsidRPr="006C44DB">
        <w:rPr>
          <w:rFonts w:ascii="Book Antiqua" w:hAnsi="Book Antiqua" w:cs="Arial"/>
        </w:rPr>
        <w:t xml:space="preserve">Rectal </w:t>
      </w:r>
      <w:r w:rsidR="00746DB9" w:rsidRPr="00746DB9">
        <w:rPr>
          <w:rFonts w:ascii="Book Antiqua" w:hAnsi="Book Antiqua" w:cs="Arial"/>
          <w:caps/>
        </w:rPr>
        <w:t>dl</w:t>
      </w:r>
      <w:r w:rsidR="007B5B6D">
        <w:rPr>
          <w:rFonts w:ascii="Book Antiqua" w:hAnsi="Book Antiqua" w:cs="Arial"/>
        </w:rPr>
        <w:t>s</w:t>
      </w:r>
      <w:r w:rsidR="006D3888" w:rsidRPr="006C44DB">
        <w:rPr>
          <w:rFonts w:ascii="Book Antiqua" w:hAnsi="Book Antiqua" w:cs="Arial"/>
        </w:rPr>
        <w:t xml:space="preserve"> represent</w:t>
      </w:r>
      <w:r w:rsidRPr="006C44DB">
        <w:rPr>
          <w:rFonts w:ascii="Book Antiqua" w:hAnsi="Book Antiqua" w:cs="Arial"/>
        </w:rPr>
        <w:t xml:space="preserve"> an unusual cause of lower gastrointestinal bleeding. Massive hemorrhage can increase the morbidity and mortality of these patients. Endoscopic management continues to be the reference standard in the diagnosis and therapy of these lesions. Thermal, mechanical (hemoclip or band ligation), or combination therapy (adrenaline injection combined with thermal or mechanical therapy) should be considered the first choice for treatment.</w:t>
      </w:r>
    </w:p>
    <w:p w14:paraId="461CB34F" w14:textId="77FF4FEB" w:rsidR="00F52B25" w:rsidRPr="006C44DB" w:rsidRDefault="00F52B25" w:rsidP="001734D6">
      <w:pPr>
        <w:spacing w:line="360" w:lineRule="auto"/>
        <w:jc w:val="both"/>
        <w:rPr>
          <w:rFonts w:ascii="Book Antiqua" w:hAnsi="Book Antiqua" w:cs="Arial"/>
        </w:rPr>
      </w:pPr>
    </w:p>
    <w:p w14:paraId="18A9EE53" w14:textId="393F0758" w:rsidR="00BA1C00" w:rsidRPr="006C44DB" w:rsidRDefault="009E70E7" w:rsidP="001734D6">
      <w:pPr>
        <w:spacing w:line="360" w:lineRule="auto"/>
        <w:jc w:val="both"/>
        <w:rPr>
          <w:rFonts w:ascii="Book Antiqua" w:hAnsi="Book Antiqua" w:cs="Arial"/>
        </w:rPr>
      </w:pPr>
      <w:r w:rsidRPr="006C44DB">
        <w:rPr>
          <w:rFonts w:ascii="Book Antiqua" w:hAnsi="Book Antiqua" w:cs="Arial"/>
          <w:b/>
          <w:bCs/>
        </w:rPr>
        <w:t>Key words</w:t>
      </w:r>
      <w:r w:rsidRPr="006C44DB">
        <w:rPr>
          <w:rFonts w:ascii="Book Antiqua" w:hAnsi="Book Antiqua" w:cs="Arial"/>
        </w:rPr>
        <w:t xml:space="preserve">: Dieulafoy's Lesion; Endoscopic </w:t>
      </w:r>
      <w:r w:rsidR="00D31123" w:rsidRPr="006C44DB">
        <w:rPr>
          <w:rFonts w:ascii="Book Antiqua" w:hAnsi="Book Antiqua" w:cs="Arial"/>
        </w:rPr>
        <w:t>h</w:t>
      </w:r>
      <w:r w:rsidRPr="006C44DB">
        <w:rPr>
          <w:rFonts w:ascii="Book Antiqua" w:hAnsi="Book Antiqua" w:cs="Arial"/>
        </w:rPr>
        <w:t>emostasis; Massive</w:t>
      </w:r>
      <w:r w:rsidR="00D31123" w:rsidRPr="006C44DB">
        <w:rPr>
          <w:rFonts w:ascii="Book Antiqua" w:hAnsi="Book Antiqua" w:cs="Arial"/>
        </w:rPr>
        <w:t xml:space="preserve"> rectal bleedin</w:t>
      </w:r>
      <w:r w:rsidRPr="006C44DB">
        <w:rPr>
          <w:rFonts w:ascii="Book Antiqua" w:hAnsi="Book Antiqua" w:cs="Arial"/>
        </w:rPr>
        <w:t>g</w:t>
      </w:r>
      <w:r w:rsidR="00D31123">
        <w:rPr>
          <w:rFonts w:ascii="Book Antiqua" w:hAnsi="Book Antiqua" w:cs="Arial"/>
        </w:rPr>
        <w:t xml:space="preserve">; </w:t>
      </w:r>
      <w:r w:rsidR="00D31123" w:rsidRPr="00D31123">
        <w:rPr>
          <w:rFonts w:ascii="Book Antiqua" w:hAnsi="Book Antiqua" w:cs="Arial"/>
        </w:rPr>
        <w:t>Case report</w:t>
      </w:r>
    </w:p>
    <w:p w14:paraId="4AA21B7A" w14:textId="42097B2F" w:rsidR="00B97857" w:rsidRDefault="00B97857" w:rsidP="001734D6">
      <w:pPr>
        <w:spacing w:line="360" w:lineRule="auto"/>
        <w:jc w:val="both"/>
        <w:rPr>
          <w:rFonts w:ascii="Book Antiqua" w:hAnsi="Book Antiqua" w:cs="Arial"/>
        </w:rPr>
      </w:pPr>
    </w:p>
    <w:p w14:paraId="19DA0FF2" w14:textId="77777777" w:rsidR="00974652" w:rsidRDefault="00974652" w:rsidP="001734D6">
      <w:pPr>
        <w:autoSpaceDE w:val="0"/>
        <w:autoSpaceDN w:val="0"/>
        <w:adjustRightInd w:val="0"/>
        <w:snapToGrid w:val="0"/>
        <w:spacing w:line="360" w:lineRule="auto"/>
        <w:jc w:val="both"/>
        <w:rPr>
          <w:rFonts w:ascii="Book Antiqua" w:hAnsi="Book Antiqua" w:cs="Arial Unicode MS"/>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r w:rsidRPr="00412B34">
        <w:rPr>
          <w:rFonts w:ascii="Book Antiqua" w:hAnsi="Book Antiqua"/>
          <w:b/>
          <w:color w:val="000000"/>
          <w:lang w:val="en-GB"/>
        </w:rPr>
        <w:t xml:space="preserve">© </w:t>
      </w:r>
      <w:proofErr w:type="spellStart"/>
      <w:r w:rsidRPr="00412B34">
        <w:rPr>
          <w:rFonts w:ascii="Book Antiqua" w:eastAsia="AdvTimes" w:hAnsi="Book Antiqua" w:cs="AdvTimes"/>
          <w:b/>
          <w:color w:val="000000"/>
        </w:rPr>
        <w:t>The</w:t>
      </w:r>
      <w:proofErr w:type="spellEnd"/>
      <w:r w:rsidRPr="00412B34">
        <w:rPr>
          <w:rFonts w:ascii="Book Antiqua" w:eastAsia="AdvTimes" w:hAnsi="Book Antiqua" w:cs="AdvTimes"/>
          <w:b/>
          <w:color w:val="000000"/>
        </w:rPr>
        <w:t xml:space="preserve"> </w:t>
      </w:r>
      <w:proofErr w:type="spellStart"/>
      <w:r w:rsidRPr="00412B34">
        <w:rPr>
          <w:rFonts w:ascii="Book Antiqua" w:eastAsia="AdvTimes" w:hAnsi="Book Antiqua" w:cs="AdvTimes"/>
          <w:b/>
          <w:color w:val="000000"/>
        </w:rPr>
        <w:t>Author</w:t>
      </w:r>
      <w:proofErr w:type="spellEnd"/>
      <w:r w:rsidRPr="00412B34">
        <w:rPr>
          <w:rFonts w:ascii="Book Antiqua" w:eastAsia="AdvTimes" w:hAnsi="Book Antiqua" w:cs="AdvTimes"/>
          <w:b/>
          <w:color w:val="000000"/>
        </w:rPr>
        <w:t>(s) 201</w:t>
      </w:r>
      <w:r>
        <w:rPr>
          <w:rFonts w:ascii="Book Antiqua" w:hAnsi="Book Antiqua" w:cs="AdvTimes"/>
          <w:b/>
          <w:color w:val="000000"/>
        </w:rPr>
        <w:t>9</w:t>
      </w:r>
      <w:r w:rsidRPr="004269F8">
        <w:rPr>
          <w:rFonts w:ascii="Book Antiqua" w:eastAsia="AdvTimes" w:hAnsi="Book Antiqua" w:cs="AdvTimes"/>
          <w:color w:val="000000"/>
        </w:rPr>
        <w:t xml:space="preserve"> </w:t>
      </w:r>
      <w:proofErr w:type="spellStart"/>
      <w:r w:rsidRPr="00897D49">
        <w:rPr>
          <w:rFonts w:ascii="Book Antiqua" w:eastAsia="AdvTimes" w:hAnsi="Book Antiqua" w:cs="AdvTimes"/>
          <w:color w:val="000000"/>
        </w:rPr>
        <w:t>Published</w:t>
      </w:r>
      <w:proofErr w:type="spellEnd"/>
      <w:r w:rsidRPr="00897D49">
        <w:rPr>
          <w:rFonts w:ascii="Book Antiqua" w:eastAsia="AdvTimes" w:hAnsi="Book Antiqua" w:cs="AdvTimes"/>
          <w:color w:val="000000"/>
        </w:rPr>
        <w:t xml:space="preserve"> </w:t>
      </w:r>
      <w:proofErr w:type="spellStart"/>
      <w:r w:rsidRPr="00897D49">
        <w:rPr>
          <w:rFonts w:ascii="Book Antiqua" w:eastAsia="AdvTimes" w:hAnsi="Book Antiqua" w:cs="AdvTimes"/>
          <w:color w:val="000000"/>
        </w:rPr>
        <w:t>by</w:t>
      </w:r>
      <w:proofErr w:type="spellEnd"/>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0C7871B" w14:textId="77777777" w:rsidR="00D31123" w:rsidRPr="006C44DB" w:rsidRDefault="00D31123" w:rsidP="001734D6">
      <w:pPr>
        <w:spacing w:line="360" w:lineRule="auto"/>
        <w:jc w:val="both"/>
        <w:rPr>
          <w:rFonts w:ascii="Book Antiqua" w:hAnsi="Book Antiqua" w:cs="Arial"/>
        </w:rPr>
      </w:pPr>
    </w:p>
    <w:p w14:paraId="3AE84831" w14:textId="0EE98F6B" w:rsidR="00F52B25" w:rsidRPr="006C44DB" w:rsidRDefault="00F52B25" w:rsidP="001734D6">
      <w:pPr>
        <w:pStyle w:val="NormalWeb"/>
        <w:spacing w:before="0" w:beforeAutospacing="0" w:after="0" w:afterAutospacing="0" w:line="360" w:lineRule="auto"/>
        <w:jc w:val="both"/>
        <w:rPr>
          <w:rFonts w:ascii="Book Antiqua" w:hAnsi="Book Antiqua" w:cs="Arial"/>
          <w:color w:val="000000" w:themeColor="text1"/>
          <w:lang w:val="en-US"/>
        </w:rPr>
      </w:pPr>
      <w:r w:rsidRPr="006C44DB">
        <w:rPr>
          <w:rFonts w:ascii="Book Antiqua" w:hAnsi="Book Antiqua" w:cs="Tahoma"/>
          <w:b/>
          <w:color w:val="222222"/>
          <w:lang w:val="en-GB"/>
        </w:rPr>
        <w:lastRenderedPageBreak/>
        <w:t>Core tip</w:t>
      </w:r>
      <w:r w:rsidR="005D31CC">
        <w:rPr>
          <w:rFonts w:ascii="SimSun" w:eastAsia="SimSun" w:hAnsi="SimSun" w:cs="SimSun" w:hint="eastAsia"/>
          <w:b/>
          <w:color w:val="222222"/>
          <w:lang w:val="en-GB" w:eastAsia="zh-CN"/>
        </w:rPr>
        <w:t>:</w:t>
      </w:r>
      <w:r w:rsidR="00C87EF2" w:rsidRPr="006C44DB">
        <w:rPr>
          <w:rFonts w:ascii="Book Antiqua" w:hAnsi="Book Antiqua" w:cs="Arial"/>
          <w:lang w:val="en-US"/>
        </w:rPr>
        <w:t xml:space="preserve"> Rectal </w:t>
      </w:r>
      <w:proofErr w:type="spellStart"/>
      <w:r w:rsidR="00C87EF2" w:rsidRPr="006C44DB">
        <w:rPr>
          <w:rFonts w:ascii="Book Antiqua" w:hAnsi="Book Antiqua" w:cs="Arial"/>
          <w:lang w:val="en-US"/>
        </w:rPr>
        <w:t>Dieulafoy's</w:t>
      </w:r>
      <w:proofErr w:type="spellEnd"/>
      <w:r w:rsidR="00C87EF2" w:rsidRPr="006C44DB">
        <w:rPr>
          <w:rFonts w:ascii="Book Antiqua" w:hAnsi="Book Antiqua" w:cs="Arial"/>
          <w:lang w:val="en-US"/>
        </w:rPr>
        <w:t xml:space="preserve"> lesion </w:t>
      </w:r>
      <w:r w:rsidR="00645210">
        <w:rPr>
          <w:rFonts w:ascii="Book Antiqua" w:hAnsi="Book Antiqua" w:cs="Arial"/>
          <w:lang w:val="en-US"/>
        </w:rPr>
        <w:t xml:space="preserve">(DL) </w:t>
      </w:r>
      <w:r w:rsidR="00C87EF2" w:rsidRPr="006C44DB">
        <w:rPr>
          <w:rFonts w:ascii="Book Antiqua" w:hAnsi="Book Antiqua" w:cs="Arial"/>
          <w:lang w:val="en-US"/>
        </w:rPr>
        <w:t xml:space="preserve">represents an unusual cause of lower gastrointestinal bleeding. </w:t>
      </w:r>
      <w:r w:rsidR="00C87EF2" w:rsidRPr="006C44DB">
        <w:rPr>
          <w:rFonts w:ascii="Book Antiqua" w:hAnsi="Book Antiqua" w:cs="Arial"/>
          <w:color w:val="000000" w:themeColor="text1"/>
          <w:lang w:val="en-US"/>
        </w:rPr>
        <w:t xml:space="preserve">A 44-year-old female with medical history of chronic renal failure presented massive rectal bleeding. After proper initial management, an urgent colonoscopy was performed. A rectal </w:t>
      </w:r>
      <w:r w:rsidR="000E0C8A">
        <w:rPr>
          <w:rFonts w:ascii="Book Antiqua" w:hAnsi="Book Antiqua" w:cs="Arial"/>
          <w:lang w:val="en-US"/>
        </w:rPr>
        <w:t>DL</w:t>
      </w:r>
      <w:r w:rsidR="00C87EF2" w:rsidRPr="006C44DB">
        <w:rPr>
          <w:rFonts w:ascii="Book Antiqua" w:hAnsi="Book Antiqua" w:cs="Arial"/>
          <w:color w:val="000000" w:themeColor="text1"/>
          <w:lang w:val="en-US"/>
        </w:rPr>
        <w:t xml:space="preserve"> was diagnosed and successfully treated with</w:t>
      </w:r>
      <w:r w:rsidR="00C87EF2" w:rsidRPr="006C44DB">
        <w:rPr>
          <w:rFonts w:ascii="Book Antiqua" w:hAnsi="Book Antiqua" w:cs="Arial"/>
          <w:bCs/>
          <w:lang w:val="en-US"/>
        </w:rPr>
        <w:t xml:space="preserve"> </w:t>
      </w:r>
      <w:r w:rsidR="00C87EF2" w:rsidRPr="006C44DB">
        <w:rPr>
          <w:rFonts w:ascii="Book Antiqua" w:hAnsi="Book Antiqua" w:cs="Arial"/>
          <w:color w:val="000000" w:themeColor="text1"/>
          <w:lang w:val="en-US"/>
        </w:rPr>
        <w:t xml:space="preserve">two </w:t>
      </w:r>
      <w:proofErr w:type="spellStart"/>
      <w:r w:rsidR="00C87EF2" w:rsidRPr="006C44DB">
        <w:rPr>
          <w:rFonts w:ascii="Book Antiqua" w:hAnsi="Book Antiqua" w:cs="Arial"/>
          <w:color w:val="000000" w:themeColor="text1"/>
          <w:lang w:val="en-US"/>
        </w:rPr>
        <w:t>hemoclips</w:t>
      </w:r>
      <w:proofErr w:type="spellEnd"/>
      <w:r w:rsidR="00C87EF2" w:rsidRPr="006C44DB">
        <w:rPr>
          <w:rFonts w:ascii="Book Antiqua" w:hAnsi="Book Antiqua" w:cs="Arial"/>
          <w:color w:val="000000" w:themeColor="text1"/>
          <w:lang w:val="en-US"/>
        </w:rPr>
        <w:t xml:space="preserve"> without recurrence of hemorrhage. </w:t>
      </w:r>
      <w:r w:rsidR="00C87EF2" w:rsidRPr="006C44DB">
        <w:rPr>
          <w:rFonts w:ascii="Book Antiqua" w:hAnsi="Book Antiqua" w:cs="Arial"/>
          <w:lang w:val="en-US"/>
        </w:rPr>
        <w:t>Endoscopy is the reference standard for the diagnosis and treatment of these lesions.</w:t>
      </w:r>
    </w:p>
    <w:p w14:paraId="34821A0E" w14:textId="04B2C916" w:rsidR="00730A02" w:rsidRDefault="00730A02" w:rsidP="001734D6">
      <w:pPr>
        <w:spacing w:line="360" w:lineRule="auto"/>
        <w:jc w:val="both"/>
        <w:rPr>
          <w:rFonts w:ascii="Book Antiqua" w:hAnsi="Book Antiqua" w:cs="Tahoma"/>
          <w:b/>
          <w:color w:val="222222"/>
          <w:lang w:val="en-GB"/>
        </w:rPr>
      </w:pPr>
    </w:p>
    <w:p w14:paraId="5B765B5D" w14:textId="1C15CA8A" w:rsidR="008215E7" w:rsidRPr="008215E7" w:rsidRDefault="008215E7" w:rsidP="001734D6">
      <w:pPr>
        <w:spacing w:line="360" w:lineRule="auto"/>
        <w:jc w:val="both"/>
        <w:rPr>
          <w:rFonts w:ascii="Book Antiqua" w:hAnsi="Book Antiqua" w:cs="Arial"/>
          <w:bCs/>
          <w:lang w:val="en-US"/>
        </w:rPr>
      </w:pPr>
      <w:r w:rsidRPr="006C44DB">
        <w:rPr>
          <w:rFonts w:ascii="Book Antiqua" w:hAnsi="Book Antiqua" w:cs="Arial"/>
          <w:lang w:val="en-US"/>
        </w:rPr>
        <w:t>Pineda-De Paz</w:t>
      </w:r>
      <w:r>
        <w:rPr>
          <w:rFonts w:ascii="Book Antiqua" w:hAnsi="Book Antiqua" w:cs="Arial"/>
          <w:lang w:val="en-US"/>
        </w:rPr>
        <w:t xml:space="preserve"> MR</w:t>
      </w:r>
      <w:r w:rsidRPr="006C44DB">
        <w:rPr>
          <w:rFonts w:ascii="Book Antiqua" w:hAnsi="Book Antiqua" w:cs="Arial"/>
          <w:lang w:val="en-US"/>
        </w:rPr>
        <w:t>, Rosario-Morel</w:t>
      </w:r>
      <w:r>
        <w:rPr>
          <w:rFonts w:ascii="Book Antiqua" w:hAnsi="Book Antiqua" w:cs="Arial"/>
          <w:lang w:val="en-US"/>
        </w:rPr>
        <w:t xml:space="preserve"> MM</w:t>
      </w:r>
      <w:r w:rsidRPr="006C44DB">
        <w:rPr>
          <w:rFonts w:ascii="Book Antiqua" w:hAnsi="Book Antiqua" w:cs="Arial"/>
          <w:lang w:val="en-US"/>
        </w:rPr>
        <w:t>, Lopez-Fuentes</w:t>
      </w:r>
      <w:r>
        <w:rPr>
          <w:rFonts w:ascii="Book Antiqua" w:hAnsi="Book Antiqua" w:cs="Arial"/>
          <w:lang w:val="en-US"/>
        </w:rPr>
        <w:t xml:space="preserve"> JG</w:t>
      </w:r>
      <w:r w:rsidRPr="006C44DB">
        <w:rPr>
          <w:rFonts w:ascii="Book Antiqua" w:hAnsi="Book Antiqua" w:cs="Arial"/>
          <w:lang w:val="en-US"/>
        </w:rPr>
        <w:t>, Waller-Gonzalez</w:t>
      </w:r>
      <w:r>
        <w:rPr>
          <w:rFonts w:ascii="Book Antiqua" w:hAnsi="Book Antiqua" w:cs="Arial"/>
          <w:lang w:val="en-US"/>
        </w:rPr>
        <w:t xml:space="preserve"> LA</w:t>
      </w:r>
      <w:r w:rsidRPr="006C44DB">
        <w:rPr>
          <w:rFonts w:ascii="Book Antiqua" w:hAnsi="Book Antiqua" w:cs="Arial"/>
          <w:lang w:val="en-US"/>
        </w:rPr>
        <w:t>, Soto-Solis</w:t>
      </w:r>
      <w:r>
        <w:rPr>
          <w:rFonts w:ascii="Book Antiqua" w:hAnsi="Book Antiqua" w:cs="Arial"/>
          <w:lang w:val="en-US"/>
        </w:rPr>
        <w:t xml:space="preserve"> R. </w:t>
      </w:r>
      <w:r w:rsidRPr="008215E7">
        <w:rPr>
          <w:rFonts w:ascii="Book Antiqua" w:hAnsi="Book Antiqua" w:cs="Arial"/>
          <w:bCs/>
          <w:lang w:val="en-US"/>
        </w:rPr>
        <w:t xml:space="preserve">Endoscopic management of massive rectal bleeding from a </w:t>
      </w:r>
      <w:proofErr w:type="spellStart"/>
      <w:r w:rsidRPr="008215E7">
        <w:rPr>
          <w:rFonts w:ascii="Book Antiqua" w:hAnsi="Book Antiqua" w:cs="Arial"/>
          <w:bCs/>
          <w:lang w:val="en-US"/>
        </w:rPr>
        <w:t>Dieulafoy's</w:t>
      </w:r>
      <w:proofErr w:type="spellEnd"/>
      <w:r w:rsidRPr="008215E7">
        <w:rPr>
          <w:rFonts w:ascii="Book Antiqua" w:hAnsi="Book Antiqua" w:cs="Arial"/>
          <w:bCs/>
          <w:lang w:val="en-US"/>
        </w:rPr>
        <w:t xml:space="preserve"> lesion: </w:t>
      </w:r>
      <w:r w:rsidRPr="008215E7">
        <w:rPr>
          <w:rFonts w:ascii="Book Antiqua" w:hAnsi="Book Antiqua" w:cs="Arial"/>
          <w:bCs/>
          <w:caps/>
          <w:lang w:val="en-US"/>
        </w:rPr>
        <w:t>c</w:t>
      </w:r>
      <w:r w:rsidRPr="008215E7">
        <w:rPr>
          <w:rFonts w:ascii="Book Antiqua" w:hAnsi="Book Antiqua" w:cs="Arial"/>
          <w:bCs/>
          <w:lang w:val="en-US"/>
        </w:rPr>
        <w:t>ase report</w:t>
      </w:r>
      <w:r>
        <w:rPr>
          <w:rFonts w:ascii="Book Antiqua" w:hAnsi="Book Antiqua" w:cs="Arial"/>
          <w:bCs/>
          <w:lang w:val="en-US"/>
        </w:rPr>
        <w:t>.</w:t>
      </w:r>
      <w:r w:rsidR="0058381A">
        <w:rPr>
          <w:rFonts w:ascii="Book Antiqua" w:hAnsi="Book Antiqua" w:cs="Arial"/>
          <w:bCs/>
          <w:lang w:val="en-US"/>
        </w:rPr>
        <w:t xml:space="preserve"> </w:t>
      </w:r>
      <w:r w:rsidR="0058381A" w:rsidRPr="0058381A">
        <w:rPr>
          <w:rFonts w:ascii="Book Antiqua" w:hAnsi="Book Antiqua" w:cs="Arial"/>
          <w:bCs/>
          <w:i/>
          <w:iCs/>
          <w:lang w:val="en-US"/>
        </w:rPr>
        <w:t xml:space="preserve">World J </w:t>
      </w:r>
      <w:proofErr w:type="spellStart"/>
      <w:r w:rsidR="0058381A" w:rsidRPr="0058381A">
        <w:rPr>
          <w:rFonts w:ascii="Book Antiqua" w:hAnsi="Book Antiqua" w:cs="Arial"/>
          <w:bCs/>
          <w:i/>
          <w:iCs/>
          <w:lang w:val="en-US"/>
        </w:rPr>
        <w:t>Gastrointest</w:t>
      </w:r>
      <w:proofErr w:type="spellEnd"/>
      <w:r w:rsidR="0058381A" w:rsidRPr="0058381A">
        <w:rPr>
          <w:rFonts w:ascii="Book Antiqua" w:hAnsi="Book Antiqua" w:cs="Arial"/>
          <w:bCs/>
          <w:i/>
          <w:iCs/>
          <w:lang w:val="en-US"/>
        </w:rPr>
        <w:t xml:space="preserve"> </w:t>
      </w:r>
      <w:proofErr w:type="spellStart"/>
      <w:r w:rsidR="0058381A" w:rsidRPr="0058381A">
        <w:rPr>
          <w:rFonts w:ascii="Book Antiqua" w:hAnsi="Book Antiqua" w:cs="Arial"/>
          <w:bCs/>
          <w:i/>
          <w:iCs/>
          <w:lang w:val="en-US"/>
        </w:rPr>
        <w:t>Endosc</w:t>
      </w:r>
      <w:proofErr w:type="spellEnd"/>
      <w:r w:rsidR="0058381A" w:rsidRPr="0058381A">
        <w:rPr>
          <w:rFonts w:ascii="Book Antiqua" w:hAnsi="Book Antiqua" w:cs="Arial"/>
          <w:bCs/>
          <w:i/>
          <w:iCs/>
          <w:lang w:val="en-US"/>
        </w:rPr>
        <w:t xml:space="preserve"> </w:t>
      </w:r>
      <w:r w:rsidR="0058381A">
        <w:rPr>
          <w:rFonts w:ascii="Book Antiqua" w:hAnsi="Book Antiqua" w:cs="Arial"/>
          <w:bCs/>
          <w:lang w:val="en-US"/>
        </w:rPr>
        <w:t>2019;</w:t>
      </w:r>
      <w:r w:rsidR="00270B0E">
        <w:rPr>
          <w:rFonts w:ascii="Book Antiqua" w:hAnsi="Book Antiqua" w:cs="Arial"/>
          <w:bCs/>
          <w:lang w:val="en-US"/>
        </w:rPr>
        <w:t xml:space="preserve"> In press</w:t>
      </w:r>
    </w:p>
    <w:p w14:paraId="59D8F45B" w14:textId="77777777" w:rsidR="000E0C8A" w:rsidRPr="006C44DB" w:rsidRDefault="000E0C8A" w:rsidP="001734D6">
      <w:pPr>
        <w:spacing w:line="360" w:lineRule="auto"/>
        <w:jc w:val="both"/>
        <w:rPr>
          <w:rFonts w:ascii="Book Antiqua" w:hAnsi="Book Antiqua" w:cs="Tahoma"/>
          <w:b/>
          <w:color w:val="222222"/>
          <w:lang w:val="en-GB"/>
        </w:rPr>
      </w:pPr>
    </w:p>
    <w:p w14:paraId="45D6731A" w14:textId="77777777" w:rsidR="004B346F" w:rsidRDefault="004B346F">
      <w:pPr>
        <w:rPr>
          <w:rFonts w:ascii="Book Antiqua" w:hAnsi="Book Antiqua" w:cs="Arial"/>
          <w:b/>
          <w:lang w:val="en-US"/>
        </w:rPr>
      </w:pPr>
      <w:r>
        <w:rPr>
          <w:rFonts w:ascii="Book Antiqua" w:hAnsi="Book Antiqua" w:cs="Arial"/>
          <w:b/>
          <w:lang w:val="en-US"/>
        </w:rPr>
        <w:br w:type="page"/>
      </w:r>
    </w:p>
    <w:p w14:paraId="3B5070E1" w14:textId="0B07D080" w:rsidR="00CF1178" w:rsidRPr="00850C10" w:rsidRDefault="00CF1178" w:rsidP="001734D6">
      <w:pPr>
        <w:spacing w:line="360" w:lineRule="auto"/>
        <w:jc w:val="both"/>
        <w:rPr>
          <w:rFonts w:ascii="Book Antiqua" w:hAnsi="Book Antiqua" w:cs="Arial"/>
          <w:b/>
          <w:lang w:val="en-US"/>
        </w:rPr>
      </w:pPr>
      <w:r w:rsidRPr="006C44DB">
        <w:rPr>
          <w:rFonts w:ascii="Book Antiqua" w:hAnsi="Book Antiqua" w:cs="Arial"/>
          <w:b/>
          <w:lang w:val="en-US"/>
        </w:rPr>
        <w:lastRenderedPageBreak/>
        <w:t>INTRODUCTION</w:t>
      </w:r>
    </w:p>
    <w:p w14:paraId="18074E9E" w14:textId="22EDEEC9" w:rsidR="00CF1178" w:rsidRPr="006C44DB" w:rsidRDefault="00730A02" w:rsidP="001734D6">
      <w:pPr>
        <w:spacing w:line="360" w:lineRule="auto"/>
        <w:jc w:val="both"/>
        <w:rPr>
          <w:rFonts w:ascii="Book Antiqua" w:hAnsi="Book Antiqua" w:cs="Arial"/>
          <w:color w:val="FF0000"/>
          <w:lang w:val="en-US"/>
        </w:rPr>
      </w:pPr>
      <w:proofErr w:type="spellStart"/>
      <w:r w:rsidRPr="006C44DB">
        <w:rPr>
          <w:rFonts w:ascii="Book Antiqua" w:hAnsi="Book Antiqua" w:cs="Arial"/>
          <w:lang w:val="en-US"/>
        </w:rPr>
        <w:t>Dieulafoy'</w:t>
      </w:r>
      <w:r w:rsidR="00CF1178" w:rsidRPr="006C44DB">
        <w:rPr>
          <w:rFonts w:ascii="Book Antiqua" w:hAnsi="Book Antiqua" w:cs="Arial"/>
          <w:lang w:val="en-US"/>
        </w:rPr>
        <w:t>s</w:t>
      </w:r>
      <w:proofErr w:type="spellEnd"/>
      <w:r w:rsidR="00CF1178" w:rsidRPr="006C44DB">
        <w:rPr>
          <w:rFonts w:ascii="Book Antiqua" w:hAnsi="Book Antiqua" w:cs="Arial"/>
          <w:lang w:val="en-US"/>
        </w:rPr>
        <w:t xml:space="preserve"> lesions (DL</w:t>
      </w:r>
      <w:r w:rsidR="007A7C3A">
        <w:rPr>
          <w:rFonts w:ascii="Book Antiqua" w:hAnsi="Book Antiqua" w:cs="Arial"/>
          <w:lang w:val="en-US"/>
        </w:rPr>
        <w:t>s</w:t>
      </w:r>
      <w:r w:rsidR="00CF1178" w:rsidRPr="006C44DB">
        <w:rPr>
          <w:rFonts w:ascii="Book Antiqua" w:hAnsi="Book Antiqua" w:cs="Arial"/>
          <w:lang w:val="en-US"/>
        </w:rPr>
        <w:t>) represent less than 5% of all cause</w:t>
      </w:r>
      <w:r w:rsidR="00A727FB" w:rsidRPr="006C44DB">
        <w:rPr>
          <w:rFonts w:ascii="Book Antiqua" w:hAnsi="Book Antiqua" w:cs="Arial"/>
          <w:lang w:val="en-US"/>
        </w:rPr>
        <w:t>s of gastrointestinal bleeding</w:t>
      </w:r>
      <w:r w:rsidR="00CF1178" w:rsidRPr="006C44DB">
        <w:rPr>
          <w:rFonts w:ascii="Book Antiqua" w:hAnsi="Book Antiqua" w:cs="Arial"/>
          <w:lang w:val="en-US"/>
        </w:rPr>
        <w:t xml:space="preserve">. These lesions were initially described as gastric aneurysms by </w:t>
      </w:r>
      <w:proofErr w:type="spellStart"/>
      <w:r w:rsidR="00CF1178" w:rsidRPr="006C44DB">
        <w:rPr>
          <w:rFonts w:ascii="Book Antiqua" w:hAnsi="Book Antiqua" w:cs="Arial"/>
          <w:lang w:val="en-US"/>
        </w:rPr>
        <w:t>Gallard</w:t>
      </w:r>
      <w:proofErr w:type="spellEnd"/>
      <w:r w:rsidR="00CF1178" w:rsidRPr="006C44DB">
        <w:rPr>
          <w:rFonts w:ascii="Book Antiqua" w:hAnsi="Book Antiqua" w:cs="Arial"/>
          <w:lang w:val="en-US"/>
        </w:rPr>
        <w:t xml:space="preserve"> in 1884, but it was in 1898 when George </w:t>
      </w:r>
      <w:proofErr w:type="spellStart"/>
      <w:r w:rsidR="00CF1178" w:rsidRPr="006C44DB">
        <w:rPr>
          <w:rFonts w:ascii="Book Antiqua" w:hAnsi="Book Antiqua" w:cs="Arial"/>
          <w:lang w:val="en-US"/>
        </w:rPr>
        <w:t>Dieulafoy</w:t>
      </w:r>
      <w:proofErr w:type="spellEnd"/>
      <w:r w:rsidR="00CF1178" w:rsidRPr="006C44DB">
        <w:rPr>
          <w:rFonts w:ascii="Book Antiqua" w:hAnsi="Book Antiqua" w:cs="Arial"/>
          <w:lang w:val="en-US"/>
        </w:rPr>
        <w:t xml:space="preserve">, a French surgeon, identified them in three </w:t>
      </w:r>
      <w:r w:rsidR="00A727FB" w:rsidRPr="006C44DB">
        <w:rPr>
          <w:rFonts w:ascii="Book Antiqua" w:hAnsi="Book Antiqua" w:cs="Arial"/>
          <w:lang w:val="en-US"/>
        </w:rPr>
        <w:t>patients as the cause of</w:t>
      </w:r>
      <w:r w:rsidR="00CF1178" w:rsidRPr="006C44DB">
        <w:rPr>
          <w:rFonts w:ascii="Book Antiqua" w:hAnsi="Book Antiqua" w:cs="Arial"/>
          <w:lang w:val="en-US"/>
        </w:rPr>
        <w:t xml:space="preserve"> gastrointestinal </w:t>
      </w:r>
      <w:proofErr w:type="gramStart"/>
      <w:r w:rsidR="00CF1178" w:rsidRPr="006C44DB">
        <w:rPr>
          <w:rFonts w:ascii="Book Antiqua" w:hAnsi="Book Antiqua" w:cs="Arial"/>
          <w:lang w:val="en-US"/>
        </w:rPr>
        <w:t>bleeding</w:t>
      </w:r>
      <w:r w:rsidR="009E70E7" w:rsidRPr="006C44DB">
        <w:rPr>
          <w:rFonts w:ascii="Book Antiqua" w:hAnsi="Book Antiqua" w:cs="Arial"/>
          <w:vertAlign w:val="superscript"/>
          <w:lang w:val="en-US"/>
        </w:rPr>
        <w:t>[</w:t>
      </w:r>
      <w:proofErr w:type="gramEnd"/>
      <w:r w:rsidR="009E70E7" w:rsidRPr="006C44DB">
        <w:rPr>
          <w:rFonts w:ascii="Book Antiqua" w:hAnsi="Book Antiqua" w:cs="Arial"/>
          <w:color w:val="000000" w:themeColor="text1"/>
          <w:vertAlign w:val="superscript"/>
          <w:lang w:val="en-US"/>
        </w:rPr>
        <w:t>1]</w:t>
      </w:r>
      <w:r w:rsidR="00CF1178" w:rsidRPr="006C44DB">
        <w:rPr>
          <w:rFonts w:ascii="Book Antiqua" w:hAnsi="Book Antiqua" w:cs="Arial"/>
          <w:lang w:val="en-US"/>
        </w:rPr>
        <w:t>.</w:t>
      </w:r>
      <w:r w:rsidR="00CF1178" w:rsidRPr="006C44DB">
        <w:rPr>
          <w:rFonts w:ascii="Book Antiqua" w:hAnsi="Book Antiqua" w:cs="Arial"/>
          <w:vertAlign w:val="superscript"/>
          <w:lang w:val="en-US"/>
        </w:rPr>
        <w:t xml:space="preserve"> </w:t>
      </w:r>
      <w:r w:rsidR="00CF1178" w:rsidRPr="006C44DB">
        <w:rPr>
          <w:rFonts w:ascii="Book Antiqua" w:hAnsi="Book Antiqua" w:cs="Arial"/>
          <w:color w:val="000000" w:themeColor="text1"/>
          <w:lang w:val="en-US"/>
        </w:rPr>
        <w:t xml:space="preserve">More than 90% of the lesions are located at the upper gastrointestinal tract and only 2% are found at the </w:t>
      </w:r>
      <w:proofErr w:type="gramStart"/>
      <w:r w:rsidR="00CF1178" w:rsidRPr="006C44DB">
        <w:rPr>
          <w:rFonts w:ascii="Book Antiqua" w:hAnsi="Book Antiqua" w:cs="Arial"/>
          <w:color w:val="000000" w:themeColor="text1"/>
          <w:lang w:val="en-US"/>
        </w:rPr>
        <w:t>rectum</w:t>
      </w:r>
      <w:r w:rsidR="00CF1178" w:rsidRPr="006C44DB">
        <w:rPr>
          <w:rFonts w:ascii="Book Antiqua" w:hAnsi="Book Antiqua" w:cs="Arial"/>
          <w:color w:val="000000" w:themeColor="text1"/>
          <w:vertAlign w:val="superscript"/>
          <w:lang w:val="en-US"/>
        </w:rPr>
        <w:t>[</w:t>
      </w:r>
      <w:proofErr w:type="gramEnd"/>
      <w:r w:rsidR="00CF1178" w:rsidRPr="006C44DB">
        <w:rPr>
          <w:rFonts w:ascii="Book Antiqua" w:hAnsi="Book Antiqua" w:cs="Arial"/>
          <w:color w:val="000000" w:themeColor="text1"/>
          <w:vertAlign w:val="superscript"/>
          <w:lang w:val="en-US"/>
        </w:rPr>
        <w:t>2]</w:t>
      </w:r>
      <w:r w:rsidR="00CF1178" w:rsidRPr="006C44DB">
        <w:rPr>
          <w:rFonts w:ascii="Book Antiqua" w:hAnsi="Book Antiqua" w:cs="Arial"/>
          <w:color w:val="000000" w:themeColor="text1"/>
          <w:lang w:val="en-US"/>
        </w:rPr>
        <w:t>.</w:t>
      </w:r>
      <w:r w:rsidR="00CF1178" w:rsidRPr="006C44DB">
        <w:rPr>
          <w:rFonts w:ascii="Book Antiqua" w:hAnsi="Book Antiqua" w:cs="Arial"/>
          <w:lang w:val="en-US"/>
        </w:rPr>
        <w:t xml:space="preserve"> Unlike the prox</w:t>
      </w:r>
      <w:r w:rsidR="005E08F3" w:rsidRPr="006C44DB">
        <w:rPr>
          <w:rFonts w:ascii="Book Antiqua" w:hAnsi="Book Antiqua" w:cs="Arial"/>
          <w:lang w:val="en-US"/>
        </w:rPr>
        <w:t xml:space="preserve">imal lesions, rectal </w:t>
      </w:r>
      <w:r w:rsidR="007A7C3A" w:rsidRPr="006C44DB">
        <w:rPr>
          <w:rFonts w:ascii="Book Antiqua" w:hAnsi="Book Antiqua" w:cs="Arial"/>
          <w:lang w:val="en-US"/>
        </w:rPr>
        <w:t>DL</w:t>
      </w:r>
      <w:r w:rsidR="007A7C3A">
        <w:rPr>
          <w:rFonts w:ascii="Book Antiqua" w:hAnsi="Book Antiqua" w:cs="Arial"/>
          <w:lang w:val="en-US"/>
        </w:rPr>
        <w:t>s</w:t>
      </w:r>
      <w:r w:rsidR="00CF1178" w:rsidRPr="006C44DB">
        <w:rPr>
          <w:rFonts w:ascii="Book Antiqua" w:hAnsi="Book Antiqua" w:cs="Arial"/>
          <w:lang w:val="en-US"/>
        </w:rPr>
        <w:t xml:space="preserve"> (RDL) usually present hematochezia and/or fresh bleeding. The literature reveals only few case</w:t>
      </w:r>
      <w:r w:rsidR="00CF1178" w:rsidRPr="006C44DB">
        <w:rPr>
          <w:rFonts w:ascii="Book Antiqua" w:hAnsi="Book Antiqua" w:cs="Arial"/>
          <w:color w:val="FF0000"/>
          <w:lang w:val="en-US"/>
        </w:rPr>
        <w:t xml:space="preserve"> </w:t>
      </w:r>
      <w:r w:rsidR="00CF1178" w:rsidRPr="006C44DB">
        <w:rPr>
          <w:rFonts w:ascii="Book Antiqua" w:hAnsi="Book Antiqua" w:cs="Arial"/>
          <w:lang w:val="en-US"/>
        </w:rPr>
        <w:t xml:space="preserve">reports of RDL. We report the case of profuse lower gastrointestinal hemorrhage due to a RDL, as well as the proper literature review. </w:t>
      </w:r>
    </w:p>
    <w:p w14:paraId="6B5FC5EF" w14:textId="77777777" w:rsidR="00CF1178" w:rsidRPr="006C44DB" w:rsidRDefault="00CF1178" w:rsidP="001734D6">
      <w:pPr>
        <w:spacing w:line="360" w:lineRule="auto"/>
        <w:jc w:val="both"/>
        <w:rPr>
          <w:rFonts w:ascii="Book Antiqua" w:hAnsi="Book Antiqua" w:cs="Arial"/>
          <w:b/>
          <w:lang w:val="en-US"/>
        </w:rPr>
      </w:pPr>
    </w:p>
    <w:p w14:paraId="5439470D" w14:textId="57023202" w:rsidR="00CF1178" w:rsidRPr="006C44DB" w:rsidRDefault="00CF1178" w:rsidP="001734D6">
      <w:pPr>
        <w:spacing w:line="360" w:lineRule="auto"/>
        <w:jc w:val="both"/>
        <w:rPr>
          <w:rFonts w:ascii="Book Antiqua" w:hAnsi="Book Antiqua" w:cs="Arial"/>
          <w:b/>
          <w:lang w:val="en-US"/>
        </w:rPr>
      </w:pPr>
      <w:r w:rsidRPr="006C44DB">
        <w:rPr>
          <w:rFonts w:ascii="Book Antiqua" w:hAnsi="Book Antiqua" w:cs="Arial"/>
          <w:b/>
          <w:lang w:val="en-US"/>
        </w:rPr>
        <w:t>CASE PRESENTATION</w:t>
      </w:r>
    </w:p>
    <w:p w14:paraId="3467A6D9" w14:textId="77777777" w:rsidR="00CF1178" w:rsidRPr="006C44DB" w:rsidRDefault="00CF1178" w:rsidP="001734D6">
      <w:pPr>
        <w:pStyle w:val="NormalWeb"/>
        <w:spacing w:before="0" w:beforeAutospacing="0" w:after="0" w:afterAutospacing="0" w:line="360" w:lineRule="auto"/>
        <w:jc w:val="both"/>
        <w:rPr>
          <w:rFonts w:ascii="Book Antiqua" w:hAnsi="Book Antiqua" w:cs="Arial"/>
          <w:b/>
          <w:bCs/>
          <w:i/>
          <w:iCs/>
          <w:lang w:val="en-US"/>
        </w:rPr>
      </w:pPr>
      <w:r w:rsidRPr="006C44DB">
        <w:rPr>
          <w:rFonts w:ascii="Book Antiqua" w:hAnsi="Book Antiqua" w:cs="Arial"/>
          <w:b/>
          <w:bCs/>
          <w:i/>
          <w:iCs/>
          <w:lang w:val="en-US"/>
        </w:rPr>
        <w:t xml:space="preserve">Chief complaint </w:t>
      </w:r>
    </w:p>
    <w:p w14:paraId="0778A69B" w14:textId="0A454C73" w:rsidR="00CF1178" w:rsidRDefault="00CF1178" w:rsidP="001734D6">
      <w:pPr>
        <w:pStyle w:val="NormalWeb"/>
        <w:spacing w:before="0" w:beforeAutospacing="0" w:after="0" w:afterAutospacing="0" w:line="360" w:lineRule="auto"/>
        <w:jc w:val="both"/>
        <w:rPr>
          <w:rFonts w:ascii="Book Antiqua" w:hAnsi="Book Antiqua" w:cs="Arial"/>
          <w:lang w:val="en-US"/>
        </w:rPr>
      </w:pPr>
      <w:r w:rsidRPr="006C44DB">
        <w:rPr>
          <w:rFonts w:ascii="Book Antiqua" w:hAnsi="Book Antiqua" w:cs="Arial"/>
          <w:lang w:val="en-US"/>
        </w:rPr>
        <w:t>A 44-year-old female patient hospitalized in our institution due to a vascular access infection.</w:t>
      </w:r>
    </w:p>
    <w:p w14:paraId="1F928376" w14:textId="77777777" w:rsidR="00850C10" w:rsidRPr="006C44DB" w:rsidRDefault="00850C10" w:rsidP="001734D6">
      <w:pPr>
        <w:pStyle w:val="NormalWeb"/>
        <w:spacing w:before="0" w:beforeAutospacing="0" w:after="0" w:afterAutospacing="0" w:line="360" w:lineRule="auto"/>
        <w:jc w:val="both"/>
        <w:rPr>
          <w:rFonts w:ascii="Book Antiqua" w:hAnsi="Book Antiqua" w:cs="Arial"/>
          <w:lang w:val="en-US"/>
        </w:rPr>
      </w:pPr>
    </w:p>
    <w:p w14:paraId="3A9C3EA2" w14:textId="77777777" w:rsidR="00CF1178" w:rsidRPr="006C44DB" w:rsidRDefault="00CF1178" w:rsidP="001734D6">
      <w:pPr>
        <w:pStyle w:val="NormalWeb"/>
        <w:spacing w:before="0" w:beforeAutospacing="0" w:after="0" w:afterAutospacing="0" w:line="360" w:lineRule="auto"/>
        <w:jc w:val="both"/>
        <w:rPr>
          <w:rFonts w:ascii="Book Antiqua" w:hAnsi="Book Antiqua" w:cs="Arial"/>
          <w:lang w:val="en-US"/>
        </w:rPr>
      </w:pPr>
      <w:r w:rsidRPr="006C44DB">
        <w:rPr>
          <w:rFonts w:ascii="Book Antiqua" w:hAnsi="Book Antiqua" w:cs="Arial"/>
          <w:b/>
          <w:bCs/>
          <w:i/>
          <w:iCs/>
          <w:lang w:val="en-US"/>
        </w:rPr>
        <w:t xml:space="preserve">History of present illness </w:t>
      </w:r>
    </w:p>
    <w:p w14:paraId="171B9AC8" w14:textId="52CA1BBC" w:rsidR="00CF1178" w:rsidRDefault="00CF1178" w:rsidP="001734D6">
      <w:pPr>
        <w:pStyle w:val="NormalWeb"/>
        <w:spacing w:before="0" w:beforeAutospacing="0" w:after="0" w:afterAutospacing="0" w:line="360" w:lineRule="auto"/>
        <w:jc w:val="both"/>
        <w:rPr>
          <w:rFonts w:ascii="Book Antiqua" w:hAnsi="Book Antiqua" w:cs="Arial"/>
          <w:bCs/>
          <w:iCs/>
          <w:lang w:val="en-US"/>
        </w:rPr>
      </w:pPr>
      <w:r w:rsidRPr="006C44DB">
        <w:rPr>
          <w:rFonts w:ascii="Book Antiqua" w:hAnsi="Book Antiqua" w:cs="Arial"/>
          <w:bCs/>
          <w:iCs/>
          <w:lang w:val="en-US"/>
        </w:rPr>
        <w:t>The patient presented profuse rectal bleeding that progressed to hypovolemic shock in four hours.</w:t>
      </w:r>
    </w:p>
    <w:p w14:paraId="2E96DB48" w14:textId="77777777" w:rsidR="00850C10" w:rsidRPr="006C44DB" w:rsidRDefault="00850C10" w:rsidP="001734D6">
      <w:pPr>
        <w:pStyle w:val="NormalWeb"/>
        <w:spacing w:before="0" w:beforeAutospacing="0" w:after="0" w:afterAutospacing="0" w:line="360" w:lineRule="auto"/>
        <w:jc w:val="both"/>
        <w:rPr>
          <w:rFonts w:ascii="Book Antiqua" w:hAnsi="Book Antiqua" w:cs="Arial"/>
          <w:bCs/>
          <w:iCs/>
          <w:lang w:val="en-US"/>
        </w:rPr>
      </w:pPr>
    </w:p>
    <w:p w14:paraId="190D9A8A" w14:textId="77777777" w:rsidR="00CF1178" w:rsidRPr="006C44DB" w:rsidRDefault="00CF1178" w:rsidP="001734D6">
      <w:pPr>
        <w:pStyle w:val="NormalWeb"/>
        <w:spacing w:before="0" w:beforeAutospacing="0" w:after="0" w:afterAutospacing="0" w:line="360" w:lineRule="auto"/>
        <w:jc w:val="both"/>
        <w:rPr>
          <w:rFonts w:ascii="Book Antiqua" w:hAnsi="Book Antiqua" w:cs="Arial"/>
          <w:lang w:val="en-US"/>
        </w:rPr>
      </w:pPr>
      <w:r w:rsidRPr="006C44DB">
        <w:rPr>
          <w:rFonts w:ascii="Book Antiqua" w:hAnsi="Book Antiqua" w:cs="Arial"/>
          <w:b/>
          <w:bCs/>
          <w:i/>
          <w:iCs/>
          <w:lang w:val="en-US"/>
        </w:rPr>
        <w:t xml:space="preserve">Past medical history </w:t>
      </w:r>
    </w:p>
    <w:p w14:paraId="39EE563B" w14:textId="77777777" w:rsidR="00CF1178" w:rsidRPr="006C44DB" w:rsidRDefault="00CF1178" w:rsidP="001734D6">
      <w:pPr>
        <w:pStyle w:val="NormalWeb"/>
        <w:spacing w:before="0" w:beforeAutospacing="0" w:after="0" w:afterAutospacing="0" w:line="360" w:lineRule="auto"/>
        <w:jc w:val="both"/>
        <w:rPr>
          <w:rFonts w:ascii="Book Antiqua" w:hAnsi="Book Antiqua" w:cs="Arial"/>
          <w:lang w:val="en-US"/>
        </w:rPr>
      </w:pPr>
      <w:r w:rsidRPr="006C44DB">
        <w:rPr>
          <w:rFonts w:ascii="Book Antiqua" w:hAnsi="Book Antiqua" w:cs="Arial"/>
          <w:lang w:val="en-US"/>
        </w:rPr>
        <w:t xml:space="preserve">Her medical comorbidities included chronic kidney disease on replacement therapy and secondary hypertension. Patient denied any toxic habits. </w:t>
      </w:r>
    </w:p>
    <w:p w14:paraId="076EF4D2" w14:textId="6C6726C8" w:rsidR="00CF1178" w:rsidRDefault="00CF1178" w:rsidP="001734D6">
      <w:pPr>
        <w:pStyle w:val="NormalWeb"/>
        <w:spacing w:before="0" w:beforeAutospacing="0" w:after="0" w:afterAutospacing="0" w:line="360" w:lineRule="auto"/>
        <w:ind w:firstLineChars="100" w:firstLine="240"/>
        <w:jc w:val="both"/>
        <w:rPr>
          <w:rFonts w:ascii="Book Antiqua" w:hAnsi="Book Antiqua" w:cs="Arial"/>
          <w:lang w:val="en-US"/>
        </w:rPr>
      </w:pPr>
      <w:r w:rsidRPr="006C44DB">
        <w:rPr>
          <w:rFonts w:ascii="Book Antiqua" w:hAnsi="Book Antiqua" w:cs="Arial"/>
          <w:lang w:val="en-US"/>
        </w:rPr>
        <w:t xml:space="preserve">Her surgical history included two cesarean sections, appendectomy, </w:t>
      </w:r>
      <w:r w:rsidR="00730A02" w:rsidRPr="006C44DB">
        <w:rPr>
          <w:rFonts w:ascii="Book Antiqua" w:hAnsi="Book Antiqua" w:cs="Arial"/>
          <w:lang w:val="en-US"/>
        </w:rPr>
        <w:t>and living</w:t>
      </w:r>
      <w:r w:rsidRPr="006C44DB">
        <w:rPr>
          <w:rFonts w:ascii="Book Antiqua" w:hAnsi="Book Antiqua" w:cs="Arial"/>
          <w:lang w:val="en-US"/>
        </w:rPr>
        <w:t>-donor kidney transplant followed by acute rejection. Family history was negative for any gastrointestinal disease.</w:t>
      </w:r>
    </w:p>
    <w:p w14:paraId="4C47A763" w14:textId="77777777" w:rsidR="00850C10" w:rsidRPr="006C44DB" w:rsidRDefault="00850C10" w:rsidP="001734D6">
      <w:pPr>
        <w:pStyle w:val="NormalWeb"/>
        <w:spacing w:before="0" w:beforeAutospacing="0" w:after="0" w:afterAutospacing="0" w:line="360" w:lineRule="auto"/>
        <w:ind w:firstLineChars="100" w:firstLine="240"/>
        <w:jc w:val="both"/>
        <w:rPr>
          <w:rFonts w:ascii="Book Antiqua" w:hAnsi="Book Antiqua" w:cs="Arial"/>
          <w:lang w:val="en-US"/>
        </w:rPr>
      </w:pPr>
    </w:p>
    <w:p w14:paraId="46B2D888" w14:textId="77777777" w:rsidR="00CF1178" w:rsidRPr="006C44DB" w:rsidRDefault="00CF1178" w:rsidP="001734D6">
      <w:pPr>
        <w:pStyle w:val="NormalWeb"/>
        <w:spacing w:before="0" w:beforeAutospacing="0" w:after="0" w:afterAutospacing="0" w:line="360" w:lineRule="auto"/>
        <w:jc w:val="both"/>
        <w:rPr>
          <w:rFonts w:ascii="Book Antiqua" w:hAnsi="Book Antiqua" w:cs="Arial"/>
          <w:lang w:val="en-US"/>
        </w:rPr>
      </w:pPr>
      <w:r w:rsidRPr="006C44DB">
        <w:rPr>
          <w:rFonts w:ascii="Book Antiqua" w:hAnsi="Book Antiqua" w:cs="Arial"/>
          <w:b/>
          <w:bCs/>
          <w:i/>
          <w:iCs/>
          <w:lang w:val="en-US"/>
        </w:rPr>
        <w:t xml:space="preserve">Physical examination </w:t>
      </w:r>
    </w:p>
    <w:p w14:paraId="5629B4BE" w14:textId="73ED6DFC" w:rsidR="00CF1178" w:rsidRDefault="00CF1178" w:rsidP="001734D6">
      <w:pPr>
        <w:pStyle w:val="NormalWeb"/>
        <w:spacing w:before="0" w:beforeAutospacing="0" w:after="0" w:afterAutospacing="0" w:line="360" w:lineRule="auto"/>
        <w:jc w:val="both"/>
        <w:rPr>
          <w:rFonts w:ascii="Book Antiqua" w:hAnsi="Book Antiqua" w:cs="Arial"/>
          <w:lang w:val="en-US"/>
        </w:rPr>
      </w:pPr>
      <w:r w:rsidRPr="006C44DB">
        <w:rPr>
          <w:rFonts w:ascii="Book Antiqua" w:hAnsi="Book Antiqua" w:cs="Arial"/>
          <w:lang w:val="en-US"/>
        </w:rPr>
        <w:lastRenderedPageBreak/>
        <w:t>On presentation her vital signs were temperature of 36°C, pulse of 120 bpm, respiratory rate of 20 rpm, blood pressure of 80/50 mmHg, and oxygen saturation of 92%.  On general physical examination she looked pale and dehydrated. Abdominal examination revealed non-distended, soft, non-tender abdomen with normal bowel sounds. Rect</w:t>
      </w:r>
      <w:r w:rsidR="00A727FB" w:rsidRPr="006C44DB">
        <w:rPr>
          <w:rFonts w:ascii="Book Antiqua" w:hAnsi="Book Antiqua" w:cs="Arial"/>
          <w:lang w:val="en-US"/>
        </w:rPr>
        <w:t>al examination revealed</w:t>
      </w:r>
      <w:r w:rsidRPr="006C44DB">
        <w:rPr>
          <w:rFonts w:ascii="Book Antiqua" w:hAnsi="Book Antiqua" w:cs="Arial"/>
          <w:lang w:val="en-US"/>
        </w:rPr>
        <w:t xml:space="preserve"> bright blood with clots. The cardiovascular, pulmonary and neurological examination was unremarkable. </w:t>
      </w:r>
    </w:p>
    <w:p w14:paraId="76A14166" w14:textId="77777777" w:rsidR="00850C10" w:rsidRPr="006C44DB" w:rsidRDefault="00850C10" w:rsidP="001734D6">
      <w:pPr>
        <w:pStyle w:val="NormalWeb"/>
        <w:spacing w:before="0" w:beforeAutospacing="0" w:after="0" w:afterAutospacing="0" w:line="360" w:lineRule="auto"/>
        <w:jc w:val="both"/>
        <w:rPr>
          <w:rFonts w:ascii="Book Antiqua" w:hAnsi="Book Antiqua" w:cs="Arial"/>
          <w:lang w:val="en-US"/>
        </w:rPr>
      </w:pPr>
    </w:p>
    <w:p w14:paraId="1907C6FA" w14:textId="77777777" w:rsidR="00CF1178" w:rsidRPr="006C44DB" w:rsidRDefault="00CF1178" w:rsidP="001734D6">
      <w:pPr>
        <w:spacing w:line="360" w:lineRule="auto"/>
        <w:jc w:val="both"/>
        <w:rPr>
          <w:rFonts w:ascii="Book Antiqua" w:eastAsia="Times New Roman" w:hAnsi="Book Antiqua" w:cs="Arial"/>
          <w:b/>
          <w:bCs/>
          <w:i/>
          <w:iCs/>
          <w:lang w:val="en-US" w:eastAsia="es-ES_tradnl"/>
        </w:rPr>
      </w:pPr>
      <w:r w:rsidRPr="006C44DB">
        <w:rPr>
          <w:rFonts w:ascii="Book Antiqua" w:eastAsia="Times New Roman" w:hAnsi="Book Antiqua" w:cs="Arial"/>
          <w:b/>
          <w:bCs/>
          <w:i/>
          <w:iCs/>
          <w:lang w:val="en-US" w:eastAsia="es-ES_tradnl"/>
        </w:rPr>
        <w:t>Laboratory examinations</w:t>
      </w:r>
    </w:p>
    <w:p w14:paraId="5A691227" w14:textId="521C6CD8" w:rsidR="00CF1178" w:rsidRDefault="00CF1178" w:rsidP="001734D6">
      <w:pPr>
        <w:pStyle w:val="NormalWeb"/>
        <w:spacing w:before="0" w:beforeAutospacing="0" w:after="0" w:afterAutospacing="0" w:line="360" w:lineRule="auto"/>
        <w:jc w:val="both"/>
        <w:rPr>
          <w:rFonts w:ascii="Book Antiqua" w:hAnsi="Book Antiqua" w:cs="Arial"/>
          <w:lang w:val="en-US"/>
        </w:rPr>
      </w:pPr>
      <w:r w:rsidRPr="006C44DB">
        <w:rPr>
          <w:rFonts w:ascii="Book Antiqua" w:hAnsi="Book Antiqua" w:cs="Arial"/>
          <w:lang w:val="en-US"/>
        </w:rPr>
        <w:t>Complete blood count analysis revealed hemoglobin of 6.7 g/dL, normal platelet count (193000/mm</w:t>
      </w:r>
      <w:r w:rsidRPr="006C44DB">
        <w:rPr>
          <w:rFonts w:ascii="Book Antiqua" w:hAnsi="Book Antiqua" w:cs="Arial"/>
          <w:vertAlign w:val="superscript"/>
          <w:lang w:val="en-US"/>
        </w:rPr>
        <w:t>3</w:t>
      </w:r>
      <w:r w:rsidRPr="006C44DB">
        <w:rPr>
          <w:rFonts w:ascii="Book Antiqua" w:hAnsi="Book Antiqua" w:cs="Arial"/>
          <w:lang w:val="en-US"/>
        </w:rPr>
        <w:t>), partial thromboplastin time of 42 s (RV 25-33), prothrombin time of 20 s (RV 11-15), and international normalized ratio 1.86.</w:t>
      </w:r>
    </w:p>
    <w:p w14:paraId="54E0E559" w14:textId="77777777" w:rsidR="00850C10" w:rsidRPr="006C44DB" w:rsidRDefault="00850C10" w:rsidP="001734D6">
      <w:pPr>
        <w:pStyle w:val="NormalWeb"/>
        <w:spacing w:before="0" w:beforeAutospacing="0" w:after="0" w:afterAutospacing="0" w:line="360" w:lineRule="auto"/>
        <w:jc w:val="both"/>
        <w:rPr>
          <w:rFonts w:ascii="Book Antiqua" w:hAnsi="Book Antiqua" w:cs="Arial"/>
          <w:lang w:val="en-US"/>
        </w:rPr>
      </w:pPr>
    </w:p>
    <w:p w14:paraId="0BEA37E4" w14:textId="77777777" w:rsidR="00CF1178" w:rsidRPr="006C44DB" w:rsidRDefault="00CF1178" w:rsidP="001734D6">
      <w:pPr>
        <w:pStyle w:val="NormalWeb"/>
        <w:spacing w:before="0" w:beforeAutospacing="0" w:after="0" w:afterAutospacing="0" w:line="360" w:lineRule="auto"/>
        <w:jc w:val="both"/>
        <w:rPr>
          <w:rFonts w:ascii="Book Antiqua" w:hAnsi="Book Antiqua" w:cs="Arial"/>
          <w:lang w:val="en-US"/>
        </w:rPr>
      </w:pPr>
      <w:r w:rsidRPr="006C44DB">
        <w:rPr>
          <w:rFonts w:ascii="Book Antiqua" w:hAnsi="Book Antiqua" w:cs="Arial"/>
          <w:b/>
          <w:bCs/>
          <w:i/>
          <w:iCs/>
          <w:lang w:val="en-US"/>
        </w:rPr>
        <w:t xml:space="preserve">Imaging examinations </w:t>
      </w:r>
    </w:p>
    <w:p w14:paraId="336ED183" w14:textId="27887BCD" w:rsidR="00CF1178" w:rsidRDefault="00CF1178" w:rsidP="001734D6">
      <w:pPr>
        <w:pStyle w:val="NormalWeb"/>
        <w:spacing w:before="0" w:beforeAutospacing="0" w:after="0" w:afterAutospacing="0" w:line="360" w:lineRule="auto"/>
        <w:jc w:val="both"/>
        <w:rPr>
          <w:rFonts w:ascii="Book Antiqua" w:hAnsi="Book Antiqua" w:cs="Arial"/>
          <w:bCs/>
          <w:iCs/>
          <w:color w:val="000000" w:themeColor="text1"/>
          <w:lang w:val="en-US"/>
        </w:rPr>
      </w:pPr>
      <w:r w:rsidRPr="006C44DB">
        <w:rPr>
          <w:rFonts w:ascii="Book Antiqua" w:hAnsi="Book Antiqua" w:cs="Arial"/>
          <w:bCs/>
          <w:iCs/>
          <w:lang w:val="en-US"/>
        </w:rPr>
        <w:t>Urgen</w:t>
      </w:r>
      <w:r w:rsidR="00A727FB" w:rsidRPr="006C44DB">
        <w:rPr>
          <w:rFonts w:ascii="Book Antiqua" w:hAnsi="Book Antiqua" w:cs="Arial"/>
          <w:bCs/>
          <w:iCs/>
          <w:lang w:val="en-US"/>
        </w:rPr>
        <w:t xml:space="preserve">t colonoscopy findings were </w:t>
      </w:r>
      <w:r w:rsidRPr="006C44DB">
        <w:rPr>
          <w:rFonts w:ascii="Book Antiqua" w:hAnsi="Book Antiqua" w:cs="Arial"/>
          <w:bCs/>
          <w:iCs/>
          <w:lang w:val="en-US"/>
        </w:rPr>
        <w:t xml:space="preserve">active bleeding from small bulgy vessel with minimal surrounding erosion and no ulcerative lesions </w:t>
      </w:r>
      <w:r w:rsidRPr="006C44DB">
        <w:rPr>
          <w:rFonts w:ascii="Book Antiqua" w:hAnsi="Book Antiqua" w:cs="Arial"/>
          <w:color w:val="000000" w:themeColor="text1"/>
          <w:lang w:val="en-US"/>
        </w:rPr>
        <w:t>(Figure 1)</w:t>
      </w:r>
      <w:r w:rsidRPr="006C44DB">
        <w:rPr>
          <w:rFonts w:ascii="Book Antiqua" w:hAnsi="Book Antiqua" w:cs="Arial"/>
          <w:bCs/>
          <w:iCs/>
          <w:color w:val="000000" w:themeColor="text1"/>
          <w:lang w:val="en-US"/>
        </w:rPr>
        <w:t>.</w:t>
      </w:r>
    </w:p>
    <w:p w14:paraId="3A023F70" w14:textId="77777777" w:rsidR="00850C10" w:rsidRPr="006C44DB" w:rsidRDefault="00850C10" w:rsidP="001734D6">
      <w:pPr>
        <w:pStyle w:val="NormalWeb"/>
        <w:spacing w:before="0" w:beforeAutospacing="0" w:after="0" w:afterAutospacing="0" w:line="360" w:lineRule="auto"/>
        <w:jc w:val="both"/>
        <w:rPr>
          <w:rFonts w:ascii="Book Antiqua" w:hAnsi="Book Antiqua" w:cs="Arial"/>
          <w:bCs/>
          <w:iCs/>
          <w:lang w:val="en-US"/>
        </w:rPr>
      </w:pPr>
    </w:p>
    <w:p w14:paraId="3D686475" w14:textId="7BEF9055" w:rsidR="00CF1178" w:rsidRPr="004B346F" w:rsidRDefault="004B346F" w:rsidP="001734D6">
      <w:pPr>
        <w:pStyle w:val="NormalWeb"/>
        <w:spacing w:before="0" w:beforeAutospacing="0" w:after="0" w:afterAutospacing="0" w:line="360" w:lineRule="auto"/>
        <w:jc w:val="both"/>
        <w:rPr>
          <w:rFonts w:ascii="Book Antiqua" w:hAnsi="Book Antiqua" w:cs="Arial"/>
          <w:b/>
          <w:bCs/>
          <w:iCs/>
          <w:lang w:val="en-US"/>
        </w:rPr>
      </w:pPr>
      <w:r w:rsidRPr="004B346F">
        <w:rPr>
          <w:rFonts w:ascii="Book Antiqua" w:hAnsi="Book Antiqua" w:cs="Arial"/>
          <w:b/>
          <w:bCs/>
          <w:iCs/>
          <w:lang w:val="en-US"/>
        </w:rPr>
        <w:t xml:space="preserve">FINAL DIAGNOSIS </w:t>
      </w:r>
    </w:p>
    <w:p w14:paraId="68E2BC7C" w14:textId="445AC7DF" w:rsidR="00CF1178" w:rsidRDefault="00CF1178" w:rsidP="001734D6">
      <w:pPr>
        <w:pStyle w:val="NormalWeb"/>
        <w:spacing w:before="0" w:beforeAutospacing="0" w:after="0" w:afterAutospacing="0" w:line="360" w:lineRule="auto"/>
        <w:jc w:val="both"/>
        <w:rPr>
          <w:rFonts w:ascii="Book Antiqua" w:hAnsi="Book Antiqua" w:cs="Arial"/>
          <w:lang w:val="en-US"/>
        </w:rPr>
      </w:pPr>
      <w:r w:rsidRPr="006C44DB">
        <w:rPr>
          <w:rFonts w:ascii="Book Antiqua" w:hAnsi="Book Antiqua" w:cs="Arial"/>
          <w:lang w:val="en-US"/>
        </w:rPr>
        <w:t>The final diagnosis of the presen</w:t>
      </w:r>
      <w:r w:rsidR="005E08F3" w:rsidRPr="006C44DB">
        <w:rPr>
          <w:rFonts w:ascii="Book Antiqua" w:hAnsi="Book Antiqua" w:cs="Arial"/>
          <w:lang w:val="en-US"/>
        </w:rPr>
        <w:t xml:space="preserve">ted case was a </w:t>
      </w:r>
      <w:r w:rsidR="00CA3387">
        <w:rPr>
          <w:rFonts w:ascii="Book Antiqua" w:hAnsi="Book Antiqua" w:cs="Arial"/>
          <w:lang w:val="en-US"/>
        </w:rPr>
        <w:t>RDL</w:t>
      </w:r>
      <w:r w:rsidRPr="006C44DB">
        <w:rPr>
          <w:rFonts w:ascii="Book Antiqua" w:hAnsi="Book Antiqua" w:cs="Arial"/>
          <w:lang w:val="en-US"/>
        </w:rPr>
        <w:t>.</w:t>
      </w:r>
    </w:p>
    <w:p w14:paraId="11A18D6C" w14:textId="77777777" w:rsidR="00850C10" w:rsidRPr="006C44DB" w:rsidRDefault="00850C10" w:rsidP="001734D6">
      <w:pPr>
        <w:pStyle w:val="NormalWeb"/>
        <w:spacing w:before="0" w:beforeAutospacing="0" w:after="0" w:afterAutospacing="0" w:line="360" w:lineRule="auto"/>
        <w:jc w:val="both"/>
        <w:rPr>
          <w:rFonts w:ascii="Book Antiqua" w:hAnsi="Book Antiqua" w:cs="Arial"/>
          <w:lang w:val="en-US"/>
        </w:rPr>
      </w:pPr>
    </w:p>
    <w:p w14:paraId="5D65D509" w14:textId="5EFFD085" w:rsidR="00CF1178" w:rsidRPr="004B346F" w:rsidRDefault="004B346F" w:rsidP="001734D6">
      <w:pPr>
        <w:pStyle w:val="NormalWeb"/>
        <w:spacing w:before="0" w:beforeAutospacing="0" w:after="0" w:afterAutospacing="0" w:line="360" w:lineRule="auto"/>
        <w:jc w:val="both"/>
        <w:rPr>
          <w:rFonts w:ascii="Book Antiqua" w:hAnsi="Book Antiqua" w:cs="Arial"/>
          <w:lang w:val="en-US"/>
        </w:rPr>
      </w:pPr>
      <w:r w:rsidRPr="004B346F">
        <w:rPr>
          <w:rFonts w:ascii="Book Antiqua" w:hAnsi="Book Antiqua" w:cs="Arial"/>
          <w:b/>
          <w:bCs/>
          <w:iCs/>
          <w:lang w:val="en-US"/>
        </w:rPr>
        <w:t xml:space="preserve">TREATMENT </w:t>
      </w:r>
    </w:p>
    <w:p w14:paraId="26AA9B01" w14:textId="7DBB2D18" w:rsidR="00CF1178" w:rsidRDefault="00CF1178" w:rsidP="001734D6">
      <w:pPr>
        <w:spacing w:line="360" w:lineRule="auto"/>
        <w:jc w:val="both"/>
        <w:rPr>
          <w:rFonts w:ascii="Book Antiqua" w:hAnsi="Book Antiqua" w:cs="Arial"/>
          <w:lang w:val="en-US"/>
        </w:rPr>
      </w:pPr>
      <w:r w:rsidRPr="006C44DB">
        <w:rPr>
          <w:rFonts w:ascii="Book Antiqua" w:hAnsi="Book Antiqua" w:cs="Arial"/>
          <w:lang w:val="en-US"/>
        </w:rPr>
        <w:t xml:space="preserve">For the management of the hypovolemic shock, proper resuscitation with crystalloids, transfusion of packed red blood cells and vasoactive agents was performed. After hemodynamic stabilization, endoscopic therapy with two </w:t>
      </w:r>
      <w:proofErr w:type="spellStart"/>
      <w:r w:rsidRPr="006C44DB">
        <w:rPr>
          <w:rFonts w:ascii="Book Antiqua" w:hAnsi="Book Antiqua" w:cs="Arial"/>
          <w:lang w:val="en-US"/>
        </w:rPr>
        <w:t>hemoclips</w:t>
      </w:r>
      <w:proofErr w:type="spellEnd"/>
      <w:r w:rsidRPr="006C44DB">
        <w:rPr>
          <w:rFonts w:ascii="Book Antiqua" w:hAnsi="Book Antiqua" w:cs="Arial"/>
          <w:lang w:val="en-US"/>
        </w:rPr>
        <w:t xml:space="preserve"> (Figure 2) was done.</w:t>
      </w:r>
    </w:p>
    <w:p w14:paraId="10BDDFCB" w14:textId="77777777" w:rsidR="00850C10" w:rsidRPr="006C44DB" w:rsidRDefault="00850C10" w:rsidP="001734D6">
      <w:pPr>
        <w:spacing w:line="360" w:lineRule="auto"/>
        <w:jc w:val="both"/>
        <w:rPr>
          <w:rFonts w:ascii="Book Antiqua" w:hAnsi="Book Antiqua" w:cs="Arial"/>
          <w:lang w:val="en-US"/>
        </w:rPr>
      </w:pPr>
    </w:p>
    <w:p w14:paraId="7A093BF1" w14:textId="5F788C0D" w:rsidR="00CF1178" w:rsidRPr="004B346F" w:rsidRDefault="004B346F" w:rsidP="001734D6">
      <w:pPr>
        <w:pStyle w:val="NormalWeb"/>
        <w:spacing w:before="0" w:beforeAutospacing="0" w:after="0" w:afterAutospacing="0" w:line="360" w:lineRule="auto"/>
        <w:jc w:val="both"/>
        <w:rPr>
          <w:rFonts w:ascii="Book Antiqua" w:hAnsi="Book Antiqua" w:cs="Arial"/>
          <w:b/>
          <w:bCs/>
          <w:iCs/>
          <w:lang w:val="en-US"/>
        </w:rPr>
      </w:pPr>
      <w:r w:rsidRPr="004B346F">
        <w:rPr>
          <w:rFonts w:ascii="Book Antiqua" w:hAnsi="Book Antiqua" w:cs="Arial"/>
          <w:b/>
          <w:bCs/>
          <w:iCs/>
          <w:lang w:val="en-US"/>
        </w:rPr>
        <w:t>OUTCOME AND FOLLOW-UP</w:t>
      </w:r>
    </w:p>
    <w:p w14:paraId="4F4D90CC" w14:textId="5F3F1BC7" w:rsidR="00CF1178" w:rsidRDefault="00CF1178" w:rsidP="001734D6">
      <w:pPr>
        <w:pStyle w:val="NormalWeb"/>
        <w:spacing w:before="0" w:beforeAutospacing="0" w:after="0" w:afterAutospacing="0" w:line="360" w:lineRule="auto"/>
        <w:jc w:val="both"/>
        <w:rPr>
          <w:rFonts w:ascii="Book Antiqua" w:hAnsi="Book Antiqua" w:cs="Arial"/>
          <w:color w:val="000000" w:themeColor="text1"/>
          <w:lang w:val="en-US"/>
        </w:rPr>
      </w:pPr>
      <w:r w:rsidRPr="006C44DB">
        <w:rPr>
          <w:rFonts w:ascii="Book Antiqua" w:hAnsi="Book Antiqua" w:cs="Arial"/>
          <w:lang w:val="en-US"/>
        </w:rPr>
        <w:lastRenderedPageBreak/>
        <w:t xml:space="preserve">Immediate hemostasis was achieved with endoscopic management, and on the fifth day the patient was discharged. </w:t>
      </w:r>
      <w:r w:rsidRPr="006C44DB">
        <w:rPr>
          <w:rFonts w:ascii="Book Antiqua" w:hAnsi="Book Antiqua" w:cs="Arial"/>
          <w:color w:val="000000" w:themeColor="text1"/>
          <w:lang w:val="en-US"/>
        </w:rPr>
        <w:t>There were no signs of recurrent bleeding at thirty days of follow-up.</w:t>
      </w:r>
    </w:p>
    <w:p w14:paraId="13198181" w14:textId="77777777" w:rsidR="00850C10" w:rsidRPr="006C44DB" w:rsidRDefault="00850C10" w:rsidP="001734D6">
      <w:pPr>
        <w:pStyle w:val="NormalWeb"/>
        <w:spacing w:before="0" w:beforeAutospacing="0" w:after="0" w:afterAutospacing="0" w:line="360" w:lineRule="auto"/>
        <w:jc w:val="both"/>
        <w:rPr>
          <w:rFonts w:ascii="Book Antiqua" w:hAnsi="Book Antiqua" w:cs="Arial"/>
          <w:lang w:val="en-US"/>
        </w:rPr>
      </w:pPr>
    </w:p>
    <w:p w14:paraId="6DB8D2E0" w14:textId="77777777" w:rsidR="00CF1178" w:rsidRPr="006C44DB" w:rsidRDefault="00CF1178" w:rsidP="001734D6">
      <w:pPr>
        <w:pStyle w:val="NormalWeb"/>
        <w:spacing w:before="0" w:beforeAutospacing="0" w:after="0" w:afterAutospacing="0" w:line="360" w:lineRule="auto"/>
        <w:jc w:val="both"/>
        <w:rPr>
          <w:rFonts w:ascii="Book Antiqua" w:hAnsi="Book Antiqua" w:cs="Arial"/>
          <w:b/>
          <w:bCs/>
          <w:lang w:val="en-US"/>
        </w:rPr>
      </w:pPr>
      <w:r w:rsidRPr="006C44DB">
        <w:rPr>
          <w:rFonts w:ascii="Book Antiqua" w:hAnsi="Book Antiqua" w:cs="Arial"/>
          <w:b/>
          <w:bCs/>
          <w:lang w:val="en-US"/>
        </w:rPr>
        <w:t xml:space="preserve">DISCUSSION </w:t>
      </w:r>
    </w:p>
    <w:p w14:paraId="667EC360" w14:textId="36B9CBD4" w:rsidR="00CF1178" w:rsidRPr="006C44DB" w:rsidRDefault="007A7C3A" w:rsidP="001734D6">
      <w:pPr>
        <w:pStyle w:val="NormalWeb"/>
        <w:spacing w:before="0" w:beforeAutospacing="0" w:after="0" w:afterAutospacing="0" w:line="360" w:lineRule="auto"/>
        <w:jc w:val="both"/>
        <w:rPr>
          <w:rFonts w:ascii="Book Antiqua" w:hAnsi="Book Antiqua" w:cs="Arial"/>
          <w:bCs/>
          <w:lang w:val="en-US"/>
        </w:rPr>
      </w:pPr>
      <w:r w:rsidRPr="006C44DB">
        <w:rPr>
          <w:rFonts w:ascii="Book Antiqua" w:hAnsi="Book Antiqua" w:cs="Arial"/>
          <w:lang w:val="en-US"/>
        </w:rPr>
        <w:t>DL</w:t>
      </w:r>
      <w:r>
        <w:rPr>
          <w:rFonts w:ascii="Book Antiqua" w:hAnsi="Book Antiqua" w:cs="Arial"/>
          <w:lang w:val="en-US"/>
        </w:rPr>
        <w:t>s</w:t>
      </w:r>
      <w:r w:rsidR="00CF1178" w:rsidRPr="006C44DB">
        <w:rPr>
          <w:rFonts w:ascii="Book Antiqua" w:hAnsi="Book Antiqua" w:cs="Arial"/>
          <w:bCs/>
          <w:lang w:val="en-US"/>
        </w:rPr>
        <w:t xml:space="preserve"> represent an unusual cause of non-variceal gastrointestinal bleeding, accounting for less than 5% of all cases. More than 90% of these lesions are located at the esophagus, stomach and duodenum; only 2% are found at the rectum. The most relevant histological findings are aneurysm and inflammation, but a biopsy is not usually </w:t>
      </w:r>
      <w:proofErr w:type="gramStart"/>
      <w:r w:rsidR="00CF1178" w:rsidRPr="006C44DB">
        <w:rPr>
          <w:rFonts w:ascii="Book Antiqua" w:hAnsi="Book Antiqua" w:cs="Arial"/>
          <w:bCs/>
          <w:lang w:val="en-US"/>
        </w:rPr>
        <w:t>necessary</w:t>
      </w:r>
      <w:r w:rsidR="00A83D2A" w:rsidRPr="006C44DB">
        <w:rPr>
          <w:rFonts w:ascii="Book Antiqua" w:hAnsi="Book Antiqua" w:cs="Arial"/>
          <w:bCs/>
          <w:vertAlign w:val="superscript"/>
          <w:lang w:val="en-US"/>
        </w:rPr>
        <w:t>[</w:t>
      </w:r>
      <w:proofErr w:type="gramEnd"/>
      <w:r w:rsidR="00A83D2A" w:rsidRPr="006C44DB">
        <w:rPr>
          <w:rFonts w:ascii="Book Antiqua" w:hAnsi="Book Antiqua" w:cs="Arial"/>
          <w:bCs/>
          <w:color w:val="000000" w:themeColor="text1"/>
          <w:vertAlign w:val="superscript"/>
          <w:lang w:val="en-US"/>
        </w:rPr>
        <w:t>2]</w:t>
      </w:r>
      <w:r w:rsidR="00CF1178" w:rsidRPr="006C44DB">
        <w:rPr>
          <w:rFonts w:ascii="Book Antiqua" w:hAnsi="Book Antiqua" w:cs="Arial"/>
          <w:bCs/>
          <w:lang w:val="en-US"/>
        </w:rPr>
        <w:t>.</w:t>
      </w:r>
      <w:r w:rsidR="00CF1178" w:rsidRPr="006C44DB">
        <w:rPr>
          <w:rFonts w:ascii="Book Antiqua" w:hAnsi="Book Antiqua" w:cs="Arial"/>
          <w:bCs/>
          <w:vertAlign w:val="superscript"/>
          <w:lang w:val="en-US"/>
        </w:rPr>
        <w:t xml:space="preserve"> </w:t>
      </w:r>
      <w:r w:rsidR="00CF1178" w:rsidRPr="006C44DB">
        <w:rPr>
          <w:rFonts w:ascii="Book Antiqua" w:hAnsi="Book Antiqua" w:cs="Arial"/>
          <w:bCs/>
          <w:lang w:val="en-US"/>
        </w:rPr>
        <w:t>The reference standard for diagnosis is endoscopy. Common findings include a small, usually less than 3</w:t>
      </w:r>
      <w:r w:rsidR="00850C10">
        <w:rPr>
          <w:rFonts w:ascii="Book Antiqua" w:hAnsi="Book Antiqua" w:cs="Arial"/>
          <w:bCs/>
          <w:lang w:val="en-US"/>
        </w:rPr>
        <w:t xml:space="preserve"> </w:t>
      </w:r>
      <w:r w:rsidR="00CF1178" w:rsidRPr="006C44DB">
        <w:rPr>
          <w:rFonts w:ascii="Book Antiqua" w:hAnsi="Book Antiqua" w:cs="Arial"/>
          <w:bCs/>
          <w:lang w:val="en-US"/>
        </w:rPr>
        <w:t xml:space="preserve">mm, protruding pulsatile lesion surrounded by normal mucosa, with or without active </w:t>
      </w:r>
      <w:proofErr w:type="gramStart"/>
      <w:r w:rsidR="00CF1178" w:rsidRPr="006C44DB">
        <w:rPr>
          <w:rFonts w:ascii="Book Antiqua" w:hAnsi="Book Antiqua" w:cs="Arial"/>
          <w:bCs/>
          <w:lang w:val="en-US"/>
        </w:rPr>
        <w:t>bleeding</w:t>
      </w:r>
      <w:r w:rsidR="00850C10" w:rsidRPr="006C44DB">
        <w:rPr>
          <w:rFonts w:ascii="Book Antiqua" w:hAnsi="Book Antiqua" w:cs="Arial"/>
          <w:bCs/>
          <w:vertAlign w:val="superscript"/>
          <w:lang w:val="en-US"/>
        </w:rPr>
        <w:t>[</w:t>
      </w:r>
      <w:proofErr w:type="gramEnd"/>
      <w:r w:rsidR="00850C10" w:rsidRPr="006C44DB">
        <w:rPr>
          <w:rFonts w:ascii="Book Antiqua" w:hAnsi="Book Antiqua" w:cs="Arial"/>
          <w:bCs/>
          <w:color w:val="000000" w:themeColor="text1"/>
          <w:vertAlign w:val="superscript"/>
          <w:lang w:val="en-US"/>
        </w:rPr>
        <w:t>3]</w:t>
      </w:r>
      <w:r w:rsidR="00CF1178" w:rsidRPr="006C44DB">
        <w:rPr>
          <w:rFonts w:ascii="Book Antiqua" w:hAnsi="Book Antiqua" w:cs="Arial"/>
          <w:bCs/>
          <w:lang w:val="en-US"/>
        </w:rPr>
        <w:t>.</w:t>
      </w:r>
    </w:p>
    <w:p w14:paraId="281A1836" w14:textId="25257136" w:rsidR="00CF1178" w:rsidRPr="006C44DB" w:rsidRDefault="00CF1178" w:rsidP="001734D6">
      <w:pPr>
        <w:pStyle w:val="NormalWeb"/>
        <w:spacing w:before="0" w:beforeAutospacing="0" w:after="0" w:afterAutospacing="0" w:line="360" w:lineRule="auto"/>
        <w:ind w:firstLineChars="100" w:firstLine="240"/>
        <w:jc w:val="both"/>
        <w:rPr>
          <w:rFonts w:ascii="Book Antiqua" w:hAnsi="Book Antiqua" w:cs="Arial"/>
          <w:bCs/>
          <w:color w:val="FF0000"/>
          <w:lang w:val="en-US"/>
        </w:rPr>
      </w:pPr>
      <w:r w:rsidRPr="006C44DB">
        <w:rPr>
          <w:rFonts w:ascii="Book Antiqua" w:hAnsi="Book Antiqua" w:cs="Arial"/>
          <w:bCs/>
          <w:lang w:val="en-US"/>
        </w:rPr>
        <w:t xml:space="preserve">Unlike the manifestations described in other parts of the digestive tract, RDL </w:t>
      </w:r>
      <w:r w:rsidRPr="006C44DB">
        <w:rPr>
          <w:bCs/>
          <w:lang w:val="en-US"/>
        </w:rPr>
        <w:t>​</w:t>
      </w:r>
      <w:r w:rsidRPr="006C44DB">
        <w:rPr>
          <w:rFonts w:ascii="Book Antiqua" w:hAnsi="Book Antiqua" w:cs="Arial"/>
          <w:bCs/>
          <w:lang w:val="en-US"/>
        </w:rPr>
        <w:t xml:space="preserve"> usually present with </w:t>
      </w:r>
      <w:proofErr w:type="spellStart"/>
      <w:r w:rsidRPr="006C44DB">
        <w:rPr>
          <w:rFonts w:ascii="Book Antiqua" w:hAnsi="Book Antiqua" w:cs="Arial"/>
          <w:bCs/>
          <w:lang w:val="en-US"/>
        </w:rPr>
        <w:t>rectorrhagia</w:t>
      </w:r>
      <w:proofErr w:type="spellEnd"/>
      <w:r w:rsidRPr="006C44DB">
        <w:rPr>
          <w:rFonts w:ascii="Book Antiqua" w:hAnsi="Book Antiqua" w:cs="Arial"/>
          <w:bCs/>
          <w:lang w:val="en-US"/>
        </w:rPr>
        <w:t xml:space="preserve"> or </w:t>
      </w:r>
      <w:proofErr w:type="spellStart"/>
      <w:r w:rsidRPr="006C44DB">
        <w:rPr>
          <w:rFonts w:ascii="Book Antiqua" w:hAnsi="Book Antiqua" w:cs="Arial"/>
          <w:bCs/>
          <w:lang w:val="en-US"/>
        </w:rPr>
        <w:t>hematoquezia</w:t>
      </w:r>
      <w:proofErr w:type="spellEnd"/>
      <w:r w:rsidRPr="006C44DB">
        <w:rPr>
          <w:rFonts w:ascii="Book Antiqua" w:hAnsi="Book Antiqua" w:cs="Arial"/>
          <w:bCs/>
          <w:lang w:val="en-US"/>
        </w:rPr>
        <w:t xml:space="preserve">. There are previous case reports of profuse rectal </w:t>
      </w:r>
      <w:r w:rsidR="00F24298" w:rsidRPr="006C44DB">
        <w:rPr>
          <w:rFonts w:ascii="Book Antiqua" w:hAnsi="Book Antiqua" w:cs="Arial"/>
          <w:bCs/>
          <w:lang w:val="en-US"/>
        </w:rPr>
        <w:t>bleeding, but most of them didn'</w:t>
      </w:r>
      <w:r w:rsidRPr="006C44DB">
        <w:rPr>
          <w:rFonts w:ascii="Book Antiqua" w:hAnsi="Book Antiqua" w:cs="Arial"/>
          <w:bCs/>
          <w:lang w:val="en-US"/>
        </w:rPr>
        <w:t xml:space="preserve">t evolve to hypovolemic shock as occurred with our patient. A computed tomography angiography was canceled due to hemodynamic instability in the CT-room. This hemodynamic instability can impact in the morbidity and mortality of these </w:t>
      </w:r>
      <w:proofErr w:type="gramStart"/>
      <w:r w:rsidRPr="006C44DB">
        <w:rPr>
          <w:rFonts w:ascii="Book Antiqua" w:hAnsi="Book Antiqua" w:cs="Arial"/>
          <w:bCs/>
          <w:lang w:val="en-US"/>
        </w:rPr>
        <w:t>patients</w:t>
      </w:r>
      <w:r w:rsidR="00850C10" w:rsidRPr="006C44DB">
        <w:rPr>
          <w:rFonts w:ascii="Book Antiqua" w:hAnsi="Book Antiqua" w:cs="Arial"/>
          <w:bCs/>
          <w:vertAlign w:val="superscript"/>
          <w:lang w:val="en-US"/>
        </w:rPr>
        <w:t>[</w:t>
      </w:r>
      <w:proofErr w:type="gramEnd"/>
      <w:r w:rsidR="00850C10" w:rsidRPr="006C44DB">
        <w:rPr>
          <w:rFonts w:ascii="Book Antiqua" w:hAnsi="Book Antiqua" w:cs="Arial"/>
          <w:bCs/>
          <w:color w:val="000000" w:themeColor="text1"/>
          <w:vertAlign w:val="superscript"/>
          <w:lang w:val="en-US"/>
        </w:rPr>
        <w:t>4,5]</w:t>
      </w:r>
      <w:r w:rsidRPr="006C44DB">
        <w:rPr>
          <w:rFonts w:ascii="Book Antiqua" w:hAnsi="Book Antiqua" w:cs="Arial"/>
          <w:bCs/>
          <w:lang w:val="en-US"/>
        </w:rPr>
        <w:t>.</w:t>
      </w:r>
      <w:r w:rsidRPr="006C44DB">
        <w:rPr>
          <w:rFonts w:ascii="Book Antiqua" w:hAnsi="Book Antiqua" w:cs="Arial"/>
          <w:bCs/>
          <w:vertAlign w:val="superscript"/>
          <w:lang w:val="en-US"/>
        </w:rPr>
        <w:t xml:space="preserve"> </w:t>
      </w:r>
    </w:p>
    <w:p w14:paraId="0C1F9D65" w14:textId="0E83D945" w:rsidR="00CF1178" w:rsidRPr="006C44DB" w:rsidRDefault="00CF1178" w:rsidP="001734D6">
      <w:pPr>
        <w:pStyle w:val="NormalWeb"/>
        <w:spacing w:before="0" w:beforeAutospacing="0" w:after="0" w:afterAutospacing="0" w:line="360" w:lineRule="auto"/>
        <w:ind w:firstLineChars="100" w:firstLine="240"/>
        <w:jc w:val="both"/>
        <w:rPr>
          <w:rFonts w:ascii="Book Antiqua" w:hAnsi="Book Antiqua" w:cs="Arial"/>
          <w:bCs/>
          <w:lang w:val="en-US"/>
        </w:rPr>
      </w:pPr>
      <w:r w:rsidRPr="006C44DB">
        <w:rPr>
          <w:rFonts w:ascii="Book Antiqua" w:hAnsi="Book Antiqua" w:cs="Arial"/>
          <w:bCs/>
          <w:lang w:val="en-US"/>
        </w:rPr>
        <w:t>If technically feasible, the first line of treatment is endoscopic hemostasis. The European Gastrointestinal Endoscopy Society (ESGE) recommends endoscopic</w:t>
      </w:r>
      <w:r w:rsidR="00A727FB" w:rsidRPr="006C44DB">
        <w:rPr>
          <w:rFonts w:ascii="Book Antiqua" w:hAnsi="Book Antiqua" w:cs="Arial"/>
          <w:bCs/>
          <w:lang w:val="en-US"/>
        </w:rPr>
        <w:t xml:space="preserve"> hemostasis for </w:t>
      </w:r>
      <w:r w:rsidR="007A7C3A" w:rsidRPr="006C44DB">
        <w:rPr>
          <w:rFonts w:ascii="Book Antiqua" w:hAnsi="Book Antiqua" w:cs="Arial"/>
          <w:lang w:val="en-US"/>
        </w:rPr>
        <w:t>DL</w:t>
      </w:r>
      <w:r w:rsidR="007A7C3A">
        <w:rPr>
          <w:rFonts w:ascii="Book Antiqua" w:hAnsi="Book Antiqua" w:cs="Arial"/>
          <w:lang w:val="en-US"/>
        </w:rPr>
        <w:t>s</w:t>
      </w:r>
      <w:r w:rsidR="00A727FB" w:rsidRPr="006C44DB">
        <w:rPr>
          <w:rFonts w:ascii="Book Antiqua" w:hAnsi="Book Antiqua" w:cs="Arial"/>
          <w:bCs/>
          <w:lang w:val="en-US"/>
        </w:rPr>
        <w:t>,</w:t>
      </w:r>
      <w:r w:rsidRPr="006C44DB">
        <w:rPr>
          <w:rFonts w:ascii="Book Antiqua" w:hAnsi="Book Antiqua" w:cs="Arial"/>
          <w:bCs/>
          <w:lang w:val="en-US"/>
        </w:rPr>
        <w:t xml:space="preserve"> including:  thermal coagulation, mechanical hemostasis (</w:t>
      </w:r>
      <w:proofErr w:type="spellStart"/>
      <w:r w:rsidRPr="006C44DB">
        <w:rPr>
          <w:rFonts w:ascii="Book Antiqua" w:hAnsi="Book Antiqua" w:cs="Arial"/>
          <w:bCs/>
          <w:lang w:val="en-US"/>
        </w:rPr>
        <w:t>hemoclips</w:t>
      </w:r>
      <w:proofErr w:type="spellEnd"/>
      <w:r w:rsidRPr="006C44DB">
        <w:rPr>
          <w:rFonts w:ascii="Book Antiqua" w:hAnsi="Book Antiqua" w:cs="Arial"/>
          <w:bCs/>
          <w:lang w:val="en-US"/>
        </w:rPr>
        <w:t xml:space="preserve"> or band ligation), or combined therapy (diluted adrenaline injection plus contact thermal or mechanical </w:t>
      </w:r>
      <w:proofErr w:type="gramStart"/>
      <w:r w:rsidRPr="006C44DB">
        <w:rPr>
          <w:rFonts w:ascii="Book Antiqua" w:hAnsi="Book Antiqua" w:cs="Arial"/>
          <w:bCs/>
          <w:lang w:val="en-US"/>
        </w:rPr>
        <w:t>therapy)</w:t>
      </w:r>
      <w:r w:rsidR="00850C10" w:rsidRPr="006C44DB">
        <w:rPr>
          <w:rFonts w:ascii="Book Antiqua" w:hAnsi="Book Antiqua" w:cs="Arial"/>
          <w:bCs/>
          <w:color w:val="000000" w:themeColor="text1"/>
          <w:vertAlign w:val="superscript"/>
          <w:lang w:val="en-US"/>
        </w:rPr>
        <w:t>[</w:t>
      </w:r>
      <w:proofErr w:type="gramEnd"/>
      <w:r w:rsidR="00850C10" w:rsidRPr="006C44DB">
        <w:rPr>
          <w:rFonts w:ascii="Book Antiqua" w:hAnsi="Book Antiqua" w:cs="Arial"/>
          <w:bCs/>
          <w:color w:val="000000" w:themeColor="text1"/>
          <w:vertAlign w:val="superscript"/>
          <w:lang w:val="en-US"/>
        </w:rPr>
        <w:t>6]</w:t>
      </w:r>
      <w:r w:rsidRPr="006C44DB">
        <w:rPr>
          <w:rFonts w:ascii="Book Antiqua" w:hAnsi="Book Antiqua" w:cs="Arial"/>
          <w:bCs/>
          <w:lang w:val="en-US"/>
        </w:rPr>
        <w:t>.</w:t>
      </w:r>
      <w:r w:rsidR="00F24298" w:rsidRPr="006C44DB">
        <w:rPr>
          <w:rFonts w:ascii="Book Antiqua" w:hAnsi="Book Antiqua" w:cs="Arial"/>
          <w:bCs/>
          <w:lang w:val="en-US"/>
        </w:rPr>
        <w:t xml:space="preserve"> </w:t>
      </w:r>
      <w:r w:rsidRPr="006C44DB">
        <w:rPr>
          <w:rFonts w:ascii="Book Antiqua" w:hAnsi="Book Antiqua" w:cs="Arial"/>
          <w:bCs/>
          <w:color w:val="000000" w:themeColor="text1"/>
          <w:lang w:val="en-US"/>
        </w:rPr>
        <w:t xml:space="preserve">These endoscopic hemostasis techniques are safe and have similar outcomes in observational studies. As in other causes of non-variceal bleeding, there is superiority of combined, thermal and mechanical methods over injection </w:t>
      </w:r>
      <w:proofErr w:type="gramStart"/>
      <w:r w:rsidRPr="006C44DB">
        <w:rPr>
          <w:rFonts w:ascii="Book Antiqua" w:hAnsi="Book Antiqua" w:cs="Arial"/>
          <w:bCs/>
          <w:color w:val="000000" w:themeColor="text1"/>
          <w:lang w:val="en-US"/>
        </w:rPr>
        <w:t>monotherapy</w:t>
      </w:r>
      <w:r w:rsidR="000A15DA" w:rsidRPr="006C44DB">
        <w:rPr>
          <w:rFonts w:ascii="Book Antiqua" w:hAnsi="Book Antiqua" w:cs="Arial"/>
          <w:bCs/>
          <w:color w:val="000000" w:themeColor="text1"/>
          <w:vertAlign w:val="superscript"/>
          <w:lang w:val="en-US"/>
        </w:rPr>
        <w:t>[</w:t>
      </w:r>
      <w:proofErr w:type="gramEnd"/>
      <w:r w:rsidR="000A15DA" w:rsidRPr="006C44DB">
        <w:rPr>
          <w:rFonts w:ascii="Book Antiqua" w:hAnsi="Book Antiqua" w:cs="Arial"/>
          <w:bCs/>
          <w:color w:val="000000" w:themeColor="text1"/>
          <w:vertAlign w:val="superscript"/>
          <w:lang w:val="en-US"/>
        </w:rPr>
        <w:t>6]</w:t>
      </w:r>
      <w:r w:rsidRPr="006C44DB">
        <w:rPr>
          <w:rFonts w:ascii="Book Antiqua" w:hAnsi="Book Antiqua" w:cs="Arial"/>
          <w:bCs/>
          <w:color w:val="000000" w:themeColor="text1"/>
          <w:lang w:val="en-US"/>
        </w:rPr>
        <w:t>. Endoscopic</w:t>
      </w:r>
      <w:r w:rsidRPr="006C44DB">
        <w:rPr>
          <w:rFonts w:ascii="Book Antiqua" w:hAnsi="Book Antiqua" w:cs="Arial"/>
          <w:bCs/>
          <w:lang w:val="en-US"/>
        </w:rPr>
        <w:t xml:space="preserve"> treatment achieves an initial hemostasis rate &gt;</w:t>
      </w:r>
      <w:r w:rsidR="00850C10">
        <w:rPr>
          <w:rFonts w:ascii="Book Antiqua" w:hAnsi="Book Antiqua" w:cs="Arial"/>
          <w:bCs/>
          <w:lang w:val="en-US"/>
        </w:rPr>
        <w:t xml:space="preserve"> </w:t>
      </w:r>
      <w:r w:rsidRPr="006C44DB">
        <w:rPr>
          <w:rFonts w:ascii="Book Antiqua" w:hAnsi="Book Antiqua" w:cs="Arial"/>
          <w:bCs/>
          <w:lang w:val="en-US"/>
        </w:rPr>
        <w:t>93.6% of cases</w:t>
      </w:r>
      <w:r w:rsidR="00A727FB" w:rsidRPr="006C44DB">
        <w:rPr>
          <w:rFonts w:ascii="Book Antiqua" w:hAnsi="Book Antiqua" w:cs="Arial"/>
          <w:bCs/>
          <w:lang w:val="en-US"/>
        </w:rPr>
        <w:t>,</w:t>
      </w:r>
      <w:r w:rsidRPr="006C44DB">
        <w:rPr>
          <w:rFonts w:ascii="Book Antiqua" w:hAnsi="Book Antiqua" w:cs="Arial"/>
          <w:bCs/>
          <w:lang w:val="en-US"/>
        </w:rPr>
        <w:t xml:space="preserve"> with a rebleeding rate of 12.1%, including cases of </w:t>
      </w:r>
      <w:proofErr w:type="gramStart"/>
      <w:r w:rsidRPr="006C44DB">
        <w:rPr>
          <w:rFonts w:ascii="Book Antiqua" w:hAnsi="Book Antiqua" w:cs="Arial"/>
          <w:bCs/>
          <w:lang w:val="en-US"/>
        </w:rPr>
        <w:t>RDL</w:t>
      </w:r>
      <w:r w:rsidR="00850C10" w:rsidRPr="006C44DB">
        <w:rPr>
          <w:rFonts w:ascii="Book Antiqua" w:hAnsi="Book Antiqua" w:cs="Arial"/>
          <w:bCs/>
          <w:vertAlign w:val="superscript"/>
          <w:lang w:val="en-US"/>
        </w:rPr>
        <w:t>[</w:t>
      </w:r>
      <w:proofErr w:type="gramEnd"/>
      <w:r w:rsidR="00850C10" w:rsidRPr="006C44DB">
        <w:rPr>
          <w:rFonts w:ascii="Book Antiqua" w:hAnsi="Book Antiqua" w:cs="Arial"/>
          <w:bCs/>
          <w:color w:val="000000" w:themeColor="text1"/>
          <w:vertAlign w:val="superscript"/>
          <w:lang w:val="en-US"/>
        </w:rPr>
        <w:t>7,8]</w:t>
      </w:r>
      <w:r w:rsidRPr="006C44DB">
        <w:rPr>
          <w:rFonts w:ascii="Book Antiqua" w:hAnsi="Book Antiqua" w:cs="Arial"/>
          <w:bCs/>
          <w:lang w:val="en-US"/>
        </w:rPr>
        <w:t>.</w:t>
      </w:r>
      <w:r w:rsidRPr="006C44DB">
        <w:rPr>
          <w:rFonts w:ascii="Book Antiqua" w:hAnsi="Book Antiqua" w:cs="Arial"/>
          <w:bCs/>
          <w:vertAlign w:val="superscript"/>
          <w:lang w:val="en-US"/>
        </w:rPr>
        <w:t xml:space="preserve"> </w:t>
      </w:r>
      <w:r w:rsidRPr="006C44DB">
        <w:rPr>
          <w:rFonts w:ascii="Book Antiqua" w:hAnsi="Book Antiqua" w:cs="Arial"/>
          <w:bCs/>
          <w:lang w:val="en-US"/>
        </w:rPr>
        <w:t xml:space="preserve">A prospective study demonstrated superiority </w:t>
      </w:r>
      <w:r w:rsidRPr="006C44DB">
        <w:rPr>
          <w:rFonts w:ascii="Book Antiqua" w:hAnsi="Book Antiqua" w:cs="Arial"/>
          <w:bCs/>
          <w:lang w:val="en-US"/>
        </w:rPr>
        <w:lastRenderedPageBreak/>
        <w:t xml:space="preserve">of mechanical endoscopic treatment with </w:t>
      </w:r>
      <w:proofErr w:type="spellStart"/>
      <w:r w:rsidRPr="006C44DB">
        <w:rPr>
          <w:rFonts w:ascii="Book Antiqua" w:hAnsi="Book Antiqua" w:cs="Arial"/>
          <w:bCs/>
          <w:lang w:val="en-US"/>
        </w:rPr>
        <w:t>hemoclips</w:t>
      </w:r>
      <w:proofErr w:type="spellEnd"/>
      <w:r w:rsidRPr="006C44DB">
        <w:rPr>
          <w:rFonts w:ascii="Book Antiqua" w:hAnsi="Book Antiqua" w:cs="Arial"/>
          <w:bCs/>
          <w:lang w:val="en-US"/>
        </w:rPr>
        <w:t xml:space="preserve"> or band ligation versus injection with diluted </w:t>
      </w:r>
      <w:proofErr w:type="gramStart"/>
      <w:r w:rsidRPr="006C44DB">
        <w:rPr>
          <w:rFonts w:ascii="Book Antiqua" w:hAnsi="Book Antiqua" w:cs="Arial"/>
          <w:bCs/>
          <w:lang w:val="en-US"/>
        </w:rPr>
        <w:t>adrenaline</w:t>
      </w:r>
      <w:r w:rsidR="00850C10" w:rsidRPr="006C44DB">
        <w:rPr>
          <w:rFonts w:ascii="Book Antiqua" w:hAnsi="Book Antiqua" w:cs="Arial"/>
          <w:bCs/>
          <w:vertAlign w:val="superscript"/>
          <w:lang w:val="en-US"/>
        </w:rPr>
        <w:t>[</w:t>
      </w:r>
      <w:proofErr w:type="gramEnd"/>
      <w:r w:rsidR="00850C10" w:rsidRPr="006C44DB">
        <w:rPr>
          <w:rFonts w:ascii="Book Antiqua" w:hAnsi="Book Antiqua" w:cs="Arial"/>
          <w:bCs/>
          <w:color w:val="000000" w:themeColor="text1"/>
          <w:vertAlign w:val="superscript"/>
          <w:lang w:val="en-US"/>
        </w:rPr>
        <w:t>9]</w:t>
      </w:r>
      <w:r w:rsidRPr="006C44DB">
        <w:rPr>
          <w:rFonts w:ascii="Book Antiqua" w:hAnsi="Book Antiqua" w:cs="Arial"/>
          <w:bCs/>
          <w:lang w:val="en-US"/>
        </w:rPr>
        <w:t>.</w:t>
      </w:r>
      <w:r w:rsidR="00F24298" w:rsidRPr="006C44DB">
        <w:rPr>
          <w:rFonts w:ascii="Book Antiqua" w:hAnsi="Book Antiqua" w:cs="Arial"/>
          <w:bCs/>
          <w:lang w:val="en-US"/>
        </w:rPr>
        <w:t xml:space="preserve"> </w:t>
      </w:r>
      <w:r w:rsidRPr="006C44DB">
        <w:rPr>
          <w:rFonts w:ascii="Book Antiqua" w:hAnsi="Book Antiqua" w:cs="Arial"/>
          <w:bCs/>
          <w:lang w:val="en-US"/>
        </w:rPr>
        <w:t xml:space="preserve">Regarding to the mechanical therapy, there is no differences in endoscopic band ligation vs </w:t>
      </w:r>
      <w:proofErr w:type="spellStart"/>
      <w:r w:rsidRPr="006C44DB">
        <w:rPr>
          <w:rFonts w:ascii="Book Antiqua" w:hAnsi="Book Antiqua" w:cs="Arial"/>
          <w:bCs/>
          <w:lang w:val="en-US"/>
        </w:rPr>
        <w:t>hemoclips</w:t>
      </w:r>
      <w:proofErr w:type="spellEnd"/>
      <w:r w:rsidRPr="006C44DB">
        <w:rPr>
          <w:rFonts w:ascii="Book Antiqua" w:hAnsi="Book Antiqua" w:cs="Arial"/>
          <w:bCs/>
          <w:lang w:val="en-US"/>
        </w:rPr>
        <w:t xml:space="preserve">. A meta-analysis that included 5 studies, compared endoscopic band ligation (75 patients) versus </w:t>
      </w:r>
      <w:proofErr w:type="spellStart"/>
      <w:r w:rsidRPr="006C44DB">
        <w:rPr>
          <w:rFonts w:ascii="Book Antiqua" w:hAnsi="Book Antiqua" w:cs="Arial"/>
          <w:bCs/>
          <w:lang w:val="en-US"/>
        </w:rPr>
        <w:t>hemoclips</w:t>
      </w:r>
      <w:proofErr w:type="spellEnd"/>
      <w:r w:rsidRPr="006C44DB">
        <w:rPr>
          <w:rFonts w:ascii="Book Antiqua" w:hAnsi="Book Antiqua" w:cs="Arial"/>
          <w:bCs/>
          <w:lang w:val="en-US"/>
        </w:rPr>
        <w:t xml:space="preserve"> (87 patients) for p</w:t>
      </w:r>
      <w:r w:rsidR="005E08F3" w:rsidRPr="006C44DB">
        <w:rPr>
          <w:rFonts w:ascii="Book Antiqua" w:hAnsi="Book Antiqua" w:cs="Arial"/>
          <w:bCs/>
          <w:lang w:val="en-US"/>
        </w:rPr>
        <w:t xml:space="preserve">rimary hemostasis of </w:t>
      </w:r>
      <w:r w:rsidR="007A7C3A" w:rsidRPr="006C44DB">
        <w:rPr>
          <w:rFonts w:ascii="Book Antiqua" w:hAnsi="Book Antiqua" w:cs="Arial"/>
          <w:lang w:val="en-US"/>
        </w:rPr>
        <w:t>DL</w:t>
      </w:r>
      <w:r w:rsidR="007A7C3A">
        <w:rPr>
          <w:rFonts w:ascii="Book Antiqua" w:hAnsi="Book Antiqua" w:cs="Arial"/>
          <w:lang w:val="en-US"/>
        </w:rPr>
        <w:t>s</w:t>
      </w:r>
      <w:r w:rsidR="00F24298" w:rsidRPr="006C44DB">
        <w:rPr>
          <w:rFonts w:ascii="Book Antiqua" w:hAnsi="Book Antiqua" w:cs="Arial"/>
          <w:bCs/>
          <w:lang w:val="en-US"/>
        </w:rPr>
        <w:t>; results didn'</w:t>
      </w:r>
      <w:r w:rsidRPr="006C44DB">
        <w:rPr>
          <w:rFonts w:ascii="Book Antiqua" w:hAnsi="Book Antiqua" w:cs="Arial"/>
          <w:bCs/>
          <w:lang w:val="en-US"/>
        </w:rPr>
        <w:t xml:space="preserve">t find any difference for the primary outcome </w:t>
      </w:r>
      <w:r w:rsidR="00F374B8">
        <w:rPr>
          <w:rFonts w:ascii="Book Antiqua" w:hAnsi="Book Antiqua" w:cs="Arial"/>
          <w:bCs/>
          <w:lang w:val="en-US"/>
        </w:rPr>
        <w:t>[</w:t>
      </w:r>
      <w:r w:rsidRPr="006C44DB">
        <w:rPr>
          <w:rFonts w:ascii="Book Antiqua" w:hAnsi="Book Antiqua" w:cs="Arial"/>
          <w:bCs/>
          <w:lang w:val="en-US"/>
        </w:rPr>
        <w:t xml:space="preserve">0.96 </w:t>
      </w:r>
      <w:r w:rsidR="00F374B8">
        <w:rPr>
          <w:rFonts w:ascii="Book Antiqua" w:hAnsi="Book Antiqua" w:cs="Arial"/>
          <w:bCs/>
          <w:lang w:val="en-US"/>
        </w:rPr>
        <w:t>(</w:t>
      </w:r>
      <w:r w:rsidR="00F374B8" w:rsidRPr="006C44DB">
        <w:rPr>
          <w:rFonts w:ascii="Book Antiqua" w:hAnsi="Book Antiqua" w:cs="Arial"/>
          <w:bCs/>
          <w:lang w:val="en-US"/>
        </w:rPr>
        <w:t>95%</w:t>
      </w:r>
      <w:r w:rsidRPr="006C44DB">
        <w:rPr>
          <w:rFonts w:ascii="Book Antiqua" w:hAnsi="Book Antiqua" w:cs="Arial"/>
          <w:bCs/>
          <w:lang w:val="en-US"/>
        </w:rPr>
        <w:t>CI</w:t>
      </w:r>
      <w:r w:rsidR="00F374B8">
        <w:rPr>
          <w:rFonts w:ascii="Book Antiqua" w:hAnsi="Book Antiqua" w:cs="Arial"/>
          <w:bCs/>
          <w:lang w:val="en-US"/>
        </w:rPr>
        <w:t>:</w:t>
      </w:r>
      <w:r w:rsidRPr="006C44DB">
        <w:rPr>
          <w:rFonts w:ascii="Book Antiqua" w:hAnsi="Book Antiqua" w:cs="Arial"/>
          <w:bCs/>
          <w:lang w:val="en-US"/>
        </w:rPr>
        <w:t xml:space="preserve">  0.88-0.99</w:t>
      </w:r>
      <w:r w:rsidR="00F374B8">
        <w:rPr>
          <w:rFonts w:ascii="Book Antiqua" w:hAnsi="Book Antiqua" w:cs="Arial"/>
          <w:bCs/>
          <w:lang w:val="en-US"/>
        </w:rPr>
        <w:t>)</w:t>
      </w:r>
      <w:r w:rsidRPr="006C44DB">
        <w:rPr>
          <w:rFonts w:ascii="Book Antiqua" w:hAnsi="Book Antiqua" w:cs="Arial"/>
          <w:bCs/>
          <w:lang w:val="en-US"/>
        </w:rPr>
        <w:t xml:space="preserve"> </w:t>
      </w:r>
      <w:r w:rsidRPr="00850C10">
        <w:rPr>
          <w:rFonts w:ascii="Book Antiqua" w:hAnsi="Book Antiqua" w:cs="Arial"/>
          <w:bCs/>
          <w:i/>
          <w:iCs/>
          <w:lang w:val="en-US"/>
        </w:rPr>
        <w:t>vs</w:t>
      </w:r>
      <w:r w:rsidRPr="006C44DB">
        <w:rPr>
          <w:rFonts w:ascii="Book Antiqua" w:hAnsi="Book Antiqua" w:cs="Arial"/>
          <w:bCs/>
          <w:lang w:val="en-US"/>
        </w:rPr>
        <w:t xml:space="preserve"> 0.91 </w:t>
      </w:r>
      <w:r w:rsidR="00F374B8">
        <w:rPr>
          <w:rFonts w:ascii="Book Antiqua" w:hAnsi="Book Antiqua" w:cs="Arial"/>
          <w:bCs/>
          <w:lang w:val="en-US"/>
        </w:rPr>
        <w:t>(</w:t>
      </w:r>
      <w:r w:rsidR="00F374B8" w:rsidRPr="006C44DB">
        <w:rPr>
          <w:rFonts w:ascii="Book Antiqua" w:hAnsi="Book Antiqua" w:cs="Arial"/>
          <w:bCs/>
          <w:lang w:val="en-US"/>
        </w:rPr>
        <w:t>95%</w:t>
      </w:r>
      <w:r w:rsidRPr="006C44DB">
        <w:rPr>
          <w:rFonts w:ascii="Book Antiqua" w:hAnsi="Book Antiqua" w:cs="Arial"/>
          <w:bCs/>
          <w:lang w:val="en-US"/>
        </w:rPr>
        <w:t>CI</w:t>
      </w:r>
      <w:r w:rsidR="00F374B8">
        <w:rPr>
          <w:rFonts w:ascii="Book Antiqua" w:hAnsi="Book Antiqua" w:cs="Arial"/>
          <w:bCs/>
          <w:lang w:val="en-US"/>
        </w:rPr>
        <w:t>:</w:t>
      </w:r>
      <w:r w:rsidRPr="006C44DB">
        <w:rPr>
          <w:rFonts w:ascii="Book Antiqua" w:hAnsi="Book Antiqua" w:cs="Arial"/>
          <w:bCs/>
          <w:lang w:val="en-US"/>
        </w:rPr>
        <w:t xml:space="preserve">  0.83-0.96</w:t>
      </w:r>
      <w:r w:rsidR="00F374B8">
        <w:rPr>
          <w:rFonts w:ascii="Book Antiqua" w:hAnsi="Book Antiqua" w:cs="Arial"/>
          <w:bCs/>
          <w:lang w:val="en-US"/>
        </w:rPr>
        <w:t>)</w:t>
      </w:r>
      <w:r w:rsidRPr="006C44DB">
        <w:rPr>
          <w:rFonts w:ascii="Book Antiqua" w:hAnsi="Book Antiqua" w:cs="Arial"/>
          <w:bCs/>
          <w:lang w:val="en-US"/>
        </w:rPr>
        <w:t>, respectively</w:t>
      </w:r>
      <w:r w:rsidR="00F374B8">
        <w:rPr>
          <w:rFonts w:ascii="Book Antiqua" w:hAnsi="Book Antiqua" w:cs="Arial"/>
          <w:bCs/>
          <w:lang w:val="en-US"/>
        </w:rPr>
        <w:t>]</w:t>
      </w:r>
      <w:r w:rsidRPr="006C44DB">
        <w:rPr>
          <w:rFonts w:ascii="Book Antiqua" w:hAnsi="Book Antiqua" w:cs="Arial"/>
          <w:bCs/>
          <w:lang w:val="en-US"/>
        </w:rPr>
        <w:t xml:space="preserve">; there were no differences in rebleeding rates neither </w:t>
      </w:r>
      <w:r w:rsidR="00365F5C">
        <w:rPr>
          <w:rFonts w:ascii="Book Antiqua" w:hAnsi="Book Antiqua" w:cs="Arial"/>
          <w:bCs/>
          <w:lang w:val="en-US"/>
        </w:rPr>
        <w:t>[</w:t>
      </w:r>
      <w:r w:rsidRPr="006C44DB">
        <w:rPr>
          <w:rFonts w:ascii="Book Antiqua" w:hAnsi="Book Antiqua" w:cs="Arial"/>
          <w:bCs/>
          <w:lang w:val="en-US"/>
        </w:rPr>
        <w:t xml:space="preserve">0.06 </w:t>
      </w:r>
      <w:r w:rsidR="00365F5C">
        <w:rPr>
          <w:rFonts w:ascii="Book Antiqua" w:hAnsi="Book Antiqua" w:cs="Arial"/>
          <w:bCs/>
          <w:lang w:val="en-US"/>
        </w:rPr>
        <w:t>(</w:t>
      </w:r>
      <w:r w:rsidR="00365F5C" w:rsidRPr="006C44DB">
        <w:rPr>
          <w:rFonts w:ascii="Book Antiqua" w:hAnsi="Book Antiqua" w:cs="Arial"/>
          <w:bCs/>
          <w:lang w:val="en-US"/>
        </w:rPr>
        <w:t>95%</w:t>
      </w:r>
      <w:r w:rsidRPr="006C44DB">
        <w:rPr>
          <w:rFonts w:ascii="Book Antiqua" w:hAnsi="Book Antiqua" w:cs="Arial"/>
          <w:bCs/>
          <w:lang w:val="en-US"/>
        </w:rPr>
        <w:t>CI</w:t>
      </w:r>
      <w:r w:rsidR="00365F5C">
        <w:rPr>
          <w:rFonts w:ascii="Book Antiqua" w:hAnsi="Book Antiqua" w:cs="Arial"/>
          <w:bCs/>
          <w:lang w:val="en-US"/>
        </w:rPr>
        <w:t>:</w:t>
      </w:r>
      <w:r w:rsidRPr="006C44DB">
        <w:rPr>
          <w:rFonts w:ascii="Book Antiqua" w:hAnsi="Book Antiqua" w:cs="Arial"/>
          <w:bCs/>
          <w:lang w:val="en-US"/>
        </w:rPr>
        <w:t xml:space="preserve">  0.02-0.15</w:t>
      </w:r>
      <w:r w:rsidR="00365F5C">
        <w:rPr>
          <w:rFonts w:ascii="Book Antiqua" w:hAnsi="Book Antiqua" w:cs="Arial"/>
          <w:bCs/>
          <w:lang w:val="en-US"/>
        </w:rPr>
        <w:t>)</w:t>
      </w:r>
      <w:r w:rsidRPr="006C44DB">
        <w:rPr>
          <w:rFonts w:ascii="Book Antiqua" w:hAnsi="Book Antiqua" w:cs="Arial"/>
          <w:bCs/>
          <w:lang w:val="en-US"/>
        </w:rPr>
        <w:t xml:space="preserve"> </w:t>
      </w:r>
      <w:r w:rsidRPr="00365F5C">
        <w:rPr>
          <w:rFonts w:ascii="Book Antiqua" w:hAnsi="Book Antiqua" w:cs="Arial"/>
          <w:bCs/>
          <w:i/>
          <w:iCs/>
          <w:lang w:val="en-US"/>
        </w:rPr>
        <w:t>vs</w:t>
      </w:r>
      <w:r w:rsidRPr="006C44DB">
        <w:rPr>
          <w:rFonts w:ascii="Book Antiqua" w:hAnsi="Book Antiqua" w:cs="Arial"/>
          <w:bCs/>
          <w:lang w:val="en-US"/>
        </w:rPr>
        <w:t xml:space="preserve"> 0.17 </w:t>
      </w:r>
      <w:r w:rsidR="00365F5C">
        <w:rPr>
          <w:rFonts w:ascii="Book Antiqua" w:hAnsi="Book Antiqua" w:cs="Arial"/>
          <w:bCs/>
          <w:lang w:val="en-US"/>
        </w:rPr>
        <w:t>(</w:t>
      </w:r>
      <w:r w:rsidR="00365F5C" w:rsidRPr="006C44DB">
        <w:rPr>
          <w:rFonts w:ascii="Book Antiqua" w:hAnsi="Book Antiqua" w:cs="Arial"/>
          <w:bCs/>
          <w:lang w:val="en-US"/>
        </w:rPr>
        <w:t>95%</w:t>
      </w:r>
      <w:r w:rsidRPr="006C44DB">
        <w:rPr>
          <w:rFonts w:ascii="Book Antiqua" w:hAnsi="Book Antiqua" w:cs="Arial"/>
          <w:bCs/>
          <w:lang w:val="en-US"/>
        </w:rPr>
        <w:t>CI</w:t>
      </w:r>
      <w:r w:rsidR="00365F5C">
        <w:rPr>
          <w:rFonts w:ascii="Book Antiqua" w:hAnsi="Book Antiqua" w:cs="Arial"/>
          <w:bCs/>
          <w:lang w:val="en-US"/>
        </w:rPr>
        <w:t>:</w:t>
      </w:r>
      <w:r w:rsidRPr="006C44DB">
        <w:rPr>
          <w:rFonts w:ascii="Book Antiqua" w:hAnsi="Book Antiqua" w:cs="Arial"/>
          <w:bCs/>
          <w:lang w:val="en-US"/>
        </w:rPr>
        <w:t xml:space="preserve">  0.10-0.28</w:t>
      </w:r>
      <w:r w:rsidR="00365F5C">
        <w:rPr>
          <w:rFonts w:ascii="Book Antiqua" w:hAnsi="Book Antiqua" w:cs="Arial"/>
          <w:bCs/>
          <w:lang w:val="en-US"/>
        </w:rPr>
        <w:t>)</w:t>
      </w:r>
      <w:r w:rsidRPr="006C44DB">
        <w:rPr>
          <w:rFonts w:ascii="Book Antiqua" w:hAnsi="Book Antiqua" w:cs="Arial"/>
          <w:bCs/>
          <w:lang w:val="en-US"/>
        </w:rPr>
        <w:t>, respectively</w:t>
      </w:r>
      <w:r w:rsidR="00365F5C">
        <w:rPr>
          <w:rFonts w:ascii="Book Antiqua" w:hAnsi="Book Antiqua" w:cs="Arial"/>
          <w:bCs/>
          <w:lang w:val="en-US"/>
        </w:rPr>
        <w:t>]</w:t>
      </w:r>
      <w:r w:rsidR="00850C10" w:rsidRPr="006C44DB">
        <w:rPr>
          <w:rFonts w:ascii="Book Antiqua" w:hAnsi="Book Antiqua" w:cs="Arial"/>
          <w:bCs/>
          <w:vertAlign w:val="superscript"/>
          <w:lang w:val="en-US"/>
        </w:rPr>
        <w:t>[</w:t>
      </w:r>
      <w:r w:rsidR="00850C10" w:rsidRPr="006C44DB">
        <w:rPr>
          <w:rFonts w:ascii="Book Antiqua" w:hAnsi="Book Antiqua" w:cs="Arial"/>
          <w:bCs/>
          <w:color w:val="000000" w:themeColor="text1"/>
          <w:vertAlign w:val="superscript"/>
          <w:lang w:val="en-US"/>
        </w:rPr>
        <w:t>10]</w:t>
      </w:r>
      <w:r w:rsidRPr="006C44DB">
        <w:rPr>
          <w:rFonts w:ascii="Book Antiqua" w:hAnsi="Book Antiqua" w:cs="Arial"/>
          <w:bCs/>
          <w:lang w:val="en-US"/>
        </w:rPr>
        <w:t>.</w:t>
      </w:r>
      <w:r w:rsidR="00F24298" w:rsidRPr="006C44DB">
        <w:rPr>
          <w:rFonts w:ascii="Book Antiqua" w:hAnsi="Book Antiqua" w:cs="Arial"/>
          <w:bCs/>
          <w:lang w:val="en-US"/>
        </w:rPr>
        <w:t xml:space="preserve"> </w:t>
      </w:r>
      <w:r w:rsidRPr="006C44DB">
        <w:rPr>
          <w:rFonts w:ascii="Book Antiqua" w:hAnsi="Book Antiqua" w:cs="Arial"/>
          <w:bCs/>
          <w:lang w:val="en-US"/>
        </w:rPr>
        <w:t xml:space="preserve">In our patient, there was no rebleeding after the initial effective hemostasis with the placement of two </w:t>
      </w:r>
      <w:proofErr w:type="spellStart"/>
      <w:r w:rsidRPr="006C44DB">
        <w:rPr>
          <w:rFonts w:ascii="Book Antiqua" w:hAnsi="Book Antiqua" w:cs="Arial"/>
          <w:bCs/>
          <w:lang w:val="en-US"/>
        </w:rPr>
        <w:t>hemoclips</w:t>
      </w:r>
      <w:proofErr w:type="spellEnd"/>
      <w:r w:rsidRPr="006C44DB">
        <w:rPr>
          <w:rFonts w:ascii="Book Antiqua" w:hAnsi="Book Antiqua" w:cs="Arial"/>
          <w:bCs/>
          <w:lang w:val="en-US"/>
        </w:rPr>
        <w:t xml:space="preserve">. Table 1 shows a summary </w:t>
      </w:r>
      <w:r w:rsidR="00A727FB" w:rsidRPr="006C44DB">
        <w:rPr>
          <w:rFonts w:ascii="Book Antiqua" w:hAnsi="Book Antiqua" w:cs="Arial"/>
          <w:bCs/>
          <w:lang w:val="en-US"/>
        </w:rPr>
        <w:t>of endoscopic treatment modalities</w:t>
      </w:r>
      <w:r w:rsidRPr="006C44DB">
        <w:rPr>
          <w:rFonts w:ascii="Book Antiqua" w:hAnsi="Book Antiqua" w:cs="Arial"/>
          <w:bCs/>
          <w:lang w:val="en-US"/>
        </w:rPr>
        <w:t>.</w:t>
      </w:r>
    </w:p>
    <w:p w14:paraId="33E5F400" w14:textId="5EF35F23" w:rsidR="00CF1178" w:rsidRDefault="00CF1178" w:rsidP="001734D6">
      <w:pPr>
        <w:pStyle w:val="NormalWeb"/>
        <w:spacing w:before="0" w:beforeAutospacing="0" w:after="0" w:afterAutospacing="0" w:line="360" w:lineRule="auto"/>
        <w:jc w:val="both"/>
        <w:rPr>
          <w:rFonts w:ascii="Book Antiqua" w:hAnsi="Book Antiqua" w:cs="Arial"/>
          <w:bCs/>
          <w:color w:val="000000" w:themeColor="text1"/>
          <w:vertAlign w:val="superscript"/>
          <w:lang w:val="en-US"/>
        </w:rPr>
      </w:pPr>
      <w:r w:rsidRPr="006C44DB">
        <w:rPr>
          <w:rFonts w:ascii="Book Antiqua" w:hAnsi="Book Antiqua" w:cs="Arial"/>
          <w:bCs/>
          <w:lang w:val="en-US"/>
        </w:rPr>
        <w:t>Transcatheter angiographic embolization (TAE) should be th</w:t>
      </w:r>
      <w:r w:rsidR="00F24298" w:rsidRPr="006C44DB">
        <w:rPr>
          <w:rFonts w:ascii="Book Antiqua" w:hAnsi="Book Antiqua" w:cs="Arial"/>
          <w:bCs/>
          <w:lang w:val="en-US"/>
        </w:rPr>
        <w:t>e next option in cases that can'</w:t>
      </w:r>
      <w:r w:rsidRPr="006C44DB">
        <w:rPr>
          <w:rFonts w:ascii="Book Antiqua" w:hAnsi="Book Antiqua" w:cs="Arial"/>
          <w:bCs/>
          <w:lang w:val="en-US"/>
        </w:rPr>
        <w:t xml:space="preserve">t be treated </w:t>
      </w:r>
      <w:proofErr w:type="gramStart"/>
      <w:r w:rsidRPr="006C44DB">
        <w:rPr>
          <w:rFonts w:ascii="Book Antiqua" w:hAnsi="Book Antiqua" w:cs="Arial"/>
          <w:bCs/>
          <w:lang w:val="en-US"/>
        </w:rPr>
        <w:t>endoscopically</w:t>
      </w:r>
      <w:r w:rsidR="00850C10" w:rsidRPr="006C44DB">
        <w:rPr>
          <w:rFonts w:ascii="Book Antiqua" w:hAnsi="Book Antiqua" w:cs="Arial"/>
          <w:bCs/>
          <w:vertAlign w:val="superscript"/>
          <w:lang w:val="en-US"/>
        </w:rPr>
        <w:t>[</w:t>
      </w:r>
      <w:proofErr w:type="gramEnd"/>
      <w:r w:rsidR="00850C10" w:rsidRPr="006C44DB">
        <w:rPr>
          <w:rFonts w:ascii="Book Antiqua" w:hAnsi="Book Antiqua" w:cs="Arial"/>
          <w:bCs/>
          <w:vertAlign w:val="superscript"/>
          <w:lang w:val="en-US"/>
        </w:rPr>
        <w:t>6,</w:t>
      </w:r>
      <w:r w:rsidR="00850C10" w:rsidRPr="006C44DB">
        <w:rPr>
          <w:rFonts w:ascii="Book Antiqua" w:hAnsi="Book Antiqua" w:cs="Arial"/>
          <w:bCs/>
          <w:color w:val="000000" w:themeColor="text1"/>
          <w:vertAlign w:val="superscript"/>
          <w:lang w:val="en-US"/>
        </w:rPr>
        <w:t>11]</w:t>
      </w:r>
      <w:r w:rsidRPr="006C44DB">
        <w:rPr>
          <w:rFonts w:ascii="Book Antiqua" w:hAnsi="Book Antiqua" w:cs="Arial"/>
          <w:bCs/>
          <w:lang w:val="en-US"/>
        </w:rPr>
        <w:t>.</w:t>
      </w:r>
      <w:r w:rsidR="00F24298" w:rsidRPr="006C44DB">
        <w:rPr>
          <w:rFonts w:ascii="Book Antiqua" w:hAnsi="Book Antiqua" w:cs="Arial"/>
          <w:bCs/>
          <w:lang w:val="en-US"/>
        </w:rPr>
        <w:t xml:space="preserve"> </w:t>
      </w:r>
      <w:r w:rsidRPr="006C44DB">
        <w:rPr>
          <w:rFonts w:ascii="Book Antiqua" w:hAnsi="Book Antiqua" w:cs="Arial"/>
          <w:bCs/>
          <w:lang w:val="en-US"/>
        </w:rPr>
        <w:t>Surgical resection should be reser</w:t>
      </w:r>
      <w:r w:rsidR="00F24298" w:rsidRPr="006C44DB">
        <w:rPr>
          <w:rFonts w:ascii="Book Antiqua" w:hAnsi="Book Antiqua" w:cs="Arial"/>
          <w:bCs/>
          <w:lang w:val="en-US"/>
        </w:rPr>
        <w:t>ved for selected cases that can'</w:t>
      </w:r>
      <w:r w:rsidRPr="006C44DB">
        <w:rPr>
          <w:rFonts w:ascii="Book Antiqua" w:hAnsi="Book Antiqua" w:cs="Arial"/>
          <w:bCs/>
          <w:lang w:val="en-US"/>
        </w:rPr>
        <w:t xml:space="preserve">t be treated with endoscopic or angiographic </w:t>
      </w:r>
      <w:proofErr w:type="gramStart"/>
      <w:r w:rsidRPr="006C44DB">
        <w:rPr>
          <w:rFonts w:ascii="Book Antiqua" w:hAnsi="Book Antiqua" w:cs="Arial"/>
          <w:bCs/>
          <w:lang w:val="en-US"/>
        </w:rPr>
        <w:t>methods</w:t>
      </w:r>
      <w:r w:rsidR="00850C10" w:rsidRPr="006C44DB">
        <w:rPr>
          <w:rFonts w:ascii="Book Antiqua" w:hAnsi="Book Antiqua" w:cs="Arial"/>
          <w:bCs/>
          <w:color w:val="000000" w:themeColor="text1"/>
          <w:vertAlign w:val="superscript"/>
          <w:lang w:val="en-US"/>
        </w:rPr>
        <w:t>[</w:t>
      </w:r>
      <w:proofErr w:type="gramEnd"/>
      <w:r w:rsidR="00850C10" w:rsidRPr="006C44DB">
        <w:rPr>
          <w:rFonts w:ascii="Book Antiqua" w:hAnsi="Book Antiqua" w:cs="Arial"/>
          <w:bCs/>
          <w:color w:val="000000" w:themeColor="text1"/>
          <w:vertAlign w:val="superscript"/>
          <w:lang w:val="en-US"/>
        </w:rPr>
        <w:t>6,</w:t>
      </w:r>
      <w:bookmarkStart w:id="136" w:name="_GoBack"/>
      <w:r w:rsidR="00850C10" w:rsidRPr="006C44DB">
        <w:rPr>
          <w:rFonts w:ascii="Book Antiqua" w:hAnsi="Book Antiqua" w:cs="Arial"/>
          <w:bCs/>
          <w:color w:val="000000" w:themeColor="text1"/>
          <w:vertAlign w:val="superscript"/>
          <w:lang w:val="en-US"/>
        </w:rPr>
        <w:t>12]</w:t>
      </w:r>
      <w:bookmarkEnd w:id="136"/>
      <w:r w:rsidRPr="006C44DB">
        <w:rPr>
          <w:rFonts w:ascii="Book Antiqua" w:hAnsi="Book Antiqua" w:cs="Arial"/>
          <w:bCs/>
          <w:lang w:val="en-US"/>
        </w:rPr>
        <w:t>.</w:t>
      </w:r>
      <w:r w:rsidRPr="006C44DB">
        <w:rPr>
          <w:rFonts w:ascii="Book Antiqua" w:hAnsi="Book Antiqua" w:cs="Arial"/>
          <w:bCs/>
          <w:color w:val="000000" w:themeColor="text1"/>
          <w:vertAlign w:val="superscript"/>
          <w:lang w:val="en-US"/>
        </w:rPr>
        <w:t xml:space="preserve">   </w:t>
      </w:r>
    </w:p>
    <w:p w14:paraId="46D42AE8" w14:textId="77777777" w:rsidR="00850C10" w:rsidRPr="006C44DB" w:rsidRDefault="00850C10" w:rsidP="001734D6">
      <w:pPr>
        <w:pStyle w:val="NormalWeb"/>
        <w:spacing w:before="0" w:beforeAutospacing="0" w:after="0" w:afterAutospacing="0" w:line="360" w:lineRule="auto"/>
        <w:jc w:val="both"/>
        <w:rPr>
          <w:rFonts w:ascii="Book Antiqua" w:hAnsi="Book Antiqua" w:cs="Arial"/>
          <w:bCs/>
          <w:color w:val="000000" w:themeColor="text1"/>
          <w:lang w:val="en-US"/>
        </w:rPr>
      </w:pPr>
    </w:p>
    <w:p w14:paraId="17CE6258" w14:textId="46F69CDE" w:rsidR="00CF1178" w:rsidRPr="006C44DB" w:rsidRDefault="00CF1178" w:rsidP="001734D6">
      <w:pPr>
        <w:pStyle w:val="NormalWeb"/>
        <w:spacing w:before="0" w:beforeAutospacing="0" w:after="0" w:afterAutospacing="0" w:line="360" w:lineRule="auto"/>
        <w:jc w:val="both"/>
        <w:rPr>
          <w:rFonts w:ascii="Book Antiqua" w:hAnsi="Book Antiqua" w:cs="Arial"/>
          <w:b/>
          <w:bCs/>
          <w:lang w:val="en-US"/>
        </w:rPr>
      </w:pPr>
      <w:r w:rsidRPr="006C44DB">
        <w:rPr>
          <w:rFonts w:ascii="Book Antiqua" w:hAnsi="Book Antiqua" w:cs="Arial"/>
          <w:b/>
          <w:bCs/>
          <w:lang w:val="en-US"/>
        </w:rPr>
        <w:t>CONCLUSION</w:t>
      </w:r>
    </w:p>
    <w:p w14:paraId="639F823D" w14:textId="4216BD05" w:rsidR="00CF1178" w:rsidRPr="006C44DB" w:rsidRDefault="00F24298" w:rsidP="001734D6">
      <w:pPr>
        <w:pStyle w:val="NormalWeb"/>
        <w:spacing w:before="0" w:beforeAutospacing="0" w:after="0" w:afterAutospacing="0" w:line="360" w:lineRule="auto"/>
        <w:jc w:val="both"/>
        <w:rPr>
          <w:rFonts w:ascii="Book Antiqua" w:hAnsi="Book Antiqua" w:cs="Arial"/>
          <w:bCs/>
          <w:lang w:val="en-US"/>
        </w:rPr>
      </w:pPr>
      <w:r w:rsidRPr="006C44DB">
        <w:rPr>
          <w:rFonts w:ascii="Book Antiqua" w:hAnsi="Book Antiqua" w:cs="Arial"/>
          <w:bCs/>
          <w:lang w:val="en-US"/>
        </w:rPr>
        <w:t xml:space="preserve">Rectal </w:t>
      </w:r>
      <w:r w:rsidR="007A7C3A" w:rsidRPr="006C44DB">
        <w:rPr>
          <w:rFonts w:ascii="Book Antiqua" w:hAnsi="Book Antiqua" w:cs="Arial"/>
          <w:lang w:val="en-US"/>
        </w:rPr>
        <w:t>DL</w:t>
      </w:r>
      <w:r w:rsidR="007A7C3A">
        <w:rPr>
          <w:rFonts w:ascii="Book Antiqua" w:hAnsi="Book Antiqua" w:cs="Arial"/>
          <w:lang w:val="en-US"/>
        </w:rPr>
        <w:t>s</w:t>
      </w:r>
      <w:r w:rsidR="006D3888" w:rsidRPr="006C44DB">
        <w:rPr>
          <w:rFonts w:ascii="Book Antiqua" w:hAnsi="Book Antiqua" w:cs="Arial"/>
          <w:bCs/>
          <w:lang w:val="en-US"/>
        </w:rPr>
        <w:t xml:space="preserve"> represent</w:t>
      </w:r>
      <w:r w:rsidR="00CF1178" w:rsidRPr="006C44DB">
        <w:rPr>
          <w:rFonts w:ascii="Book Antiqua" w:hAnsi="Book Antiqua" w:cs="Arial"/>
          <w:bCs/>
          <w:lang w:val="en-US"/>
        </w:rPr>
        <w:t xml:space="preserve"> a rare cause of lower gastrointestinal bleeding. Massive hemorrhage can increase the morbidity and mortality of these patients. Endoscopic management continues to be the reference standard in the diagnostic and therapeutic approach. Thermal, mechanical (</w:t>
      </w:r>
      <w:proofErr w:type="spellStart"/>
      <w:r w:rsidR="00CF1178" w:rsidRPr="006C44DB">
        <w:rPr>
          <w:rFonts w:ascii="Book Antiqua" w:hAnsi="Book Antiqua" w:cs="Arial"/>
          <w:bCs/>
          <w:lang w:val="en-US"/>
        </w:rPr>
        <w:t>hemoclip</w:t>
      </w:r>
      <w:proofErr w:type="spellEnd"/>
      <w:r w:rsidR="00CF1178" w:rsidRPr="006C44DB">
        <w:rPr>
          <w:rFonts w:ascii="Book Antiqua" w:hAnsi="Book Antiqua" w:cs="Arial"/>
          <w:bCs/>
          <w:lang w:val="en-US"/>
        </w:rPr>
        <w:t xml:space="preserve"> or band ligation), or combination therapy (adrenaline injection combined with thermal or mechanical therapy) should be considered the first choice for treatment.</w:t>
      </w:r>
    </w:p>
    <w:p w14:paraId="0945A90C" w14:textId="77777777" w:rsidR="004C1F81" w:rsidRPr="006C44DB" w:rsidRDefault="004C1F81" w:rsidP="001734D6">
      <w:pPr>
        <w:pStyle w:val="NormalWeb"/>
        <w:spacing w:before="0" w:beforeAutospacing="0" w:after="0" w:afterAutospacing="0" w:line="360" w:lineRule="auto"/>
        <w:jc w:val="both"/>
        <w:rPr>
          <w:rFonts w:ascii="Book Antiqua" w:hAnsi="Book Antiqua" w:cs="Arial"/>
          <w:b/>
          <w:bCs/>
          <w:lang w:val="en-US"/>
        </w:rPr>
      </w:pPr>
    </w:p>
    <w:p w14:paraId="6E9878C2" w14:textId="05B99E97" w:rsidR="00CF1178" w:rsidRPr="006C44DB" w:rsidRDefault="00CF1178" w:rsidP="001734D6">
      <w:pPr>
        <w:pStyle w:val="NormalWeb"/>
        <w:spacing w:before="0" w:beforeAutospacing="0" w:after="0" w:afterAutospacing="0" w:line="360" w:lineRule="auto"/>
        <w:jc w:val="both"/>
        <w:rPr>
          <w:rFonts w:ascii="Book Antiqua" w:hAnsi="Book Antiqua" w:cs="Arial"/>
          <w:lang w:val="en-US"/>
        </w:rPr>
      </w:pPr>
      <w:r w:rsidRPr="006C44DB">
        <w:rPr>
          <w:rFonts w:ascii="Book Antiqua" w:hAnsi="Book Antiqua" w:cs="Arial"/>
          <w:b/>
          <w:bCs/>
          <w:lang w:val="en-US"/>
        </w:rPr>
        <w:t>REFERENCES</w:t>
      </w:r>
    </w:p>
    <w:p w14:paraId="3D05CC9D" w14:textId="77777777" w:rsidR="001F0EC2" w:rsidRPr="007E72AE" w:rsidRDefault="001F0EC2" w:rsidP="001734D6">
      <w:pPr>
        <w:spacing w:line="360" w:lineRule="auto"/>
        <w:jc w:val="both"/>
        <w:rPr>
          <w:rFonts w:ascii="Book Antiqua" w:hAnsi="Book Antiqua"/>
        </w:rPr>
      </w:pPr>
      <w:r w:rsidRPr="007E72AE">
        <w:rPr>
          <w:rFonts w:ascii="Book Antiqua" w:hAnsi="Book Antiqua"/>
        </w:rPr>
        <w:t xml:space="preserve">1 </w:t>
      </w:r>
      <w:r w:rsidRPr="007E72AE">
        <w:rPr>
          <w:rFonts w:ascii="Book Antiqua" w:hAnsi="Book Antiqua"/>
          <w:b/>
        </w:rPr>
        <w:t>Chaer RA</w:t>
      </w:r>
      <w:r w:rsidRPr="007E72AE">
        <w:rPr>
          <w:rFonts w:ascii="Book Antiqua" w:hAnsi="Book Antiqua"/>
        </w:rPr>
        <w:t xml:space="preserve">, Helton WS. Dieulafoy's disease. </w:t>
      </w:r>
      <w:r w:rsidRPr="007E72AE">
        <w:rPr>
          <w:rFonts w:ascii="Book Antiqua" w:hAnsi="Book Antiqua"/>
          <w:i/>
        </w:rPr>
        <w:t>J Am Coll Surg</w:t>
      </w:r>
      <w:r w:rsidRPr="007E72AE">
        <w:rPr>
          <w:rFonts w:ascii="Book Antiqua" w:hAnsi="Book Antiqua"/>
        </w:rPr>
        <w:t xml:space="preserve"> 2003; </w:t>
      </w:r>
      <w:r w:rsidRPr="007E72AE">
        <w:rPr>
          <w:rFonts w:ascii="Book Antiqua" w:hAnsi="Book Antiqua"/>
          <w:b/>
        </w:rPr>
        <w:t>196</w:t>
      </w:r>
      <w:r w:rsidRPr="007E72AE">
        <w:rPr>
          <w:rFonts w:ascii="Book Antiqua" w:hAnsi="Book Antiqua"/>
        </w:rPr>
        <w:t>: 290-296 [PMID: 12595057 DOI: 10.1016/S1072/7515(02)01801-X]</w:t>
      </w:r>
    </w:p>
    <w:p w14:paraId="228780FF" w14:textId="1D336BAB" w:rsidR="001F0EC2" w:rsidRPr="007E72AE" w:rsidRDefault="001F0EC2" w:rsidP="001734D6">
      <w:pPr>
        <w:spacing w:line="360" w:lineRule="auto"/>
        <w:jc w:val="both"/>
        <w:rPr>
          <w:rFonts w:ascii="Book Antiqua" w:hAnsi="Book Antiqua"/>
        </w:rPr>
      </w:pPr>
      <w:r w:rsidRPr="007E72AE">
        <w:rPr>
          <w:rFonts w:ascii="Book Antiqua" w:hAnsi="Book Antiqua"/>
        </w:rPr>
        <w:t xml:space="preserve">2 </w:t>
      </w:r>
      <w:r w:rsidRPr="007E72AE">
        <w:rPr>
          <w:rFonts w:ascii="Book Antiqua" w:hAnsi="Book Antiqua"/>
          <w:b/>
        </w:rPr>
        <w:t>Lara LF,</w:t>
      </w:r>
      <w:r w:rsidR="00C46D66">
        <w:rPr>
          <w:rFonts w:ascii="Book Antiqua" w:hAnsi="Book Antiqua"/>
        </w:rPr>
        <w:t xml:space="preserve"> </w:t>
      </w:r>
      <w:r w:rsidRPr="007E72AE">
        <w:rPr>
          <w:rFonts w:ascii="Book Antiqua" w:hAnsi="Book Antiqua"/>
        </w:rPr>
        <w:t xml:space="preserve">Sreenarasimhaiah J, Jiang Tang S, Alonso BB, Rochey DC. Localization, efficacy of therapy and outcomes of Dieulafoy's lesions of the GI </w:t>
      </w:r>
      <w:r w:rsidRPr="007E72AE">
        <w:rPr>
          <w:rFonts w:ascii="Book Antiqua" w:hAnsi="Book Antiqua"/>
        </w:rPr>
        <w:lastRenderedPageBreak/>
        <w:t xml:space="preserve">tract-the UT Southwestern GI Bleed Team experience. </w:t>
      </w:r>
      <w:r w:rsidRPr="007E72AE">
        <w:rPr>
          <w:rFonts w:ascii="Book Antiqua" w:hAnsi="Book Antiqua"/>
          <w:i/>
          <w:iCs/>
        </w:rPr>
        <w:t>Gastrointest Endosc</w:t>
      </w:r>
      <w:r w:rsidRPr="007E72AE">
        <w:rPr>
          <w:rFonts w:ascii="Book Antiqua" w:hAnsi="Book Antiqua"/>
        </w:rPr>
        <w:t xml:space="preserve"> 2008; </w:t>
      </w:r>
      <w:r w:rsidRPr="007E72AE">
        <w:rPr>
          <w:rFonts w:ascii="Book Antiqua" w:hAnsi="Book Antiqua"/>
          <w:b/>
          <w:bCs/>
        </w:rPr>
        <w:t>67</w:t>
      </w:r>
      <w:r w:rsidRPr="007E72AE">
        <w:rPr>
          <w:rFonts w:ascii="Book Antiqua" w:hAnsi="Book Antiqua"/>
        </w:rPr>
        <w:t>: AB87 [DOI: 10.1016/j.gie.2008.03.063]</w:t>
      </w:r>
    </w:p>
    <w:p w14:paraId="436C87EF" w14:textId="77777777" w:rsidR="001F0EC2" w:rsidRPr="007E72AE" w:rsidRDefault="001F0EC2" w:rsidP="001734D6">
      <w:pPr>
        <w:spacing w:line="360" w:lineRule="auto"/>
        <w:jc w:val="both"/>
        <w:rPr>
          <w:rFonts w:ascii="Book Antiqua" w:hAnsi="Book Antiqua"/>
        </w:rPr>
      </w:pPr>
      <w:r w:rsidRPr="007E72AE">
        <w:rPr>
          <w:rFonts w:ascii="Book Antiqua" w:hAnsi="Book Antiqua"/>
        </w:rPr>
        <w:t xml:space="preserve">3 </w:t>
      </w:r>
      <w:r w:rsidRPr="007E72AE">
        <w:rPr>
          <w:rFonts w:ascii="Book Antiqua" w:hAnsi="Book Antiqua"/>
          <w:b/>
        </w:rPr>
        <w:t>Lee YT</w:t>
      </w:r>
      <w:r w:rsidRPr="007E72AE">
        <w:rPr>
          <w:rFonts w:ascii="Book Antiqua" w:hAnsi="Book Antiqua"/>
        </w:rPr>
        <w:t xml:space="preserve">, Walmsley RS, Leong RW, Sung JJ. Dieulafoy's lesion. </w:t>
      </w:r>
      <w:r w:rsidRPr="007E72AE">
        <w:rPr>
          <w:rFonts w:ascii="Book Antiqua" w:hAnsi="Book Antiqua"/>
          <w:i/>
        </w:rPr>
        <w:t>Gastrointest Endosc</w:t>
      </w:r>
      <w:r w:rsidRPr="007E72AE">
        <w:rPr>
          <w:rFonts w:ascii="Book Antiqua" w:hAnsi="Book Antiqua"/>
        </w:rPr>
        <w:t xml:space="preserve"> 2003; </w:t>
      </w:r>
      <w:r w:rsidRPr="007E72AE">
        <w:rPr>
          <w:rFonts w:ascii="Book Antiqua" w:hAnsi="Book Antiqua"/>
          <w:b/>
        </w:rPr>
        <w:t>58</w:t>
      </w:r>
      <w:r w:rsidRPr="007E72AE">
        <w:rPr>
          <w:rFonts w:ascii="Book Antiqua" w:hAnsi="Book Antiqua"/>
        </w:rPr>
        <w:t>: 236-243 [PMID: 12872092 DOI: 10.1016/mge.2003.328]</w:t>
      </w:r>
    </w:p>
    <w:p w14:paraId="35A7B8BC" w14:textId="77777777" w:rsidR="001F0EC2" w:rsidRPr="007E72AE" w:rsidRDefault="001F0EC2" w:rsidP="001734D6">
      <w:pPr>
        <w:spacing w:line="360" w:lineRule="auto"/>
        <w:jc w:val="both"/>
        <w:rPr>
          <w:rFonts w:ascii="Book Antiqua" w:hAnsi="Book Antiqua"/>
        </w:rPr>
      </w:pPr>
      <w:r w:rsidRPr="007E72AE">
        <w:rPr>
          <w:rFonts w:ascii="Book Antiqua" w:hAnsi="Book Antiqua"/>
        </w:rPr>
        <w:t xml:space="preserve">4 </w:t>
      </w:r>
      <w:r w:rsidRPr="007E72AE">
        <w:rPr>
          <w:rFonts w:ascii="Book Antiqua" w:hAnsi="Book Antiqua"/>
          <w:b/>
        </w:rPr>
        <w:t>Tursi A</w:t>
      </w:r>
      <w:r w:rsidRPr="007E72AE">
        <w:rPr>
          <w:rFonts w:ascii="Book Antiqua" w:hAnsi="Book Antiqua"/>
        </w:rPr>
        <w:t xml:space="preserve">. Rectal Dieulafoy lesion. </w:t>
      </w:r>
      <w:r w:rsidRPr="007E72AE">
        <w:rPr>
          <w:rFonts w:ascii="Book Antiqua" w:hAnsi="Book Antiqua"/>
          <w:i/>
        </w:rPr>
        <w:t>Clin Res Hepatol Gastroenterol</w:t>
      </w:r>
      <w:r w:rsidRPr="007E72AE">
        <w:rPr>
          <w:rFonts w:ascii="Book Antiqua" w:hAnsi="Book Antiqua"/>
        </w:rPr>
        <w:t xml:space="preserve"> 2017; </w:t>
      </w:r>
      <w:r w:rsidRPr="007E72AE">
        <w:rPr>
          <w:rFonts w:ascii="Book Antiqua" w:hAnsi="Book Antiqua"/>
          <w:b/>
        </w:rPr>
        <w:t>41</w:t>
      </w:r>
      <w:r w:rsidRPr="007E72AE">
        <w:rPr>
          <w:rFonts w:ascii="Book Antiqua" w:hAnsi="Book Antiqua"/>
        </w:rPr>
        <w:t>: 1-2 [PMID: 26186876 DOI: 10.1016/j.clinre.2015.06.006]</w:t>
      </w:r>
    </w:p>
    <w:p w14:paraId="7E66E720" w14:textId="77777777" w:rsidR="001F0EC2" w:rsidRPr="007E72AE" w:rsidRDefault="001F0EC2" w:rsidP="001734D6">
      <w:pPr>
        <w:spacing w:line="360" w:lineRule="auto"/>
        <w:jc w:val="both"/>
        <w:rPr>
          <w:rFonts w:ascii="Book Antiqua" w:hAnsi="Book Antiqua"/>
        </w:rPr>
      </w:pPr>
      <w:r w:rsidRPr="007E72AE">
        <w:rPr>
          <w:rFonts w:ascii="Book Antiqua" w:hAnsi="Book Antiqua"/>
        </w:rPr>
        <w:t xml:space="preserve">5 </w:t>
      </w:r>
      <w:r w:rsidRPr="007E72AE">
        <w:rPr>
          <w:rFonts w:ascii="Book Antiqua" w:hAnsi="Book Antiqua"/>
          <w:b/>
        </w:rPr>
        <w:t>Kanth R</w:t>
      </w:r>
      <w:r w:rsidRPr="007E72AE">
        <w:rPr>
          <w:rFonts w:ascii="Book Antiqua" w:hAnsi="Book Antiqua"/>
        </w:rPr>
        <w:t xml:space="preserve">, Mali P, Roy PK. Outcomes in Dieulafoy's Lesion: A 10-Year Clinical Review. </w:t>
      </w:r>
      <w:r w:rsidRPr="007E72AE">
        <w:rPr>
          <w:rFonts w:ascii="Book Antiqua" w:hAnsi="Book Antiqua"/>
          <w:i/>
        </w:rPr>
        <w:t>Dig Dis Sci</w:t>
      </w:r>
      <w:r w:rsidRPr="007E72AE">
        <w:rPr>
          <w:rFonts w:ascii="Book Antiqua" w:hAnsi="Book Antiqua"/>
        </w:rPr>
        <w:t xml:space="preserve"> 2015; </w:t>
      </w:r>
      <w:r w:rsidRPr="007E72AE">
        <w:rPr>
          <w:rFonts w:ascii="Book Antiqua" w:hAnsi="Book Antiqua"/>
          <w:b/>
        </w:rPr>
        <w:t>60</w:t>
      </w:r>
      <w:r w:rsidRPr="007E72AE">
        <w:rPr>
          <w:rFonts w:ascii="Book Antiqua" w:hAnsi="Book Antiqua"/>
        </w:rPr>
        <w:t>: 2097-2103 [PMID: 25663242 DOI: 10.1007/s10620-015-3568-1]</w:t>
      </w:r>
    </w:p>
    <w:p w14:paraId="4CBDA6DE" w14:textId="77777777" w:rsidR="001F0EC2" w:rsidRPr="007E72AE" w:rsidRDefault="001F0EC2" w:rsidP="001734D6">
      <w:pPr>
        <w:spacing w:line="360" w:lineRule="auto"/>
        <w:jc w:val="both"/>
        <w:rPr>
          <w:rFonts w:ascii="Book Antiqua" w:hAnsi="Book Antiqua"/>
        </w:rPr>
      </w:pPr>
      <w:r w:rsidRPr="007E72AE">
        <w:rPr>
          <w:rFonts w:ascii="Book Antiqua" w:hAnsi="Book Antiqua"/>
        </w:rPr>
        <w:t xml:space="preserve">6 </w:t>
      </w:r>
      <w:r w:rsidRPr="007E72AE">
        <w:rPr>
          <w:rFonts w:ascii="Book Antiqua" w:hAnsi="Book Antiqua"/>
          <w:b/>
        </w:rPr>
        <w:t>Gralnek IM</w:t>
      </w:r>
      <w:r w:rsidRPr="007E72AE">
        <w:rPr>
          <w:rFonts w:ascii="Book Antiqua" w:hAnsi="Book Antiqua"/>
        </w:rPr>
        <w:t xml:space="preserve">, Dumonceau JM, Kuipers EJ, Lanas A, Sanders DS, Kurien M, Rotondano G, Hucl T, Dinis-Ribeiro M, Marmo R, Racz I, Arezzo A, Hoffmann RT, Lesur G, de Franchis R, Aabakken L, Veitch A, Radaelli F, Salgueiro P, Cardoso R, Maia L, Zullo A, Cipolletta L, Hassan C. Diagnosis and management of nonvariceal upper gastrointestinal hemorrhage: European Society of Gastrointestinal Endoscopy (ESGE) Guideline. </w:t>
      </w:r>
      <w:r w:rsidRPr="007E72AE">
        <w:rPr>
          <w:rFonts w:ascii="Book Antiqua" w:hAnsi="Book Antiqua"/>
          <w:i/>
        </w:rPr>
        <w:t>Endoscopy</w:t>
      </w:r>
      <w:r w:rsidRPr="007E72AE">
        <w:rPr>
          <w:rFonts w:ascii="Book Antiqua" w:hAnsi="Book Antiqua"/>
        </w:rPr>
        <w:t xml:space="preserve"> 2015; </w:t>
      </w:r>
      <w:r w:rsidRPr="007E72AE">
        <w:rPr>
          <w:rFonts w:ascii="Book Antiqua" w:hAnsi="Book Antiqua"/>
          <w:b/>
        </w:rPr>
        <w:t>47</w:t>
      </w:r>
      <w:r w:rsidRPr="007E72AE">
        <w:rPr>
          <w:rFonts w:ascii="Book Antiqua" w:hAnsi="Book Antiqua"/>
        </w:rPr>
        <w:t>: a1-46 [PMID: 26417980 DOI: 10.1055/s-0034-1393172]</w:t>
      </w:r>
    </w:p>
    <w:p w14:paraId="22B77063" w14:textId="77777777" w:rsidR="001F0EC2" w:rsidRPr="007E72AE" w:rsidRDefault="001F0EC2" w:rsidP="001734D6">
      <w:pPr>
        <w:spacing w:line="360" w:lineRule="auto"/>
        <w:jc w:val="both"/>
        <w:rPr>
          <w:rFonts w:ascii="Book Antiqua" w:hAnsi="Book Antiqua"/>
        </w:rPr>
      </w:pPr>
      <w:r w:rsidRPr="007E72AE">
        <w:rPr>
          <w:rFonts w:ascii="Book Antiqua" w:hAnsi="Book Antiqua"/>
        </w:rPr>
        <w:t xml:space="preserve">7 </w:t>
      </w:r>
      <w:r w:rsidRPr="007E72AE">
        <w:rPr>
          <w:rFonts w:ascii="Book Antiqua" w:hAnsi="Book Antiqua"/>
          <w:b/>
        </w:rPr>
        <w:t>Nguyen DC</w:t>
      </w:r>
      <w:r w:rsidRPr="007E72AE">
        <w:rPr>
          <w:rFonts w:ascii="Book Antiqua" w:hAnsi="Book Antiqua"/>
        </w:rPr>
        <w:t xml:space="preserve">, Jackson CS. The Dieulafoy's Lesion: An Update on Evaluation, Diagnosis, and Management. </w:t>
      </w:r>
      <w:r w:rsidRPr="007E72AE">
        <w:rPr>
          <w:rFonts w:ascii="Book Antiqua" w:hAnsi="Book Antiqua"/>
          <w:i/>
        </w:rPr>
        <w:t>J Clin Gastroenterol</w:t>
      </w:r>
      <w:r w:rsidRPr="007E72AE">
        <w:rPr>
          <w:rFonts w:ascii="Book Antiqua" w:hAnsi="Book Antiqua"/>
        </w:rPr>
        <w:t xml:space="preserve"> 2015; </w:t>
      </w:r>
      <w:r w:rsidRPr="007E72AE">
        <w:rPr>
          <w:rFonts w:ascii="Book Antiqua" w:hAnsi="Book Antiqua"/>
          <w:b/>
        </w:rPr>
        <w:t>49</w:t>
      </w:r>
      <w:r w:rsidRPr="007E72AE">
        <w:rPr>
          <w:rFonts w:ascii="Book Antiqua" w:hAnsi="Book Antiqua"/>
        </w:rPr>
        <w:t>: 541-549 [PMID: 25887110 DOI: 10.1097/MCG.0000000000000321]</w:t>
      </w:r>
    </w:p>
    <w:p w14:paraId="725F425B" w14:textId="77777777" w:rsidR="001F0EC2" w:rsidRPr="007E72AE" w:rsidRDefault="001F0EC2" w:rsidP="001734D6">
      <w:pPr>
        <w:spacing w:line="360" w:lineRule="auto"/>
        <w:jc w:val="both"/>
        <w:rPr>
          <w:rFonts w:ascii="Book Antiqua" w:hAnsi="Book Antiqua"/>
        </w:rPr>
      </w:pPr>
      <w:r w:rsidRPr="007E72AE">
        <w:rPr>
          <w:rFonts w:ascii="Book Antiqua" w:hAnsi="Book Antiqua"/>
        </w:rPr>
        <w:t xml:space="preserve">8 </w:t>
      </w:r>
      <w:r w:rsidRPr="007E72AE">
        <w:rPr>
          <w:rFonts w:ascii="Book Antiqua" w:hAnsi="Book Antiqua"/>
          <w:b/>
        </w:rPr>
        <w:t>Park JG</w:t>
      </w:r>
      <w:r w:rsidRPr="007E72AE">
        <w:rPr>
          <w:rFonts w:ascii="Book Antiqua" w:hAnsi="Book Antiqua"/>
        </w:rPr>
        <w:t xml:space="preserve">, Park JC, Kwon YH, Ahn SY, Jeon SW. Endoscopic Management of Rectal Dieulafoy's Lesion: A Case Series and Optimal Treatment. </w:t>
      </w:r>
      <w:r w:rsidRPr="007E72AE">
        <w:rPr>
          <w:rFonts w:ascii="Book Antiqua" w:hAnsi="Book Antiqua"/>
          <w:i/>
        </w:rPr>
        <w:t>Clin Endosc</w:t>
      </w:r>
      <w:r w:rsidRPr="007E72AE">
        <w:rPr>
          <w:rFonts w:ascii="Book Antiqua" w:hAnsi="Book Antiqua"/>
        </w:rPr>
        <w:t xml:space="preserve"> 2014; </w:t>
      </w:r>
      <w:r w:rsidRPr="007E72AE">
        <w:rPr>
          <w:rFonts w:ascii="Book Antiqua" w:hAnsi="Book Antiqua"/>
          <w:b/>
        </w:rPr>
        <w:t>47</w:t>
      </w:r>
      <w:r w:rsidRPr="007E72AE">
        <w:rPr>
          <w:rFonts w:ascii="Book Antiqua" w:hAnsi="Book Antiqua"/>
        </w:rPr>
        <w:t>: 362-366 [PMID: 25133127 DOI: 10.5946/ce.2014.47.4.362]</w:t>
      </w:r>
    </w:p>
    <w:p w14:paraId="4B818655" w14:textId="77777777" w:rsidR="001F0EC2" w:rsidRPr="007E72AE" w:rsidRDefault="001F0EC2" w:rsidP="001734D6">
      <w:pPr>
        <w:spacing w:line="360" w:lineRule="auto"/>
        <w:jc w:val="both"/>
        <w:rPr>
          <w:rFonts w:ascii="Book Antiqua" w:hAnsi="Book Antiqua"/>
        </w:rPr>
      </w:pPr>
      <w:r w:rsidRPr="007E72AE">
        <w:rPr>
          <w:rFonts w:ascii="Book Antiqua" w:hAnsi="Book Antiqua"/>
        </w:rPr>
        <w:t xml:space="preserve">9 </w:t>
      </w:r>
      <w:r w:rsidRPr="007E72AE">
        <w:rPr>
          <w:rFonts w:ascii="Book Antiqua" w:hAnsi="Book Antiqua"/>
          <w:b/>
        </w:rPr>
        <w:t>Chung IK</w:t>
      </w:r>
      <w:r w:rsidRPr="007E72AE">
        <w:rPr>
          <w:rFonts w:ascii="Book Antiqua" w:hAnsi="Book Antiqua"/>
        </w:rPr>
        <w:t xml:space="preserve">, Kim EJ, Lee MS, Kim HS, Park SH, Lee MH, Kim SJ, Cho MS. Bleeding Dieulafoy's lesions and the choice of endoscopic method: comparing the hemostatic efficacy of mechanical and injection methods. </w:t>
      </w:r>
      <w:r w:rsidRPr="007E72AE">
        <w:rPr>
          <w:rFonts w:ascii="Book Antiqua" w:hAnsi="Book Antiqua"/>
          <w:i/>
        </w:rPr>
        <w:t>Gastrointest Endosc</w:t>
      </w:r>
      <w:r w:rsidRPr="007E72AE">
        <w:rPr>
          <w:rFonts w:ascii="Book Antiqua" w:hAnsi="Book Antiqua"/>
        </w:rPr>
        <w:t xml:space="preserve"> 2000; </w:t>
      </w:r>
      <w:r w:rsidRPr="007E72AE">
        <w:rPr>
          <w:rFonts w:ascii="Book Antiqua" w:hAnsi="Book Antiqua"/>
          <w:b/>
        </w:rPr>
        <w:t>52</w:t>
      </w:r>
      <w:r w:rsidRPr="007E72AE">
        <w:rPr>
          <w:rFonts w:ascii="Book Antiqua" w:hAnsi="Book Antiqua"/>
        </w:rPr>
        <w:t>: 721-724 [PMID: 11115902]</w:t>
      </w:r>
    </w:p>
    <w:p w14:paraId="430B4CA9" w14:textId="77777777" w:rsidR="001F0EC2" w:rsidRPr="007E72AE" w:rsidRDefault="001F0EC2" w:rsidP="001734D6">
      <w:pPr>
        <w:spacing w:line="360" w:lineRule="auto"/>
        <w:jc w:val="both"/>
        <w:rPr>
          <w:rFonts w:ascii="Book Antiqua" w:hAnsi="Book Antiqua"/>
        </w:rPr>
      </w:pPr>
      <w:r w:rsidRPr="007E72AE">
        <w:rPr>
          <w:rFonts w:ascii="Book Antiqua" w:hAnsi="Book Antiqua"/>
        </w:rPr>
        <w:t xml:space="preserve">10 </w:t>
      </w:r>
      <w:r w:rsidRPr="007E72AE">
        <w:rPr>
          <w:rFonts w:ascii="Book Antiqua" w:hAnsi="Book Antiqua"/>
          <w:b/>
        </w:rPr>
        <w:t>Barakat M</w:t>
      </w:r>
      <w:r w:rsidRPr="007E72AE">
        <w:rPr>
          <w:rFonts w:ascii="Book Antiqua" w:hAnsi="Book Antiqua"/>
        </w:rPr>
        <w:t>, Hamed A, Shady A, Homsi M, Eskaros S. Endoscopic band ligation versus endoscopic hemoclip placement for Dieulafoy's lesion: a meta-</w:t>
      </w:r>
      <w:r w:rsidRPr="007E72AE">
        <w:rPr>
          <w:rFonts w:ascii="Book Antiqua" w:hAnsi="Book Antiqua"/>
        </w:rPr>
        <w:lastRenderedPageBreak/>
        <w:t xml:space="preserve">analysis. </w:t>
      </w:r>
      <w:r w:rsidRPr="007E72AE">
        <w:rPr>
          <w:rFonts w:ascii="Book Antiqua" w:hAnsi="Book Antiqua"/>
          <w:i/>
        </w:rPr>
        <w:t>Eur J Gastroenterol Hepatol</w:t>
      </w:r>
      <w:r w:rsidRPr="007E72AE">
        <w:rPr>
          <w:rFonts w:ascii="Book Antiqua" w:hAnsi="Book Antiqua"/>
        </w:rPr>
        <w:t xml:space="preserve"> 2018; </w:t>
      </w:r>
      <w:r w:rsidRPr="007E72AE">
        <w:rPr>
          <w:rFonts w:ascii="Book Antiqua" w:hAnsi="Book Antiqua"/>
          <w:b/>
        </w:rPr>
        <w:t>30</w:t>
      </w:r>
      <w:r w:rsidRPr="007E72AE">
        <w:rPr>
          <w:rFonts w:ascii="Book Antiqua" w:hAnsi="Book Antiqua"/>
        </w:rPr>
        <w:t>: 995-996 [PMID: 30048368 DOI: 10.1097/MEG.0000000000001179]</w:t>
      </w:r>
    </w:p>
    <w:p w14:paraId="2388CACF" w14:textId="77777777" w:rsidR="001F0EC2" w:rsidRPr="007E72AE" w:rsidRDefault="001F0EC2" w:rsidP="001734D6">
      <w:pPr>
        <w:spacing w:line="360" w:lineRule="auto"/>
        <w:jc w:val="both"/>
        <w:rPr>
          <w:rFonts w:ascii="Book Antiqua" w:hAnsi="Book Antiqua"/>
        </w:rPr>
      </w:pPr>
      <w:r w:rsidRPr="007E72AE">
        <w:rPr>
          <w:rFonts w:ascii="Book Antiqua" w:hAnsi="Book Antiqua"/>
        </w:rPr>
        <w:t xml:space="preserve">11 </w:t>
      </w:r>
      <w:r w:rsidRPr="007E72AE">
        <w:rPr>
          <w:rFonts w:ascii="Book Antiqua" w:hAnsi="Book Antiqua"/>
          <w:b/>
        </w:rPr>
        <w:t>Alshumrani G</w:t>
      </w:r>
      <w:r w:rsidRPr="007E72AE">
        <w:rPr>
          <w:rFonts w:ascii="Book Antiqua" w:hAnsi="Book Antiqua"/>
        </w:rPr>
        <w:t xml:space="preserve">, Almuaikeel M. Angiographic findings and endovascular embolization in Dieulafoy disease: a case report and literature review. </w:t>
      </w:r>
      <w:r w:rsidRPr="007E72AE">
        <w:rPr>
          <w:rFonts w:ascii="Book Antiqua" w:hAnsi="Book Antiqua"/>
          <w:i/>
        </w:rPr>
        <w:t>Diagn Interv Radiol</w:t>
      </w:r>
      <w:r w:rsidRPr="007E72AE">
        <w:rPr>
          <w:rFonts w:ascii="Book Antiqua" w:hAnsi="Book Antiqua"/>
        </w:rPr>
        <w:t xml:space="preserve"> 2006; </w:t>
      </w:r>
      <w:r w:rsidRPr="007E72AE">
        <w:rPr>
          <w:rFonts w:ascii="Book Antiqua" w:hAnsi="Book Antiqua"/>
          <w:b/>
        </w:rPr>
        <w:t>12</w:t>
      </w:r>
      <w:r w:rsidRPr="007E72AE">
        <w:rPr>
          <w:rFonts w:ascii="Book Antiqua" w:hAnsi="Book Antiqua"/>
        </w:rPr>
        <w:t>: 151-154 [PMID: 16972222]</w:t>
      </w:r>
    </w:p>
    <w:p w14:paraId="51D931C1" w14:textId="77777777" w:rsidR="001F0EC2" w:rsidRPr="007E72AE" w:rsidRDefault="001F0EC2" w:rsidP="001734D6">
      <w:pPr>
        <w:spacing w:line="360" w:lineRule="auto"/>
        <w:jc w:val="both"/>
        <w:rPr>
          <w:rFonts w:ascii="Book Antiqua" w:hAnsi="Book Antiqua"/>
        </w:rPr>
      </w:pPr>
      <w:r w:rsidRPr="007E72AE">
        <w:rPr>
          <w:rFonts w:ascii="Book Antiqua" w:hAnsi="Book Antiqua"/>
        </w:rPr>
        <w:t xml:space="preserve">12 </w:t>
      </w:r>
      <w:r w:rsidRPr="007E72AE">
        <w:rPr>
          <w:rFonts w:ascii="Book Antiqua" w:hAnsi="Book Antiqua"/>
          <w:b/>
        </w:rPr>
        <w:t>Dogan U</w:t>
      </w:r>
      <w:r w:rsidRPr="007E72AE">
        <w:rPr>
          <w:rFonts w:ascii="Book Antiqua" w:hAnsi="Book Antiqua"/>
        </w:rPr>
        <w:t xml:space="preserve">, Gomceli I, Koc U, Habibi M, Bulbuller N. Rectal dieulafoy lesions: a rare etiology of chronic lower gastrointestinal bleeding. </w:t>
      </w:r>
      <w:r w:rsidRPr="007E72AE">
        <w:rPr>
          <w:rFonts w:ascii="Book Antiqua" w:hAnsi="Book Antiqua"/>
          <w:i/>
        </w:rPr>
        <w:t>Case Rep Med</w:t>
      </w:r>
      <w:r w:rsidRPr="007E72AE">
        <w:rPr>
          <w:rFonts w:ascii="Book Antiqua" w:hAnsi="Book Antiqua"/>
        </w:rPr>
        <w:t xml:space="preserve"> 2014; </w:t>
      </w:r>
      <w:r w:rsidRPr="007E72AE">
        <w:rPr>
          <w:rFonts w:ascii="Book Antiqua" w:hAnsi="Book Antiqua"/>
          <w:b/>
        </w:rPr>
        <w:t>2014</w:t>
      </w:r>
      <w:r w:rsidRPr="007E72AE">
        <w:rPr>
          <w:rFonts w:ascii="Book Antiqua" w:hAnsi="Book Antiqua"/>
        </w:rPr>
        <w:t>: 180230 [PMID: 25349614 DOI: 10.1155/2014/180230]</w:t>
      </w:r>
    </w:p>
    <w:p w14:paraId="3A913EB7" w14:textId="5BDBFA83" w:rsidR="0029743F" w:rsidRDefault="0029743F" w:rsidP="001734D6">
      <w:pPr>
        <w:spacing w:line="360" w:lineRule="auto"/>
        <w:jc w:val="right"/>
        <w:rPr>
          <w:rFonts w:ascii="Book Antiqua" w:hAnsi="Book Antiqua"/>
          <w:b/>
          <w:bCs/>
        </w:rPr>
      </w:pPr>
      <w:r w:rsidRPr="005F7DC3">
        <w:rPr>
          <w:rFonts w:ascii="Book Antiqua" w:hAnsi="Book Antiqua"/>
          <w:b/>
          <w:bCs/>
        </w:rPr>
        <w:t xml:space="preserve">P-Reviewer: </w:t>
      </w:r>
      <w:r w:rsidRPr="005F7DC3">
        <w:rPr>
          <w:rFonts w:ascii="Book Antiqua" w:hAnsi="Book Antiqua" w:hint="eastAsia"/>
          <w:b/>
          <w:bCs/>
        </w:rPr>
        <w:t xml:space="preserve"> </w:t>
      </w:r>
      <w:r w:rsidR="00684EFA" w:rsidRPr="00F87088">
        <w:rPr>
          <w:rFonts w:ascii="Book Antiqua" w:hAnsi="Book Antiqua"/>
        </w:rPr>
        <w:t xml:space="preserve">Chen CH, </w:t>
      </w:r>
      <w:r w:rsidR="007E33CE" w:rsidRPr="00F87088">
        <w:rPr>
          <w:rFonts w:ascii="Book Antiqua" w:hAnsi="Book Antiqua"/>
        </w:rPr>
        <w:t xml:space="preserve">Sandhu </w:t>
      </w:r>
      <w:r w:rsidR="007E33CE" w:rsidRPr="00F87088">
        <w:rPr>
          <w:rFonts w:ascii="Book Antiqua" w:eastAsia="SimSun" w:hAnsi="Book Antiqua"/>
          <w:lang w:eastAsia="zh-CN"/>
        </w:rPr>
        <w:t>DS</w:t>
      </w:r>
      <w:r w:rsidR="00F87088">
        <w:rPr>
          <w:rFonts w:ascii="Book Antiqua" w:eastAsia="SimSun" w:hAnsi="Book Antiqua" w:hint="eastAsia"/>
          <w:lang w:eastAsia="zh-CN"/>
        </w:rPr>
        <w:t>,</w:t>
      </w:r>
      <w:r w:rsidR="00F87088">
        <w:rPr>
          <w:rFonts w:ascii="Book Antiqua" w:eastAsia="SimSun" w:hAnsi="Book Antiqua"/>
          <w:lang w:eastAsia="zh-CN"/>
        </w:rPr>
        <w:t xml:space="preserve"> </w:t>
      </w:r>
      <w:r w:rsidR="00F87088" w:rsidRPr="00F87088">
        <w:rPr>
          <w:rFonts w:ascii="Book Antiqua" w:eastAsia="SimSun" w:hAnsi="Book Antiqua"/>
          <w:lang w:eastAsia="zh-CN"/>
        </w:rPr>
        <w:t>Vynios D</w:t>
      </w:r>
      <w:r w:rsidR="007E33CE">
        <w:rPr>
          <w:rFonts w:ascii="Book Antiqua" w:eastAsia="SimSun" w:hAnsi="Book Antiqua" w:hint="eastAsia"/>
          <w:b/>
          <w:bCs/>
          <w:lang w:eastAsia="zh-CN"/>
        </w:rPr>
        <w:t xml:space="preserve"> </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6A63C390" w14:textId="77777777" w:rsidR="007168C1" w:rsidRDefault="007168C1" w:rsidP="007168C1">
      <w:pPr>
        <w:shd w:val="clear" w:color="auto" w:fill="FFFFFF"/>
        <w:snapToGrid w:val="0"/>
        <w:spacing w:line="360" w:lineRule="auto"/>
        <w:jc w:val="both"/>
        <w:rPr>
          <w:rFonts w:ascii="Book Antiqua" w:hAnsi="Book Antiqua" w:cs="Helvetica"/>
          <w:b/>
          <w:lang w:val="en-US"/>
        </w:rPr>
      </w:pPr>
      <w:r>
        <w:rPr>
          <w:rFonts w:ascii="Book Antiqua" w:hAnsi="Book Antiqua" w:cs="Helvetica"/>
          <w:b/>
        </w:rPr>
        <w:t xml:space="preserve">Specialty type: </w:t>
      </w:r>
      <w:r>
        <w:rPr>
          <w:rFonts w:ascii="Book Antiqua" w:eastAsia="Microsoft YaHei" w:hAnsi="Book Antiqua" w:cs="SimSun"/>
        </w:rPr>
        <w:t>Gastroenterology and hepatology</w:t>
      </w:r>
    </w:p>
    <w:p w14:paraId="1052605B" w14:textId="581BE169" w:rsidR="007168C1" w:rsidRDefault="007168C1" w:rsidP="007168C1">
      <w:pPr>
        <w:shd w:val="clear" w:color="auto" w:fill="FFFFFF"/>
        <w:snapToGrid w:val="0"/>
        <w:spacing w:line="360" w:lineRule="auto"/>
        <w:jc w:val="both"/>
        <w:rPr>
          <w:rFonts w:ascii="Book Antiqua" w:hAnsi="Book Antiqua" w:cs="Helvetica"/>
          <w:b/>
          <w:lang w:val="pt-BR"/>
        </w:rPr>
      </w:pPr>
      <w:r>
        <w:rPr>
          <w:rFonts w:ascii="Book Antiqua" w:hAnsi="Book Antiqua" w:cs="Helvetica"/>
          <w:b/>
        </w:rPr>
        <w:t xml:space="preserve">Country of origin: </w:t>
      </w:r>
      <w:r w:rsidR="000B6DD7" w:rsidRPr="000B6DD7">
        <w:rPr>
          <w:rFonts w:ascii="Book Antiqua" w:hAnsi="Book Antiqua" w:cs="Helvetica"/>
          <w:lang w:eastAsia="zh-CN"/>
        </w:rPr>
        <w:t>Mexico</w:t>
      </w:r>
    </w:p>
    <w:p w14:paraId="43472BE5" w14:textId="77777777" w:rsidR="007168C1" w:rsidRDefault="007168C1" w:rsidP="007168C1">
      <w:pPr>
        <w:shd w:val="clear" w:color="auto" w:fill="FFFFFF"/>
        <w:snapToGrid w:val="0"/>
        <w:spacing w:line="360" w:lineRule="auto"/>
        <w:jc w:val="both"/>
        <w:rPr>
          <w:rFonts w:ascii="Book Antiqua" w:hAnsi="Book Antiqua" w:cs="Helvetica"/>
          <w:b/>
        </w:rPr>
      </w:pPr>
      <w:r>
        <w:rPr>
          <w:rFonts w:ascii="Book Antiqua" w:hAnsi="Book Antiqua" w:cs="Helvetica"/>
          <w:b/>
        </w:rPr>
        <w:t>Peer-review report classification</w:t>
      </w:r>
    </w:p>
    <w:p w14:paraId="1C6BC9CF" w14:textId="25AFC914" w:rsidR="007168C1" w:rsidRDefault="007168C1" w:rsidP="007168C1">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A (Excellent): </w:t>
      </w:r>
      <w:r w:rsidR="000D1E76">
        <w:rPr>
          <w:rFonts w:ascii="Book Antiqua" w:hAnsi="Book Antiqua" w:cs="Helvetica"/>
          <w:lang w:eastAsia="zh-CN"/>
        </w:rPr>
        <w:t>0</w:t>
      </w:r>
    </w:p>
    <w:p w14:paraId="6E29C6F7" w14:textId="77777777" w:rsidR="007168C1" w:rsidRDefault="007168C1" w:rsidP="007168C1">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B (Very good): </w:t>
      </w:r>
      <w:r>
        <w:rPr>
          <w:rFonts w:ascii="Book Antiqua" w:hAnsi="Book Antiqua" w:cs="Helvetica"/>
          <w:lang w:eastAsia="zh-CN"/>
        </w:rPr>
        <w:t>B</w:t>
      </w:r>
    </w:p>
    <w:p w14:paraId="53C2D77B" w14:textId="1B05F670" w:rsidR="007168C1" w:rsidRDefault="007168C1" w:rsidP="007168C1">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C (Good): </w:t>
      </w:r>
      <w:r w:rsidR="000D1E76">
        <w:rPr>
          <w:rFonts w:ascii="Book Antiqua" w:hAnsi="Book Antiqua" w:cs="Helvetica"/>
          <w:lang w:eastAsia="zh-CN"/>
        </w:rPr>
        <w:t>C</w:t>
      </w:r>
    </w:p>
    <w:p w14:paraId="74D17D4C" w14:textId="77777777" w:rsidR="007168C1" w:rsidRDefault="007168C1" w:rsidP="007168C1">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D (Fair): </w:t>
      </w:r>
      <w:r>
        <w:rPr>
          <w:rFonts w:ascii="Book Antiqua" w:hAnsi="Book Antiqua" w:cs="Helvetica"/>
          <w:lang w:eastAsia="zh-CN"/>
        </w:rPr>
        <w:t>0</w:t>
      </w:r>
    </w:p>
    <w:p w14:paraId="23C0B0DE" w14:textId="374C085B" w:rsidR="007168C1" w:rsidRDefault="007168C1" w:rsidP="007168C1">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E (Poor): </w:t>
      </w:r>
      <w:r w:rsidR="000D1E76">
        <w:rPr>
          <w:rFonts w:ascii="Book Antiqua" w:hAnsi="Book Antiqua" w:cs="Helvetica"/>
        </w:rPr>
        <w:t>E</w:t>
      </w:r>
    </w:p>
    <w:p w14:paraId="6A5DAC7A" w14:textId="77777777" w:rsidR="00CF1178" w:rsidRPr="007168C1" w:rsidRDefault="00CF1178" w:rsidP="001734D6">
      <w:pPr>
        <w:spacing w:line="360" w:lineRule="auto"/>
        <w:jc w:val="both"/>
        <w:rPr>
          <w:rFonts w:ascii="Book Antiqua" w:hAnsi="Book Antiqua" w:cs="Arial"/>
        </w:rPr>
      </w:pPr>
    </w:p>
    <w:p w14:paraId="26AEA3DB" w14:textId="77777777" w:rsidR="00CF1178" w:rsidRPr="006C44DB" w:rsidRDefault="00CF1178" w:rsidP="001734D6">
      <w:pPr>
        <w:spacing w:line="360" w:lineRule="auto"/>
        <w:jc w:val="both"/>
        <w:rPr>
          <w:rFonts w:ascii="Book Antiqua" w:hAnsi="Book Antiqua" w:cs="Arial"/>
          <w:lang w:val="en-US"/>
        </w:rPr>
      </w:pPr>
    </w:p>
    <w:p w14:paraId="14D0D2BE" w14:textId="77777777" w:rsidR="00CF1178" w:rsidRPr="006C44DB" w:rsidRDefault="00CF1178" w:rsidP="001734D6">
      <w:pPr>
        <w:spacing w:line="360" w:lineRule="auto"/>
        <w:jc w:val="both"/>
        <w:rPr>
          <w:rFonts w:ascii="Book Antiqua" w:hAnsi="Book Antiqua" w:cs="Arial"/>
          <w:lang w:val="en-US"/>
        </w:rPr>
      </w:pPr>
    </w:p>
    <w:p w14:paraId="2A316FC2" w14:textId="77777777" w:rsidR="00CF1178" w:rsidRPr="006C44DB" w:rsidRDefault="00CF1178" w:rsidP="001734D6">
      <w:pPr>
        <w:spacing w:line="360" w:lineRule="auto"/>
        <w:jc w:val="both"/>
        <w:rPr>
          <w:rFonts w:ascii="Book Antiqua" w:hAnsi="Book Antiqua" w:cs="Arial"/>
          <w:lang w:val="en-US"/>
        </w:rPr>
      </w:pPr>
    </w:p>
    <w:p w14:paraId="459929D0" w14:textId="77777777" w:rsidR="00CF1178" w:rsidRPr="006C44DB" w:rsidRDefault="00CF1178" w:rsidP="001734D6">
      <w:pPr>
        <w:spacing w:line="360" w:lineRule="auto"/>
        <w:jc w:val="both"/>
        <w:rPr>
          <w:rFonts w:ascii="Book Antiqua" w:hAnsi="Book Antiqua" w:cs="Arial"/>
          <w:lang w:val="en-US"/>
        </w:rPr>
      </w:pPr>
    </w:p>
    <w:p w14:paraId="1FE5DD37" w14:textId="77777777" w:rsidR="00CF1178" w:rsidRPr="006C44DB" w:rsidRDefault="00CF1178" w:rsidP="001734D6">
      <w:pPr>
        <w:spacing w:line="360" w:lineRule="auto"/>
        <w:jc w:val="both"/>
        <w:rPr>
          <w:rFonts w:ascii="Book Antiqua" w:hAnsi="Book Antiqua" w:cs="Arial"/>
          <w:lang w:val="en-US"/>
        </w:rPr>
      </w:pPr>
    </w:p>
    <w:p w14:paraId="506459DA" w14:textId="77777777" w:rsidR="00CF1178" w:rsidRPr="006C44DB" w:rsidRDefault="00CF1178" w:rsidP="001734D6">
      <w:pPr>
        <w:spacing w:line="360" w:lineRule="auto"/>
        <w:jc w:val="both"/>
        <w:rPr>
          <w:rFonts w:ascii="Book Antiqua" w:hAnsi="Book Antiqua" w:cs="Arial"/>
          <w:lang w:val="en-US"/>
        </w:rPr>
      </w:pPr>
    </w:p>
    <w:p w14:paraId="34D7D5FD" w14:textId="77777777" w:rsidR="00CF1178" w:rsidRPr="006C44DB" w:rsidRDefault="00CF1178" w:rsidP="001734D6">
      <w:pPr>
        <w:spacing w:line="360" w:lineRule="auto"/>
        <w:jc w:val="both"/>
        <w:rPr>
          <w:rFonts w:ascii="Book Antiqua" w:hAnsi="Book Antiqua" w:cs="Arial"/>
          <w:lang w:val="en-US"/>
        </w:rPr>
      </w:pPr>
    </w:p>
    <w:p w14:paraId="573923ED" w14:textId="58C2609C" w:rsidR="00F87088" w:rsidRDefault="00F87088" w:rsidP="001734D6">
      <w:pPr>
        <w:spacing w:line="360" w:lineRule="auto"/>
        <w:jc w:val="both"/>
        <w:rPr>
          <w:rFonts w:ascii="Book Antiqua" w:hAnsi="Book Antiqua" w:cs="Arial"/>
          <w:lang w:val="en-US"/>
        </w:rPr>
      </w:pPr>
      <w:r>
        <w:rPr>
          <w:rFonts w:ascii="Book Antiqua" w:hAnsi="Book Antiqua" w:cs="Arial"/>
          <w:lang w:val="en-US"/>
        </w:rPr>
        <w:br w:type="page"/>
      </w:r>
    </w:p>
    <w:p w14:paraId="46240CD8" w14:textId="28B08263" w:rsidR="00CF1178" w:rsidRPr="00F87088" w:rsidRDefault="00CF1178" w:rsidP="001734D6">
      <w:pPr>
        <w:spacing w:line="360" w:lineRule="auto"/>
        <w:jc w:val="both"/>
        <w:rPr>
          <w:rFonts w:ascii="Book Antiqua" w:hAnsi="Book Antiqua" w:cs="Arial"/>
          <w:b/>
          <w:bCs/>
          <w:lang w:val="en-US"/>
        </w:rPr>
      </w:pPr>
      <w:r w:rsidRPr="00F87088">
        <w:rPr>
          <w:rFonts w:ascii="Book Antiqua" w:hAnsi="Book Antiqua" w:cs="Arial"/>
          <w:b/>
          <w:bCs/>
          <w:lang w:val="en-US"/>
        </w:rPr>
        <w:lastRenderedPageBreak/>
        <w:t>T</w:t>
      </w:r>
      <w:r w:rsidR="00F87088" w:rsidRPr="00F87088">
        <w:rPr>
          <w:rFonts w:ascii="Book Antiqua" w:hAnsi="Book Antiqua" w:cs="Arial"/>
          <w:b/>
          <w:bCs/>
          <w:lang w:val="en-US"/>
        </w:rPr>
        <w:t>able</w:t>
      </w:r>
      <w:r w:rsidRPr="00F87088">
        <w:rPr>
          <w:rFonts w:ascii="Book Antiqua" w:hAnsi="Book Antiqua" w:cs="Arial"/>
          <w:b/>
          <w:bCs/>
          <w:lang w:val="en-US"/>
        </w:rPr>
        <w:t xml:space="preserve"> </w:t>
      </w:r>
      <w:r w:rsidR="006D3888" w:rsidRPr="00F87088">
        <w:rPr>
          <w:rFonts w:ascii="Book Antiqua" w:hAnsi="Book Antiqua" w:cs="Arial"/>
          <w:b/>
          <w:bCs/>
          <w:lang w:val="en-US"/>
        </w:rPr>
        <w:t>1</w:t>
      </w:r>
      <w:r w:rsidR="00F87088" w:rsidRPr="00F87088">
        <w:rPr>
          <w:rFonts w:ascii="Book Antiqua" w:hAnsi="Book Antiqua" w:cs="Arial"/>
          <w:b/>
          <w:bCs/>
          <w:lang w:val="en-US"/>
        </w:rPr>
        <w:t xml:space="preserve"> </w:t>
      </w:r>
      <w:r w:rsidR="006D3888" w:rsidRPr="00F87088">
        <w:rPr>
          <w:rFonts w:ascii="Book Antiqua" w:hAnsi="Book Antiqua" w:cs="Arial"/>
          <w:b/>
          <w:bCs/>
          <w:lang w:val="en-US"/>
        </w:rPr>
        <w:t xml:space="preserve">Endoscopic treatment modalities </w:t>
      </w:r>
      <w:r w:rsidRPr="00F87088">
        <w:rPr>
          <w:rFonts w:ascii="Book Antiqua" w:hAnsi="Book Antiqua" w:cs="Arial"/>
          <w:b/>
          <w:bCs/>
          <w:lang w:val="en-US"/>
        </w:rPr>
        <w:t>f</w:t>
      </w:r>
      <w:r w:rsidR="006D3888" w:rsidRPr="00F87088">
        <w:rPr>
          <w:rFonts w:ascii="Book Antiqua" w:hAnsi="Book Antiqua" w:cs="Arial"/>
          <w:b/>
          <w:bCs/>
          <w:lang w:val="en-US"/>
        </w:rPr>
        <w:t>or</w:t>
      </w:r>
      <w:r w:rsidRPr="00F87088">
        <w:rPr>
          <w:rFonts w:ascii="Book Antiqua" w:hAnsi="Book Antiqua" w:cs="Arial"/>
          <w:b/>
          <w:bCs/>
          <w:lang w:val="en-US"/>
        </w:rPr>
        <w:t xml:space="preserve"> </w:t>
      </w:r>
      <w:proofErr w:type="spellStart"/>
      <w:r w:rsidR="00F87088" w:rsidRPr="00F87088">
        <w:rPr>
          <w:rFonts w:ascii="Book Antiqua" w:hAnsi="Book Antiqua" w:cs="Arial"/>
          <w:b/>
          <w:bCs/>
          <w:lang w:val="en-US"/>
        </w:rPr>
        <w:t>Dieulafoy's</w:t>
      </w:r>
      <w:proofErr w:type="spellEnd"/>
      <w:r w:rsidR="00F87088" w:rsidRPr="00F87088">
        <w:rPr>
          <w:rFonts w:ascii="Book Antiqua" w:hAnsi="Book Antiqua" w:cs="Arial"/>
          <w:b/>
          <w:bCs/>
          <w:lang w:val="en-US"/>
        </w:rPr>
        <w:t xml:space="preserve"> lesion</w:t>
      </w:r>
      <w:r w:rsidRPr="00F87088">
        <w:rPr>
          <w:rFonts w:ascii="Book Antiqua" w:hAnsi="Book Antiqua" w:cs="Arial"/>
          <w:b/>
          <w:bCs/>
          <w:lang w:val="en-US"/>
        </w:rPr>
        <w:t xml:space="preserve"> (modified from Nguyen </w:t>
      </w:r>
      <w:r w:rsidRPr="00F87088">
        <w:rPr>
          <w:rFonts w:ascii="Book Antiqua" w:hAnsi="Book Antiqua" w:cs="Arial"/>
          <w:b/>
          <w:bCs/>
          <w:i/>
          <w:iCs/>
          <w:lang w:val="en-US"/>
        </w:rPr>
        <w:t xml:space="preserve">et </w:t>
      </w:r>
      <w:proofErr w:type="gramStart"/>
      <w:r w:rsidRPr="00F87088">
        <w:rPr>
          <w:rFonts w:ascii="Book Antiqua" w:hAnsi="Book Antiqua" w:cs="Arial"/>
          <w:b/>
          <w:bCs/>
          <w:i/>
          <w:iCs/>
          <w:lang w:val="en-US"/>
        </w:rPr>
        <w:t>al</w:t>
      </w:r>
      <w:r w:rsidRPr="00F87088">
        <w:rPr>
          <w:rFonts w:ascii="Book Antiqua" w:hAnsi="Book Antiqua" w:cs="Arial"/>
          <w:b/>
          <w:bCs/>
          <w:vertAlign w:val="superscript"/>
          <w:lang w:val="en-US"/>
        </w:rPr>
        <w:t>[</w:t>
      </w:r>
      <w:proofErr w:type="gramEnd"/>
      <w:r w:rsidRPr="00F87088">
        <w:rPr>
          <w:rFonts w:ascii="Book Antiqua" w:hAnsi="Book Antiqua" w:cs="Arial"/>
          <w:b/>
          <w:bCs/>
          <w:color w:val="000000" w:themeColor="text1"/>
          <w:vertAlign w:val="superscript"/>
          <w:lang w:val="en-US"/>
        </w:rPr>
        <w:t>7]</w:t>
      </w:r>
      <w:r w:rsidRPr="00F87088">
        <w:rPr>
          <w:rFonts w:ascii="Book Antiqua" w:hAnsi="Book Antiqua" w:cs="Arial"/>
          <w:b/>
          <w:bCs/>
          <w:color w:val="000000" w:themeColor="text1"/>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417"/>
        <w:gridCol w:w="1418"/>
        <w:gridCol w:w="1275"/>
        <w:gridCol w:w="1377"/>
      </w:tblGrid>
      <w:tr w:rsidR="00CF1178" w:rsidRPr="00F87088" w14:paraId="0D976A36" w14:textId="77777777" w:rsidTr="00836DF6">
        <w:tc>
          <w:tcPr>
            <w:tcW w:w="3369" w:type="dxa"/>
            <w:tcBorders>
              <w:top w:val="single" w:sz="4" w:space="0" w:color="auto"/>
              <w:bottom w:val="single" w:sz="4" w:space="0" w:color="auto"/>
            </w:tcBorders>
          </w:tcPr>
          <w:p w14:paraId="700D9AD3" w14:textId="77777777" w:rsidR="00CF1178" w:rsidRPr="00F87088" w:rsidRDefault="00CF1178" w:rsidP="001734D6">
            <w:pPr>
              <w:spacing w:line="360" w:lineRule="auto"/>
              <w:jc w:val="both"/>
              <w:rPr>
                <w:rFonts w:ascii="Book Antiqua" w:hAnsi="Book Antiqua" w:cs="Arial"/>
                <w:b/>
                <w:bCs/>
                <w:lang w:val="en-US"/>
              </w:rPr>
            </w:pPr>
            <w:r w:rsidRPr="00F87088">
              <w:rPr>
                <w:rFonts w:ascii="Book Antiqua" w:hAnsi="Book Antiqua" w:cs="Arial"/>
                <w:b/>
                <w:bCs/>
                <w:lang w:val="en-US"/>
              </w:rPr>
              <w:t>Technique</w:t>
            </w:r>
          </w:p>
        </w:tc>
        <w:tc>
          <w:tcPr>
            <w:tcW w:w="1417" w:type="dxa"/>
            <w:tcBorders>
              <w:top w:val="single" w:sz="4" w:space="0" w:color="auto"/>
              <w:bottom w:val="single" w:sz="4" w:space="0" w:color="auto"/>
            </w:tcBorders>
          </w:tcPr>
          <w:p w14:paraId="54F9811E" w14:textId="77777777" w:rsidR="00CF1178" w:rsidRPr="00F87088" w:rsidRDefault="00CF1178" w:rsidP="001734D6">
            <w:pPr>
              <w:spacing w:line="360" w:lineRule="auto"/>
              <w:jc w:val="both"/>
              <w:rPr>
                <w:rFonts w:ascii="Book Antiqua" w:hAnsi="Book Antiqua" w:cs="Arial"/>
                <w:b/>
                <w:bCs/>
                <w:lang w:val="en-US"/>
              </w:rPr>
            </w:pPr>
            <w:r w:rsidRPr="00F87088">
              <w:rPr>
                <w:rFonts w:ascii="Book Antiqua" w:hAnsi="Book Antiqua" w:cs="Arial"/>
                <w:b/>
                <w:bCs/>
                <w:lang w:val="en-US"/>
              </w:rPr>
              <w:t>Initial hemostasis (%)</w:t>
            </w:r>
          </w:p>
        </w:tc>
        <w:tc>
          <w:tcPr>
            <w:tcW w:w="1418" w:type="dxa"/>
            <w:tcBorders>
              <w:top w:val="single" w:sz="4" w:space="0" w:color="auto"/>
              <w:bottom w:val="single" w:sz="4" w:space="0" w:color="auto"/>
            </w:tcBorders>
          </w:tcPr>
          <w:p w14:paraId="02DB4E78" w14:textId="3F1C7D66" w:rsidR="00CF1178" w:rsidRPr="00F87088" w:rsidRDefault="00CF1178" w:rsidP="001734D6">
            <w:pPr>
              <w:spacing w:line="360" w:lineRule="auto"/>
              <w:jc w:val="both"/>
              <w:rPr>
                <w:rFonts w:ascii="Book Antiqua" w:hAnsi="Book Antiqua" w:cs="Arial"/>
                <w:b/>
                <w:bCs/>
                <w:lang w:val="en-US"/>
              </w:rPr>
            </w:pPr>
            <w:r w:rsidRPr="00F87088">
              <w:rPr>
                <w:rFonts w:ascii="Book Antiqua" w:hAnsi="Book Antiqua" w:cs="Arial"/>
                <w:b/>
                <w:bCs/>
                <w:lang w:val="en-US"/>
              </w:rPr>
              <w:t>Rebleed</w:t>
            </w:r>
            <w:r w:rsidR="0034340E" w:rsidRPr="00F87088">
              <w:rPr>
                <w:rFonts w:ascii="Book Antiqua" w:hAnsi="Book Antiqua" w:cs="Arial"/>
                <w:b/>
                <w:bCs/>
                <w:lang w:val="en-US"/>
              </w:rPr>
              <w:t>ing</w:t>
            </w:r>
            <w:r w:rsidRPr="00F87088">
              <w:rPr>
                <w:rFonts w:ascii="Book Antiqua" w:hAnsi="Book Antiqua" w:cs="Arial"/>
                <w:b/>
                <w:bCs/>
                <w:lang w:val="en-US"/>
              </w:rPr>
              <w:t xml:space="preserve"> (%)</w:t>
            </w:r>
          </w:p>
        </w:tc>
        <w:tc>
          <w:tcPr>
            <w:tcW w:w="1275" w:type="dxa"/>
            <w:tcBorders>
              <w:top w:val="single" w:sz="4" w:space="0" w:color="auto"/>
              <w:bottom w:val="single" w:sz="4" w:space="0" w:color="auto"/>
            </w:tcBorders>
          </w:tcPr>
          <w:p w14:paraId="325DFAA8" w14:textId="77777777" w:rsidR="00CF1178" w:rsidRPr="00F87088" w:rsidRDefault="00CF1178" w:rsidP="001734D6">
            <w:pPr>
              <w:spacing w:line="360" w:lineRule="auto"/>
              <w:jc w:val="both"/>
              <w:rPr>
                <w:rFonts w:ascii="Book Antiqua" w:hAnsi="Book Antiqua" w:cs="Arial"/>
                <w:b/>
                <w:bCs/>
                <w:lang w:val="en-US"/>
              </w:rPr>
            </w:pPr>
            <w:r w:rsidRPr="00F87088">
              <w:rPr>
                <w:rFonts w:ascii="Book Antiqua" w:hAnsi="Book Antiqua" w:cs="Arial"/>
                <w:b/>
                <w:bCs/>
                <w:lang w:val="en-US"/>
              </w:rPr>
              <w:t>Mortality (%)</w:t>
            </w:r>
          </w:p>
        </w:tc>
        <w:tc>
          <w:tcPr>
            <w:tcW w:w="1377" w:type="dxa"/>
            <w:tcBorders>
              <w:top w:val="single" w:sz="4" w:space="0" w:color="auto"/>
              <w:bottom w:val="single" w:sz="4" w:space="0" w:color="auto"/>
            </w:tcBorders>
          </w:tcPr>
          <w:p w14:paraId="5A65C730" w14:textId="33647287" w:rsidR="00CF1178" w:rsidRPr="00F87088" w:rsidRDefault="00CF1178" w:rsidP="001734D6">
            <w:pPr>
              <w:spacing w:line="360" w:lineRule="auto"/>
              <w:jc w:val="both"/>
              <w:rPr>
                <w:rFonts w:ascii="Book Antiqua" w:hAnsi="Book Antiqua" w:cs="Arial"/>
                <w:b/>
                <w:bCs/>
                <w:lang w:val="en-US"/>
              </w:rPr>
            </w:pPr>
            <w:r w:rsidRPr="00F87088">
              <w:rPr>
                <w:rFonts w:ascii="Book Antiqua" w:hAnsi="Book Antiqua" w:cs="Arial"/>
                <w:b/>
                <w:bCs/>
                <w:lang w:val="en-US"/>
              </w:rPr>
              <w:t>Adverse events</w:t>
            </w:r>
            <w:r w:rsidR="00836DF6" w:rsidRPr="00836DF6">
              <w:rPr>
                <w:rFonts w:ascii="Book Antiqua" w:hAnsi="Book Antiqua" w:cs="Arial"/>
                <w:b/>
                <w:bCs/>
                <w:vertAlign w:val="superscript"/>
                <w:lang w:val="en-US"/>
              </w:rPr>
              <w:t>1</w:t>
            </w:r>
            <w:r w:rsidRPr="00F87088">
              <w:rPr>
                <w:rFonts w:ascii="Book Antiqua" w:hAnsi="Book Antiqua" w:cs="Arial"/>
                <w:b/>
                <w:bCs/>
                <w:lang w:val="en-US"/>
              </w:rPr>
              <w:t xml:space="preserve"> (%)</w:t>
            </w:r>
          </w:p>
        </w:tc>
      </w:tr>
      <w:tr w:rsidR="00CF1178" w:rsidRPr="006C44DB" w14:paraId="2BC9688C" w14:textId="77777777" w:rsidTr="00836DF6">
        <w:tc>
          <w:tcPr>
            <w:tcW w:w="3369" w:type="dxa"/>
            <w:tcBorders>
              <w:top w:val="single" w:sz="4" w:space="0" w:color="auto"/>
              <w:bottom w:val="single" w:sz="4" w:space="0" w:color="auto"/>
            </w:tcBorders>
          </w:tcPr>
          <w:p w14:paraId="04D25111"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Thermal</w:t>
            </w:r>
          </w:p>
          <w:p w14:paraId="137CBC8A"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 xml:space="preserve">     Bipolar EC</w:t>
            </w:r>
          </w:p>
          <w:p w14:paraId="3359B8EC"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 xml:space="preserve">     APC</w:t>
            </w:r>
          </w:p>
          <w:p w14:paraId="141817D2"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Injection</w:t>
            </w:r>
          </w:p>
          <w:p w14:paraId="7B567DD8"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 xml:space="preserve">     Epinephrine</w:t>
            </w:r>
          </w:p>
          <w:p w14:paraId="4026CE44"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 xml:space="preserve">Mechanical </w:t>
            </w:r>
          </w:p>
          <w:p w14:paraId="2BC3D7DA"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 xml:space="preserve">     </w:t>
            </w:r>
            <w:proofErr w:type="spellStart"/>
            <w:r w:rsidRPr="006C44DB">
              <w:rPr>
                <w:rFonts w:ascii="Book Antiqua" w:hAnsi="Book Antiqua" w:cs="Arial"/>
                <w:lang w:val="en-US"/>
              </w:rPr>
              <w:t>Hemoclip</w:t>
            </w:r>
            <w:proofErr w:type="spellEnd"/>
          </w:p>
          <w:p w14:paraId="133C952C"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 xml:space="preserve">     EBL</w:t>
            </w:r>
          </w:p>
          <w:p w14:paraId="16337DB2"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Combined</w:t>
            </w:r>
          </w:p>
          <w:p w14:paraId="5069DECB"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 xml:space="preserve">     Epinephrine + </w:t>
            </w:r>
            <w:proofErr w:type="spellStart"/>
            <w:r w:rsidRPr="006C44DB">
              <w:rPr>
                <w:rFonts w:ascii="Book Antiqua" w:hAnsi="Book Antiqua" w:cs="Arial"/>
                <w:lang w:val="en-US"/>
              </w:rPr>
              <w:t>Hemoclip</w:t>
            </w:r>
            <w:proofErr w:type="spellEnd"/>
          </w:p>
          <w:p w14:paraId="0894F661"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 xml:space="preserve">     Epinephrine + EBL</w:t>
            </w:r>
          </w:p>
        </w:tc>
        <w:tc>
          <w:tcPr>
            <w:tcW w:w="1417" w:type="dxa"/>
            <w:tcBorders>
              <w:top w:val="single" w:sz="4" w:space="0" w:color="auto"/>
              <w:bottom w:val="single" w:sz="4" w:space="0" w:color="auto"/>
            </w:tcBorders>
          </w:tcPr>
          <w:p w14:paraId="55BC988A" w14:textId="77777777" w:rsidR="00CF1178" w:rsidRPr="006C44DB" w:rsidRDefault="00CF1178" w:rsidP="001734D6">
            <w:pPr>
              <w:spacing w:line="360" w:lineRule="auto"/>
              <w:jc w:val="both"/>
              <w:rPr>
                <w:rFonts w:ascii="Book Antiqua" w:hAnsi="Book Antiqua" w:cs="Arial"/>
                <w:lang w:val="en-US"/>
              </w:rPr>
            </w:pPr>
          </w:p>
          <w:p w14:paraId="3F34D3E7"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80</w:t>
            </w:r>
          </w:p>
          <w:p w14:paraId="68B222BA"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100</w:t>
            </w:r>
          </w:p>
          <w:p w14:paraId="14EB234C" w14:textId="77777777" w:rsidR="00CF1178" w:rsidRPr="006C44DB" w:rsidRDefault="00CF1178" w:rsidP="001734D6">
            <w:pPr>
              <w:spacing w:line="360" w:lineRule="auto"/>
              <w:jc w:val="both"/>
              <w:rPr>
                <w:rFonts w:ascii="Book Antiqua" w:hAnsi="Book Antiqua" w:cs="Arial"/>
                <w:lang w:val="en-US"/>
              </w:rPr>
            </w:pPr>
          </w:p>
          <w:p w14:paraId="1BB5D967"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88</w:t>
            </w:r>
          </w:p>
          <w:p w14:paraId="2A620023" w14:textId="77777777" w:rsidR="00CF1178" w:rsidRPr="006C44DB" w:rsidRDefault="00CF1178" w:rsidP="001734D6">
            <w:pPr>
              <w:spacing w:line="360" w:lineRule="auto"/>
              <w:jc w:val="both"/>
              <w:rPr>
                <w:rFonts w:ascii="Book Antiqua" w:hAnsi="Book Antiqua" w:cs="Arial"/>
                <w:lang w:val="en-US"/>
              </w:rPr>
            </w:pPr>
          </w:p>
          <w:p w14:paraId="0CAC0FA4"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94.7</w:t>
            </w:r>
          </w:p>
          <w:p w14:paraId="3FE0C0A6"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99.2</w:t>
            </w:r>
          </w:p>
          <w:p w14:paraId="2C4B7161" w14:textId="77777777" w:rsidR="00CF1178" w:rsidRPr="006C44DB" w:rsidRDefault="00CF1178" w:rsidP="001734D6">
            <w:pPr>
              <w:spacing w:line="360" w:lineRule="auto"/>
              <w:jc w:val="both"/>
              <w:rPr>
                <w:rFonts w:ascii="Book Antiqua" w:hAnsi="Book Antiqua" w:cs="Arial"/>
                <w:lang w:val="en-US"/>
              </w:rPr>
            </w:pPr>
          </w:p>
          <w:p w14:paraId="65495E3E"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98.2</w:t>
            </w:r>
          </w:p>
          <w:p w14:paraId="4AB15FB7"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100</w:t>
            </w:r>
          </w:p>
        </w:tc>
        <w:tc>
          <w:tcPr>
            <w:tcW w:w="1418" w:type="dxa"/>
            <w:tcBorders>
              <w:top w:val="single" w:sz="4" w:space="0" w:color="auto"/>
              <w:bottom w:val="single" w:sz="4" w:space="0" w:color="auto"/>
            </w:tcBorders>
          </w:tcPr>
          <w:p w14:paraId="11B1DE9A" w14:textId="77777777" w:rsidR="00CF1178" w:rsidRPr="006C44DB" w:rsidRDefault="00CF1178" w:rsidP="001734D6">
            <w:pPr>
              <w:spacing w:line="360" w:lineRule="auto"/>
              <w:jc w:val="both"/>
              <w:rPr>
                <w:rFonts w:ascii="Book Antiqua" w:hAnsi="Book Antiqua" w:cs="Arial"/>
                <w:lang w:val="en-US"/>
              </w:rPr>
            </w:pPr>
          </w:p>
          <w:p w14:paraId="6FB57BBB"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13.3</w:t>
            </w:r>
          </w:p>
          <w:p w14:paraId="2058A135"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3.4</w:t>
            </w:r>
          </w:p>
          <w:p w14:paraId="032D33DE" w14:textId="77777777" w:rsidR="00CF1178" w:rsidRPr="006C44DB" w:rsidRDefault="00CF1178" w:rsidP="001734D6">
            <w:pPr>
              <w:spacing w:line="360" w:lineRule="auto"/>
              <w:jc w:val="both"/>
              <w:rPr>
                <w:rFonts w:ascii="Book Antiqua" w:hAnsi="Book Antiqua" w:cs="Arial"/>
                <w:lang w:val="en-US"/>
              </w:rPr>
            </w:pPr>
          </w:p>
          <w:p w14:paraId="782B754E"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32.7</w:t>
            </w:r>
          </w:p>
          <w:p w14:paraId="3640313E" w14:textId="77777777" w:rsidR="00CF1178" w:rsidRPr="006C44DB" w:rsidRDefault="00CF1178" w:rsidP="001734D6">
            <w:pPr>
              <w:spacing w:line="360" w:lineRule="auto"/>
              <w:jc w:val="both"/>
              <w:rPr>
                <w:rFonts w:ascii="Book Antiqua" w:hAnsi="Book Antiqua" w:cs="Arial"/>
                <w:lang w:val="en-US"/>
              </w:rPr>
            </w:pPr>
          </w:p>
          <w:p w14:paraId="57ADE453"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10.5</w:t>
            </w:r>
          </w:p>
          <w:p w14:paraId="451D24F6"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5.3</w:t>
            </w:r>
          </w:p>
          <w:p w14:paraId="0A1FBEEC" w14:textId="77777777" w:rsidR="00CF1178" w:rsidRPr="006C44DB" w:rsidRDefault="00CF1178" w:rsidP="001734D6">
            <w:pPr>
              <w:spacing w:line="360" w:lineRule="auto"/>
              <w:jc w:val="both"/>
              <w:rPr>
                <w:rFonts w:ascii="Book Antiqua" w:hAnsi="Book Antiqua" w:cs="Arial"/>
                <w:lang w:val="en-US"/>
              </w:rPr>
            </w:pPr>
          </w:p>
          <w:p w14:paraId="7EEC1722"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5</w:t>
            </w:r>
          </w:p>
          <w:p w14:paraId="4240646B"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0</w:t>
            </w:r>
          </w:p>
        </w:tc>
        <w:tc>
          <w:tcPr>
            <w:tcW w:w="1275" w:type="dxa"/>
            <w:tcBorders>
              <w:top w:val="single" w:sz="4" w:space="0" w:color="auto"/>
              <w:bottom w:val="single" w:sz="4" w:space="0" w:color="auto"/>
            </w:tcBorders>
          </w:tcPr>
          <w:p w14:paraId="3B593A75" w14:textId="77777777" w:rsidR="00CF1178" w:rsidRPr="006C44DB" w:rsidRDefault="00CF1178" w:rsidP="001734D6">
            <w:pPr>
              <w:spacing w:line="360" w:lineRule="auto"/>
              <w:jc w:val="both"/>
              <w:rPr>
                <w:rFonts w:ascii="Book Antiqua" w:hAnsi="Book Antiqua" w:cs="Arial"/>
                <w:lang w:val="en-US"/>
              </w:rPr>
            </w:pPr>
          </w:p>
          <w:p w14:paraId="69246F52"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0</w:t>
            </w:r>
          </w:p>
          <w:p w14:paraId="35CF8E4E"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NA</w:t>
            </w:r>
          </w:p>
          <w:p w14:paraId="7693274A" w14:textId="77777777" w:rsidR="00CF1178" w:rsidRPr="006C44DB" w:rsidRDefault="00CF1178" w:rsidP="001734D6">
            <w:pPr>
              <w:spacing w:line="360" w:lineRule="auto"/>
              <w:jc w:val="both"/>
              <w:rPr>
                <w:rFonts w:ascii="Book Antiqua" w:hAnsi="Book Antiqua" w:cs="Arial"/>
                <w:lang w:val="en-US"/>
              </w:rPr>
            </w:pPr>
          </w:p>
          <w:p w14:paraId="065743BD"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2.4</w:t>
            </w:r>
          </w:p>
          <w:p w14:paraId="5CCE54E4" w14:textId="77777777" w:rsidR="00CF1178" w:rsidRPr="006C44DB" w:rsidRDefault="00CF1178" w:rsidP="001734D6">
            <w:pPr>
              <w:spacing w:line="360" w:lineRule="auto"/>
              <w:jc w:val="both"/>
              <w:rPr>
                <w:rFonts w:ascii="Book Antiqua" w:hAnsi="Book Antiqua" w:cs="Arial"/>
                <w:lang w:val="en-US"/>
              </w:rPr>
            </w:pPr>
          </w:p>
          <w:p w14:paraId="729BA79C"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0.4</w:t>
            </w:r>
          </w:p>
          <w:p w14:paraId="587A0461"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0</w:t>
            </w:r>
          </w:p>
          <w:p w14:paraId="5C06EF0E" w14:textId="77777777" w:rsidR="00CF1178" w:rsidRPr="006C44DB" w:rsidRDefault="00CF1178" w:rsidP="001734D6">
            <w:pPr>
              <w:spacing w:line="360" w:lineRule="auto"/>
              <w:jc w:val="both"/>
              <w:rPr>
                <w:rFonts w:ascii="Book Antiqua" w:hAnsi="Book Antiqua" w:cs="Arial"/>
                <w:lang w:val="en-US"/>
              </w:rPr>
            </w:pPr>
          </w:p>
          <w:p w14:paraId="110DC28E"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0</w:t>
            </w:r>
          </w:p>
          <w:p w14:paraId="57ED8C97"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0</w:t>
            </w:r>
          </w:p>
        </w:tc>
        <w:tc>
          <w:tcPr>
            <w:tcW w:w="1377" w:type="dxa"/>
            <w:tcBorders>
              <w:top w:val="single" w:sz="4" w:space="0" w:color="auto"/>
              <w:bottom w:val="single" w:sz="4" w:space="0" w:color="auto"/>
            </w:tcBorders>
          </w:tcPr>
          <w:p w14:paraId="4F374FE0" w14:textId="77777777" w:rsidR="00CF1178" w:rsidRPr="006C44DB" w:rsidRDefault="00CF1178" w:rsidP="001734D6">
            <w:pPr>
              <w:spacing w:line="360" w:lineRule="auto"/>
              <w:jc w:val="both"/>
              <w:rPr>
                <w:rFonts w:ascii="Book Antiqua" w:hAnsi="Book Antiqua" w:cs="Arial"/>
                <w:lang w:val="en-US"/>
              </w:rPr>
            </w:pPr>
          </w:p>
          <w:p w14:paraId="1800281B"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0</w:t>
            </w:r>
          </w:p>
          <w:p w14:paraId="590F6495"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3.4</w:t>
            </w:r>
          </w:p>
          <w:p w14:paraId="2157612E" w14:textId="77777777" w:rsidR="006D3888" w:rsidRPr="006C44DB" w:rsidRDefault="006D3888" w:rsidP="001734D6">
            <w:pPr>
              <w:spacing w:line="360" w:lineRule="auto"/>
              <w:jc w:val="both"/>
              <w:rPr>
                <w:rFonts w:ascii="Book Antiqua" w:hAnsi="Book Antiqua" w:cs="Arial"/>
                <w:lang w:val="en-US"/>
              </w:rPr>
            </w:pPr>
          </w:p>
          <w:p w14:paraId="3E927AA0"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0</w:t>
            </w:r>
          </w:p>
          <w:p w14:paraId="14772571" w14:textId="77777777" w:rsidR="00CF1178" w:rsidRPr="006C44DB" w:rsidRDefault="00CF1178" w:rsidP="001734D6">
            <w:pPr>
              <w:spacing w:line="360" w:lineRule="auto"/>
              <w:jc w:val="both"/>
              <w:rPr>
                <w:rFonts w:ascii="Book Antiqua" w:hAnsi="Book Antiqua" w:cs="Arial"/>
                <w:lang w:val="en-US"/>
              </w:rPr>
            </w:pPr>
          </w:p>
          <w:p w14:paraId="39E4274F"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0.5</w:t>
            </w:r>
          </w:p>
          <w:p w14:paraId="00C4D194"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0.8</w:t>
            </w:r>
          </w:p>
          <w:p w14:paraId="19A8C002" w14:textId="77777777" w:rsidR="00CF1178" w:rsidRPr="006C44DB" w:rsidRDefault="00CF1178" w:rsidP="001734D6">
            <w:pPr>
              <w:spacing w:line="360" w:lineRule="auto"/>
              <w:jc w:val="both"/>
              <w:rPr>
                <w:rFonts w:ascii="Book Antiqua" w:hAnsi="Book Antiqua" w:cs="Arial"/>
                <w:lang w:val="en-US"/>
              </w:rPr>
            </w:pPr>
          </w:p>
          <w:p w14:paraId="01E6BD22" w14:textId="0BF26EC3" w:rsidR="006D3888" w:rsidRPr="006C44DB" w:rsidRDefault="006D3888" w:rsidP="001734D6">
            <w:pPr>
              <w:spacing w:line="360" w:lineRule="auto"/>
              <w:jc w:val="both"/>
              <w:rPr>
                <w:rFonts w:ascii="Book Antiqua" w:hAnsi="Book Antiqua" w:cs="Arial"/>
                <w:lang w:val="en-US"/>
              </w:rPr>
            </w:pPr>
            <w:r w:rsidRPr="006C44DB">
              <w:rPr>
                <w:rFonts w:ascii="Book Antiqua" w:hAnsi="Book Antiqua" w:cs="Arial"/>
                <w:lang w:val="en-US"/>
              </w:rPr>
              <w:t>0</w:t>
            </w:r>
          </w:p>
          <w:p w14:paraId="59A1B5D4" w14:textId="77777777"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lang w:val="en-US"/>
              </w:rPr>
              <w:t>0</w:t>
            </w:r>
          </w:p>
        </w:tc>
      </w:tr>
    </w:tbl>
    <w:p w14:paraId="0623A23A" w14:textId="77777777" w:rsidR="00836DF6" w:rsidRPr="006C44DB" w:rsidRDefault="00836DF6" w:rsidP="001734D6">
      <w:pPr>
        <w:spacing w:line="360" w:lineRule="auto"/>
        <w:jc w:val="both"/>
        <w:rPr>
          <w:rFonts w:ascii="Book Antiqua" w:hAnsi="Book Antiqua" w:cs="Arial"/>
          <w:lang w:val="en-US"/>
        </w:rPr>
      </w:pPr>
      <w:r w:rsidRPr="00836DF6">
        <w:rPr>
          <w:rFonts w:ascii="Book Antiqua" w:hAnsi="Book Antiqua" w:cs="Arial"/>
          <w:vertAlign w:val="superscript"/>
          <w:lang w:val="en-US"/>
        </w:rPr>
        <w:t>1</w:t>
      </w:r>
      <w:r w:rsidRPr="006C44DB">
        <w:rPr>
          <w:rFonts w:ascii="Book Antiqua" w:hAnsi="Book Antiqua" w:cs="Arial"/>
          <w:lang w:val="en-US"/>
        </w:rPr>
        <w:t xml:space="preserve">Adverse events: </w:t>
      </w:r>
      <w:r w:rsidRPr="00836DF6">
        <w:rPr>
          <w:rFonts w:ascii="Book Antiqua" w:hAnsi="Book Antiqua" w:cs="Arial"/>
          <w:caps/>
          <w:lang w:val="en-US"/>
        </w:rPr>
        <w:t>p</w:t>
      </w:r>
      <w:r w:rsidRPr="006C44DB">
        <w:rPr>
          <w:rFonts w:ascii="Book Antiqua" w:hAnsi="Book Antiqua" w:cs="Arial"/>
          <w:lang w:val="en-US"/>
        </w:rPr>
        <w:t>erforation, hemorrhage</w:t>
      </w:r>
      <w:r>
        <w:rPr>
          <w:rFonts w:ascii="Book Antiqua" w:hAnsi="Book Antiqua" w:cs="Arial"/>
          <w:lang w:val="en-US"/>
        </w:rPr>
        <w:t>.</w:t>
      </w:r>
      <w:r w:rsidRPr="006C44DB">
        <w:rPr>
          <w:rFonts w:ascii="Book Antiqua" w:hAnsi="Book Antiqua" w:cs="Arial"/>
          <w:lang w:val="en-US"/>
        </w:rPr>
        <w:t xml:space="preserve"> EC</w:t>
      </w:r>
      <w:r>
        <w:rPr>
          <w:rFonts w:ascii="Book Antiqua" w:hAnsi="Book Antiqua" w:cs="Arial"/>
          <w:lang w:val="en-US"/>
        </w:rPr>
        <w:t>:</w:t>
      </w:r>
      <w:r w:rsidRPr="006C44DB">
        <w:rPr>
          <w:rFonts w:ascii="Book Antiqua" w:hAnsi="Book Antiqua" w:cs="Arial"/>
          <w:lang w:val="en-US"/>
        </w:rPr>
        <w:t xml:space="preserve"> Electrocoagulation; APC</w:t>
      </w:r>
      <w:r>
        <w:rPr>
          <w:rFonts w:ascii="Book Antiqua" w:hAnsi="Book Antiqua" w:cs="Arial"/>
          <w:lang w:val="en-US"/>
        </w:rPr>
        <w:t>:</w:t>
      </w:r>
      <w:r w:rsidRPr="006C44DB">
        <w:rPr>
          <w:rFonts w:ascii="Book Antiqua" w:hAnsi="Book Antiqua" w:cs="Arial"/>
          <w:lang w:val="en-US"/>
        </w:rPr>
        <w:t xml:space="preserve"> Argon plasma coagulation; NA</w:t>
      </w:r>
      <w:r>
        <w:rPr>
          <w:rFonts w:ascii="Book Antiqua" w:hAnsi="Book Antiqua" w:cs="Arial"/>
          <w:lang w:val="en-US"/>
        </w:rPr>
        <w:t>:</w:t>
      </w:r>
      <w:r w:rsidRPr="006C44DB">
        <w:rPr>
          <w:rFonts w:ascii="Book Antiqua" w:hAnsi="Book Antiqua" w:cs="Arial"/>
          <w:lang w:val="en-US"/>
        </w:rPr>
        <w:t xml:space="preserve"> Not applicable; EBL</w:t>
      </w:r>
      <w:r>
        <w:rPr>
          <w:rFonts w:ascii="Book Antiqua" w:hAnsi="Book Antiqua" w:cs="Arial"/>
          <w:lang w:val="en-US"/>
        </w:rPr>
        <w:t>:</w:t>
      </w:r>
      <w:r w:rsidRPr="006C44DB">
        <w:rPr>
          <w:rFonts w:ascii="Book Antiqua" w:hAnsi="Book Antiqua" w:cs="Arial"/>
          <w:lang w:val="en-US"/>
        </w:rPr>
        <w:t xml:space="preserve"> Endoscopic band ligation.</w:t>
      </w:r>
    </w:p>
    <w:p w14:paraId="570E444B" w14:textId="77777777" w:rsidR="00CF1178" w:rsidRPr="006C44DB" w:rsidRDefault="00CF1178" w:rsidP="001734D6">
      <w:pPr>
        <w:spacing w:line="360" w:lineRule="auto"/>
        <w:jc w:val="both"/>
        <w:rPr>
          <w:rFonts w:ascii="Book Antiqua" w:hAnsi="Book Antiqua" w:cs="Arial"/>
          <w:lang w:val="en-US"/>
        </w:rPr>
      </w:pPr>
    </w:p>
    <w:p w14:paraId="595ED7E6" w14:textId="77777777" w:rsidR="00CF1178" w:rsidRPr="006C44DB" w:rsidRDefault="00CF1178" w:rsidP="001734D6">
      <w:pPr>
        <w:spacing w:line="360" w:lineRule="auto"/>
        <w:jc w:val="both"/>
        <w:rPr>
          <w:rFonts w:ascii="Book Antiqua" w:hAnsi="Book Antiqua" w:cs="Arial"/>
          <w:lang w:val="en-US"/>
        </w:rPr>
      </w:pPr>
    </w:p>
    <w:p w14:paraId="268D668D" w14:textId="77777777" w:rsidR="00CF1178" w:rsidRPr="006C44DB" w:rsidRDefault="00CF1178" w:rsidP="001734D6">
      <w:pPr>
        <w:spacing w:line="360" w:lineRule="auto"/>
        <w:jc w:val="both"/>
        <w:rPr>
          <w:rFonts w:ascii="Book Antiqua" w:hAnsi="Book Antiqua" w:cs="Arial"/>
          <w:lang w:val="en-US"/>
        </w:rPr>
      </w:pPr>
    </w:p>
    <w:p w14:paraId="19A3FA74" w14:textId="77777777" w:rsidR="00CF1178" w:rsidRPr="006C44DB" w:rsidRDefault="00CF1178" w:rsidP="001734D6">
      <w:pPr>
        <w:spacing w:line="360" w:lineRule="auto"/>
        <w:jc w:val="both"/>
        <w:rPr>
          <w:rFonts w:ascii="Book Antiqua" w:hAnsi="Book Antiqua" w:cs="Arial"/>
          <w:lang w:val="en-US"/>
        </w:rPr>
      </w:pPr>
    </w:p>
    <w:p w14:paraId="42CBF5B4" w14:textId="77777777" w:rsidR="00CF1178" w:rsidRPr="006C44DB" w:rsidRDefault="00CF1178" w:rsidP="001734D6">
      <w:pPr>
        <w:spacing w:line="360" w:lineRule="auto"/>
        <w:jc w:val="both"/>
        <w:rPr>
          <w:rFonts w:ascii="Book Antiqua" w:hAnsi="Book Antiqua" w:cs="Arial"/>
          <w:lang w:val="es-ES_tradnl"/>
        </w:rPr>
      </w:pPr>
      <w:r w:rsidRPr="006C44DB">
        <w:rPr>
          <w:rFonts w:ascii="Book Antiqua" w:hAnsi="Book Antiqua" w:cs="Arial"/>
          <w:noProof/>
          <w:lang w:val="en-US" w:eastAsia="zh-CN"/>
        </w:rPr>
        <w:lastRenderedPageBreak/>
        <w:drawing>
          <wp:inline distT="0" distB="0" distL="0" distR="0" wp14:anchorId="7DA6ECE8" wp14:editId="07DB80C9">
            <wp:extent cx="5137889" cy="3886200"/>
            <wp:effectExtent l="0" t="0" r="0" b="0"/>
            <wp:docPr id="1" name="Picture 1" descr="DR MARIO PI:garcia agueros:20190323_213351:DSC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MARIO PI:garcia agueros:20190323_213351:DSC00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b="5507"/>
                    <a:stretch/>
                  </pic:blipFill>
                  <pic:spPr bwMode="auto">
                    <a:xfrm>
                      <a:off x="0" y="0"/>
                      <a:ext cx="5138228" cy="3886456"/>
                    </a:xfrm>
                    <a:prstGeom prst="rect">
                      <a:avLst/>
                    </a:prstGeom>
                    <a:noFill/>
                    <a:ln>
                      <a:noFill/>
                    </a:ln>
                    <a:extLst>
                      <a:ext uri="{53640926-AAD7-44D8-BBD7-CCE9431645EC}">
                        <a14:shadowObscured xmlns:a14="http://schemas.microsoft.com/office/drawing/2010/main"/>
                      </a:ext>
                    </a:extLst>
                  </pic:spPr>
                </pic:pic>
              </a:graphicData>
            </a:graphic>
          </wp:inline>
        </w:drawing>
      </w:r>
    </w:p>
    <w:p w14:paraId="259DD1C2" w14:textId="30282958" w:rsidR="00CF1178" w:rsidRPr="006C44DB" w:rsidRDefault="00CF1178" w:rsidP="001734D6">
      <w:pPr>
        <w:pStyle w:val="NormalWeb"/>
        <w:spacing w:before="0" w:beforeAutospacing="0" w:after="0" w:afterAutospacing="0" w:line="360" w:lineRule="auto"/>
        <w:jc w:val="both"/>
        <w:rPr>
          <w:rFonts w:ascii="Book Antiqua" w:hAnsi="Book Antiqua" w:cs="Arial"/>
          <w:bCs/>
          <w:iCs/>
          <w:lang w:val="en-US"/>
        </w:rPr>
      </w:pPr>
      <w:r w:rsidRPr="006C44DB">
        <w:rPr>
          <w:rFonts w:ascii="Book Antiqua" w:hAnsi="Book Antiqua" w:cs="Arial"/>
          <w:b/>
          <w:lang w:val="en-US"/>
        </w:rPr>
        <w:t>Figure 1</w:t>
      </w:r>
      <w:r w:rsidRPr="006C44DB">
        <w:rPr>
          <w:rFonts w:ascii="Book Antiqua" w:hAnsi="Book Antiqua" w:cs="Arial"/>
          <w:lang w:val="en-US"/>
        </w:rPr>
        <w:t xml:space="preserve"> </w:t>
      </w:r>
      <w:r w:rsidRPr="006C44DB">
        <w:rPr>
          <w:rFonts w:ascii="Book Antiqua" w:hAnsi="Book Antiqua" w:cs="Arial"/>
          <w:b/>
          <w:lang w:val="en-US"/>
        </w:rPr>
        <w:t>En</w:t>
      </w:r>
      <w:r w:rsidR="006D3888" w:rsidRPr="006C44DB">
        <w:rPr>
          <w:rFonts w:ascii="Book Antiqua" w:hAnsi="Book Antiqua" w:cs="Arial"/>
          <w:b/>
          <w:lang w:val="en-US"/>
        </w:rPr>
        <w:t xml:space="preserve">doscopic appearance of </w:t>
      </w:r>
      <w:proofErr w:type="spellStart"/>
      <w:r w:rsidR="006D3888" w:rsidRPr="006C44DB">
        <w:rPr>
          <w:rFonts w:ascii="Book Antiqua" w:hAnsi="Book Antiqua" w:cs="Arial"/>
          <w:b/>
          <w:lang w:val="en-US"/>
        </w:rPr>
        <w:t>Dieulfoy'</w:t>
      </w:r>
      <w:r w:rsidRPr="006C44DB">
        <w:rPr>
          <w:rFonts w:ascii="Book Antiqua" w:hAnsi="Book Antiqua" w:cs="Arial"/>
          <w:b/>
          <w:lang w:val="en-US"/>
        </w:rPr>
        <w:t>s</w:t>
      </w:r>
      <w:proofErr w:type="spellEnd"/>
      <w:r w:rsidRPr="006C44DB">
        <w:rPr>
          <w:rFonts w:ascii="Book Antiqua" w:hAnsi="Book Antiqua" w:cs="Arial"/>
          <w:b/>
          <w:lang w:val="en-US"/>
        </w:rPr>
        <w:t xml:space="preserve"> lesion.</w:t>
      </w:r>
      <w:r w:rsidRPr="006C44DB">
        <w:rPr>
          <w:rFonts w:ascii="Book Antiqua" w:hAnsi="Book Antiqua" w:cs="Arial"/>
          <w:lang w:val="en-US"/>
        </w:rPr>
        <w:t xml:space="preserve"> </w:t>
      </w:r>
      <w:r w:rsidRPr="006C44DB">
        <w:rPr>
          <w:rFonts w:ascii="Book Antiqua" w:hAnsi="Book Antiqua" w:cs="Arial"/>
          <w:bCs/>
          <w:iCs/>
          <w:lang w:val="en-US"/>
        </w:rPr>
        <w:t>A small pigmented protuberanc</w:t>
      </w:r>
      <w:r w:rsidR="006D3888" w:rsidRPr="006C44DB">
        <w:rPr>
          <w:rFonts w:ascii="Book Antiqua" w:hAnsi="Book Antiqua" w:cs="Arial"/>
          <w:bCs/>
          <w:iCs/>
          <w:lang w:val="en-US"/>
        </w:rPr>
        <w:t>e</w:t>
      </w:r>
      <w:r w:rsidRPr="006C44DB">
        <w:rPr>
          <w:rFonts w:ascii="Book Antiqua" w:hAnsi="Book Antiqua" w:cs="Arial"/>
          <w:bCs/>
          <w:iCs/>
          <w:lang w:val="en-US"/>
        </w:rPr>
        <w:t xml:space="preserve"> with minimal surrounding e</w:t>
      </w:r>
      <w:r w:rsidR="006D3888" w:rsidRPr="006C44DB">
        <w:rPr>
          <w:rFonts w:ascii="Book Antiqua" w:hAnsi="Book Antiqua" w:cs="Arial"/>
          <w:bCs/>
          <w:iCs/>
          <w:lang w:val="en-US"/>
        </w:rPr>
        <w:t>rosion and no ulcerative lesion</w:t>
      </w:r>
      <w:r w:rsidRPr="006C44DB">
        <w:rPr>
          <w:rFonts w:ascii="Book Antiqua" w:hAnsi="Book Antiqua" w:cs="Arial"/>
          <w:bCs/>
          <w:iCs/>
          <w:lang w:val="en-US"/>
        </w:rPr>
        <w:t>.</w:t>
      </w:r>
    </w:p>
    <w:p w14:paraId="3284D160" w14:textId="77777777" w:rsidR="00CF1178" w:rsidRPr="006C44DB" w:rsidRDefault="00CF1178" w:rsidP="001734D6">
      <w:pPr>
        <w:spacing w:line="360" w:lineRule="auto"/>
        <w:jc w:val="both"/>
        <w:rPr>
          <w:rFonts w:ascii="Book Antiqua" w:hAnsi="Book Antiqua" w:cs="Arial"/>
          <w:lang w:val="es-ES_tradnl"/>
        </w:rPr>
      </w:pPr>
      <w:r w:rsidRPr="006C44DB">
        <w:rPr>
          <w:rFonts w:ascii="Book Antiqua" w:hAnsi="Book Antiqua" w:cs="Arial"/>
          <w:noProof/>
          <w:lang w:val="en-US" w:eastAsia="zh-CN"/>
        </w:rPr>
        <w:lastRenderedPageBreak/>
        <mc:AlternateContent>
          <mc:Choice Requires="wps">
            <w:drawing>
              <wp:anchor distT="0" distB="0" distL="114300" distR="114300" simplePos="0" relativeHeight="251657216" behindDoc="0" locked="0" layoutInCell="1" allowOverlap="1" wp14:anchorId="0AE86648" wp14:editId="10A881AB">
                <wp:simplePos x="0" y="0"/>
                <wp:positionH relativeFrom="column">
                  <wp:posOffset>279400</wp:posOffset>
                </wp:positionH>
                <wp:positionV relativeFrom="paragraph">
                  <wp:posOffset>337234</wp:posOffset>
                </wp:positionV>
                <wp:extent cx="304800" cy="257908"/>
                <wp:effectExtent l="0" t="0" r="12700" b="8890"/>
                <wp:wrapNone/>
                <wp:docPr id="3" name="Cuadro de texto 3"/>
                <wp:cNvGraphicFramePr/>
                <a:graphic xmlns:a="http://schemas.openxmlformats.org/drawingml/2006/main">
                  <a:graphicData uri="http://schemas.microsoft.com/office/word/2010/wordprocessingShape">
                    <wps:wsp>
                      <wps:cNvSpPr txBox="1"/>
                      <wps:spPr>
                        <a:xfrm>
                          <a:off x="0" y="0"/>
                          <a:ext cx="304800" cy="257908"/>
                        </a:xfrm>
                        <a:prstGeom prst="rect">
                          <a:avLst/>
                        </a:prstGeom>
                        <a:solidFill>
                          <a:schemeClr val="lt1"/>
                        </a:solidFill>
                        <a:ln w="6350">
                          <a:solidFill>
                            <a:prstClr val="black"/>
                          </a:solidFill>
                        </a:ln>
                      </wps:spPr>
                      <wps:txbx>
                        <w:txbxContent>
                          <w:p w14:paraId="7EB5C8EB" w14:textId="77777777" w:rsidR="003D6A9A" w:rsidRPr="00944E43" w:rsidRDefault="003D6A9A" w:rsidP="00CF1178">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86648" id="_x0000_t202" coordsize="21600,21600" o:spt="202" path="m,l,21600r21600,l21600,xe">
                <v:stroke joinstyle="miter"/>
                <v:path gradientshapeok="t" o:connecttype="rect"/>
              </v:shapetype>
              <v:shape id="Cuadro de texto 3" o:spid="_x0000_s1026" type="#_x0000_t202" style="position:absolute;left:0;text-align:left;margin-left:22pt;margin-top:26.55pt;width:24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" fillcolor="white [3201]" strokeweight=".5pt">
                <v:textbox>
                  <w:txbxContent>
                    <w:p w14:paraId="7EB5C8EB" w14:textId="77777777" w:rsidR="003D6A9A" w:rsidRPr="00944E43" w:rsidRDefault="003D6A9A" w:rsidP="00CF1178">
                      <w:pPr>
                        <w:rPr>
                          <w:lang w:val="en-US"/>
                        </w:rPr>
                      </w:pPr>
                      <w:r>
                        <w:rPr>
                          <w:lang w:val="en-US"/>
                        </w:rPr>
                        <w:t>A</w:t>
                      </w:r>
                    </w:p>
                  </w:txbxContent>
                </v:textbox>
              </v:shape>
            </w:pict>
          </mc:Fallback>
        </mc:AlternateContent>
      </w:r>
      <w:r w:rsidRPr="006C44DB">
        <w:rPr>
          <w:rFonts w:ascii="Book Antiqua" w:hAnsi="Book Antiqua" w:cs="Arial"/>
          <w:noProof/>
          <w:lang w:val="en-US" w:eastAsia="zh-CN"/>
        </w:rPr>
        <w:drawing>
          <wp:inline distT="0" distB="0" distL="0" distR="0" wp14:anchorId="2B8348BA" wp14:editId="6689C59C">
            <wp:extent cx="5143500" cy="3878509"/>
            <wp:effectExtent l="0" t="0" r="0" b="8255"/>
            <wp:docPr id="4" name="Picture 4" descr="DR MARIO PI:garcia agueros:20190323_213351:DSC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MARIO PI:garcia agueros:20190323_213351:DSC00008.JPG"/>
                    <pic:cNvPicPr>
                      <a:picLocks noChangeAspect="1" noChangeArrowheads="1"/>
                    </pic:cNvPicPr>
                  </pic:nvPicPr>
                  <pic:blipFill rotWithShape="1">
                    <a:blip r:embed="rId9">
                      <a:extLst>
                        <a:ext uri="{28A0092B-C50C-407E-A947-70E740481C1C}">
                          <a14:useLocalDpi xmlns:a14="http://schemas.microsoft.com/office/drawing/2010/main" val="0"/>
                        </a:ext>
                      </a:extLst>
                    </a:blip>
                    <a:srcRect b="5797"/>
                    <a:stretch/>
                  </pic:blipFill>
                  <pic:spPr bwMode="auto">
                    <a:xfrm>
                      <a:off x="0" y="0"/>
                      <a:ext cx="5143500" cy="3878509"/>
                    </a:xfrm>
                    <a:prstGeom prst="rect">
                      <a:avLst/>
                    </a:prstGeom>
                    <a:noFill/>
                    <a:ln>
                      <a:noFill/>
                    </a:ln>
                    <a:extLst>
                      <a:ext uri="{53640926-AAD7-44D8-BBD7-CCE9431645EC}">
                        <a14:shadowObscured xmlns:a14="http://schemas.microsoft.com/office/drawing/2010/main"/>
                      </a:ext>
                    </a:extLst>
                  </pic:spPr>
                </pic:pic>
              </a:graphicData>
            </a:graphic>
          </wp:inline>
        </w:drawing>
      </w:r>
    </w:p>
    <w:p w14:paraId="2C6117CF" w14:textId="77777777" w:rsidR="00CF1178" w:rsidRPr="006C44DB" w:rsidRDefault="00CF1178" w:rsidP="001734D6">
      <w:pPr>
        <w:spacing w:line="360" w:lineRule="auto"/>
        <w:jc w:val="both"/>
        <w:rPr>
          <w:rFonts w:ascii="Book Antiqua" w:hAnsi="Book Antiqua" w:cs="Arial"/>
          <w:lang w:val="es-ES_tradnl"/>
        </w:rPr>
      </w:pPr>
      <w:r w:rsidRPr="006C44DB">
        <w:rPr>
          <w:rFonts w:ascii="Book Antiqua" w:hAnsi="Book Antiqua" w:cs="Arial"/>
          <w:noProof/>
          <w:lang w:val="en-US" w:eastAsia="zh-CN"/>
        </w:rPr>
        <mc:AlternateContent>
          <mc:Choice Requires="wps">
            <w:drawing>
              <wp:anchor distT="0" distB="0" distL="114300" distR="114300" simplePos="0" relativeHeight="251659264" behindDoc="0" locked="0" layoutInCell="1" allowOverlap="1" wp14:anchorId="4E6EDACC" wp14:editId="0DCC97E2">
                <wp:simplePos x="0" y="0"/>
                <wp:positionH relativeFrom="column">
                  <wp:posOffset>304800</wp:posOffset>
                </wp:positionH>
                <wp:positionV relativeFrom="paragraph">
                  <wp:posOffset>313251</wp:posOffset>
                </wp:positionV>
                <wp:extent cx="304800" cy="257908"/>
                <wp:effectExtent l="0" t="0" r="12700" b="8890"/>
                <wp:wrapNone/>
                <wp:docPr id="8" name="Cuadro de texto 8"/>
                <wp:cNvGraphicFramePr/>
                <a:graphic xmlns:a="http://schemas.openxmlformats.org/drawingml/2006/main">
                  <a:graphicData uri="http://schemas.microsoft.com/office/word/2010/wordprocessingShape">
                    <wps:wsp>
                      <wps:cNvSpPr txBox="1"/>
                      <wps:spPr>
                        <a:xfrm>
                          <a:off x="0" y="0"/>
                          <a:ext cx="304800" cy="257908"/>
                        </a:xfrm>
                        <a:prstGeom prst="rect">
                          <a:avLst/>
                        </a:prstGeom>
                        <a:solidFill>
                          <a:schemeClr val="lt1"/>
                        </a:solidFill>
                        <a:ln w="6350">
                          <a:solidFill>
                            <a:prstClr val="black"/>
                          </a:solidFill>
                        </a:ln>
                      </wps:spPr>
                      <wps:txbx>
                        <w:txbxContent>
                          <w:p w14:paraId="0D9A577F" w14:textId="77777777" w:rsidR="003D6A9A" w:rsidRPr="00944E43" w:rsidRDefault="003D6A9A" w:rsidP="00CF1178">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EDACC" id="Cuadro de texto 8" o:spid="_x0000_s1027" type="#_x0000_t202" style="position:absolute;left:0;text-align:left;margin-left:24pt;margin-top:24.65pt;width:24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" fillcolor="white [3201]" strokeweight=".5pt">
                <v:textbox>
                  <w:txbxContent>
                    <w:p w14:paraId="0D9A577F" w14:textId="77777777" w:rsidR="003D6A9A" w:rsidRPr="00944E43" w:rsidRDefault="003D6A9A" w:rsidP="00CF1178">
                      <w:pPr>
                        <w:rPr>
                          <w:lang w:val="en-US"/>
                        </w:rPr>
                      </w:pPr>
                      <w:r>
                        <w:rPr>
                          <w:lang w:val="en-US"/>
                        </w:rPr>
                        <w:t>B</w:t>
                      </w:r>
                    </w:p>
                  </w:txbxContent>
                </v:textbox>
              </v:shape>
            </w:pict>
          </mc:Fallback>
        </mc:AlternateContent>
      </w:r>
      <w:r w:rsidRPr="006C44DB">
        <w:rPr>
          <w:rFonts w:ascii="Book Antiqua" w:hAnsi="Book Antiqua" w:cs="Arial"/>
          <w:noProof/>
          <w:lang w:val="en-US" w:eastAsia="zh-CN"/>
        </w:rPr>
        <w:drawing>
          <wp:inline distT="0" distB="0" distL="0" distR="0" wp14:anchorId="7CEB6F6C" wp14:editId="6F1E7685">
            <wp:extent cx="5143500" cy="3866575"/>
            <wp:effectExtent l="0" t="0" r="0" b="0"/>
            <wp:docPr id="2" name="Picture 2" descr="DR MARIO PI:garcia agueros:20190323_213351:DSC0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MARIO PI:garcia agueros:20190323_213351:DSC00009.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6087"/>
                    <a:stretch/>
                  </pic:blipFill>
                  <pic:spPr bwMode="auto">
                    <a:xfrm>
                      <a:off x="0" y="0"/>
                      <a:ext cx="5144420" cy="3867267"/>
                    </a:xfrm>
                    <a:prstGeom prst="rect">
                      <a:avLst/>
                    </a:prstGeom>
                    <a:noFill/>
                    <a:ln>
                      <a:noFill/>
                    </a:ln>
                    <a:extLst>
                      <a:ext uri="{53640926-AAD7-44D8-BBD7-CCE9431645EC}">
                        <a14:shadowObscured xmlns:a14="http://schemas.microsoft.com/office/drawing/2010/main"/>
                      </a:ext>
                    </a:extLst>
                  </pic:spPr>
                </pic:pic>
              </a:graphicData>
            </a:graphic>
          </wp:inline>
        </w:drawing>
      </w:r>
    </w:p>
    <w:p w14:paraId="23DB2210" w14:textId="77777777" w:rsidR="00CF1178" w:rsidRPr="006C44DB" w:rsidRDefault="00CF1178" w:rsidP="001734D6">
      <w:pPr>
        <w:spacing w:line="360" w:lineRule="auto"/>
        <w:jc w:val="both"/>
        <w:rPr>
          <w:rFonts w:ascii="Book Antiqua" w:hAnsi="Book Antiqua" w:cs="Arial"/>
          <w:lang w:val="es-ES_tradnl"/>
        </w:rPr>
      </w:pPr>
    </w:p>
    <w:p w14:paraId="28B68CB1" w14:textId="497AC285" w:rsidR="00CF1178" w:rsidRPr="006C44DB" w:rsidRDefault="00CF1178" w:rsidP="001734D6">
      <w:pPr>
        <w:spacing w:line="360" w:lineRule="auto"/>
        <w:jc w:val="both"/>
        <w:rPr>
          <w:rFonts w:ascii="Book Antiqua" w:hAnsi="Book Antiqua" w:cs="Arial"/>
          <w:lang w:val="en-US"/>
        </w:rPr>
      </w:pPr>
      <w:r w:rsidRPr="006C44DB">
        <w:rPr>
          <w:rFonts w:ascii="Book Antiqua" w:hAnsi="Book Antiqua" w:cs="Arial"/>
          <w:b/>
          <w:lang w:val="en-US"/>
        </w:rPr>
        <w:lastRenderedPageBreak/>
        <w:t>Figure 2</w:t>
      </w:r>
      <w:r w:rsidRPr="006C44DB">
        <w:rPr>
          <w:rFonts w:ascii="Book Antiqua" w:hAnsi="Book Antiqua" w:cs="Arial"/>
          <w:lang w:val="en-US"/>
        </w:rPr>
        <w:t xml:space="preserve"> </w:t>
      </w:r>
      <w:r w:rsidR="006D3888" w:rsidRPr="006C44DB">
        <w:rPr>
          <w:rFonts w:ascii="Book Antiqua" w:hAnsi="Book Antiqua" w:cs="Arial"/>
          <w:b/>
          <w:lang w:val="en-US"/>
        </w:rPr>
        <w:t>Endoscopic management of</w:t>
      </w:r>
      <w:r w:rsidRPr="006C44DB">
        <w:rPr>
          <w:rFonts w:ascii="Book Antiqua" w:hAnsi="Book Antiqua" w:cs="Arial"/>
          <w:b/>
          <w:lang w:val="en-US"/>
        </w:rPr>
        <w:t xml:space="preserve"> </w:t>
      </w:r>
      <w:proofErr w:type="spellStart"/>
      <w:r w:rsidRPr="006C44DB">
        <w:rPr>
          <w:rFonts w:ascii="Book Antiqua" w:hAnsi="Book Antiqua" w:cs="Arial"/>
          <w:b/>
          <w:lang w:val="en-US"/>
        </w:rPr>
        <w:t>Dieulafoy’s</w:t>
      </w:r>
      <w:proofErr w:type="spellEnd"/>
      <w:r w:rsidRPr="006C44DB">
        <w:rPr>
          <w:rFonts w:ascii="Book Antiqua" w:hAnsi="Book Antiqua" w:cs="Arial"/>
          <w:b/>
          <w:lang w:val="en-US"/>
        </w:rPr>
        <w:t xml:space="preserve"> lesion</w:t>
      </w:r>
      <w:r w:rsidRPr="006C44DB">
        <w:rPr>
          <w:rFonts w:ascii="Book Antiqua" w:hAnsi="Book Antiqua" w:cs="Arial"/>
          <w:lang w:val="en-US"/>
        </w:rPr>
        <w:t xml:space="preserve">. </w:t>
      </w:r>
      <w:r w:rsidRPr="00B10E4F">
        <w:rPr>
          <w:rFonts w:ascii="Book Antiqua" w:hAnsi="Book Antiqua" w:cs="Arial"/>
          <w:bCs/>
          <w:lang w:val="en-US"/>
        </w:rPr>
        <w:t>A</w:t>
      </w:r>
      <w:r w:rsidR="00B10E4F" w:rsidRPr="00B10E4F">
        <w:rPr>
          <w:rFonts w:ascii="Book Antiqua" w:hAnsi="Book Antiqua" w:cs="Arial"/>
          <w:bCs/>
          <w:lang w:val="en-US"/>
        </w:rPr>
        <w:t>:</w:t>
      </w:r>
      <w:r w:rsidRPr="00B10E4F">
        <w:rPr>
          <w:rFonts w:ascii="Book Antiqua" w:hAnsi="Book Antiqua" w:cs="Arial"/>
          <w:bCs/>
          <w:lang w:val="en-US"/>
        </w:rPr>
        <w:t xml:space="preserve"> Placement of th</w:t>
      </w:r>
      <w:r w:rsidR="006D3888" w:rsidRPr="00B10E4F">
        <w:rPr>
          <w:rFonts w:ascii="Book Antiqua" w:hAnsi="Book Antiqua" w:cs="Arial"/>
          <w:bCs/>
          <w:lang w:val="en-US"/>
        </w:rPr>
        <w:t xml:space="preserve">e first </w:t>
      </w:r>
      <w:proofErr w:type="spellStart"/>
      <w:r w:rsidR="006D3888" w:rsidRPr="00B10E4F">
        <w:rPr>
          <w:rFonts w:ascii="Book Antiqua" w:hAnsi="Book Antiqua" w:cs="Arial"/>
          <w:bCs/>
          <w:lang w:val="en-US"/>
        </w:rPr>
        <w:t>hemoclip</w:t>
      </w:r>
      <w:proofErr w:type="spellEnd"/>
      <w:r w:rsidR="00B10E4F" w:rsidRPr="00B10E4F">
        <w:rPr>
          <w:rFonts w:ascii="Book Antiqua" w:hAnsi="Book Antiqua" w:cs="Arial"/>
          <w:bCs/>
          <w:lang w:val="en-US"/>
        </w:rPr>
        <w:t>;</w:t>
      </w:r>
      <w:r w:rsidRPr="00B10E4F">
        <w:rPr>
          <w:rFonts w:ascii="Book Antiqua" w:hAnsi="Book Antiqua" w:cs="Arial"/>
          <w:bCs/>
          <w:lang w:val="en-US"/>
        </w:rPr>
        <w:t xml:space="preserve"> B</w:t>
      </w:r>
      <w:r w:rsidR="00B10E4F" w:rsidRPr="00B10E4F">
        <w:rPr>
          <w:rFonts w:ascii="Book Antiqua" w:hAnsi="Book Antiqua" w:cs="Arial"/>
          <w:bCs/>
          <w:lang w:val="en-US"/>
        </w:rPr>
        <w:t>:</w:t>
      </w:r>
      <w:r w:rsidRPr="00B10E4F">
        <w:rPr>
          <w:rFonts w:ascii="Book Antiqua" w:hAnsi="Book Antiqua" w:cs="Arial"/>
          <w:bCs/>
          <w:lang w:val="en-US"/>
        </w:rPr>
        <w:t xml:space="preserve"> Placement of a second </w:t>
      </w:r>
      <w:proofErr w:type="spellStart"/>
      <w:r w:rsidRPr="00B10E4F">
        <w:rPr>
          <w:rFonts w:ascii="Book Antiqua" w:hAnsi="Book Antiqua" w:cs="Arial"/>
          <w:bCs/>
          <w:lang w:val="en-US"/>
        </w:rPr>
        <w:t>hemoclip</w:t>
      </w:r>
      <w:proofErr w:type="spellEnd"/>
      <w:r w:rsidRPr="00B10E4F">
        <w:rPr>
          <w:rFonts w:ascii="Book Antiqua" w:hAnsi="Book Antiqua" w:cs="Arial"/>
          <w:bCs/>
          <w:lang w:val="en-US"/>
        </w:rPr>
        <w:t xml:space="preserve"> to ensure hemostasis.</w:t>
      </w:r>
    </w:p>
    <w:p w14:paraId="7E4023B6" w14:textId="77777777" w:rsidR="00BA3488" w:rsidRPr="006C44DB" w:rsidRDefault="00BA3488" w:rsidP="001734D6">
      <w:pPr>
        <w:spacing w:line="360" w:lineRule="auto"/>
        <w:jc w:val="both"/>
        <w:rPr>
          <w:rFonts w:ascii="Book Antiqua" w:hAnsi="Book Antiqua"/>
        </w:rPr>
      </w:pPr>
    </w:p>
    <w:sectPr w:rsidR="00BA3488" w:rsidRPr="006C44DB" w:rsidSect="007B5F6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96D0" w14:textId="77777777" w:rsidR="00696640" w:rsidRDefault="00696640" w:rsidP="00EF17F3">
      <w:r>
        <w:separator/>
      </w:r>
    </w:p>
  </w:endnote>
  <w:endnote w:type="continuationSeparator" w:id="0">
    <w:p w14:paraId="5C07C569" w14:textId="77777777" w:rsidR="00696640" w:rsidRDefault="00696640" w:rsidP="00EF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hakuyoxingshu7000"/>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F828D" w14:textId="77777777" w:rsidR="00696640" w:rsidRDefault="00696640" w:rsidP="00EF17F3">
      <w:r>
        <w:separator/>
      </w:r>
    </w:p>
  </w:footnote>
  <w:footnote w:type="continuationSeparator" w:id="0">
    <w:p w14:paraId="2A76AE74" w14:textId="77777777" w:rsidR="00696640" w:rsidRDefault="00696640" w:rsidP="00EF1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F1ED4"/>
    <w:multiLevelType w:val="hybridMultilevel"/>
    <w:tmpl w:val="FA46181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78"/>
    <w:rsid w:val="0000070E"/>
    <w:rsid w:val="00012735"/>
    <w:rsid w:val="00022221"/>
    <w:rsid w:val="000716F1"/>
    <w:rsid w:val="00072760"/>
    <w:rsid w:val="000A15DA"/>
    <w:rsid w:val="000B6DD7"/>
    <w:rsid w:val="000C577F"/>
    <w:rsid w:val="000D1E76"/>
    <w:rsid w:val="000D6719"/>
    <w:rsid w:val="000E0C8A"/>
    <w:rsid w:val="00153AFE"/>
    <w:rsid w:val="00162A2F"/>
    <w:rsid w:val="001734D6"/>
    <w:rsid w:val="00174430"/>
    <w:rsid w:val="001C69ED"/>
    <w:rsid w:val="001C721C"/>
    <w:rsid w:val="001F0EC2"/>
    <w:rsid w:val="001F2CD2"/>
    <w:rsid w:val="0020109C"/>
    <w:rsid w:val="0020472D"/>
    <w:rsid w:val="00207835"/>
    <w:rsid w:val="00213C80"/>
    <w:rsid w:val="00240B36"/>
    <w:rsid w:val="00270B0E"/>
    <w:rsid w:val="00281131"/>
    <w:rsid w:val="00291949"/>
    <w:rsid w:val="0029743F"/>
    <w:rsid w:val="002A2F4A"/>
    <w:rsid w:val="002A3336"/>
    <w:rsid w:val="002C7406"/>
    <w:rsid w:val="002E34C1"/>
    <w:rsid w:val="002F0AF5"/>
    <w:rsid w:val="00335ABE"/>
    <w:rsid w:val="0034340E"/>
    <w:rsid w:val="00365F5C"/>
    <w:rsid w:val="003677C6"/>
    <w:rsid w:val="00367969"/>
    <w:rsid w:val="003711DB"/>
    <w:rsid w:val="00383892"/>
    <w:rsid w:val="003C094F"/>
    <w:rsid w:val="003C2D28"/>
    <w:rsid w:val="003C37DF"/>
    <w:rsid w:val="003D6A9A"/>
    <w:rsid w:val="003F1388"/>
    <w:rsid w:val="00403EBF"/>
    <w:rsid w:val="00412585"/>
    <w:rsid w:val="004224F7"/>
    <w:rsid w:val="00425F58"/>
    <w:rsid w:val="004407B2"/>
    <w:rsid w:val="004477E5"/>
    <w:rsid w:val="00466BD3"/>
    <w:rsid w:val="0047458A"/>
    <w:rsid w:val="004A7029"/>
    <w:rsid w:val="004B346F"/>
    <w:rsid w:val="004C1F81"/>
    <w:rsid w:val="004C2AA3"/>
    <w:rsid w:val="005015CE"/>
    <w:rsid w:val="00502F71"/>
    <w:rsid w:val="00507F5E"/>
    <w:rsid w:val="00522C72"/>
    <w:rsid w:val="005331A1"/>
    <w:rsid w:val="0054443A"/>
    <w:rsid w:val="00546EDE"/>
    <w:rsid w:val="00566D74"/>
    <w:rsid w:val="005751DF"/>
    <w:rsid w:val="0058381A"/>
    <w:rsid w:val="005B3D2D"/>
    <w:rsid w:val="005C6857"/>
    <w:rsid w:val="005D13FE"/>
    <w:rsid w:val="005D31CC"/>
    <w:rsid w:val="005D3757"/>
    <w:rsid w:val="005E08F3"/>
    <w:rsid w:val="00640687"/>
    <w:rsid w:val="00645210"/>
    <w:rsid w:val="00650B37"/>
    <w:rsid w:val="006758F4"/>
    <w:rsid w:val="00677ECA"/>
    <w:rsid w:val="00684EFA"/>
    <w:rsid w:val="00696640"/>
    <w:rsid w:val="006B4265"/>
    <w:rsid w:val="006C44DB"/>
    <w:rsid w:val="006D3888"/>
    <w:rsid w:val="00716723"/>
    <w:rsid w:val="007168C1"/>
    <w:rsid w:val="00730A02"/>
    <w:rsid w:val="007416AD"/>
    <w:rsid w:val="00746DB9"/>
    <w:rsid w:val="00753841"/>
    <w:rsid w:val="00753B4E"/>
    <w:rsid w:val="00764A19"/>
    <w:rsid w:val="00766D50"/>
    <w:rsid w:val="007A7C3A"/>
    <w:rsid w:val="007B5B6D"/>
    <w:rsid w:val="007B5F60"/>
    <w:rsid w:val="007C2A53"/>
    <w:rsid w:val="007E33CE"/>
    <w:rsid w:val="007F4D92"/>
    <w:rsid w:val="00806796"/>
    <w:rsid w:val="008215E7"/>
    <w:rsid w:val="00836DF6"/>
    <w:rsid w:val="00850C10"/>
    <w:rsid w:val="008565EC"/>
    <w:rsid w:val="008B36F2"/>
    <w:rsid w:val="008C0529"/>
    <w:rsid w:val="008D0238"/>
    <w:rsid w:val="008D732B"/>
    <w:rsid w:val="008E2B4E"/>
    <w:rsid w:val="008F3213"/>
    <w:rsid w:val="008F78B2"/>
    <w:rsid w:val="009466DB"/>
    <w:rsid w:val="00974652"/>
    <w:rsid w:val="009849CE"/>
    <w:rsid w:val="00992606"/>
    <w:rsid w:val="009E70E7"/>
    <w:rsid w:val="009E7F26"/>
    <w:rsid w:val="00A03BA6"/>
    <w:rsid w:val="00A230A7"/>
    <w:rsid w:val="00A7087C"/>
    <w:rsid w:val="00A727FB"/>
    <w:rsid w:val="00A83D2A"/>
    <w:rsid w:val="00A9325E"/>
    <w:rsid w:val="00AA302A"/>
    <w:rsid w:val="00AB1270"/>
    <w:rsid w:val="00AE417F"/>
    <w:rsid w:val="00B10E4F"/>
    <w:rsid w:val="00B447D6"/>
    <w:rsid w:val="00B578B1"/>
    <w:rsid w:val="00B7454B"/>
    <w:rsid w:val="00B754BE"/>
    <w:rsid w:val="00B80F1B"/>
    <w:rsid w:val="00B97857"/>
    <w:rsid w:val="00BA1C00"/>
    <w:rsid w:val="00BA3488"/>
    <w:rsid w:val="00C46D66"/>
    <w:rsid w:val="00C52CCD"/>
    <w:rsid w:val="00C75CA5"/>
    <w:rsid w:val="00C87EF2"/>
    <w:rsid w:val="00CA3387"/>
    <w:rsid w:val="00CB3A8B"/>
    <w:rsid w:val="00CF00FE"/>
    <w:rsid w:val="00CF1178"/>
    <w:rsid w:val="00D07858"/>
    <w:rsid w:val="00D1464E"/>
    <w:rsid w:val="00D17B71"/>
    <w:rsid w:val="00D26164"/>
    <w:rsid w:val="00D306CF"/>
    <w:rsid w:val="00D31123"/>
    <w:rsid w:val="00DC311A"/>
    <w:rsid w:val="00DC3304"/>
    <w:rsid w:val="00DD09BC"/>
    <w:rsid w:val="00DD65B2"/>
    <w:rsid w:val="00E37ADD"/>
    <w:rsid w:val="00E842BB"/>
    <w:rsid w:val="00EA12E3"/>
    <w:rsid w:val="00EB363E"/>
    <w:rsid w:val="00EF17F3"/>
    <w:rsid w:val="00F11A14"/>
    <w:rsid w:val="00F24298"/>
    <w:rsid w:val="00F24513"/>
    <w:rsid w:val="00F26041"/>
    <w:rsid w:val="00F374B8"/>
    <w:rsid w:val="00F46FBD"/>
    <w:rsid w:val="00F52B25"/>
    <w:rsid w:val="00F64BAD"/>
    <w:rsid w:val="00F756C3"/>
    <w:rsid w:val="00F87088"/>
    <w:rsid w:val="00F934C1"/>
    <w:rsid w:val="00FB4CFA"/>
    <w:rsid w:val="00FE698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F03F7"/>
  <w14:defaultImageDpi w14:val="300"/>
  <w15:docId w15:val="{1A9C3680-12D8-46F5-91AE-FF041E3A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178"/>
    <w:pPr>
      <w:spacing w:before="100" w:beforeAutospacing="1" w:after="100" w:afterAutospacing="1"/>
    </w:pPr>
    <w:rPr>
      <w:rFonts w:ascii="Times New Roman" w:eastAsia="Times New Roman" w:hAnsi="Times New Roman" w:cs="Times New Roman"/>
      <w:lang w:val="es-DO" w:eastAsia="es-ES_tradnl"/>
    </w:rPr>
  </w:style>
  <w:style w:type="paragraph" w:styleId="ListParagraph">
    <w:name w:val="List Paragraph"/>
    <w:basedOn w:val="Normal"/>
    <w:uiPriority w:val="34"/>
    <w:qFormat/>
    <w:rsid w:val="00CF1178"/>
    <w:pPr>
      <w:ind w:left="720"/>
      <w:contextualSpacing/>
    </w:pPr>
  </w:style>
  <w:style w:type="table" w:styleId="TableGrid">
    <w:name w:val="Table Grid"/>
    <w:basedOn w:val="TableNormal"/>
    <w:uiPriority w:val="59"/>
    <w:rsid w:val="00CF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178"/>
    <w:rPr>
      <w:rFonts w:ascii="Lucida Grande" w:hAnsi="Lucida Grande" w:cs="Lucida Grande"/>
      <w:sz w:val="18"/>
      <w:szCs w:val="18"/>
    </w:rPr>
  </w:style>
  <w:style w:type="character" w:styleId="CommentReference">
    <w:name w:val="annotation reference"/>
    <w:uiPriority w:val="99"/>
    <w:qFormat/>
    <w:rsid w:val="00367969"/>
    <w:rPr>
      <w:sz w:val="21"/>
      <w:szCs w:val="21"/>
    </w:rPr>
  </w:style>
  <w:style w:type="paragraph" w:styleId="CommentText">
    <w:name w:val="annotation text"/>
    <w:basedOn w:val="Normal"/>
    <w:link w:val="CommentTextChar"/>
    <w:uiPriority w:val="99"/>
    <w:qFormat/>
    <w:rsid w:val="00367969"/>
    <w:pPr>
      <w:widowControl w:val="0"/>
    </w:pPr>
    <w:rPr>
      <w:rFonts w:ascii="Times New Roman" w:eastAsia="SimSun" w:hAnsi="Times New Roman" w:cs="Times New Roman"/>
      <w:kern w:val="2"/>
      <w:sz w:val="21"/>
      <w:szCs w:val="20"/>
      <w:lang w:val="en-US" w:eastAsia="zh-CN"/>
    </w:rPr>
  </w:style>
  <w:style w:type="character" w:customStyle="1" w:styleId="a">
    <w:name w:val="批注文字 字符"/>
    <w:basedOn w:val="DefaultParagraphFont"/>
    <w:uiPriority w:val="99"/>
    <w:semiHidden/>
    <w:rsid w:val="00367969"/>
  </w:style>
  <w:style w:type="paragraph" w:customStyle="1" w:styleId="BodyA">
    <w:name w:val="Body A"/>
    <w:rsid w:val="00367969"/>
    <w:pPr>
      <w:pBdr>
        <w:top w:val="nil"/>
        <w:left w:val="nil"/>
        <w:bottom w:val="nil"/>
        <w:right w:val="nil"/>
        <w:between w:val="nil"/>
        <w:bar w:val="nil"/>
      </w:pBdr>
    </w:pPr>
    <w:rPr>
      <w:rFonts w:ascii="Calibri" w:eastAsia="Calibri" w:hAnsi="Calibri" w:cs="Calibri"/>
      <w:color w:val="000000"/>
      <w:sz w:val="22"/>
      <w:szCs w:val="22"/>
      <w:u w:color="000000"/>
      <w:bdr w:val="nil"/>
      <w:lang w:val="en-US" w:eastAsia="en-AU"/>
    </w:rPr>
  </w:style>
  <w:style w:type="character" w:customStyle="1" w:styleId="CommentTextChar">
    <w:name w:val="Comment Text Char"/>
    <w:link w:val="CommentText"/>
    <w:uiPriority w:val="99"/>
    <w:locked/>
    <w:rsid w:val="00367969"/>
    <w:rPr>
      <w:rFonts w:ascii="Times New Roman" w:eastAsia="SimSun" w:hAnsi="Times New Roman" w:cs="Times New Roman"/>
      <w:kern w:val="2"/>
      <w:sz w:val="21"/>
      <w:szCs w:val="20"/>
      <w:lang w:val="en-US" w:eastAsia="zh-CN"/>
    </w:rPr>
  </w:style>
  <w:style w:type="character" w:styleId="Hyperlink">
    <w:name w:val="Hyperlink"/>
    <w:rsid w:val="007F4D92"/>
    <w:rPr>
      <w:color w:val="0000FF"/>
      <w:u w:val="single"/>
    </w:rPr>
  </w:style>
  <w:style w:type="paragraph" w:styleId="PlainText">
    <w:name w:val="Plain Text"/>
    <w:basedOn w:val="Normal"/>
    <w:link w:val="PlainTextChar"/>
    <w:rsid w:val="007F4D92"/>
    <w:pPr>
      <w:widowControl w:val="0"/>
      <w:jc w:val="both"/>
    </w:pPr>
    <w:rPr>
      <w:rFonts w:ascii="SimSun" w:eastAsia="SimSun" w:hAnsi="Courier New" w:cs="Courier New"/>
      <w:kern w:val="2"/>
      <w:sz w:val="21"/>
      <w:szCs w:val="21"/>
      <w:lang w:val="en-US" w:eastAsia="zh-CN"/>
    </w:rPr>
  </w:style>
  <w:style w:type="character" w:customStyle="1" w:styleId="a0">
    <w:name w:val="纯文本 字符"/>
    <w:basedOn w:val="DefaultParagraphFont"/>
    <w:uiPriority w:val="99"/>
    <w:semiHidden/>
    <w:rsid w:val="007F4D92"/>
    <w:rPr>
      <w:rFonts w:asciiTheme="minorEastAsia" w:hAnsi="Courier New" w:cs="Courier New"/>
    </w:rPr>
  </w:style>
  <w:style w:type="character" w:customStyle="1" w:styleId="PlainTextChar">
    <w:name w:val="Plain Text Char"/>
    <w:link w:val="PlainText"/>
    <w:rsid w:val="007F4D92"/>
    <w:rPr>
      <w:rFonts w:ascii="SimSun" w:eastAsia="SimSun" w:hAnsi="Courier New" w:cs="Courier New"/>
      <w:kern w:val="2"/>
      <w:sz w:val="21"/>
      <w:szCs w:val="21"/>
      <w:lang w:val="en-US" w:eastAsia="zh-CN"/>
    </w:rPr>
  </w:style>
  <w:style w:type="character" w:styleId="Strong">
    <w:name w:val="Strong"/>
    <w:uiPriority w:val="22"/>
    <w:qFormat/>
    <w:rsid w:val="007F4D92"/>
    <w:rPr>
      <w:b/>
      <w:bCs/>
    </w:rPr>
  </w:style>
  <w:style w:type="paragraph" w:styleId="CommentSubject">
    <w:name w:val="annotation subject"/>
    <w:basedOn w:val="CommentText"/>
    <w:next w:val="CommentText"/>
    <w:link w:val="CommentSubjectChar"/>
    <w:uiPriority w:val="99"/>
    <w:semiHidden/>
    <w:unhideWhenUsed/>
    <w:rsid w:val="002A3336"/>
    <w:pPr>
      <w:widowControl/>
    </w:pPr>
    <w:rPr>
      <w:rFonts w:asciiTheme="minorHAnsi" w:eastAsiaTheme="minorEastAsia" w:hAnsiTheme="minorHAnsi" w:cstheme="minorBidi"/>
      <w:b/>
      <w:bCs/>
      <w:kern w:val="0"/>
      <w:sz w:val="24"/>
      <w:szCs w:val="24"/>
      <w:lang w:val="es-MX" w:eastAsia="en-US"/>
    </w:rPr>
  </w:style>
  <w:style w:type="character" w:customStyle="1" w:styleId="CommentSubjectChar">
    <w:name w:val="Comment Subject Char"/>
    <w:basedOn w:val="CommentTextChar"/>
    <w:link w:val="CommentSubject"/>
    <w:uiPriority w:val="99"/>
    <w:semiHidden/>
    <w:rsid w:val="002A3336"/>
    <w:rPr>
      <w:rFonts w:ascii="Times New Roman" w:eastAsia="SimSun" w:hAnsi="Times New Roman" w:cs="Times New Roman"/>
      <w:b/>
      <w:bCs/>
      <w:kern w:val="2"/>
      <w:sz w:val="21"/>
      <w:szCs w:val="20"/>
      <w:lang w:val="en-US" w:eastAsia="zh-CN"/>
    </w:rPr>
  </w:style>
  <w:style w:type="character" w:customStyle="1" w:styleId="1">
    <w:name w:val="未处理的提及1"/>
    <w:basedOn w:val="DefaultParagraphFont"/>
    <w:uiPriority w:val="99"/>
    <w:semiHidden/>
    <w:unhideWhenUsed/>
    <w:rsid w:val="00A7087C"/>
    <w:rPr>
      <w:color w:val="605E5C"/>
      <w:shd w:val="clear" w:color="auto" w:fill="E1DFDD"/>
    </w:rPr>
  </w:style>
  <w:style w:type="character" w:styleId="Emphasis">
    <w:name w:val="Emphasis"/>
    <w:basedOn w:val="DefaultParagraphFont"/>
    <w:uiPriority w:val="20"/>
    <w:qFormat/>
    <w:rsid w:val="002C7406"/>
    <w:rPr>
      <w:i/>
      <w:iCs/>
    </w:rPr>
  </w:style>
  <w:style w:type="paragraph" w:styleId="Revision">
    <w:name w:val="Revision"/>
    <w:hidden/>
    <w:uiPriority w:val="99"/>
    <w:semiHidden/>
    <w:rsid w:val="000716F1"/>
  </w:style>
  <w:style w:type="character" w:styleId="FollowedHyperlink">
    <w:name w:val="FollowedHyperlink"/>
    <w:basedOn w:val="DefaultParagraphFont"/>
    <w:uiPriority w:val="99"/>
    <w:semiHidden/>
    <w:unhideWhenUsed/>
    <w:rsid w:val="001C721C"/>
    <w:rPr>
      <w:color w:val="800080" w:themeColor="followedHyperlink"/>
      <w:u w:val="single"/>
    </w:rPr>
  </w:style>
  <w:style w:type="paragraph" w:styleId="Header">
    <w:name w:val="header"/>
    <w:basedOn w:val="Normal"/>
    <w:link w:val="HeaderChar"/>
    <w:uiPriority w:val="99"/>
    <w:unhideWhenUsed/>
    <w:rsid w:val="00EF17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F17F3"/>
    <w:rPr>
      <w:sz w:val="18"/>
      <w:szCs w:val="18"/>
    </w:rPr>
  </w:style>
  <w:style w:type="paragraph" w:styleId="Footer">
    <w:name w:val="footer"/>
    <w:basedOn w:val="Normal"/>
    <w:link w:val="FooterChar"/>
    <w:uiPriority w:val="99"/>
    <w:unhideWhenUsed/>
    <w:rsid w:val="00EF17F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F17F3"/>
    <w:rPr>
      <w:sz w:val="18"/>
      <w:szCs w:val="18"/>
    </w:rPr>
  </w:style>
  <w:style w:type="character" w:customStyle="1" w:styleId="UnresolvedMention1">
    <w:name w:val="Unresolved Mention1"/>
    <w:basedOn w:val="DefaultParagraphFont"/>
    <w:uiPriority w:val="99"/>
    <w:semiHidden/>
    <w:unhideWhenUsed/>
    <w:rsid w:val="0033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5692">
      <w:bodyDiv w:val="1"/>
      <w:marLeft w:val="0"/>
      <w:marRight w:val="0"/>
      <w:marTop w:val="0"/>
      <w:marBottom w:val="0"/>
      <w:divBdr>
        <w:top w:val="none" w:sz="0" w:space="0" w:color="auto"/>
        <w:left w:val="none" w:sz="0" w:space="0" w:color="auto"/>
        <w:bottom w:val="none" w:sz="0" w:space="0" w:color="auto"/>
        <w:right w:val="none" w:sz="0" w:space="0" w:color="auto"/>
      </w:divBdr>
    </w:div>
    <w:div w:id="756900459">
      <w:bodyDiv w:val="1"/>
      <w:marLeft w:val="0"/>
      <w:marRight w:val="0"/>
      <w:marTop w:val="0"/>
      <w:marBottom w:val="0"/>
      <w:divBdr>
        <w:top w:val="none" w:sz="0" w:space="0" w:color="auto"/>
        <w:left w:val="none" w:sz="0" w:space="0" w:color="auto"/>
        <w:bottom w:val="none" w:sz="0" w:space="0" w:color="auto"/>
        <w:right w:val="none" w:sz="0" w:space="0" w:color="auto"/>
      </w:divBdr>
    </w:div>
    <w:div w:id="1122453841">
      <w:bodyDiv w:val="1"/>
      <w:marLeft w:val="0"/>
      <w:marRight w:val="0"/>
      <w:marTop w:val="0"/>
      <w:marBottom w:val="0"/>
      <w:divBdr>
        <w:top w:val="none" w:sz="0" w:space="0" w:color="auto"/>
        <w:left w:val="none" w:sz="0" w:space="0" w:color="auto"/>
        <w:bottom w:val="none" w:sz="0" w:space="0" w:color="auto"/>
        <w:right w:val="none" w:sz="0" w:space="0" w:color="auto"/>
      </w:divBdr>
    </w:div>
    <w:div w:id="1985502946">
      <w:bodyDiv w:val="1"/>
      <w:marLeft w:val="0"/>
      <w:marRight w:val="0"/>
      <w:marTop w:val="0"/>
      <w:marBottom w:val="0"/>
      <w:divBdr>
        <w:top w:val="none" w:sz="0" w:space="0" w:color="auto"/>
        <w:left w:val="none" w:sz="0" w:space="0" w:color="auto"/>
        <w:bottom w:val="none" w:sz="0" w:space="0" w:color="auto"/>
        <w:right w:val="none" w:sz="0" w:space="0" w:color="auto"/>
      </w:divBdr>
    </w:div>
    <w:div w:id="2060124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odrigosotomd@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Lian-Sheng Ma</cp:lastModifiedBy>
  <cp:revision>2</cp:revision>
  <dcterms:created xsi:type="dcterms:W3CDTF">2019-06-21T01:22:00Z</dcterms:created>
  <dcterms:modified xsi:type="dcterms:W3CDTF">2019-06-21T01:22:00Z</dcterms:modified>
</cp:coreProperties>
</file>