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7D0C" w:rsidRPr="00ED7513" w:rsidRDefault="00D47D0C" w:rsidP="00ED7513">
      <w:pPr>
        <w:adjustRightInd w:val="0"/>
        <w:snapToGrid w:val="0"/>
        <w:spacing w:line="360" w:lineRule="auto"/>
        <w:rPr>
          <w:rFonts w:ascii="Book Antiqua" w:hAnsi="Book Antiqua" w:cs="Arial"/>
          <w:b/>
          <w:color w:val="000000" w:themeColor="text1"/>
          <w:sz w:val="24"/>
          <w:szCs w:val="24"/>
          <w:shd w:val="clear" w:color="auto" w:fill="FFFFFF"/>
        </w:rPr>
      </w:pPr>
      <w:r w:rsidRPr="00ED7513">
        <w:rPr>
          <w:rFonts w:ascii="Book Antiqua" w:hAnsi="Book Antiqua" w:cs="Arial"/>
          <w:b/>
          <w:color w:val="000000" w:themeColor="text1"/>
          <w:sz w:val="24"/>
          <w:szCs w:val="24"/>
          <w:shd w:val="clear" w:color="auto" w:fill="FFFFFF"/>
        </w:rPr>
        <w:t xml:space="preserve">Name of Journal: </w:t>
      </w:r>
      <w:r w:rsidRPr="00ED7513">
        <w:rPr>
          <w:rFonts w:ascii="Book Antiqua" w:hAnsi="Book Antiqua" w:cs="Arial"/>
          <w:i/>
          <w:color w:val="000000" w:themeColor="text1"/>
          <w:sz w:val="24"/>
          <w:szCs w:val="24"/>
          <w:shd w:val="clear" w:color="auto" w:fill="FFFFFF"/>
        </w:rPr>
        <w:t>World Journal of Gastrointestinal Oncology</w:t>
      </w:r>
    </w:p>
    <w:p w:rsidR="00D47D0C" w:rsidRPr="00ED7513" w:rsidRDefault="00D47D0C" w:rsidP="00ED7513">
      <w:pPr>
        <w:adjustRightInd w:val="0"/>
        <w:snapToGrid w:val="0"/>
        <w:spacing w:line="360" w:lineRule="auto"/>
        <w:rPr>
          <w:rFonts w:ascii="Book Antiqua" w:hAnsi="Book Antiqua" w:cs="Arial"/>
          <w:b/>
          <w:color w:val="000000" w:themeColor="text1"/>
          <w:sz w:val="24"/>
          <w:szCs w:val="24"/>
          <w:shd w:val="clear" w:color="auto" w:fill="FFFFFF"/>
        </w:rPr>
      </w:pPr>
      <w:r w:rsidRPr="00ED7513">
        <w:rPr>
          <w:rFonts w:ascii="Book Antiqua" w:hAnsi="Book Antiqua" w:cs="Arial"/>
          <w:b/>
          <w:color w:val="000000" w:themeColor="text1"/>
          <w:sz w:val="24"/>
          <w:szCs w:val="24"/>
          <w:shd w:val="clear" w:color="auto" w:fill="FFFFFF"/>
        </w:rPr>
        <w:t xml:space="preserve">Manuscript NO: </w:t>
      </w:r>
      <w:r w:rsidRPr="00ED7513">
        <w:rPr>
          <w:rFonts w:ascii="Book Antiqua" w:hAnsi="Book Antiqua" w:cs="Arial"/>
          <w:color w:val="000000" w:themeColor="text1"/>
          <w:sz w:val="24"/>
          <w:szCs w:val="24"/>
          <w:shd w:val="clear" w:color="auto" w:fill="FFFFFF"/>
        </w:rPr>
        <w:t>49004</w:t>
      </w:r>
    </w:p>
    <w:p w:rsidR="00D47D0C" w:rsidRPr="00ED7513" w:rsidRDefault="00D47D0C" w:rsidP="00ED7513">
      <w:pPr>
        <w:adjustRightInd w:val="0"/>
        <w:snapToGrid w:val="0"/>
        <w:spacing w:line="360" w:lineRule="auto"/>
        <w:rPr>
          <w:rFonts w:ascii="Book Antiqua" w:eastAsia="幼圆" w:hAnsi="Book Antiqua"/>
          <w:b/>
          <w:i/>
          <w:color w:val="000000" w:themeColor="text1"/>
          <w:sz w:val="24"/>
          <w:szCs w:val="24"/>
        </w:rPr>
      </w:pPr>
      <w:bookmarkStart w:id="0" w:name="OLE_LINK3"/>
      <w:bookmarkStart w:id="1" w:name="OLE_LINK4"/>
      <w:r w:rsidRPr="00ED7513">
        <w:rPr>
          <w:rFonts w:ascii="Book Antiqua" w:hAnsi="Book Antiqua"/>
          <w:b/>
          <w:color w:val="000000" w:themeColor="text1"/>
          <w:sz w:val="24"/>
          <w:szCs w:val="24"/>
          <w:shd w:val="clear" w:color="auto" w:fill="FFFFFF"/>
        </w:rPr>
        <w:t>Manuscript Type</w:t>
      </w:r>
      <w:r w:rsidRPr="00ED7513">
        <w:rPr>
          <w:rFonts w:ascii="Book Antiqua" w:hAnsi="Book Antiqua"/>
          <w:b/>
          <w:color w:val="000000" w:themeColor="text1"/>
          <w:sz w:val="24"/>
          <w:szCs w:val="24"/>
        </w:rPr>
        <w:t>:</w:t>
      </w:r>
      <w:bookmarkEnd w:id="0"/>
      <w:bookmarkEnd w:id="1"/>
      <w:r w:rsidRPr="00ED7513">
        <w:rPr>
          <w:rFonts w:ascii="Book Antiqua" w:hAnsi="Book Antiqua" w:cs="Arial"/>
          <w:b/>
          <w:color w:val="000000" w:themeColor="text1"/>
          <w:sz w:val="24"/>
          <w:szCs w:val="24"/>
          <w:shd w:val="clear" w:color="auto" w:fill="FFFFFF"/>
        </w:rPr>
        <w:t xml:space="preserve"> </w:t>
      </w:r>
      <w:r w:rsidR="00921D66" w:rsidRPr="00ED7513">
        <w:rPr>
          <w:rFonts w:ascii="Book Antiqua" w:hAnsi="Book Antiqua" w:cs="Arial"/>
          <w:color w:val="000000" w:themeColor="text1"/>
          <w:sz w:val="24"/>
          <w:szCs w:val="24"/>
          <w:shd w:val="clear" w:color="auto" w:fill="FFFFFF"/>
        </w:rPr>
        <w:t>ORIGINAL ARTICLE</w:t>
      </w:r>
    </w:p>
    <w:p w:rsidR="00EA6291" w:rsidRPr="00ED7513" w:rsidRDefault="00EA6291" w:rsidP="00ED7513">
      <w:pPr>
        <w:spacing w:line="360" w:lineRule="auto"/>
        <w:rPr>
          <w:rFonts w:ascii="Book Antiqua" w:hAnsi="Book Antiqua" w:cs="Times New Roman"/>
          <w:b/>
          <w:color w:val="000000" w:themeColor="text1"/>
          <w:sz w:val="24"/>
          <w:szCs w:val="24"/>
        </w:rPr>
      </w:pPr>
    </w:p>
    <w:p w:rsidR="00921D66" w:rsidRPr="00ED7513" w:rsidRDefault="00921D66" w:rsidP="00ED7513">
      <w:pPr>
        <w:spacing w:line="360" w:lineRule="auto"/>
        <w:rPr>
          <w:rFonts w:ascii="Book Antiqua" w:hAnsi="Book Antiqua" w:cs="Times New Roman"/>
          <w:b/>
          <w:i/>
          <w:color w:val="000000" w:themeColor="text1"/>
          <w:sz w:val="24"/>
          <w:szCs w:val="24"/>
        </w:rPr>
      </w:pPr>
      <w:r w:rsidRPr="00ED7513">
        <w:rPr>
          <w:rFonts w:ascii="Book Antiqua" w:eastAsia="幼圆" w:hAnsi="Book Antiqua"/>
          <w:b/>
          <w:i/>
          <w:color w:val="000000" w:themeColor="text1"/>
          <w:sz w:val="24"/>
          <w:szCs w:val="24"/>
        </w:rPr>
        <w:t>Retrospective Study</w:t>
      </w:r>
    </w:p>
    <w:p w:rsidR="00EA6291" w:rsidRPr="00ED7513" w:rsidRDefault="00EA6291" w:rsidP="00ED7513">
      <w:pPr>
        <w:spacing w:line="360" w:lineRule="auto"/>
        <w:rPr>
          <w:rFonts w:ascii="Book Antiqua" w:hAnsi="Book Antiqua" w:cs="Times New Roman"/>
          <w:b/>
          <w:color w:val="000000" w:themeColor="text1"/>
          <w:sz w:val="24"/>
          <w:szCs w:val="24"/>
        </w:rPr>
      </w:pPr>
      <w:r w:rsidRPr="00ED7513">
        <w:rPr>
          <w:rFonts w:ascii="Book Antiqua" w:hAnsi="Book Antiqua" w:cs="Times New Roman"/>
          <w:b/>
          <w:color w:val="000000" w:themeColor="text1"/>
          <w:sz w:val="24"/>
          <w:szCs w:val="24"/>
        </w:rPr>
        <w:t xml:space="preserve">Retrospective evaluation of lymphatic and blood vessel invasion and </w:t>
      </w:r>
      <w:proofErr w:type="spellStart"/>
      <w:r w:rsidRPr="00ED7513">
        <w:rPr>
          <w:rFonts w:ascii="Book Antiqua" w:hAnsi="Book Antiqua" w:cs="Times New Roman"/>
          <w:b/>
          <w:color w:val="000000" w:themeColor="text1"/>
          <w:sz w:val="24"/>
          <w:szCs w:val="24"/>
        </w:rPr>
        <w:t>Borrmann</w:t>
      </w:r>
      <w:proofErr w:type="spellEnd"/>
      <w:r w:rsidRPr="00ED7513">
        <w:rPr>
          <w:rFonts w:ascii="Book Antiqua" w:hAnsi="Book Antiqua" w:cs="Times New Roman"/>
          <w:b/>
          <w:color w:val="000000" w:themeColor="text1"/>
          <w:sz w:val="24"/>
          <w:szCs w:val="24"/>
        </w:rPr>
        <w:t xml:space="preserve"> types in advanced proximal gastric cancer</w:t>
      </w:r>
    </w:p>
    <w:p w:rsidR="00EA6291" w:rsidRPr="00ED7513" w:rsidRDefault="00EA6291" w:rsidP="00ED7513">
      <w:pPr>
        <w:spacing w:line="360" w:lineRule="auto"/>
        <w:rPr>
          <w:rFonts w:ascii="Book Antiqua" w:hAnsi="Book Antiqua" w:cs="Times New Roman"/>
          <w:b/>
          <w:color w:val="000000" w:themeColor="text1"/>
          <w:sz w:val="24"/>
          <w:szCs w:val="24"/>
        </w:rPr>
      </w:pP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Gao</w:t>
      </w:r>
      <w:r w:rsidR="004155B1" w:rsidRPr="00ED7513">
        <w:rPr>
          <w:rFonts w:ascii="Book Antiqua" w:hAnsi="Book Antiqua" w:cs="Times New Roman"/>
          <w:color w:val="000000" w:themeColor="text1"/>
          <w:sz w:val="24"/>
          <w:szCs w:val="24"/>
        </w:rPr>
        <w:t xml:space="preserve"> </w:t>
      </w:r>
      <w:r w:rsidR="00921D66" w:rsidRPr="00ED7513">
        <w:rPr>
          <w:rFonts w:ascii="Book Antiqua" w:hAnsi="Book Antiqua" w:cs="Times New Roman"/>
          <w:color w:val="000000" w:themeColor="text1"/>
          <w:sz w:val="24"/>
          <w:szCs w:val="24"/>
        </w:rPr>
        <w:t xml:space="preserve">S </w:t>
      </w:r>
      <w:r w:rsidRPr="00ED7513">
        <w:rPr>
          <w:rFonts w:ascii="Book Antiqua" w:hAnsi="Book Antiqua" w:cs="Times New Roman"/>
          <w:i/>
          <w:color w:val="000000" w:themeColor="text1"/>
          <w:sz w:val="24"/>
          <w:szCs w:val="24"/>
        </w:rPr>
        <w:t>et al</w:t>
      </w:r>
      <w:r w:rsidRPr="00ED7513">
        <w:rPr>
          <w:rFonts w:ascii="Book Antiqua" w:hAnsi="Book Antiqua" w:cs="Times New Roman"/>
          <w:color w:val="000000" w:themeColor="text1"/>
          <w:sz w:val="24"/>
          <w:szCs w:val="24"/>
        </w:rPr>
        <w:t xml:space="preserve">. LBVI and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types in GC</w:t>
      </w:r>
    </w:p>
    <w:p w:rsidR="00EA6291" w:rsidRPr="00ED7513" w:rsidRDefault="00EA6291"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Shan Gao, </w:t>
      </w:r>
      <w:proofErr w:type="spellStart"/>
      <w:r w:rsidRPr="00ED7513">
        <w:rPr>
          <w:rFonts w:ascii="Book Antiqua" w:hAnsi="Book Antiqua" w:cs="Times New Roman"/>
          <w:color w:val="000000" w:themeColor="text1"/>
          <w:sz w:val="24"/>
          <w:szCs w:val="24"/>
        </w:rPr>
        <w:t>Guo</w:t>
      </w:r>
      <w:proofErr w:type="spellEnd"/>
      <w:r w:rsidRPr="00ED7513">
        <w:rPr>
          <w:rFonts w:ascii="Book Antiqua" w:hAnsi="Book Antiqua" w:cs="Times New Roman"/>
          <w:color w:val="000000" w:themeColor="text1"/>
          <w:sz w:val="24"/>
          <w:szCs w:val="24"/>
        </w:rPr>
        <w:t xml:space="preserve">-Hui Cao, Peng Ding, Yang-Yang Zhao, Peng Deng, </w:t>
      </w:r>
      <w:r w:rsidR="00BF51A4" w:rsidRPr="00ED7513">
        <w:rPr>
          <w:rFonts w:ascii="Book Antiqua" w:hAnsi="Book Antiqua" w:cs="Times New Roman"/>
          <w:color w:val="000000" w:themeColor="text1"/>
          <w:sz w:val="24"/>
          <w:szCs w:val="24"/>
        </w:rPr>
        <w:t xml:space="preserve">Bin </w:t>
      </w:r>
      <w:proofErr w:type="spellStart"/>
      <w:r w:rsidR="00BF51A4" w:rsidRPr="00ED7513">
        <w:rPr>
          <w:rFonts w:ascii="Book Antiqua" w:hAnsi="Book Antiqua" w:cs="Times New Roman"/>
          <w:color w:val="000000" w:themeColor="text1"/>
          <w:sz w:val="24"/>
          <w:szCs w:val="24"/>
        </w:rPr>
        <w:t>Hou</w:t>
      </w:r>
      <w:proofErr w:type="spellEnd"/>
      <w:r w:rsidR="00BF51A4" w:rsidRPr="00ED7513">
        <w:rPr>
          <w:rFonts w:ascii="Book Antiqua" w:hAnsi="Book Antiqua" w:cs="Times New Roman"/>
          <w:color w:val="000000" w:themeColor="text1"/>
          <w:sz w:val="24"/>
          <w:szCs w:val="24"/>
        </w:rPr>
        <w:t>, Kai Li, Xiao-Fang Liu</w:t>
      </w:r>
    </w:p>
    <w:p w:rsidR="00921D66" w:rsidRPr="00ED7513" w:rsidRDefault="00921D66"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color w:val="000000" w:themeColor="text1"/>
          <w:sz w:val="24"/>
          <w:szCs w:val="24"/>
        </w:rPr>
      </w:pPr>
      <w:proofErr w:type="spellStart"/>
      <w:r w:rsidRPr="00ED7513">
        <w:rPr>
          <w:rFonts w:ascii="Book Antiqua" w:hAnsi="Book Antiqua" w:cs="Times New Roman"/>
          <w:b/>
          <w:color w:val="000000" w:themeColor="text1"/>
          <w:sz w:val="24"/>
          <w:szCs w:val="24"/>
        </w:rPr>
        <w:t>Guo</w:t>
      </w:r>
      <w:proofErr w:type="spellEnd"/>
      <w:r w:rsidRPr="00ED7513">
        <w:rPr>
          <w:rFonts w:ascii="Book Antiqua" w:hAnsi="Book Antiqua" w:cs="Times New Roman"/>
          <w:b/>
          <w:color w:val="000000" w:themeColor="text1"/>
          <w:sz w:val="24"/>
          <w:szCs w:val="24"/>
        </w:rPr>
        <w:t xml:space="preserve">-Hui Cao, Peng Ding, Peng Deng, Bin </w:t>
      </w:r>
      <w:proofErr w:type="spellStart"/>
      <w:r w:rsidRPr="00ED7513">
        <w:rPr>
          <w:rFonts w:ascii="Book Antiqua" w:hAnsi="Book Antiqua" w:cs="Times New Roman"/>
          <w:b/>
          <w:color w:val="000000" w:themeColor="text1"/>
          <w:sz w:val="24"/>
          <w:szCs w:val="24"/>
        </w:rPr>
        <w:t>Hou</w:t>
      </w:r>
      <w:proofErr w:type="spellEnd"/>
      <w:r w:rsidRPr="00ED7513">
        <w:rPr>
          <w:rFonts w:ascii="Book Antiqua" w:hAnsi="Book Antiqua" w:cs="Times New Roman"/>
          <w:b/>
          <w:color w:val="000000" w:themeColor="text1"/>
          <w:sz w:val="24"/>
          <w:szCs w:val="24"/>
        </w:rPr>
        <w:t xml:space="preserve">, Kai Li, Xiao-Fang Liu, </w:t>
      </w:r>
      <w:r w:rsidRPr="00ED7513">
        <w:rPr>
          <w:rFonts w:ascii="Book Antiqua" w:hAnsi="Book Antiqua" w:cs="Times New Roman"/>
          <w:color w:val="000000" w:themeColor="text1"/>
          <w:sz w:val="24"/>
          <w:szCs w:val="24"/>
        </w:rPr>
        <w:t xml:space="preserve">Department of Surgical Oncology, the First Affiliated Hospital of China Medical University, Shenyang 110001, </w:t>
      </w:r>
      <w:r w:rsidR="00921D66" w:rsidRPr="00ED7513">
        <w:rPr>
          <w:rFonts w:ascii="Book Antiqua" w:hAnsi="Book Antiqua" w:cs="Times New Roman"/>
          <w:color w:val="000000" w:themeColor="text1"/>
          <w:sz w:val="24"/>
          <w:szCs w:val="24"/>
        </w:rPr>
        <w:t>Liaoning Province, China</w:t>
      </w:r>
    </w:p>
    <w:p w:rsidR="00921D66" w:rsidRPr="00ED7513" w:rsidRDefault="00921D66"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b/>
          <w:color w:val="000000" w:themeColor="text1"/>
          <w:sz w:val="24"/>
          <w:szCs w:val="24"/>
        </w:rPr>
        <w:t xml:space="preserve">Shan Gao, </w:t>
      </w:r>
      <w:r w:rsidRPr="00ED7513">
        <w:rPr>
          <w:rFonts w:ascii="Book Antiqua" w:hAnsi="Book Antiqua" w:cs="Times New Roman"/>
          <w:color w:val="000000" w:themeColor="text1"/>
          <w:sz w:val="24"/>
          <w:szCs w:val="24"/>
        </w:rPr>
        <w:t xml:space="preserve">Department of Gynecology and Obstetrics, </w:t>
      </w:r>
      <w:proofErr w:type="spellStart"/>
      <w:r w:rsidRPr="00ED7513">
        <w:rPr>
          <w:rFonts w:ascii="Book Antiqua" w:hAnsi="Book Antiqua" w:cs="Times New Roman"/>
          <w:color w:val="000000" w:themeColor="text1"/>
          <w:sz w:val="24"/>
          <w:szCs w:val="24"/>
        </w:rPr>
        <w:t>Shengjing</w:t>
      </w:r>
      <w:proofErr w:type="spellEnd"/>
      <w:r w:rsidRPr="00ED7513">
        <w:rPr>
          <w:rFonts w:ascii="Book Antiqua" w:hAnsi="Book Antiqua" w:cs="Times New Roman"/>
          <w:color w:val="000000" w:themeColor="text1"/>
          <w:sz w:val="24"/>
          <w:szCs w:val="24"/>
        </w:rPr>
        <w:t xml:space="preserve"> Hospital of China Medical University, Shenyang 110001, </w:t>
      </w:r>
      <w:r w:rsidR="00921D66" w:rsidRPr="00ED7513">
        <w:rPr>
          <w:rFonts w:ascii="Book Antiqua" w:hAnsi="Book Antiqua" w:cs="Times New Roman"/>
          <w:color w:val="000000" w:themeColor="text1"/>
          <w:sz w:val="24"/>
          <w:szCs w:val="24"/>
        </w:rPr>
        <w:t>Liaoning Province, China</w:t>
      </w:r>
    </w:p>
    <w:p w:rsidR="00921D66" w:rsidRPr="00ED7513" w:rsidRDefault="00921D66"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b/>
          <w:color w:val="000000" w:themeColor="text1"/>
          <w:sz w:val="24"/>
          <w:szCs w:val="24"/>
        </w:rPr>
        <w:t>Yang-Yang Zhao,</w:t>
      </w:r>
      <w:r w:rsidRPr="00ED7513">
        <w:rPr>
          <w:rFonts w:ascii="Book Antiqua" w:hAnsi="Book Antiqua" w:cs="Times New Roman"/>
          <w:color w:val="000000" w:themeColor="text1"/>
          <w:sz w:val="24"/>
          <w:szCs w:val="24"/>
        </w:rPr>
        <w:t xml:space="preserve"> School of Public Health, China Medical University, Shenyang 110001, </w:t>
      </w:r>
      <w:r w:rsidR="00921D66" w:rsidRPr="00ED7513">
        <w:rPr>
          <w:rFonts w:ascii="Book Antiqua" w:hAnsi="Book Antiqua" w:cs="Times New Roman"/>
          <w:color w:val="000000" w:themeColor="text1"/>
          <w:sz w:val="24"/>
          <w:szCs w:val="24"/>
        </w:rPr>
        <w:t xml:space="preserve">Liaoning Province, </w:t>
      </w:r>
      <w:r w:rsidRPr="00ED7513">
        <w:rPr>
          <w:rFonts w:ascii="Book Antiqua" w:hAnsi="Book Antiqua" w:cs="Times New Roman"/>
          <w:color w:val="000000" w:themeColor="text1"/>
          <w:sz w:val="24"/>
          <w:szCs w:val="24"/>
        </w:rPr>
        <w:t>China</w:t>
      </w:r>
    </w:p>
    <w:p w:rsidR="00921D66" w:rsidRPr="00ED7513" w:rsidRDefault="00921D66" w:rsidP="00ED7513">
      <w:pPr>
        <w:spacing w:line="360" w:lineRule="auto"/>
        <w:rPr>
          <w:rFonts w:ascii="Book Antiqua" w:hAnsi="Book Antiqua" w:cs="Times New Roman"/>
          <w:color w:val="000000" w:themeColor="text1"/>
          <w:sz w:val="24"/>
          <w:szCs w:val="24"/>
        </w:rPr>
      </w:pPr>
    </w:p>
    <w:p w:rsidR="00EA6291" w:rsidRPr="00ED7513" w:rsidRDefault="0006292C" w:rsidP="00ED7513">
      <w:pPr>
        <w:pStyle w:val="Default"/>
        <w:spacing w:line="360" w:lineRule="auto"/>
        <w:jc w:val="both"/>
        <w:rPr>
          <w:bCs/>
          <w:color w:val="000000" w:themeColor="text1"/>
        </w:rPr>
      </w:pPr>
      <w:r w:rsidRPr="00ED7513">
        <w:rPr>
          <w:b/>
          <w:bCs/>
          <w:color w:val="000000" w:themeColor="text1"/>
        </w:rPr>
        <w:t xml:space="preserve">ORCID number: </w:t>
      </w:r>
      <w:r w:rsidR="006A1D7A" w:rsidRPr="00ED7513">
        <w:rPr>
          <w:rFonts w:cs="Times New Roman"/>
          <w:color w:val="000000" w:themeColor="text1"/>
        </w:rPr>
        <w:t>Shan Gao</w:t>
      </w:r>
      <w:r w:rsidR="00BC5298" w:rsidRPr="00ED7513">
        <w:rPr>
          <w:rFonts w:cs="Times New Roman"/>
          <w:color w:val="000000" w:themeColor="text1"/>
        </w:rPr>
        <w:t xml:space="preserve"> (0000-0003-4020-6815)</w:t>
      </w:r>
      <w:r w:rsidR="00921D66" w:rsidRPr="00ED7513">
        <w:rPr>
          <w:rFonts w:cs="Times New Roman"/>
          <w:color w:val="000000" w:themeColor="text1"/>
        </w:rPr>
        <w:t xml:space="preserve">; </w:t>
      </w:r>
      <w:proofErr w:type="spellStart"/>
      <w:r w:rsidR="006A1D7A" w:rsidRPr="00ED7513">
        <w:rPr>
          <w:rFonts w:cs="Times New Roman"/>
          <w:color w:val="000000" w:themeColor="text1"/>
        </w:rPr>
        <w:t>Guo</w:t>
      </w:r>
      <w:proofErr w:type="spellEnd"/>
      <w:r w:rsidR="006A1D7A" w:rsidRPr="00ED7513">
        <w:rPr>
          <w:rFonts w:cs="Times New Roman"/>
          <w:color w:val="000000" w:themeColor="text1"/>
        </w:rPr>
        <w:t xml:space="preserve">-Hui Cao </w:t>
      </w:r>
      <w:r w:rsidR="00FE4290" w:rsidRPr="00ED7513">
        <w:rPr>
          <w:rFonts w:cs="Times New Roman"/>
          <w:color w:val="000000" w:themeColor="text1"/>
        </w:rPr>
        <w:t>(0000-0002-4362-0598)</w:t>
      </w:r>
      <w:r w:rsidR="00921D66" w:rsidRPr="00ED7513">
        <w:rPr>
          <w:rFonts w:cs="Times New Roman"/>
          <w:color w:val="000000" w:themeColor="text1"/>
        </w:rPr>
        <w:t xml:space="preserve">; </w:t>
      </w:r>
      <w:r w:rsidR="006A1D7A" w:rsidRPr="00ED7513">
        <w:rPr>
          <w:rFonts w:cs="Times New Roman"/>
          <w:color w:val="000000" w:themeColor="text1"/>
        </w:rPr>
        <w:t>Peng Ding</w:t>
      </w:r>
      <w:r w:rsidR="00FE4290" w:rsidRPr="00ED7513">
        <w:rPr>
          <w:rFonts w:cs="Times New Roman"/>
          <w:color w:val="000000" w:themeColor="text1"/>
        </w:rPr>
        <w:t xml:space="preserve"> (0000-0001-6287-3614)</w:t>
      </w:r>
      <w:r w:rsidR="00921D66" w:rsidRPr="00ED7513">
        <w:rPr>
          <w:rFonts w:cs="Times New Roman"/>
          <w:color w:val="000000" w:themeColor="text1"/>
        </w:rPr>
        <w:t xml:space="preserve">; </w:t>
      </w:r>
      <w:r w:rsidR="006A1D7A" w:rsidRPr="00ED7513">
        <w:rPr>
          <w:rFonts w:cs="Times New Roman"/>
          <w:color w:val="000000" w:themeColor="text1"/>
        </w:rPr>
        <w:t>Yang-Yang Zhao</w:t>
      </w:r>
      <w:r w:rsidR="00FE4290" w:rsidRPr="00ED7513">
        <w:rPr>
          <w:rFonts w:cs="Times New Roman"/>
          <w:color w:val="000000" w:themeColor="text1"/>
        </w:rPr>
        <w:t xml:space="preserve"> (0000-0002-4129-5939)</w:t>
      </w:r>
      <w:r w:rsidR="00921D66" w:rsidRPr="00ED7513">
        <w:rPr>
          <w:rFonts w:cs="Times New Roman"/>
          <w:color w:val="000000" w:themeColor="text1"/>
        </w:rPr>
        <w:t xml:space="preserve">; </w:t>
      </w:r>
      <w:r w:rsidR="006A1D7A" w:rsidRPr="00ED7513">
        <w:rPr>
          <w:rFonts w:cs="Times New Roman"/>
          <w:color w:val="000000" w:themeColor="text1"/>
        </w:rPr>
        <w:t>Peng Deng</w:t>
      </w:r>
      <w:r w:rsidR="00BC5298" w:rsidRPr="00ED7513">
        <w:rPr>
          <w:color w:val="000000" w:themeColor="text1"/>
        </w:rPr>
        <w:t xml:space="preserve"> (0000-0002-5036-4385)</w:t>
      </w:r>
      <w:r w:rsidR="00921D66" w:rsidRPr="00ED7513">
        <w:rPr>
          <w:color w:val="000000" w:themeColor="text1"/>
        </w:rPr>
        <w:t xml:space="preserve">; </w:t>
      </w:r>
      <w:r w:rsidR="006A1D7A" w:rsidRPr="00ED7513">
        <w:rPr>
          <w:rFonts w:cs="Times New Roman"/>
          <w:color w:val="000000" w:themeColor="text1"/>
        </w:rPr>
        <w:t xml:space="preserve">Bin </w:t>
      </w:r>
      <w:proofErr w:type="spellStart"/>
      <w:r w:rsidR="006A1D7A" w:rsidRPr="00ED7513">
        <w:rPr>
          <w:rFonts w:cs="Times New Roman"/>
          <w:color w:val="000000" w:themeColor="text1"/>
        </w:rPr>
        <w:t>Hou</w:t>
      </w:r>
      <w:proofErr w:type="spellEnd"/>
      <w:r w:rsidR="00BC5298" w:rsidRPr="00ED7513">
        <w:rPr>
          <w:rFonts w:cs="Times New Roman"/>
          <w:color w:val="000000" w:themeColor="text1"/>
        </w:rPr>
        <w:t xml:space="preserve"> </w:t>
      </w:r>
      <w:r w:rsidR="00293EFA" w:rsidRPr="00ED7513">
        <w:rPr>
          <w:rFonts w:cs="Times New Roman"/>
          <w:color w:val="000000" w:themeColor="text1"/>
        </w:rPr>
        <w:t>(0000-0001-9639-2878)</w:t>
      </w:r>
      <w:r w:rsidR="00921D66" w:rsidRPr="00ED7513">
        <w:rPr>
          <w:rFonts w:cs="Times New Roman"/>
          <w:color w:val="000000" w:themeColor="text1"/>
        </w:rPr>
        <w:t xml:space="preserve">; </w:t>
      </w:r>
      <w:r w:rsidR="006A1D7A" w:rsidRPr="00ED7513">
        <w:rPr>
          <w:rFonts w:cs="Times New Roman"/>
          <w:color w:val="000000" w:themeColor="text1"/>
        </w:rPr>
        <w:t>Kai Li</w:t>
      </w:r>
      <w:r w:rsidR="00BC5298" w:rsidRPr="00ED7513">
        <w:rPr>
          <w:rFonts w:cs="Times New Roman"/>
          <w:color w:val="000000" w:themeColor="text1"/>
        </w:rPr>
        <w:t xml:space="preserve"> (0000-0003-4244-6855)</w:t>
      </w:r>
      <w:r w:rsidR="00921D66" w:rsidRPr="00ED7513">
        <w:rPr>
          <w:rFonts w:cs="Times New Roman"/>
          <w:color w:val="000000" w:themeColor="text1"/>
        </w:rPr>
        <w:t xml:space="preserve">; </w:t>
      </w:r>
      <w:r w:rsidR="00E47E67" w:rsidRPr="00ED7513">
        <w:rPr>
          <w:rFonts w:cs="Times New Roman"/>
          <w:color w:val="000000" w:themeColor="text1"/>
        </w:rPr>
        <w:t>Xiao-Fang Liu</w:t>
      </w:r>
      <w:r w:rsidR="00E47E67" w:rsidRPr="00ED7513">
        <w:rPr>
          <w:bCs/>
          <w:color w:val="000000" w:themeColor="text1"/>
        </w:rPr>
        <w:t xml:space="preserve"> (</w:t>
      </w:r>
      <w:r w:rsidR="00E47E67" w:rsidRPr="00ED7513">
        <w:rPr>
          <w:rFonts w:cs="Times New Roman"/>
          <w:color w:val="000000" w:themeColor="text1"/>
        </w:rPr>
        <w:t>0000-0002-1778-9234</w:t>
      </w:r>
      <w:r w:rsidR="00E47E67" w:rsidRPr="00ED7513">
        <w:rPr>
          <w:bCs/>
          <w:color w:val="000000" w:themeColor="text1"/>
        </w:rPr>
        <w:t>)</w:t>
      </w:r>
      <w:r w:rsidR="00921D66" w:rsidRPr="00ED7513">
        <w:rPr>
          <w:bCs/>
          <w:color w:val="000000" w:themeColor="text1"/>
        </w:rPr>
        <w:t>.</w:t>
      </w:r>
    </w:p>
    <w:p w:rsidR="00921D66" w:rsidRPr="00ED7513" w:rsidRDefault="00921D66" w:rsidP="00ED7513">
      <w:pPr>
        <w:pStyle w:val="Default"/>
        <w:spacing w:line="360" w:lineRule="auto"/>
        <w:jc w:val="both"/>
        <w:rPr>
          <w:rFonts w:cs="Times New Roman"/>
          <w:color w:val="000000" w:themeColor="text1"/>
        </w:rPr>
      </w:pP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b/>
          <w:color w:val="000000" w:themeColor="text1"/>
          <w:sz w:val="24"/>
          <w:szCs w:val="24"/>
        </w:rPr>
        <w:t>Author contributions:</w:t>
      </w:r>
      <w:r w:rsidRPr="00ED7513">
        <w:rPr>
          <w:rFonts w:ascii="Book Antiqua" w:hAnsi="Book Antiqua" w:cs="Times New Roman"/>
          <w:color w:val="000000" w:themeColor="text1"/>
          <w:sz w:val="24"/>
          <w:szCs w:val="24"/>
        </w:rPr>
        <w:t xml:space="preserve"> </w:t>
      </w:r>
      <w:proofErr w:type="gramStart"/>
      <w:r w:rsidRPr="00ED7513">
        <w:rPr>
          <w:rFonts w:ascii="Book Antiqua" w:hAnsi="Book Antiqua" w:cs="Times New Roman"/>
          <w:color w:val="000000" w:themeColor="text1"/>
          <w:sz w:val="24"/>
          <w:szCs w:val="24"/>
        </w:rPr>
        <w:t>Gao</w:t>
      </w:r>
      <w:proofErr w:type="gramEnd"/>
      <w:r w:rsidR="00921D66" w:rsidRPr="00ED7513">
        <w:rPr>
          <w:rFonts w:ascii="Book Antiqua" w:hAnsi="Book Antiqua" w:cs="Times New Roman"/>
          <w:color w:val="000000" w:themeColor="text1"/>
          <w:sz w:val="24"/>
          <w:szCs w:val="24"/>
        </w:rPr>
        <w:t xml:space="preserve"> S</w:t>
      </w:r>
      <w:r w:rsidRPr="00ED7513">
        <w:rPr>
          <w:rFonts w:ascii="Book Antiqua" w:hAnsi="Book Antiqua" w:cs="Times New Roman"/>
          <w:color w:val="000000" w:themeColor="text1"/>
          <w:sz w:val="24"/>
          <w:szCs w:val="24"/>
        </w:rPr>
        <w:t xml:space="preserve">, Zhao </w:t>
      </w:r>
      <w:r w:rsidR="00921D66" w:rsidRPr="00ED7513">
        <w:rPr>
          <w:rFonts w:ascii="Book Antiqua" w:hAnsi="Book Antiqua" w:cs="Times New Roman"/>
          <w:color w:val="000000" w:themeColor="text1"/>
          <w:sz w:val="24"/>
          <w:szCs w:val="24"/>
        </w:rPr>
        <w:t xml:space="preserve">YY </w:t>
      </w:r>
      <w:r w:rsidRPr="00ED7513">
        <w:rPr>
          <w:rFonts w:ascii="Book Antiqua" w:hAnsi="Book Antiqua" w:cs="Times New Roman"/>
          <w:color w:val="000000" w:themeColor="text1"/>
          <w:sz w:val="24"/>
          <w:szCs w:val="24"/>
        </w:rPr>
        <w:t xml:space="preserve">and Deng </w:t>
      </w:r>
      <w:r w:rsidR="00921D66" w:rsidRPr="00ED7513">
        <w:rPr>
          <w:rFonts w:ascii="Book Antiqua" w:hAnsi="Book Antiqua" w:cs="Times New Roman"/>
          <w:color w:val="000000" w:themeColor="text1"/>
          <w:sz w:val="24"/>
          <w:szCs w:val="24"/>
        </w:rPr>
        <w:t xml:space="preserve">P </w:t>
      </w:r>
      <w:r w:rsidRPr="00ED7513">
        <w:rPr>
          <w:rFonts w:ascii="Book Antiqua" w:hAnsi="Book Antiqua" w:cs="Times New Roman"/>
          <w:color w:val="000000" w:themeColor="text1"/>
          <w:sz w:val="24"/>
          <w:szCs w:val="24"/>
        </w:rPr>
        <w:t xml:space="preserve">collected the data and </w:t>
      </w:r>
      <w:r w:rsidRPr="00ED7513">
        <w:rPr>
          <w:rFonts w:ascii="Book Antiqua" w:hAnsi="Book Antiqua" w:cs="Times New Roman"/>
          <w:color w:val="000000" w:themeColor="text1"/>
          <w:sz w:val="24"/>
          <w:szCs w:val="24"/>
        </w:rPr>
        <w:lastRenderedPageBreak/>
        <w:t xml:space="preserve">drafted the manuscript; </w:t>
      </w:r>
      <w:r w:rsidR="009562CC" w:rsidRPr="00ED7513">
        <w:rPr>
          <w:rFonts w:ascii="Book Antiqua" w:hAnsi="Book Antiqua" w:cs="Times New Roman"/>
          <w:color w:val="000000" w:themeColor="text1"/>
          <w:sz w:val="24"/>
          <w:szCs w:val="24"/>
        </w:rPr>
        <w:t>Cao</w:t>
      </w:r>
      <w:r w:rsidR="00921D66" w:rsidRPr="00ED7513">
        <w:rPr>
          <w:rFonts w:ascii="Book Antiqua" w:hAnsi="Book Antiqua" w:cs="Times New Roman"/>
          <w:color w:val="000000" w:themeColor="text1"/>
          <w:sz w:val="24"/>
          <w:szCs w:val="24"/>
        </w:rPr>
        <w:t xml:space="preserve"> GH</w:t>
      </w:r>
      <w:r w:rsidR="009562CC" w:rsidRPr="00ED7513">
        <w:rPr>
          <w:rFonts w:ascii="Book Antiqua" w:hAnsi="Book Antiqua" w:cs="Times New Roman"/>
          <w:color w:val="000000" w:themeColor="text1"/>
          <w:sz w:val="24"/>
          <w:szCs w:val="24"/>
        </w:rPr>
        <w:t xml:space="preserve">, </w:t>
      </w:r>
      <w:r w:rsidRPr="00ED7513">
        <w:rPr>
          <w:rFonts w:ascii="Book Antiqua" w:hAnsi="Book Antiqua" w:cs="Times New Roman"/>
          <w:color w:val="000000" w:themeColor="text1"/>
          <w:sz w:val="24"/>
          <w:szCs w:val="24"/>
        </w:rPr>
        <w:t xml:space="preserve">Ding </w:t>
      </w:r>
      <w:r w:rsidR="00921D66" w:rsidRPr="00ED7513">
        <w:rPr>
          <w:rFonts w:ascii="Book Antiqua" w:hAnsi="Book Antiqua" w:cs="Times New Roman"/>
          <w:color w:val="000000" w:themeColor="text1"/>
          <w:sz w:val="24"/>
          <w:szCs w:val="24"/>
        </w:rPr>
        <w:t xml:space="preserve">P </w:t>
      </w:r>
      <w:r w:rsidRPr="00ED7513">
        <w:rPr>
          <w:rFonts w:ascii="Book Antiqua" w:hAnsi="Book Antiqua" w:cs="Times New Roman"/>
          <w:color w:val="000000" w:themeColor="text1"/>
          <w:sz w:val="24"/>
          <w:szCs w:val="24"/>
        </w:rPr>
        <w:t xml:space="preserve">and </w:t>
      </w:r>
      <w:proofErr w:type="spellStart"/>
      <w:r w:rsidRPr="00ED7513">
        <w:rPr>
          <w:rFonts w:ascii="Book Antiqua" w:hAnsi="Book Antiqua" w:cs="Times New Roman"/>
          <w:color w:val="000000" w:themeColor="text1"/>
          <w:sz w:val="24"/>
          <w:szCs w:val="24"/>
        </w:rPr>
        <w:t>Hou</w:t>
      </w:r>
      <w:proofErr w:type="spellEnd"/>
      <w:r w:rsidRPr="00ED7513">
        <w:rPr>
          <w:rFonts w:ascii="Book Antiqua" w:hAnsi="Book Antiqua" w:cs="Times New Roman"/>
          <w:color w:val="000000" w:themeColor="text1"/>
          <w:sz w:val="24"/>
          <w:szCs w:val="24"/>
        </w:rPr>
        <w:t xml:space="preserve"> </w:t>
      </w:r>
      <w:r w:rsidR="00921D66" w:rsidRPr="00ED7513">
        <w:rPr>
          <w:rFonts w:ascii="Book Antiqua" w:hAnsi="Book Antiqua" w:cs="Times New Roman"/>
          <w:color w:val="000000" w:themeColor="text1"/>
          <w:sz w:val="24"/>
          <w:szCs w:val="24"/>
        </w:rPr>
        <w:t xml:space="preserve">B </w:t>
      </w:r>
      <w:r w:rsidRPr="00ED7513">
        <w:rPr>
          <w:rFonts w:ascii="Book Antiqua" w:hAnsi="Book Antiqua" w:cs="Times New Roman"/>
          <w:color w:val="000000" w:themeColor="text1"/>
          <w:sz w:val="24"/>
          <w:szCs w:val="24"/>
        </w:rPr>
        <w:t xml:space="preserve">analyzed the data; Liu </w:t>
      </w:r>
      <w:r w:rsidR="00921D66" w:rsidRPr="00ED7513">
        <w:rPr>
          <w:rFonts w:ascii="Book Antiqua" w:hAnsi="Book Antiqua" w:cs="Times New Roman"/>
          <w:color w:val="000000" w:themeColor="text1"/>
          <w:sz w:val="24"/>
          <w:szCs w:val="24"/>
        </w:rPr>
        <w:t xml:space="preserve">XF </w:t>
      </w:r>
      <w:r w:rsidRPr="00ED7513">
        <w:rPr>
          <w:rFonts w:ascii="Book Antiqua" w:hAnsi="Book Antiqua" w:cs="Times New Roman"/>
          <w:color w:val="000000" w:themeColor="text1"/>
          <w:sz w:val="24"/>
          <w:szCs w:val="24"/>
        </w:rPr>
        <w:t xml:space="preserve">and Li </w:t>
      </w:r>
      <w:r w:rsidR="00921D66" w:rsidRPr="00ED7513">
        <w:rPr>
          <w:rFonts w:ascii="Book Antiqua" w:hAnsi="Book Antiqua" w:cs="Times New Roman"/>
          <w:color w:val="000000" w:themeColor="text1"/>
          <w:sz w:val="24"/>
          <w:szCs w:val="24"/>
        </w:rPr>
        <w:t xml:space="preserve">K </w:t>
      </w:r>
      <w:r w:rsidRPr="00ED7513">
        <w:rPr>
          <w:rFonts w:ascii="Book Antiqua" w:hAnsi="Book Antiqua" w:cs="Times New Roman"/>
          <w:color w:val="000000" w:themeColor="text1"/>
          <w:sz w:val="24"/>
          <w:szCs w:val="24"/>
        </w:rPr>
        <w:t>designed and supervised the study.</w:t>
      </w:r>
    </w:p>
    <w:p w:rsidR="00921D66" w:rsidRPr="00ED7513" w:rsidRDefault="00921D66" w:rsidP="00ED7513">
      <w:pPr>
        <w:spacing w:line="360" w:lineRule="auto"/>
        <w:rPr>
          <w:rFonts w:ascii="Book Antiqua" w:hAnsi="Book Antiqua" w:cs="Times New Roman"/>
          <w:color w:val="000000" w:themeColor="text1"/>
          <w:sz w:val="24"/>
          <w:szCs w:val="24"/>
        </w:rPr>
      </w:pPr>
    </w:p>
    <w:p w:rsidR="001339DD" w:rsidRPr="00ED7513" w:rsidRDefault="00921D66" w:rsidP="00ED7513">
      <w:pPr>
        <w:spacing w:line="360" w:lineRule="auto"/>
        <w:rPr>
          <w:rFonts w:ascii="Book Antiqua" w:hAnsi="Book Antiqua" w:cs="Times New Roman"/>
          <w:color w:val="000000" w:themeColor="text1"/>
          <w:sz w:val="24"/>
          <w:szCs w:val="24"/>
        </w:rPr>
      </w:pPr>
      <w:proofErr w:type="gramStart"/>
      <w:r w:rsidRPr="00ED7513">
        <w:rPr>
          <w:rFonts w:ascii="Book Antiqua" w:hAnsi="Book Antiqua"/>
          <w:b/>
          <w:sz w:val="24"/>
          <w:szCs w:val="24"/>
        </w:rPr>
        <w:t>Supported by</w:t>
      </w:r>
      <w:r w:rsidR="001339DD" w:rsidRPr="00ED7513">
        <w:rPr>
          <w:rFonts w:ascii="Book Antiqua" w:hAnsi="Book Antiqua" w:cs="Times New Roman"/>
          <w:color w:val="000000" w:themeColor="text1"/>
          <w:sz w:val="24"/>
          <w:szCs w:val="24"/>
        </w:rPr>
        <w:t xml:space="preserve"> the Foundation of Innovative Talents in Higher Education of Liaoning Province</w:t>
      </w:r>
      <w:r w:rsidRPr="00ED7513">
        <w:rPr>
          <w:rFonts w:ascii="Book Antiqua" w:hAnsi="Book Antiqua" w:cs="Times New Roman"/>
          <w:color w:val="000000" w:themeColor="text1"/>
          <w:sz w:val="24"/>
          <w:szCs w:val="24"/>
        </w:rPr>
        <w:t>, No.</w:t>
      </w:r>
      <w:proofErr w:type="gramEnd"/>
      <w:r w:rsidRPr="00ED7513">
        <w:rPr>
          <w:rFonts w:ascii="Book Antiqua" w:hAnsi="Book Antiqua" w:cs="Times New Roman"/>
          <w:color w:val="000000" w:themeColor="text1"/>
          <w:sz w:val="24"/>
          <w:szCs w:val="24"/>
        </w:rPr>
        <w:t xml:space="preserve"> LR2016043</w:t>
      </w:r>
      <w:r w:rsidR="001C3B25" w:rsidRPr="00ED7513">
        <w:rPr>
          <w:rFonts w:ascii="Book Antiqua" w:hAnsi="Book Antiqua" w:cs="Times New Roman"/>
          <w:color w:val="000000" w:themeColor="text1"/>
          <w:sz w:val="24"/>
          <w:szCs w:val="24"/>
        </w:rPr>
        <w:t>.</w:t>
      </w:r>
    </w:p>
    <w:p w:rsidR="00921D66" w:rsidRPr="00ED7513" w:rsidRDefault="00921D66" w:rsidP="00ED7513">
      <w:pPr>
        <w:widowControl/>
        <w:spacing w:line="360" w:lineRule="auto"/>
        <w:rPr>
          <w:rFonts w:ascii="Book Antiqua" w:hAnsi="Book Antiqua" w:cs="Times New Roman"/>
          <w:color w:val="000000" w:themeColor="text1"/>
          <w:sz w:val="24"/>
          <w:szCs w:val="24"/>
        </w:rPr>
      </w:pPr>
    </w:p>
    <w:p w:rsidR="001339DD" w:rsidRPr="00ED7513" w:rsidRDefault="001339DD" w:rsidP="00ED7513">
      <w:pPr>
        <w:widowControl/>
        <w:spacing w:line="360" w:lineRule="auto"/>
        <w:rPr>
          <w:rFonts w:ascii="Book Antiqua" w:hAnsi="Book Antiqua" w:cs="Times New Roman"/>
          <w:color w:val="000000" w:themeColor="text1"/>
          <w:sz w:val="24"/>
          <w:szCs w:val="24"/>
        </w:rPr>
      </w:pPr>
      <w:r w:rsidRPr="00ED7513">
        <w:rPr>
          <w:rFonts w:ascii="Book Antiqua" w:hAnsi="Book Antiqua" w:cs="Times New Roman"/>
          <w:b/>
          <w:bCs/>
          <w:color w:val="000000" w:themeColor="text1"/>
          <w:sz w:val="24"/>
          <w:szCs w:val="24"/>
        </w:rPr>
        <w:t xml:space="preserve">Institutional review board statement: </w:t>
      </w:r>
      <w:r w:rsidRPr="00ED7513">
        <w:rPr>
          <w:rFonts w:ascii="Book Antiqua" w:hAnsi="Book Antiqua" w:cs="Times New Roman"/>
          <w:color w:val="000000" w:themeColor="text1"/>
          <w:sz w:val="24"/>
          <w:szCs w:val="24"/>
        </w:rPr>
        <w:t>This study was reviewed and approved by the Ethics Committee of the First Affiliated Hospital of China Medical University.</w:t>
      </w:r>
    </w:p>
    <w:p w:rsidR="00921D66" w:rsidRPr="00ED7513" w:rsidRDefault="00921D66" w:rsidP="00ED7513">
      <w:pPr>
        <w:widowControl/>
        <w:spacing w:line="360" w:lineRule="auto"/>
        <w:rPr>
          <w:rFonts w:ascii="Book Antiqua" w:hAnsi="Book Antiqua" w:cs="Times New Roman"/>
          <w:b/>
          <w:color w:val="000000" w:themeColor="text1"/>
          <w:sz w:val="24"/>
          <w:szCs w:val="24"/>
        </w:rPr>
      </w:pPr>
    </w:p>
    <w:p w:rsidR="001339DD" w:rsidRPr="00ED7513" w:rsidRDefault="001339DD" w:rsidP="00ED7513">
      <w:pPr>
        <w:widowControl/>
        <w:spacing w:line="360" w:lineRule="auto"/>
        <w:rPr>
          <w:rFonts w:ascii="Book Antiqua" w:hAnsi="Book Antiqua" w:cs="Times New Roman"/>
          <w:color w:val="000000" w:themeColor="text1"/>
          <w:sz w:val="24"/>
          <w:szCs w:val="24"/>
        </w:rPr>
      </w:pPr>
      <w:r w:rsidRPr="00ED7513">
        <w:rPr>
          <w:rFonts w:ascii="Book Antiqua" w:hAnsi="Book Antiqua" w:cs="Times New Roman"/>
          <w:b/>
          <w:bCs/>
          <w:color w:val="000000" w:themeColor="text1"/>
          <w:sz w:val="24"/>
          <w:szCs w:val="24"/>
        </w:rPr>
        <w:t xml:space="preserve">Informed consent statement: </w:t>
      </w:r>
      <w:r w:rsidRPr="00ED7513">
        <w:rPr>
          <w:rFonts w:ascii="Book Antiqua" w:hAnsi="Book Antiqua" w:cs="Times New Roman"/>
          <w:color w:val="000000" w:themeColor="text1"/>
          <w:sz w:val="24"/>
          <w:szCs w:val="24"/>
        </w:rPr>
        <w:t xml:space="preserve">Patients were not required to give informed consent </w:t>
      </w:r>
      <w:r w:rsidR="001C3B25" w:rsidRPr="00ED7513">
        <w:rPr>
          <w:rFonts w:ascii="Book Antiqua" w:hAnsi="Book Antiqua" w:cs="Times New Roman"/>
          <w:color w:val="000000" w:themeColor="text1"/>
          <w:sz w:val="24"/>
          <w:szCs w:val="24"/>
        </w:rPr>
        <w:t>as</w:t>
      </w:r>
      <w:r w:rsidRPr="00ED7513">
        <w:rPr>
          <w:rFonts w:ascii="Book Antiqua" w:hAnsi="Book Antiqua" w:cs="Times New Roman"/>
          <w:color w:val="000000" w:themeColor="text1"/>
          <w:sz w:val="24"/>
          <w:szCs w:val="24"/>
        </w:rPr>
        <w:t xml:space="preserve"> the analysis used anonymous clinical data that were obtained after each patient agreed to treatment by </w:t>
      </w:r>
      <w:r w:rsidR="00D40ED5" w:rsidRPr="00ED7513">
        <w:rPr>
          <w:rFonts w:ascii="Book Antiqua" w:hAnsi="Book Antiqua" w:cs="Times New Roman"/>
          <w:color w:val="000000" w:themeColor="text1"/>
          <w:sz w:val="24"/>
          <w:szCs w:val="24"/>
        </w:rPr>
        <w:t>providing</w:t>
      </w:r>
      <w:r w:rsidR="001C3B25" w:rsidRPr="00ED7513">
        <w:rPr>
          <w:rFonts w:ascii="Book Antiqua" w:hAnsi="Book Antiqua" w:cs="Times New Roman"/>
          <w:color w:val="000000" w:themeColor="text1"/>
          <w:sz w:val="24"/>
          <w:szCs w:val="24"/>
        </w:rPr>
        <w:t xml:space="preserve"> </w:t>
      </w:r>
      <w:r w:rsidR="00921D66" w:rsidRPr="00ED7513">
        <w:rPr>
          <w:rFonts w:ascii="Book Antiqua" w:hAnsi="Book Antiqua" w:cs="Times New Roman"/>
          <w:color w:val="000000" w:themeColor="text1"/>
          <w:sz w:val="24"/>
          <w:szCs w:val="24"/>
        </w:rPr>
        <w:t>written consent.</w:t>
      </w:r>
    </w:p>
    <w:p w:rsidR="00921D66" w:rsidRPr="00ED7513" w:rsidRDefault="00921D66" w:rsidP="00ED7513">
      <w:pPr>
        <w:widowControl/>
        <w:spacing w:line="360" w:lineRule="auto"/>
        <w:rPr>
          <w:rFonts w:ascii="Book Antiqua" w:hAnsi="Book Antiqua" w:cs="Times New Roman"/>
          <w:b/>
          <w:color w:val="000000" w:themeColor="text1"/>
          <w:sz w:val="24"/>
          <w:szCs w:val="24"/>
        </w:rPr>
      </w:pPr>
    </w:p>
    <w:p w:rsidR="001339DD" w:rsidRPr="00ED7513" w:rsidRDefault="001339DD" w:rsidP="00ED7513">
      <w:pPr>
        <w:widowControl/>
        <w:spacing w:line="360" w:lineRule="auto"/>
        <w:rPr>
          <w:rFonts w:ascii="Book Antiqua" w:hAnsi="Book Antiqua" w:cs="Times New Roman"/>
          <w:color w:val="000000" w:themeColor="text1"/>
          <w:sz w:val="24"/>
          <w:szCs w:val="24"/>
        </w:rPr>
      </w:pPr>
      <w:r w:rsidRPr="00ED7513">
        <w:rPr>
          <w:rFonts w:ascii="Book Antiqua" w:hAnsi="Book Antiqua" w:cs="Times New Roman"/>
          <w:b/>
          <w:bCs/>
          <w:color w:val="000000" w:themeColor="text1"/>
          <w:sz w:val="24"/>
          <w:szCs w:val="24"/>
        </w:rPr>
        <w:t xml:space="preserve">Conflict-of-interest statement: </w:t>
      </w:r>
      <w:r w:rsidRPr="00ED7513">
        <w:rPr>
          <w:rFonts w:ascii="Book Antiqua" w:hAnsi="Book Antiqua" w:cs="Times New Roman"/>
          <w:color w:val="000000" w:themeColor="text1"/>
          <w:sz w:val="24"/>
          <w:szCs w:val="24"/>
        </w:rPr>
        <w:t>All authors declare no conflicts-of-in</w:t>
      </w:r>
      <w:r w:rsidR="00921D66" w:rsidRPr="00ED7513">
        <w:rPr>
          <w:rFonts w:ascii="Book Antiqua" w:hAnsi="Book Antiqua" w:cs="Times New Roman"/>
          <w:color w:val="000000" w:themeColor="text1"/>
          <w:sz w:val="24"/>
          <w:szCs w:val="24"/>
        </w:rPr>
        <w:t>terest related to this article.</w:t>
      </w:r>
    </w:p>
    <w:p w:rsidR="00921D66" w:rsidRPr="00ED7513" w:rsidRDefault="00921D66" w:rsidP="00ED7513">
      <w:pPr>
        <w:widowControl/>
        <w:spacing w:line="360" w:lineRule="auto"/>
        <w:rPr>
          <w:rFonts w:ascii="Book Antiqua" w:hAnsi="Book Antiqua" w:cs="Times New Roman"/>
          <w:b/>
          <w:color w:val="000000" w:themeColor="text1"/>
          <w:sz w:val="24"/>
          <w:szCs w:val="24"/>
        </w:rPr>
      </w:pPr>
    </w:p>
    <w:p w:rsidR="001339DD" w:rsidRPr="00ED7513" w:rsidRDefault="001339DD" w:rsidP="00ED7513">
      <w:pPr>
        <w:widowControl/>
        <w:spacing w:line="360" w:lineRule="auto"/>
        <w:rPr>
          <w:rFonts w:ascii="Book Antiqua" w:hAnsi="Book Antiqua" w:cs="Times New Roman"/>
          <w:color w:val="000000" w:themeColor="text1"/>
          <w:sz w:val="24"/>
          <w:szCs w:val="24"/>
        </w:rPr>
      </w:pPr>
      <w:r w:rsidRPr="00ED7513">
        <w:rPr>
          <w:rFonts w:ascii="Book Antiqua" w:hAnsi="Book Antiqua" w:cs="Times New Roman"/>
          <w:b/>
          <w:bCs/>
          <w:color w:val="000000" w:themeColor="text1"/>
          <w:sz w:val="24"/>
          <w:szCs w:val="24"/>
        </w:rPr>
        <w:t xml:space="preserve">Data sharing statement: </w:t>
      </w:r>
      <w:r w:rsidRPr="00ED7513">
        <w:rPr>
          <w:rFonts w:ascii="Book Antiqua" w:hAnsi="Book Antiqua" w:cs="Times New Roman"/>
          <w:color w:val="000000" w:themeColor="text1"/>
          <w:sz w:val="24"/>
          <w:szCs w:val="24"/>
        </w:rPr>
        <w:t>No</w:t>
      </w:r>
      <w:r w:rsidR="00921D66" w:rsidRPr="00ED7513">
        <w:rPr>
          <w:rFonts w:ascii="Book Antiqua" w:hAnsi="Book Antiqua" w:cs="Times New Roman"/>
          <w:color w:val="000000" w:themeColor="text1"/>
          <w:sz w:val="24"/>
          <w:szCs w:val="24"/>
        </w:rPr>
        <w:t xml:space="preserve"> additional data are available.</w:t>
      </w:r>
    </w:p>
    <w:p w:rsidR="00921D66" w:rsidRPr="00ED7513" w:rsidRDefault="00921D66" w:rsidP="00ED7513">
      <w:pPr>
        <w:widowControl/>
        <w:spacing w:line="360" w:lineRule="auto"/>
        <w:rPr>
          <w:rFonts w:ascii="Book Antiqua" w:hAnsi="Book Antiqua" w:cs="Times New Roman"/>
          <w:color w:val="000000" w:themeColor="text1"/>
          <w:sz w:val="24"/>
          <w:szCs w:val="24"/>
        </w:rPr>
      </w:pPr>
    </w:p>
    <w:p w:rsidR="00921D66" w:rsidRPr="00ED7513" w:rsidRDefault="00921D66" w:rsidP="00ED7513">
      <w:pPr>
        <w:widowControl/>
        <w:adjustRightInd w:val="0"/>
        <w:snapToGrid w:val="0"/>
        <w:spacing w:line="360" w:lineRule="auto"/>
        <w:rPr>
          <w:rFonts w:ascii="Book Antiqua" w:hAnsi="Book Antiqua" w:cs="宋体"/>
          <w:kern w:val="0"/>
          <w:sz w:val="24"/>
          <w:szCs w:val="24"/>
        </w:rPr>
      </w:pPr>
      <w:r w:rsidRPr="00ED7513">
        <w:rPr>
          <w:rFonts w:ascii="Book Antiqua" w:hAnsi="Book Antiqua"/>
          <w:b/>
          <w:color w:val="000000"/>
          <w:kern w:val="0"/>
          <w:sz w:val="24"/>
          <w:szCs w:val="24"/>
        </w:rPr>
        <w:t xml:space="preserve">Open-Access: </w:t>
      </w:r>
      <w:r w:rsidRPr="00ED7513">
        <w:rPr>
          <w:rFonts w:ascii="Book Antiqua" w:hAnsi="Book Antiqua"/>
          <w:color w:val="000000"/>
          <w:kern w:val="0"/>
          <w:sz w:val="24"/>
          <w:szCs w:val="24"/>
        </w:rPr>
        <w:t xml:space="preserve">This is an </w:t>
      </w:r>
      <w:r w:rsidRPr="00ED7513">
        <w:rPr>
          <w:rFonts w:ascii="Book Antiqua" w:hAnsi="Book Antiqua" w:cs="宋体"/>
          <w:kern w:val="0"/>
          <w:sz w:val="24"/>
          <w:szCs w:val="24"/>
        </w:rPr>
        <w:t xml:space="preserve">open-access article that was </w:t>
      </w:r>
      <w:r w:rsidRPr="00ED7513">
        <w:rPr>
          <w:rFonts w:ascii="Book Antiqua" w:hAnsi="Book Antiqua"/>
          <w:kern w:val="0"/>
          <w:sz w:val="24"/>
          <w:szCs w:val="24"/>
        </w:rPr>
        <w:t xml:space="preserve">selected by an in-house editor and fully peer-reviewed by external reviewers. It is </w:t>
      </w:r>
      <w:r w:rsidRPr="00ED7513">
        <w:rPr>
          <w:rFonts w:ascii="Book Antiqua" w:hAnsi="Book Antiqua" w:cs="宋体"/>
          <w:kern w:val="0"/>
          <w:sz w:val="24"/>
          <w:szCs w:val="24"/>
        </w:rPr>
        <w:t xml:space="preserve">distributed in accordance with </w:t>
      </w:r>
      <w:r w:rsidRPr="00ED7513">
        <w:rPr>
          <w:rFonts w:ascii="Book Antiqua" w:hAnsi="Book Antiqua"/>
          <w:kern w:val="0"/>
          <w:sz w:val="24"/>
          <w:szCs w:val="24"/>
        </w:rPr>
        <w:t>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921D66" w:rsidRPr="00ED7513" w:rsidRDefault="00921D66" w:rsidP="00ED7513">
      <w:pPr>
        <w:widowControl/>
        <w:spacing w:line="360" w:lineRule="auto"/>
        <w:rPr>
          <w:rFonts w:ascii="Book Antiqua" w:hAnsi="Book Antiqua" w:cs="Times New Roman"/>
          <w:b/>
          <w:color w:val="000000" w:themeColor="text1"/>
          <w:sz w:val="24"/>
          <w:szCs w:val="24"/>
        </w:rPr>
      </w:pPr>
    </w:p>
    <w:p w:rsidR="00921D66" w:rsidRPr="00ED7513" w:rsidRDefault="00921D66" w:rsidP="00ED7513">
      <w:pPr>
        <w:spacing w:line="360" w:lineRule="auto"/>
        <w:rPr>
          <w:rFonts w:ascii="Book Antiqua" w:hAnsi="Book Antiqua"/>
          <w:sz w:val="24"/>
          <w:szCs w:val="24"/>
        </w:rPr>
      </w:pPr>
      <w:r w:rsidRPr="00ED7513">
        <w:rPr>
          <w:rFonts w:ascii="Book Antiqua" w:hAnsi="Book Antiqua"/>
          <w:b/>
          <w:sz w:val="24"/>
          <w:szCs w:val="24"/>
        </w:rPr>
        <w:t xml:space="preserve">Manuscript source: </w:t>
      </w:r>
      <w:r w:rsidRPr="00ED7513">
        <w:rPr>
          <w:rFonts w:ascii="Book Antiqua" w:hAnsi="Book Antiqua"/>
          <w:sz w:val="24"/>
          <w:szCs w:val="24"/>
        </w:rPr>
        <w:t>Unsolicited manuscript</w:t>
      </w:r>
    </w:p>
    <w:p w:rsidR="00921D66" w:rsidRPr="00ED7513" w:rsidRDefault="00921D66" w:rsidP="00ED7513">
      <w:pPr>
        <w:spacing w:line="360" w:lineRule="auto"/>
        <w:rPr>
          <w:rFonts w:ascii="Book Antiqua" w:hAnsi="Book Antiqua"/>
          <w:sz w:val="24"/>
          <w:szCs w:val="24"/>
        </w:rPr>
      </w:pPr>
    </w:p>
    <w:p w:rsidR="001339DD" w:rsidRPr="00ED7513" w:rsidRDefault="001339DD"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b/>
          <w:bCs/>
          <w:color w:val="000000" w:themeColor="text1"/>
          <w:sz w:val="24"/>
          <w:szCs w:val="24"/>
        </w:rPr>
        <w:t>Corresponding author</w:t>
      </w:r>
      <w:r w:rsidRPr="00ED7513">
        <w:rPr>
          <w:rFonts w:ascii="Book Antiqua" w:hAnsi="Book Antiqua" w:cs="Times New Roman"/>
          <w:b/>
          <w:color w:val="000000" w:themeColor="text1"/>
          <w:sz w:val="24"/>
          <w:szCs w:val="24"/>
        </w:rPr>
        <w:t xml:space="preserve">: Xiao-Fang Liu, MD, PhD, </w:t>
      </w:r>
      <w:r w:rsidR="00921D66" w:rsidRPr="00ED7513">
        <w:rPr>
          <w:rFonts w:ascii="Book Antiqua" w:hAnsi="Book Antiqua" w:cs="Times New Roman"/>
          <w:b/>
          <w:color w:val="000000" w:themeColor="text1"/>
          <w:sz w:val="24"/>
          <w:szCs w:val="24"/>
        </w:rPr>
        <w:t>Doctor,</w:t>
      </w:r>
      <w:r w:rsidR="00921D66" w:rsidRPr="00ED7513">
        <w:rPr>
          <w:rFonts w:ascii="Book Antiqua" w:hAnsi="Book Antiqua" w:cs="Times New Roman"/>
          <w:color w:val="000000" w:themeColor="text1"/>
          <w:sz w:val="24"/>
          <w:szCs w:val="24"/>
        </w:rPr>
        <w:t xml:space="preserve"> </w:t>
      </w:r>
      <w:r w:rsidRPr="00ED7513">
        <w:rPr>
          <w:rFonts w:ascii="Book Antiqua" w:hAnsi="Book Antiqua" w:cs="Times New Roman"/>
          <w:color w:val="000000" w:themeColor="text1"/>
          <w:sz w:val="24"/>
          <w:szCs w:val="24"/>
        </w:rPr>
        <w:t xml:space="preserve">Department of </w:t>
      </w:r>
      <w:r w:rsidRPr="00ED7513">
        <w:rPr>
          <w:rFonts w:ascii="Book Antiqua" w:hAnsi="Book Antiqua" w:cs="Times New Roman"/>
          <w:color w:val="000000" w:themeColor="text1"/>
          <w:sz w:val="24"/>
          <w:szCs w:val="24"/>
        </w:rPr>
        <w:lastRenderedPageBreak/>
        <w:t xml:space="preserve">Surgical Oncology, the First Affiliated Hospital of China Medical University, No.155, Nanjing North Street, </w:t>
      </w:r>
      <w:proofErr w:type="spellStart"/>
      <w:r w:rsidRPr="00ED7513">
        <w:rPr>
          <w:rFonts w:ascii="Book Antiqua" w:hAnsi="Book Antiqua" w:cs="Times New Roman"/>
          <w:color w:val="000000" w:themeColor="text1"/>
          <w:sz w:val="24"/>
          <w:szCs w:val="24"/>
        </w:rPr>
        <w:t>Heping</w:t>
      </w:r>
      <w:proofErr w:type="spellEnd"/>
      <w:r w:rsidRPr="00ED7513">
        <w:rPr>
          <w:rFonts w:ascii="Book Antiqua" w:hAnsi="Book Antiqua" w:cs="Times New Roman"/>
          <w:color w:val="000000" w:themeColor="text1"/>
          <w:sz w:val="24"/>
          <w:szCs w:val="24"/>
        </w:rPr>
        <w:t xml:space="preserve"> District, Shenyang 110001, </w:t>
      </w:r>
      <w:r w:rsidR="00921D66" w:rsidRPr="00ED7513">
        <w:rPr>
          <w:rFonts w:ascii="Book Antiqua" w:hAnsi="Book Antiqua" w:cs="Times New Roman"/>
          <w:color w:val="000000" w:themeColor="text1"/>
          <w:sz w:val="24"/>
          <w:szCs w:val="24"/>
        </w:rPr>
        <w:t xml:space="preserve">Liaoning Province, </w:t>
      </w:r>
      <w:r w:rsidRPr="00ED7513">
        <w:rPr>
          <w:rFonts w:ascii="Book Antiqua" w:hAnsi="Book Antiqua" w:cs="Times New Roman"/>
          <w:color w:val="000000" w:themeColor="text1"/>
          <w:sz w:val="24"/>
          <w:szCs w:val="24"/>
        </w:rPr>
        <w:t xml:space="preserve">China. </w:t>
      </w:r>
      <w:hyperlink r:id="rId8" w:history="1">
        <w:r w:rsidR="00921D66" w:rsidRPr="00ED7513">
          <w:rPr>
            <w:rStyle w:val="ab"/>
            <w:rFonts w:ascii="Book Antiqua" w:hAnsi="Book Antiqua" w:cs="Times New Roman"/>
            <w:sz w:val="24"/>
            <w:szCs w:val="24"/>
          </w:rPr>
          <w:t>liuxf777@hotmail.com</w:t>
        </w:r>
      </w:hyperlink>
    </w:p>
    <w:p w:rsidR="001339DD" w:rsidRPr="00ED7513" w:rsidRDefault="00921D66" w:rsidP="00ED7513">
      <w:pPr>
        <w:widowControl/>
        <w:spacing w:line="360" w:lineRule="auto"/>
        <w:rPr>
          <w:rFonts w:ascii="Book Antiqua" w:hAnsi="Book Antiqua" w:cs="Times New Roman"/>
          <w:color w:val="000000" w:themeColor="text1"/>
          <w:sz w:val="24"/>
          <w:szCs w:val="24"/>
        </w:rPr>
      </w:pPr>
      <w:r w:rsidRPr="00ED7513">
        <w:rPr>
          <w:rFonts w:ascii="Book Antiqua" w:hAnsi="Book Antiqua"/>
          <w:b/>
          <w:sz w:val="24"/>
          <w:szCs w:val="24"/>
        </w:rPr>
        <w:t>Telephone:</w:t>
      </w:r>
      <w:r w:rsidRPr="00ED7513">
        <w:rPr>
          <w:rFonts w:ascii="Book Antiqua" w:hAnsi="Book Antiqua"/>
          <w:sz w:val="24"/>
          <w:szCs w:val="24"/>
        </w:rPr>
        <w:t xml:space="preserve"> </w:t>
      </w:r>
      <w:r w:rsidR="001339DD" w:rsidRPr="00ED7513">
        <w:rPr>
          <w:rFonts w:ascii="Book Antiqua" w:hAnsi="Book Antiqua" w:cs="Times New Roman"/>
          <w:color w:val="000000" w:themeColor="text1"/>
          <w:sz w:val="24"/>
          <w:szCs w:val="24"/>
        </w:rPr>
        <w:t>+86-24-83282821</w:t>
      </w:r>
    </w:p>
    <w:p w:rsidR="00921D66" w:rsidRPr="00ED7513" w:rsidRDefault="00921D66" w:rsidP="00ED7513">
      <w:pPr>
        <w:widowControl/>
        <w:spacing w:line="360" w:lineRule="auto"/>
        <w:rPr>
          <w:rFonts w:ascii="Book Antiqua" w:hAnsi="Book Antiqua" w:cs="Times New Roman"/>
          <w:color w:val="000000" w:themeColor="text1"/>
          <w:sz w:val="24"/>
          <w:szCs w:val="24"/>
        </w:rPr>
      </w:pPr>
    </w:p>
    <w:p w:rsidR="00921D66" w:rsidRPr="00ED7513" w:rsidRDefault="00921D66" w:rsidP="00ED7513">
      <w:pPr>
        <w:widowControl/>
        <w:adjustRightInd w:val="0"/>
        <w:snapToGrid w:val="0"/>
        <w:spacing w:line="360" w:lineRule="auto"/>
        <w:rPr>
          <w:rFonts w:ascii="Book Antiqua" w:hAnsi="Book Antiqua"/>
          <w:b/>
          <w:sz w:val="24"/>
          <w:szCs w:val="24"/>
        </w:rPr>
      </w:pPr>
      <w:r w:rsidRPr="00ED7513">
        <w:rPr>
          <w:rFonts w:ascii="Book Antiqua" w:hAnsi="Book Antiqua"/>
          <w:b/>
          <w:sz w:val="24"/>
          <w:szCs w:val="24"/>
        </w:rPr>
        <w:t xml:space="preserve">Received: </w:t>
      </w:r>
      <w:r w:rsidRPr="00ED7513">
        <w:rPr>
          <w:rFonts w:ascii="Book Antiqua" w:hAnsi="Book Antiqua"/>
          <w:sz w:val="24"/>
          <w:szCs w:val="24"/>
        </w:rPr>
        <w:t>May 21, 2019</w:t>
      </w:r>
    </w:p>
    <w:p w:rsidR="00921D66" w:rsidRPr="00ED7513" w:rsidRDefault="00921D66" w:rsidP="00ED7513">
      <w:pPr>
        <w:widowControl/>
        <w:adjustRightInd w:val="0"/>
        <w:snapToGrid w:val="0"/>
        <w:spacing w:line="360" w:lineRule="auto"/>
        <w:rPr>
          <w:rFonts w:ascii="Book Antiqua" w:hAnsi="Book Antiqua"/>
          <w:b/>
          <w:sz w:val="24"/>
          <w:szCs w:val="24"/>
        </w:rPr>
      </w:pPr>
      <w:r w:rsidRPr="00ED7513">
        <w:rPr>
          <w:rFonts w:ascii="Book Antiqua" w:hAnsi="Book Antiqua"/>
          <w:b/>
          <w:sz w:val="24"/>
          <w:szCs w:val="24"/>
        </w:rPr>
        <w:t xml:space="preserve">Peer-review started: </w:t>
      </w:r>
      <w:r w:rsidRPr="00ED7513">
        <w:rPr>
          <w:rFonts w:ascii="Book Antiqua" w:hAnsi="Book Antiqua"/>
          <w:sz w:val="24"/>
          <w:szCs w:val="24"/>
        </w:rPr>
        <w:t>May 21, 2019</w:t>
      </w:r>
    </w:p>
    <w:p w:rsidR="00921D66" w:rsidRPr="00ED7513" w:rsidRDefault="00921D66" w:rsidP="00ED7513">
      <w:pPr>
        <w:widowControl/>
        <w:adjustRightInd w:val="0"/>
        <w:snapToGrid w:val="0"/>
        <w:spacing w:line="360" w:lineRule="auto"/>
        <w:rPr>
          <w:rFonts w:ascii="Book Antiqua" w:hAnsi="Book Antiqua"/>
          <w:b/>
          <w:sz w:val="24"/>
          <w:szCs w:val="24"/>
        </w:rPr>
      </w:pPr>
      <w:r w:rsidRPr="00ED7513">
        <w:rPr>
          <w:rFonts w:ascii="Book Antiqua" w:hAnsi="Book Antiqua"/>
          <w:b/>
          <w:sz w:val="24"/>
          <w:szCs w:val="24"/>
        </w:rPr>
        <w:t xml:space="preserve">First decision: </w:t>
      </w:r>
      <w:r w:rsidRPr="00ED7513">
        <w:rPr>
          <w:rFonts w:ascii="Book Antiqua" w:hAnsi="Book Antiqua"/>
          <w:sz w:val="24"/>
          <w:szCs w:val="24"/>
        </w:rPr>
        <w:t>July 16, 2019</w:t>
      </w:r>
    </w:p>
    <w:p w:rsidR="00921D66" w:rsidRPr="00ED7513" w:rsidRDefault="00921D66" w:rsidP="00ED7513">
      <w:pPr>
        <w:widowControl/>
        <w:adjustRightInd w:val="0"/>
        <w:snapToGrid w:val="0"/>
        <w:spacing w:line="360" w:lineRule="auto"/>
        <w:rPr>
          <w:rFonts w:ascii="Book Antiqua" w:hAnsi="Book Antiqua"/>
          <w:b/>
          <w:sz w:val="24"/>
          <w:szCs w:val="24"/>
        </w:rPr>
      </w:pPr>
      <w:r w:rsidRPr="00ED7513">
        <w:rPr>
          <w:rFonts w:ascii="Book Antiqua" w:hAnsi="Book Antiqua"/>
          <w:b/>
          <w:sz w:val="24"/>
          <w:szCs w:val="24"/>
        </w:rPr>
        <w:t xml:space="preserve">Revised: </w:t>
      </w:r>
      <w:r w:rsidRPr="00ED7513">
        <w:rPr>
          <w:rFonts w:ascii="Book Antiqua" w:hAnsi="Book Antiqua"/>
          <w:sz w:val="24"/>
          <w:szCs w:val="24"/>
        </w:rPr>
        <w:t>July 18, 2019</w:t>
      </w:r>
      <w:bookmarkStart w:id="2" w:name="_GoBack"/>
      <w:bookmarkEnd w:id="2"/>
    </w:p>
    <w:p w:rsidR="00921D66" w:rsidRPr="00ED7513" w:rsidRDefault="00921D66" w:rsidP="00ED7513">
      <w:pPr>
        <w:widowControl/>
        <w:adjustRightInd w:val="0"/>
        <w:snapToGrid w:val="0"/>
        <w:spacing w:line="360" w:lineRule="auto"/>
        <w:rPr>
          <w:rFonts w:ascii="Book Antiqua" w:hAnsi="Book Antiqua"/>
          <w:b/>
          <w:sz w:val="24"/>
          <w:szCs w:val="24"/>
        </w:rPr>
      </w:pPr>
      <w:r w:rsidRPr="00ED7513">
        <w:rPr>
          <w:rFonts w:ascii="Book Antiqua" w:hAnsi="Book Antiqua"/>
          <w:b/>
          <w:sz w:val="24"/>
          <w:szCs w:val="24"/>
        </w:rPr>
        <w:t xml:space="preserve">Accepted: </w:t>
      </w:r>
      <w:r w:rsidR="00835548" w:rsidRPr="00835548">
        <w:rPr>
          <w:rFonts w:ascii="Book Antiqua" w:hAnsi="Book Antiqua" w:hint="eastAsia"/>
          <w:sz w:val="24"/>
          <w:szCs w:val="24"/>
        </w:rPr>
        <w:t>August 3, 2019</w:t>
      </w:r>
    </w:p>
    <w:p w:rsidR="00921D66" w:rsidRPr="00ED7513" w:rsidRDefault="00921D66" w:rsidP="00ED7513">
      <w:pPr>
        <w:widowControl/>
        <w:adjustRightInd w:val="0"/>
        <w:snapToGrid w:val="0"/>
        <w:spacing w:line="360" w:lineRule="auto"/>
        <w:rPr>
          <w:rFonts w:ascii="Book Antiqua" w:hAnsi="Book Antiqua"/>
          <w:b/>
          <w:sz w:val="24"/>
          <w:szCs w:val="24"/>
        </w:rPr>
      </w:pPr>
      <w:r w:rsidRPr="00ED7513">
        <w:rPr>
          <w:rFonts w:ascii="Book Antiqua" w:hAnsi="Book Antiqua"/>
          <w:b/>
          <w:sz w:val="24"/>
          <w:szCs w:val="24"/>
        </w:rPr>
        <w:t>Article in press:</w:t>
      </w:r>
    </w:p>
    <w:p w:rsidR="00921D66" w:rsidRPr="00ED7513" w:rsidRDefault="00921D66" w:rsidP="00ED7513">
      <w:pPr>
        <w:widowControl/>
        <w:adjustRightInd w:val="0"/>
        <w:snapToGrid w:val="0"/>
        <w:spacing w:line="360" w:lineRule="auto"/>
        <w:rPr>
          <w:rFonts w:ascii="Book Antiqua" w:hAnsi="Book Antiqua" w:cs="Times New Roman"/>
          <w:b/>
          <w:color w:val="000000" w:themeColor="text1"/>
          <w:sz w:val="24"/>
          <w:szCs w:val="24"/>
        </w:rPr>
      </w:pPr>
      <w:r w:rsidRPr="00ED7513">
        <w:rPr>
          <w:rFonts w:ascii="Book Antiqua" w:hAnsi="Book Antiqua"/>
          <w:b/>
          <w:sz w:val="24"/>
          <w:szCs w:val="24"/>
        </w:rPr>
        <w:t>Published online:</w:t>
      </w:r>
    </w:p>
    <w:p w:rsidR="00EA6291" w:rsidRPr="00ED7513" w:rsidRDefault="001339DD" w:rsidP="00ED7513">
      <w:pPr>
        <w:widowControl/>
        <w:spacing w:line="360" w:lineRule="auto"/>
        <w:rPr>
          <w:rFonts w:ascii="Book Antiqua" w:hAnsi="Book Antiqua" w:cs="Times New Roman"/>
          <w:b/>
          <w:color w:val="000000" w:themeColor="text1"/>
          <w:sz w:val="24"/>
          <w:szCs w:val="24"/>
        </w:rPr>
      </w:pPr>
      <w:r w:rsidRPr="00ED7513">
        <w:rPr>
          <w:rFonts w:ascii="Book Antiqua" w:hAnsi="Book Antiqua" w:cs="Times New Roman"/>
          <w:b/>
          <w:color w:val="000000" w:themeColor="text1"/>
          <w:sz w:val="24"/>
          <w:szCs w:val="24"/>
        </w:rPr>
        <w:t xml:space="preserve"> </w:t>
      </w:r>
      <w:r w:rsidR="00EA6291" w:rsidRPr="00ED7513">
        <w:rPr>
          <w:rFonts w:ascii="Book Antiqua" w:hAnsi="Book Antiqua" w:cs="Times New Roman"/>
          <w:b/>
          <w:color w:val="000000" w:themeColor="text1"/>
          <w:sz w:val="24"/>
          <w:szCs w:val="24"/>
        </w:rPr>
        <w:br w:type="page"/>
      </w:r>
    </w:p>
    <w:p w:rsidR="00EA6291" w:rsidRPr="00ED7513" w:rsidRDefault="00EA6291" w:rsidP="00ED7513">
      <w:pPr>
        <w:widowControl/>
        <w:spacing w:line="360" w:lineRule="auto"/>
        <w:rPr>
          <w:rFonts w:ascii="Book Antiqua" w:hAnsi="Book Antiqua" w:cs="Times New Roman"/>
          <w:b/>
          <w:color w:val="000000" w:themeColor="text1"/>
          <w:sz w:val="24"/>
          <w:szCs w:val="24"/>
        </w:rPr>
      </w:pPr>
      <w:r w:rsidRPr="00ED7513">
        <w:rPr>
          <w:rFonts w:ascii="Book Antiqua" w:hAnsi="Book Antiqua" w:cs="Times New Roman"/>
          <w:b/>
          <w:color w:val="000000" w:themeColor="text1"/>
          <w:sz w:val="24"/>
          <w:szCs w:val="24"/>
        </w:rPr>
        <w:lastRenderedPageBreak/>
        <w:t>Abstract</w:t>
      </w:r>
    </w:p>
    <w:p w:rsidR="00EA6291" w:rsidRPr="00ED7513" w:rsidRDefault="00EA6291" w:rsidP="00ED7513">
      <w:pPr>
        <w:spacing w:line="360" w:lineRule="auto"/>
        <w:rPr>
          <w:rFonts w:ascii="Book Antiqua" w:hAnsi="Book Antiqua" w:cs="Times New Roman"/>
          <w:i/>
          <w:color w:val="000000" w:themeColor="text1"/>
          <w:sz w:val="24"/>
          <w:szCs w:val="24"/>
        </w:rPr>
      </w:pPr>
      <w:r w:rsidRPr="00ED7513">
        <w:rPr>
          <w:rFonts w:ascii="Book Antiqua" w:hAnsi="Book Antiqua" w:cs="Times New Roman"/>
          <w:b/>
          <w:i/>
          <w:color w:val="000000" w:themeColor="text1"/>
          <w:sz w:val="24"/>
          <w:szCs w:val="24"/>
        </w:rPr>
        <w:t>BACKGROUND</w:t>
      </w: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The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classification system is used to describe the macroscopic appearance of advanced gastric cancer, and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disease is independently associated with a poor prognosis.</w:t>
      </w:r>
    </w:p>
    <w:p w:rsidR="00921D66" w:rsidRPr="00ED7513" w:rsidRDefault="00921D66"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i/>
          <w:color w:val="000000" w:themeColor="text1"/>
          <w:sz w:val="24"/>
          <w:szCs w:val="24"/>
        </w:rPr>
      </w:pPr>
      <w:r w:rsidRPr="00ED7513">
        <w:rPr>
          <w:rFonts w:ascii="Book Antiqua" w:hAnsi="Book Antiqua" w:cs="Times New Roman"/>
          <w:b/>
          <w:i/>
          <w:color w:val="000000" w:themeColor="text1"/>
          <w:sz w:val="24"/>
          <w:szCs w:val="24"/>
        </w:rPr>
        <w:t>AIM</w:t>
      </w: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To evaluate the prognostic significance of lymphatic and/or blood vessel invasion (LBVI) combined with the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in advanced proximal gastric cancer (APGC).</w:t>
      </w:r>
    </w:p>
    <w:p w:rsidR="00921D66" w:rsidRPr="00ED7513" w:rsidRDefault="00921D66"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i/>
          <w:color w:val="000000" w:themeColor="text1"/>
          <w:sz w:val="24"/>
          <w:szCs w:val="24"/>
        </w:rPr>
      </w:pPr>
      <w:r w:rsidRPr="00ED7513">
        <w:rPr>
          <w:rFonts w:ascii="Book Antiqua" w:hAnsi="Book Antiqua" w:cs="Times New Roman"/>
          <w:b/>
          <w:i/>
          <w:color w:val="000000" w:themeColor="text1"/>
          <w:sz w:val="24"/>
          <w:szCs w:val="24"/>
        </w:rPr>
        <w:t>METHODS</w:t>
      </w: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The </w:t>
      </w:r>
      <w:proofErr w:type="spellStart"/>
      <w:r w:rsidRPr="00ED7513">
        <w:rPr>
          <w:rFonts w:ascii="Book Antiqua" w:hAnsi="Book Antiqua" w:cs="Times New Roman"/>
          <w:color w:val="000000" w:themeColor="text1"/>
          <w:sz w:val="24"/>
          <w:szCs w:val="24"/>
        </w:rPr>
        <w:t>clinicopathological</w:t>
      </w:r>
      <w:proofErr w:type="spellEnd"/>
      <w:r w:rsidRPr="00ED7513">
        <w:rPr>
          <w:rFonts w:ascii="Book Antiqua" w:hAnsi="Book Antiqua" w:cs="Times New Roman"/>
          <w:color w:val="000000" w:themeColor="text1"/>
          <w:sz w:val="24"/>
          <w:szCs w:val="24"/>
        </w:rPr>
        <w:t xml:space="preserve"> and survival data of 440 patients with APGC who underwent curative surgery between 2005 and 2012 were retrospectively analyzed.</w:t>
      </w:r>
    </w:p>
    <w:p w:rsidR="00921D66" w:rsidRPr="00ED7513" w:rsidRDefault="00921D66"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b/>
          <w:i/>
          <w:color w:val="000000" w:themeColor="text1"/>
          <w:sz w:val="24"/>
          <w:szCs w:val="24"/>
        </w:rPr>
      </w:pPr>
      <w:r w:rsidRPr="00ED7513">
        <w:rPr>
          <w:rFonts w:ascii="Book Antiqua" w:hAnsi="Book Antiqua" w:cs="Times New Roman"/>
          <w:b/>
          <w:i/>
          <w:color w:val="000000" w:themeColor="text1"/>
          <w:sz w:val="24"/>
          <w:szCs w:val="24"/>
        </w:rPr>
        <w:t>RESULTS</w:t>
      </w: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In these 440 patients, LBVI+ status was associated with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w:t>
      </w:r>
      <w:r w:rsidR="009E7910" w:rsidRPr="00ED7513">
        <w:rPr>
          <w:rFonts w:ascii="Book Antiqua" w:hAnsi="Book Antiqua" w:cs="Times New Roman"/>
          <w:color w:val="000000" w:themeColor="text1"/>
          <w:sz w:val="24"/>
          <w:szCs w:val="24"/>
        </w:rPr>
        <w:t xml:space="preserve">low </w:t>
      </w:r>
      <w:r w:rsidRPr="00ED7513">
        <w:rPr>
          <w:rFonts w:ascii="Book Antiqua" w:hAnsi="Book Antiqua" w:cs="Times New Roman"/>
          <w:color w:val="000000" w:themeColor="text1"/>
          <w:sz w:val="24"/>
          <w:szCs w:val="24"/>
        </w:rPr>
        <w:t xml:space="preserve">histological grade, large tumor size, and advanced </w:t>
      </w:r>
      <w:proofErr w:type="spellStart"/>
      <w:r w:rsidRPr="00ED7513">
        <w:rPr>
          <w:rFonts w:ascii="Book Antiqua" w:hAnsi="Book Antiqua" w:cs="Times New Roman"/>
          <w:color w:val="000000" w:themeColor="text1"/>
          <w:sz w:val="24"/>
          <w:szCs w:val="24"/>
        </w:rPr>
        <w:t>pT</w:t>
      </w:r>
      <w:proofErr w:type="spellEnd"/>
      <w:r w:rsidRPr="00ED7513">
        <w:rPr>
          <w:rFonts w:ascii="Book Antiqua" w:hAnsi="Book Antiqua" w:cs="Times New Roman"/>
          <w:color w:val="000000" w:themeColor="text1"/>
          <w:sz w:val="24"/>
          <w:szCs w:val="24"/>
        </w:rPr>
        <w:t xml:space="preserve"> and </w:t>
      </w:r>
      <w:proofErr w:type="spellStart"/>
      <w:r w:rsidRPr="00ED7513">
        <w:rPr>
          <w:rFonts w:ascii="Book Antiqua" w:hAnsi="Book Antiqua" w:cs="Times New Roman"/>
          <w:color w:val="000000" w:themeColor="text1"/>
          <w:sz w:val="24"/>
          <w:szCs w:val="24"/>
        </w:rPr>
        <w:t>pN</w:t>
      </w:r>
      <w:proofErr w:type="spellEnd"/>
      <w:r w:rsidRPr="00ED7513">
        <w:rPr>
          <w:rFonts w:ascii="Book Antiqua" w:hAnsi="Book Antiqua" w:cs="Times New Roman"/>
          <w:color w:val="000000" w:themeColor="text1"/>
          <w:sz w:val="24"/>
          <w:szCs w:val="24"/>
        </w:rPr>
        <w:t xml:space="preserve"> status. The 5-year survival rate of LBVI+ patients was significantly lower than that of LBVI– patients, although LBVI was not an independent prognostic factor in the multivariate analysis. No significant difference in the prognos</w:t>
      </w:r>
      <w:r w:rsidR="007875C8" w:rsidRPr="00ED7513">
        <w:rPr>
          <w:rFonts w:ascii="Book Antiqua" w:hAnsi="Book Antiqua" w:cs="Times New Roman"/>
          <w:color w:val="000000" w:themeColor="text1"/>
          <w:sz w:val="24"/>
          <w:szCs w:val="24"/>
        </w:rPr>
        <w:t>i</w:t>
      </w:r>
      <w:r w:rsidRPr="00ED7513">
        <w:rPr>
          <w:rFonts w:ascii="Book Antiqua" w:hAnsi="Book Antiqua" w:cs="Times New Roman"/>
          <w:color w:val="000000" w:themeColor="text1"/>
          <w:sz w:val="24"/>
          <w:szCs w:val="24"/>
        </w:rPr>
        <w:t xml:space="preserve">s of patients with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III/LBVI+ disease and patients with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disease was observed. Therefore, we proposed a revised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w:t>
      </w:r>
      <w:r w:rsidR="00FE0242" w:rsidRPr="00ED7513">
        <w:rPr>
          <w:rFonts w:ascii="Book Antiqua" w:hAnsi="Book Antiqua" w:cs="Times New Roman"/>
          <w:color w:val="000000" w:themeColor="text1"/>
          <w:sz w:val="24"/>
          <w:szCs w:val="24"/>
        </w:rPr>
        <w:t>) as</w:t>
      </w:r>
      <w:r w:rsidRPr="00ED7513">
        <w:rPr>
          <w:rFonts w:ascii="Book Antiqua" w:hAnsi="Book Antiqua" w:cs="Times New Roman"/>
          <w:color w:val="000000" w:themeColor="text1"/>
          <w:sz w:val="24"/>
          <w:szCs w:val="24"/>
        </w:rPr>
        <w:t xml:space="preserv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plus LBVI+, and found that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was associated with</w:t>
      </w:r>
      <w:r w:rsidR="009118F8" w:rsidRPr="00ED7513">
        <w:rPr>
          <w:rFonts w:ascii="Book Antiqua" w:hAnsi="Book Antiqua" w:cs="Times New Roman"/>
          <w:color w:val="000000" w:themeColor="text1"/>
          <w:sz w:val="24"/>
          <w:szCs w:val="24"/>
        </w:rPr>
        <w:t xml:space="preserve"> </w:t>
      </w:r>
      <w:r w:rsidRPr="00ED7513">
        <w:rPr>
          <w:rFonts w:ascii="Book Antiqua" w:hAnsi="Book Antiqua" w:cs="Times New Roman"/>
          <w:color w:val="000000" w:themeColor="text1"/>
          <w:sz w:val="24"/>
          <w:szCs w:val="24"/>
        </w:rPr>
        <w:t xml:space="preserve">poor prognosis in patients with APGC, which outweighed the prognostic significance of </w:t>
      </w:r>
      <w:proofErr w:type="spellStart"/>
      <w:r w:rsidRPr="00ED7513">
        <w:rPr>
          <w:rFonts w:ascii="Book Antiqua" w:hAnsi="Book Antiqua" w:cs="Times New Roman"/>
          <w:color w:val="000000" w:themeColor="text1"/>
          <w:sz w:val="24"/>
          <w:szCs w:val="24"/>
        </w:rPr>
        <w:t>pT</w:t>
      </w:r>
      <w:proofErr w:type="spellEnd"/>
      <w:r w:rsidRPr="00ED7513">
        <w:rPr>
          <w:rFonts w:ascii="Book Antiqua" w:hAnsi="Book Antiqua" w:cs="Times New Roman"/>
          <w:color w:val="000000" w:themeColor="text1"/>
          <w:sz w:val="24"/>
          <w:szCs w:val="24"/>
        </w:rPr>
        <w:t xml:space="preserve"> status.</w:t>
      </w:r>
    </w:p>
    <w:p w:rsidR="00921D66" w:rsidRPr="00ED7513" w:rsidRDefault="00921D66"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b/>
          <w:i/>
          <w:color w:val="000000" w:themeColor="text1"/>
          <w:sz w:val="24"/>
          <w:szCs w:val="24"/>
        </w:rPr>
      </w:pPr>
      <w:r w:rsidRPr="00ED7513">
        <w:rPr>
          <w:rFonts w:ascii="Book Antiqua" w:hAnsi="Book Antiqua" w:cs="Times New Roman"/>
          <w:b/>
          <w:i/>
          <w:color w:val="000000" w:themeColor="text1"/>
          <w:sz w:val="24"/>
          <w:szCs w:val="24"/>
        </w:rPr>
        <w:t>CONCLUSION</w:t>
      </w: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LBVI is related to </w:t>
      </w:r>
      <w:r w:rsidR="007875C8" w:rsidRPr="00ED7513">
        <w:rPr>
          <w:rFonts w:ascii="Book Antiqua" w:hAnsi="Book Antiqua" w:cs="Times New Roman"/>
          <w:color w:val="000000" w:themeColor="text1"/>
          <w:sz w:val="24"/>
          <w:szCs w:val="24"/>
        </w:rPr>
        <w:t xml:space="preserve">the </w:t>
      </w:r>
      <w:r w:rsidRPr="00ED7513">
        <w:rPr>
          <w:rFonts w:ascii="Book Antiqua" w:hAnsi="Book Antiqua" w:cs="Times New Roman"/>
          <w:color w:val="000000" w:themeColor="text1"/>
          <w:sz w:val="24"/>
          <w:szCs w:val="24"/>
        </w:rPr>
        <w:t xml:space="preserve">prognosis of APGC, but is not an independent </w:t>
      </w:r>
      <w:r w:rsidRPr="00ED7513">
        <w:rPr>
          <w:rFonts w:ascii="Book Antiqua" w:hAnsi="Book Antiqua" w:cs="Times New Roman"/>
          <w:color w:val="000000" w:themeColor="text1"/>
          <w:sz w:val="24"/>
          <w:szCs w:val="24"/>
        </w:rPr>
        <w:lastRenderedPageBreak/>
        <w:t xml:space="preserve">prognostic factor. LBVI status can be used to differentiate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types III and IV, and </w:t>
      </w:r>
      <w:r w:rsidR="007875C8" w:rsidRPr="00ED7513">
        <w:rPr>
          <w:rFonts w:ascii="Book Antiqua" w:hAnsi="Book Antiqua" w:cs="Times New Roman"/>
          <w:color w:val="000000" w:themeColor="text1"/>
          <w:sz w:val="24"/>
          <w:szCs w:val="24"/>
        </w:rPr>
        <w:t xml:space="preserve">the </w:t>
      </w:r>
      <w:r w:rsidRPr="00ED7513">
        <w:rPr>
          <w:rFonts w:ascii="Book Antiqua" w:hAnsi="Book Antiqua" w:cs="Times New Roman"/>
          <w:color w:val="000000" w:themeColor="text1"/>
          <w:sz w:val="24"/>
          <w:szCs w:val="24"/>
        </w:rPr>
        <w:t>same approach can be used to treat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and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w:t>
      </w:r>
    </w:p>
    <w:p w:rsidR="00921D66" w:rsidRPr="00ED7513" w:rsidRDefault="00921D66" w:rsidP="00ED7513">
      <w:pPr>
        <w:spacing w:line="360" w:lineRule="auto"/>
        <w:rPr>
          <w:rFonts w:ascii="Book Antiqua" w:hAnsi="Book Antiqua" w:cs="Times New Roman"/>
          <w:color w:val="000000" w:themeColor="text1"/>
          <w:sz w:val="24"/>
          <w:szCs w:val="24"/>
        </w:rPr>
      </w:pPr>
    </w:p>
    <w:p w:rsidR="00EA6291"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b/>
          <w:color w:val="000000" w:themeColor="text1"/>
          <w:sz w:val="24"/>
          <w:szCs w:val="24"/>
        </w:rPr>
        <w:t>Key words:</w:t>
      </w:r>
      <w:r w:rsidRPr="00ED7513">
        <w:rPr>
          <w:rFonts w:ascii="Book Antiqua" w:hAnsi="Book Antiqua" w:cs="Times New Roman"/>
          <w:color w:val="000000" w:themeColor="text1"/>
          <w:sz w:val="24"/>
          <w:szCs w:val="24"/>
        </w:rPr>
        <w:t xml:space="preserve"> Proximal gastric cancer; Lymphatic and/or blood vessel invasion;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types; Prognosis</w:t>
      </w:r>
    </w:p>
    <w:p w:rsidR="00E335BA" w:rsidRPr="00ED7513" w:rsidRDefault="00E335BA" w:rsidP="00ED7513">
      <w:pPr>
        <w:spacing w:line="360" w:lineRule="auto"/>
        <w:rPr>
          <w:rFonts w:ascii="Book Antiqua" w:hAnsi="Book Antiqua" w:cs="Times New Roman"/>
          <w:color w:val="000000" w:themeColor="text1"/>
          <w:sz w:val="24"/>
          <w:szCs w:val="24"/>
        </w:rPr>
      </w:pPr>
    </w:p>
    <w:p w:rsidR="00E335BA" w:rsidRPr="00991352" w:rsidRDefault="00E335BA" w:rsidP="00E335BA">
      <w:pPr>
        <w:spacing w:line="360" w:lineRule="auto"/>
        <w:rPr>
          <w:rFonts w:ascii="Book Antiqua" w:hAnsi="Book Antiqua" w:cs="Arial"/>
          <w:sz w:val="24"/>
          <w:szCs w:val="24"/>
        </w:rPr>
      </w:pPr>
      <w:bookmarkStart w:id="3" w:name="OLE_LINK56"/>
      <w:bookmarkStart w:id="4" w:name="OLE_LINK105"/>
      <w:bookmarkStart w:id="5" w:name="OLE_LINK116"/>
      <w:bookmarkStart w:id="6" w:name="OLE_LINK89"/>
      <w:proofErr w:type="gramStart"/>
      <w:r w:rsidRPr="00991352">
        <w:rPr>
          <w:rFonts w:ascii="Book Antiqua" w:hAnsi="Book Antiqua"/>
          <w:b/>
          <w:sz w:val="24"/>
          <w:szCs w:val="24"/>
        </w:rPr>
        <w:t>©</w:t>
      </w:r>
      <w:bookmarkEnd w:id="3"/>
      <w:r w:rsidRPr="00991352">
        <w:rPr>
          <w:rFonts w:ascii="Book Antiqua" w:hAnsi="Book Antiqua"/>
          <w:b/>
          <w:sz w:val="24"/>
          <w:szCs w:val="24"/>
        </w:rPr>
        <w:t xml:space="preserve"> </w:t>
      </w:r>
      <w:r w:rsidRPr="00991352">
        <w:rPr>
          <w:rFonts w:ascii="Book Antiqua" w:hAnsi="Book Antiqua" w:cs="Arial"/>
          <w:b/>
          <w:sz w:val="24"/>
          <w:szCs w:val="24"/>
        </w:rPr>
        <w:t xml:space="preserve">The Author(s) </w:t>
      </w:r>
      <w:r w:rsidRPr="00991352">
        <w:rPr>
          <w:rFonts w:ascii="Book Antiqua" w:eastAsia="宋体" w:hAnsi="Book Antiqua" w:cs="Arial"/>
          <w:b/>
          <w:sz w:val="24"/>
          <w:szCs w:val="24"/>
        </w:rPr>
        <w:t>2019</w:t>
      </w:r>
      <w:r w:rsidRPr="00991352">
        <w:rPr>
          <w:rFonts w:ascii="Book Antiqua" w:hAnsi="Book Antiqua" w:cs="Arial"/>
          <w:b/>
          <w:sz w:val="24"/>
          <w:szCs w:val="24"/>
        </w:rPr>
        <w:t>.</w:t>
      </w:r>
      <w:proofErr w:type="gramEnd"/>
      <w:r w:rsidRPr="00991352">
        <w:rPr>
          <w:rFonts w:ascii="Book Antiqua" w:hAnsi="Book Antiqua" w:cs="Arial"/>
          <w:b/>
          <w:sz w:val="24"/>
          <w:szCs w:val="24"/>
        </w:rPr>
        <w:t xml:space="preserve"> </w:t>
      </w:r>
      <w:proofErr w:type="gramStart"/>
      <w:r w:rsidRPr="00991352">
        <w:rPr>
          <w:rFonts w:ascii="Book Antiqua" w:hAnsi="Book Antiqua" w:cs="Arial"/>
          <w:sz w:val="24"/>
          <w:szCs w:val="24"/>
        </w:rPr>
        <w:t xml:space="preserve">Published by </w:t>
      </w:r>
      <w:proofErr w:type="spellStart"/>
      <w:r w:rsidRPr="00991352">
        <w:rPr>
          <w:rFonts w:ascii="Book Antiqua" w:hAnsi="Book Antiqua" w:cs="Arial"/>
          <w:sz w:val="24"/>
          <w:szCs w:val="24"/>
        </w:rPr>
        <w:t>Baishideng</w:t>
      </w:r>
      <w:proofErr w:type="spellEnd"/>
      <w:r w:rsidRPr="00991352">
        <w:rPr>
          <w:rFonts w:ascii="Book Antiqua" w:hAnsi="Book Antiqua" w:cs="Arial"/>
          <w:sz w:val="24"/>
          <w:szCs w:val="24"/>
        </w:rPr>
        <w:t xml:space="preserve"> Publishing Group Inc.</w:t>
      </w:r>
      <w:proofErr w:type="gramEnd"/>
      <w:r w:rsidRPr="00991352">
        <w:rPr>
          <w:rFonts w:ascii="Book Antiqua" w:hAnsi="Book Antiqua" w:cs="Arial"/>
          <w:sz w:val="24"/>
          <w:szCs w:val="24"/>
        </w:rPr>
        <w:t xml:space="preserve"> All rights reserved.</w:t>
      </w:r>
    </w:p>
    <w:bookmarkEnd w:id="4"/>
    <w:bookmarkEnd w:id="5"/>
    <w:bookmarkEnd w:id="6"/>
    <w:p w:rsidR="00EA6291" w:rsidRPr="00ED7513" w:rsidRDefault="00EA6291" w:rsidP="00ED7513">
      <w:pPr>
        <w:spacing w:line="360" w:lineRule="auto"/>
        <w:rPr>
          <w:rFonts w:ascii="Book Antiqua" w:hAnsi="Book Antiqua" w:cs="Times New Roman"/>
          <w:color w:val="000000" w:themeColor="text1"/>
          <w:sz w:val="24"/>
          <w:szCs w:val="24"/>
        </w:rPr>
      </w:pPr>
    </w:p>
    <w:p w:rsidR="00406EA2" w:rsidRPr="00ED7513" w:rsidRDefault="00573B3B"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b/>
          <w:color w:val="000000" w:themeColor="text1"/>
          <w:sz w:val="24"/>
          <w:szCs w:val="24"/>
        </w:rPr>
        <w:t xml:space="preserve">Core tip: </w:t>
      </w:r>
      <w:r w:rsidRPr="00ED7513">
        <w:rPr>
          <w:rFonts w:ascii="Book Antiqua" w:hAnsi="Book Antiqua" w:cs="Times New Roman"/>
          <w:color w:val="000000" w:themeColor="text1"/>
          <w:sz w:val="24"/>
          <w:szCs w:val="24"/>
        </w:rPr>
        <w:t xml:space="preserve">In this study, we found that </w:t>
      </w:r>
      <w:r w:rsidR="00921D66" w:rsidRPr="00ED7513">
        <w:rPr>
          <w:rFonts w:ascii="Book Antiqua" w:hAnsi="Book Antiqua" w:cs="Times New Roman"/>
          <w:color w:val="000000" w:themeColor="text1"/>
          <w:sz w:val="24"/>
          <w:szCs w:val="24"/>
        </w:rPr>
        <w:t>lymphatic and/or blood vessel invasion (LBVI)</w:t>
      </w:r>
      <w:r w:rsidR="00E335BA" w:rsidRPr="00ED7513">
        <w:rPr>
          <w:rFonts w:ascii="Book Antiqua" w:hAnsi="Book Antiqua" w:cs="Times New Roman"/>
          <w:color w:val="000000" w:themeColor="text1"/>
          <w:sz w:val="24"/>
          <w:szCs w:val="24"/>
        </w:rPr>
        <w:t xml:space="preserve"> </w:t>
      </w:r>
      <w:r w:rsidRPr="00ED7513">
        <w:rPr>
          <w:rFonts w:ascii="Book Antiqua" w:hAnsi="Book Antiqua" w:cs="Times New Roman"/>
          <w:color w:val="000000" w:themeColor="text1"/>
          <w:sz w:val="24"/>
          <w:szCs w:val="24"/>
        </w:rPr>
        <w:t xml:space="preserve">+ status was associated with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low histological grade, large tumor size, and advanced </w:t>
      </w:r>
      <w:proofErr w:type="spellStart"/>
      <w:r w:rsidRPr="00ED7513">
        <w:rPr>
          <w:rFonts w:ascii="Book Antiqua" w:hAnsi="Book Antiqua" w:cs="Times New Roman"/>
          <w:color w:val="000000" w:themeColor="text1"/>
          <w:sz w:val="24"/>
          <w:szCs w:val="24"/>
        </w:rPr>
        <w:t>pT</w:t>
      </w:r>
      <w:proofErr w:type="spellEnd"/>
      <w:r w:rsidRPr="00ED7513">
        <w:rPr>
          <w:rFonts w:ascii="Book Antiqua" w:hAnsi="Book Antiqua" w:cs="Times New Roman"/>
          <w:color w:val="000000" w:themeColor="text1"/>
          <w:sz w:val="24"/>
          <w:szCs w:val="24"/>
        </w:rPr>
        <w:t xml:space="preserve"> and </w:t>
      </w:r>
      <w:proofErr w:type="spellStart"/>
      <w:r w:rsidRPr="00ED7513">
        <w:rPr>
          <w:rFonts w:ascii="Book Antiqua" w:hAnsi="Book Antiqua" w:cs="Times New Roman"/>
          <w:color w:val="000000" w:themeColor="text1"/>
          <w:sz w:val="24"/>
          <w:szCs w:val="24"/>
        </w:rPr>
        <w:t>pN</w:t>
      </w:r>
      <w:proofErr w:type="spellEnd"/>
      <w:r w:rsidRPr="00ED7513">
        <w:rPr>
          <w:rFonts w:ascii="Book Antiqua" w:hAnsi="Book Antiqua" w:cs="Times New Roman"/>
          <w:color w:val="000000" w:themeColor="text1"/>
          <w:sz w:val="24"/>
          <w:szCs w:val="24"/>
        </w:rPr>
        <w:t xml:space="preserve"> status. The 5-year survival rate of LBVI+ patients was significantly lower than that of LBVI– patients. No significant difference was observed in the prognosis of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III/LBVI+ disease and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disease. Therefore, we proposed a revised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as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plus LBVI+, and found that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was associated with</w:t>
      </w:r>
      <w:r w:rsidR="009118F8" w:rsidRPr="00ED7513">
        <w:rPr>
          <w:rFonts w:ascii="Book Antiqua" w:hAnsi="Book Antiqua" w:cs="Times New Roman"/>
          <w:color w:val="000000" w:themeColor="text1"/>
          <w:sz w:val="24"/>
          <w:szCs w:val="24"/>
        </w:rPr>
        <w:t xml:space="preserve"> </w:t>
      </w:r>
      <w:r w:rsidRPr="00ED7513">
        <w:rPr>
          <w:rFonts w:ascii="Book Antiqua" w:hAnsi="Book Antiqua" w:cs="Times New Roman"/>
          <w:color w:val="000000" w:themeColor="text1"/>
          <w:sz w:val="24"/>
          <w:szCs w:val="24"/>
        </w:rPr>
        <w:t xml:space="preserve">poor prognosis in patients with </w:t>
      </w:r>
      <w:r w:rsidR="00ED68DD" w:rsidRPr="00ED7513">
        <w:rPr>
          <w:rFonts w:ascii="Book Antiqua" w:hAnsi="Book Antiqua" w:cs="Times New Roman"/>
          <w:color w:val="000000" w:themeColor="text1"/>
          <w:sz w:val="24"/>
          <w:szCs w:val="24"/>
        </w:rPr>
        <w:t>advanced proximal gastric cancer</w:t>
      </w:r>
      <w:r w:rsidRPr="00ED7513">
        <w:rPr>
          <w:rFonts w:ascii="Book Antiqua" w:hAnsi="Book Antiqua" w:cs="Times New Roman"/>
          <w:color w:val="000000" w:themeColor="text1"/>
          <w:sz w:val="24"/>
          <w:szCs w:val="24"/>
        </w:rPr>
        <w:t xml:space="preserve">, which outweighed the prognostic significance of </w:t>
      </w:r>
      <w:proofErr w:type="spellStart"/>
      <w:r w:rsidRPr="00ED7513">
        <w:rPr>
          <w:rFonts w:ascii="Book Antiqua" w:hAnsi="Book Antiqua" w:cs="Times New Roman"/>
          <w:color w:val="000000" w:themeColor="text1"/>
          <w:sz w:val="24"/>
          <w:szCs w:val="24"/>
        </w:rPr>
        <w:t>pT</w:t>
      </w:r>
      <w:proofErr w:type="spellEnd"/>
      <w:r w:rsidRPr="00ED7513">
        <w:rPr>
          <w:rFonts w:ascii="Book Antiqua" w:hAnsi="Book Antiqua" w:cs="Times New Roman"/>
          <w:color w:val="000000" w:themeColor="text1"/>
          <w:sz w:val="24"/>
          <w:szCs w:val="24"/>
        </w:rPr>
        <w:t xml:space="preserve"> status.</w:t>
      </w:r>
    </w:p>
    <w:p w:rsidR="00406EA2" w:rsidRPr="00ED7513" w:rsidRDefault="00406EA2" w:rsidP="00ED7513">
      <w:pPr>
        <w:spacing w:line="360" w:lineRule="auto"/>
        <w:rPr>
          <w:rFonts w:ascii="Book Antiqua" w:hAnsi="Book Antiqua" w:cs="Times New Roman"/>
          <w:color w:val="000000" w:themeColor="text1"/>
          <w:sz w:val="24"/>
          <w:szCs w:val="24"/>
        </w:rPr>
      </w:pPr>
    </w:p>
    <w:p w:rsidR="00406EA2" w:rsidRPr="00ED7513" w:rsidRDefault="00406EA2"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Gao S, Cao GH, Ding P, Zhao YY, Deng P, </w:t>
      </w:r>
      <w:proofErr w:type="spellStart"/>
      <w:r w:rsidRPr="00ED7513">
        <w:rPr>
          <w:rFonts w:ascii="Book Antiqua" w:hAnsi="Book Antiqua" w:cs="Times New Roman"/>
          <w:color w:val="000000" w:themeColor="text1"/>
          <w:sz w:val="24"/>
          <w:szCs w:val="24"/>
        </w:rPr>
        <w:t>Hou</w:t>
      </w:r>
      <w:proofErr w:type="spellEnd"/>
      <w:r w:rsidRPr="00ED7513">
        <w:rPr>
          <w:rFonts w:ascii="Book Antiqua" w:hAnsi="Book Antiqua" w:cs="Times New Roman"/>
          <w:color w:val="000000" w:themeColor="text1"/>
          <w:sz w:val="24"/>
          <w:szCs w:val="24"/>
        </w:rPr>
        <w:t xml:space="preserve"> B, Li K, Liu XF. Retrospective evaluation of lymphatic and blood vessel invasion and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types in advanced proximal gastric cancer.</w:t>
      </w:r>
      <w:r w:rsidR="002A1D71" w:rsidRPr="00ED7513">
        <w:rPr>
          <w:rFonts w:ascii="Book Antiqua" w:hAnsi="Book Antiqua"/>
          <w:sz w:val="24"/>
          <w:szCs w:val="24"/>
        </w:rPr>
        <w:t xml:space="preserve"> </w:t>
      </w:r>
      <w:r w:rsidR="002A1D71" w:rsidRPr="00ED7513">
        <w:rPr>
          <w:rFonts w:ascii="Book Antiqua" w:hAnsi="Book Antiqua" w:cs="Times New Roman"/>
          <w:i/>
          <w:color w:val="000000" w:themeColor="text1"/>
          <w:sz w:val="24"/>
          <w:szCs w:val="24"/>
        </w:rPr>
        <w:t xml:space="preserve">World J </w:t>
      </w:r>
      <w:proofErr w:type="spellStart"/>
      <w:r w:rsidR="002A1D71" w:rsidRPr="00ED7513">
        <w:rPr>
          <w:rFonts w:ascii="Book Antiqua" w:hAnsi="Book Antiqua" w:cs="Times New Roman"/>
          <w:i/>
          <w:color w:val="000000" w:themeColor="text1"/>
          <w:sz w:val="24"/>
          <w:szCs w:val="24"/>
        </w:rPr>
        <w:t>Gastrointest</w:t>
      </w:r>
      <w:proofErr w:type="spellEnd"/>
      <w:r w:rsidR="002A1D71" w:rsidRPr="00ED7513">
        <w:rPr>
          <w:rFonts w:ascii="Book Antiqua" w:hAnsi="Book Antiqua" w:cs="Times New Roman"/>
          <w:i/>
          <w:color w:val="000000" w:themeColor="text1"/>
          <w:sz w:val="24"/>
          <w:szCs w:val="24"/>
        </w:rPr>
        <w:t xml:space="preserve"> </w:t>
      </w:r>
      <w:proofErr w:type="spellStart"/>
      <w:r w:rsidR="002A1D71" w:rsidRPr="00ED7513">
        <w:rPr>
          <w:rFonts w:ascii="Book Antiqua" w:hAnsi="Book Antiqua" w:cs="Times New Roman"/>
          <w:i/>
          <w:color w:val="000000" w:themeColor="text1"/>
          <w:sz w:val="24"/>
          <w:szCs w:val="24"/>
        </w:rPr>
        <w:t>Oncol</w:t>
      </w:r>
      <w:proofErr w:type="spellEnd"/>
      <w:r w:rsidR="002A1D71" w:rsidRPr="00ED7513">
        <w:rPr>
          <w:rFonts w:ascii="Book Antiqua" w:hAnsi="Book Antiqua" w:cs="Times New Roman"/>
          <w:color w:val="000000" w:themeColor="text1"/>
          <w:sz w:val="24"/>
          <w:szCs w:val="24"/>
        </w:rPr>
        <w:t xml:space="preserve"> 2019; </w:t>
      </w:r>
      <w:proofErr w:type="gramStart"/>
      <w:r w:rsidR="002A1D71" w:rsidRPr="00ED7513">
        <w:rPr>
          <w:rFonts w:ascii="Book Antiqua" w:hAnsi="Book Antiqua" w:cs="Times New Roman"/>
          <w:color w:val="000000" w:themeColor="text1"/>
          <w:sz w:val="24"/>
          <w:szCs w:val="24"/>
        </w:rPr>
        <w:t>In</w:t>
      </w:r>
      <w:proofErr w:type="gramEnd"/>
      <w:r w:rsidR="002A1D71" w:rsidRPr="00ED7513">
        <w:rPr>
          <w:rFonts w:ascii="Book Antiqua" w:hAnsi="Book Antiqua" w:cs="Times New Roman"/>
          <w:color w:val="000000" w:themeColor="text1"/>
          <w:sz w:val="24"/>
          <w:szCs w:val="24"/>
        </w:rPr>
        <w:t xml:space="preserve"> press</w:t>
      </w:r>
    </w:p>
    <w:p w:rsidR="00406EA2" w:rsidRPr="00ED7513" w:rsidRDefault="00406EA2"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b/>
          <w:color w:val="000000" w:themeColor="text1"/>
          <w:sz w:val="24"/>
          <w:szCs w:val="24"/>
        </w:rPr>
      </w:pPr>
      <w:r w:rsidRPr="00ED7513">
        <w:rPr>
          <w:rFonts w:ascii="Book Antiqua" w:hAnsi="Book Antiqua" w:cs="Times New Roman"/>
          <w:b/>
          <w:color w:val="000000" w:themeColor="text1"/>
          <w:sz w:val="24"/>
          <w:szCs w:val="24"/>
        </w:rPr>
        <w:br w:type="page"/>
      </w:r>
    </w:p>
    <w:p w:rsidR="00EA6291" w:rsidRPr="00ED7513" w:rsidRDefault="00EA6291" w:rsidP="00ED7513">
      <w:pPr>
        <w:spacing w:line="360" w:lineRule="auto"/>
        <w:rPr>
          <w:rFonts w:ascii="Book Antiqua" w:hAnsi="Book Antiqua" w:cs="Times New Roman"/>
          <w:b/>
          <w:color w:val="000000" w:themeColor="text1"/>
          <w:sz w:val="24"/>
          <w:szCs w:val="24"/>
        </w:rPr>
      </w:pPr>
      <w:r w:rsidRPr="00ED7513">
        <w:rPr>
          <w:rFonts w:ascii="Book Antiqua" w:hAnsi="Book Antiqua" w:cs="Times New Roman"/>
          <w:b/>
          <w:color w:val="000000" w:themeColor="text1"/>
          <w:sz w:val="24"/>
          <w:szCs w:val="24"/>
        </w:rPr>
        <w:lastRenderedPageBreak/>
        <w:t>INTRODUCTION</w:t>
      </w: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Gastric cancer is a significant public health problem and is associated with substantial rates of morbidity and </w:t>
      </w:r>
      <w:proofErr w:type="gramStart"/>
      <w:r w:rsidRPr="00ED7513">
        <w:rPr>
          <w:rFonts w:ascii="Book Antiqua" w:hAnsi="Book Antiqua" w:cs="Times New Roman"/>
          <w:color w:val="000000" w:themeColor="text1"/>
          <w:sz w:val="24"/>
          <w:szCs w:val="24"/>
        </w:rPr>
        <w:t>mortality</w:t>
      </w:r>
      <w:r w:rsidR="00ED4C73" w:rsidRPr="00ED7513">
        <w:rPr>
          <w:rFonts w:ascii="Book Antiqua" w:hAnsi="Book Antiqua" w:cs="Times New Roman"/>
          <w:noProof/>
          <w:color w:val="000000" w:themeColor="text1"/>
          <w:sz w:val="24"/>
          <w:szCs w:val="24"/>
          <w:vertAlign w:val="superscript"/>
        </w:rPr>
        <w:t>[</w:t>
      </w:r>
      <w:proofErr w:type="gramEnd"/>
      <w:r w:rsidR="00ED4C73" w:rsidRPr="00ED7513">
        <w:rPr>
          <w:rFonts w:ascii="Book Antiqua" w:hAnsi="Book Antiqua" w:cs="Times New Roman"/>
          <w:noProof/>
          <w:color w:val="000000" w:themeColor="text1"/>
          <w:sz w:val="24"/>
          <w:szCs w:val="24"/>
          <w:vertAlign w:val="superscript"/>
        </w:rPr>
        <w:t>1,</w:t>
      </w:r>
      <w:r w:rsidRPr="00ED7513">
        <w:rPr>
          <w:rFonts w:ascii="Book Antiqua" w:hAnsi="Book Antiqua" w:cs="Times New Roman"/>
          <w:noProof/>
          <w:color w:val="000000" w:themeColor="text1"/>
          <w:sz w:val="24"/>
          <w:szCs w:val="24"/>
          <w:vertAlign w:val="superscript"/>
        </w:rPr>
        <w:t>2]</w:t>
      </w:r>
      <w:r w:rsidRPr="00ED7513">
        <w:rPr>
          <w:rFonts w:ascii="Book Antiqua" w:hAnsi="Book Antiqua" w:cs="Times New Roman"/>
          <w:color w:val="000000" w:themeColor="text1"/>
          <w:sz w:val="24"/>
          <w:szCs w:val="24"/>
        </w:rPr>
        <w:t xml:space="preserve">. Although radical D2 gastrectomy is the main treatment for gastric cancer, the high incidence of recurrence and metastasis </w:t>
      </w:r>
      <w:r w:rsidR="007875C8" w:rsidRPr="00ED7513">
        <w:rPr>
          <w:rFonts w:ascii="Book Antiqua" w:hAnsi="Book Antiqua" w:cs="Times New Roman"/>
          <w:color w:val="000000" w:themeColor="text1"/>
          <w:sz w:val="24"/>
          <w:szCs w:val="24"/>
        </w:rPr>
        <w:t xml:space="preserve">postoperatively </w:t>
      </w:r>
      <w:r w:rsidR="00FE0242" w:rsidRPr="00ED7513">
        <w:rPr>
          <w:rFonts w:ascii="Book Antiqua" w:hAnsi="Book Antiqua" w:cs="Times New Roman"/>
          <w:color w:val="000000" w:themeColor="text1"/>
          <w:sz w:val="24"/>
          <w:szCs w:val="24"/>
        </w:rPr>
        <w:t>leads to</w:t>
      </w:r>
      <w:r w:rsidRPr="00ED7513">
        <w:rPr>
          <w:rFonts w:ascii="Book Antiqua" w:hAnsi="Book Antiqua" w:cs="Times New Roman"/>
          <w:color w:val="000000" w:themeColor="text1"/>
          <w:sz w:val="24"/>
          <w:szCs w:val="24"/>
        </w:rPr>
        <w:t xml:space="preserve"> a high mortality rate, even after curative </w:t>
      </w:r>
      <w:proofErr w:type="gramStart"/>
      <w:r w:rsidRPr="00ED7513">
        <w:rPr>
          <w:rFonts w:ascii="Book Antiqua" w:hAnsi="Book Antiqua" w:cs="Times New Roman"/>
          <w:color w:val="000000" w:themeColor="text1"/>
          <w:sz w:val="24"/>
          <w:szCs w:val="24"/>
        </w:rPr>
        <w:t>resection</w:t>
      </w:r>
      <w:r w:rsidRPr="00ED7513">
        <w:rPr>
          <w:rFonts w:ascii="Book Antiqua" w:hAnsi="Book Antiqua" w:cs="Times New Roman"/>
          <w:noProof/>
          <w:color w:val="000000" w:themeColor="text1"/>
          <w:sz w:val="24"/>
          <w:szCs w:val="24"/>
          <w:vertAlign w:val="superscript"/>
        </w:rPr>
        <w:t>[</w:t>
      </w:r>
      <w:proofErr w:type="gramEnd"/>
      <w:r w:rsidRPr="00ED7513">
        <w:rPr>
          <w:rFonts w:ascii="Book Antiqua" w:hAnsi="Book Antiqua" w:cs="Times New Roman"/>
          <w:noProof/>
          <w:color w:val="000000" w:themeColor="text1"/>
          <w:sz w:val="24"/>
          <w:szCs w:val="24"/>
          <w:vertAlign w:val="superscript"/>
        </w:rPr>
        <w:t>3-5]</w:t>
      </w:r>
      <w:r w:rsidRPr="00ED7513">
        <w:rPr>
          <w:rFonts w:ascii="Book Antiqua" w:hAnsi="Book Antiqua" w:cs="Times New Roman"/>
          <w:color w:val="000000" w:themeColor="text1"/>
          <w:sz w:val="24"/>
          <w:szCs w:val="24"/>
        </w:rPr>
        <w:t xml:space="preserve">. </w:t>
      </w:r>
      <w:r w:rsidR="007F6BB2" w:rsidRPr="00ED7513">
        <w:rPr>
          <w:rFonts w:ascii="Book Antiqua" w:hAnsi="Book Antiqua" w:cs="Times New Roman"/>
          <w:color w:val="000000" w:themeColor="text1"/>
          <w:sz w:val="24"/>
          <w:szCs w:val="24"/>
        </w:rPr>
        <w:t>Proximal-</w:t>
      </w:r>
      <w:r w:rsidRPr="00ED7513">
        <w:rPr>
          <w:rFonts w:ascii="Book Antiqua" w:hAnsi="Book Antiqua" w:cs="Times New Roman"/>
          <w:color w:val="000000" w:themeColor="text1"/>
          <w:sz w:val="24"/>
          <w:szCs w:val="24"/>
        </w:rPr>
        <w:t xml:space="preserve">third gastric cancers (PGCs) have a poorer prognosis than distal gastric cancers, as they are characterized by a more aggressive biological behavior and are typically diagnosed at an advanced </w:t>
      </w:r>
      <w:proofErr w:type="gramStart"/>
      <w:r w:rsidRPr="00ED7513">
        <w:rPr>
          <w:rFonts w:ascii="Book Antiqua" w:hAnsi="Book Antiqua" w:cs="Times New Roman"/>
          <w:color w:val="000000" w:themeColor="text1"/>
          <w:sz w:val="24"/>
          <w:szCs w:val="24"/>
        </w:rPr>
        <w:t>stage</w:t>
      </w:r>
      <w:r w:rsidRPr="00ED7513">
        <w:rPr>
          <w:rFonts w:ascii="Book Antiqua" w:hAnsi="Book Antiqua" w:cs="Times New Roman"/>
          <w:noProof/>
          <w:color w:val="000000" w:themeColor="text1"/>
          <w:sz w:val="24"/>
          <w:szCs w:val="24"/>
          <w:vertAlign w:val="superscript"/>
        </w:rPr>
        <w:t>[</w:t>
      </w:r>
      <w:proofErr w:type="gramEnd"/>
      <w:r w:rsidRPr="00ED7513">
        <w:rPr>
          <w:rFonts w:ascii="Book Antiqua" w:hAnsi="Book Antiqua" w:cs="Times New Roman"/>
          <w:noProof/>
          <w:color w:val="000000" w:themeColor="text1"/>
          <w:sz w:val="24"/>
          <w:szCs w:val="24"/>
          <w:vertAlign w:val="superscript"/>
        </w:rPr>
        <w:t>6-8]</w:t>
      </w:r>
      <w:r w:rsidRPr="00ED7513">
        <w:rPr>
          <w:rFonts w:ascii="Book Antiqua" w:hAnsi="Book Antiqua" w:cs="Times New Roman"/>
          <w:color w:val="000000" w:themeColor="text1"/>
          <w:sz w:val="24"/>
          <w:szCs w:val="24"/>
        </w:rPr>
        <w:t xml:space="preserve">. Furthermore, although the overall incidence of gastric cancer has decreased, the incidence of PGC has increased </w:t>
      </w:r>
      <w:r w:rsidR="007875C8" w:rsidRPr="00ED7513">
        <w:rPr>
          <w:rFonts w:ascii="Book Antiqua" w:hAnsi="Book Antiqua" w:cs="Times New Roman"/>
          <w:color w:val="000000" w:themeColor="text1"/>
          <w:sz w:val="24"/>
          <w:szCs w:val="24"/>
        </w:rPr>
        <w:t>in</w:t>
      </w:r>
      <w:r w:rsidRPr="00ED7513">
        <w:rPr>
          <w:rFonts w:ascii="Book Antiqua" w:hAnsi="Book Antiqua" w:cs="Times New Roman"/>
          <w:color w:val="000000" w:themeColor="text1"/>
          <w:sz w:val="24"/>
          <w:szCs w:val="24"/>
        </w:rPr>
        <w:t xml:space="preserve"> recent </w:t>
      </w:r>
      <w:proofErr w:type="gramStart"/>
      <w:r w:rsidRPr="00ED7513">
        <w:rPr>
          <w:rFonts w:ascii="Book Antiqua" w:hAnsi="Book Antiqua" w:cs="Times New Roman"/>
          <w:color w:val="000000" w:themeColor="text1"/>
          <w:sz w:val="24"/>
          <w:szCs w:val="24"/>
        </w:rPr>
        <w:t>decades</w:t>
      </w:r>
      <w:r w:rsidRPr="00ED7513">
        <w:rPr>
          <w:rFonts w:ascii="Book Antiqua" w:hAnsi="Book Antiqua" w:cs="Times New Roman"/>
          <w:noProof/>
          <w:color w:val="000000" w:themeColor="text1"/>
          <w:sz w:val="24"/>
          <w:szCs w:val="24"/>
          <w:vertAlign w:val="superscript"/>
        </w:rPr>
        <w:t>[</w:t>
      </w:r>
      <w:proofErr w:type="gramEnd"/>
      <w:r w:rsidRPr="00ED7513">
        <w:rPr>
          <w:rFonts w:ascii="Book Antiqua" w:hAnsi="Book Antiqua" w:cs="Times New Roman"/>
          <w:noProof/>
          <w:color w:val="000000" w:themeColor="text1"/>
          <w:sz w:val="24"/>
          <w:szCs w:val="24"/>
          <w:vertAlign w:val="superscript"/>
        </w:rPr>
        <w:t>9]</w:t>
      </w:r>
      <w:r w:rsidRPr="00ED7513">
        <w:rPr>
          <w:rFonts w:ascii="Book Antiqua" w:hAnsi="Book Antiqua" w:cs="Times New Roman"/>
          <w:color w:val="000000" w:themeColor="text1"/>
          <w:sz w:val="24"/>
          <w:szCs w:val="24"/>
        </w:rPr>
        <w:t xml:space="preserve">. Therefore, it is important to identify prognostic factors for PGC and to adopt more aggressive adjuvant treatment strategies, </w:t>
      </w:r>
      <w:r w:rsidR="007875C8" w:rsidRPr="00ED7513">
        <w:rPr>
          <w:rFonts w:ascii="Book Antiqua" w:hAnsi="Book Antiqua" w:cs="Times New Roman"/>
          <w:color w:val="000000" w:themeColor="text1"/>
          <w:sz w:val="24"/>
          <w:szCs w:val="24"/>
        </w:rPr>
        <w:t xml:space="preserve">particularly for </w:t>
      </w:r>
      <w:r w:rsidRPr="00ED7513">
        <w:rPr>
          <w:rFonts w:ascii="Book Antiqua" w:hAnsi="Book Antiqua" w:cs="Times New Roman"/>
          <w:color w:val="000000" w:themeColor="text1"/>
          <w:sz w:val="24"/>
          <w:szCs w:val="24"/>
        </w:rPr>
        <w:t>patients with advanced PGC (APGC).</w:t>
      </w:r>
    </w:p>
    <w:p w:rsidR="00EA6291" w:rsidRPr="00ED7513" w:rsidRDefault="00EA6291" w:rsidP="00ED7513">
      <w:pPr>
        <w:spacing w:line="360" w:lineRule="auto"/>
        <w:ind w:firstLineChars="150" w:firstLine="360"/>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Lymphatic and/or blood vessel invasion (LBVI) is defined as the presence of tumor cells in the </w:t>
      </w:r>
      <w:proofErr w:type="spellStart"/>
      <w:r w:rsidRPr="00ED7513">
        <w:rPr>
          <w:rFonts w:ascii="Book Antiqua" w:hAnsi="Book Antiqua" w:cs="Times New Roman"/>
          <w:color w:val="000000" w:themeColor="text1"/>
          <w:sz w:val="24"/>
          <w:szCs w:val="24"/>
        </w:rPr>
        <w:t>lymphovascular</w:t>
      </w:r>
      <w:proofErr w:type="spellEnd"/>
      <w:r w:rsidRPr="00ED7513">
        <w:rPr>
          <w:rFonts w:ascii="Book Antiqua" w:hAnsi="Book Antiqua" w:cs="Times New Roman"/>
          <w:color w:val="000000" w:themeColor="text1"/>
          <w:sz w:val="24"/>
          <w:szCs w:val="24"/>
        </w:rPr>
        <w:t xml:space="preserve"> system or in the small veins of tumor tissue, under microscope. In addition, LBVI plays an important role in tumor cell dissemination and metastasis during progression, which contributes to the poor prognosis of patients with gastric </w:t>
      </w:r>
      <w:proofErr w:type="gramStart"/>
      <w:r w:rsidRPr="00ED7513">
        <w:rPr>
          <w:rFonts w:ascii="Book Antiqua" w:hAnsi="Book Antiqua" w:cs="Times New Roman"/>
          <w:color w:val="000000" w:themeColor="text1"/>
          <w:sz w:val="24"/>
          <w:szCs w:val="24"/>
        </w:rPr>
        <w:t>cancer</w:t>
      </w:r>
      <w:r w:rsidRPr="00ED7513">
        <w:rPr>
          <w:rFonts w:ascii="Book Antiqua" w:hAnsi="Book Antiqua" w:cs="Times New Roman"/>
          <w:noProof/>
          <w:color w:val="000000" w:themeColor="text1"/>
          <w:sz w:val="24"/>
          <w:szCs w:val="24"/>
          <w:vertAlign w:val="superscript"/>
        </w:rPr>
        <w:t>[</w:t>
      </w:r>
      <w:proofErr w:type="gramEnd"/>
      <w:r w:rsidRPr="00ED7513">
        <w:rPr>
          <w:rFonts w:ascii="Book Antiqua" w:hAnsi="Book Antiqua" w:cs="Times New Roman"/>
          <w:noProof/>
          <w:color w:val="000000" w:themeColor="text1"/>
          <w:sz w:val="24"/>
          <w:szCs w:val="24"/>
          <w:vertAlign w:val="superscript"/>
        </w:rPr>
        <w:t>10-12]</w:t>
      </w:r>
      <w:r w:rsidRPr="00ED7513">
        <w:rPr>
          <w:rFonts w:ascii="Book Antiqua" w:hAnsi="Book Antiqua" w:cs="Times New Roman"/>
          <w:color w:val="000000" w:themeColor="text1"/>
          <w:sz w:val="24"/>
          <w:szCs w:val="24"/>
        </w:rPr>
        <w:t xml:space="preserve">. The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classification system is used to describe the macroscopic appearance of advanced gastric cancer, and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gastric cancer is independently associated with</w:t>
      </w:r>
      <w:r w:rsidR="009118F8" w:rsidRPr="00ED7513">
        <w:rPr>
          <w:rFonts w:ascii="Book Antiqua" w:hAnsi="Book Antiqua" w:cs="Times New Roman"/>
          <w:color w:val="000000" w:themeColor="text1"/>
          <w:sz w:val="24"/>
          <w:szCs w:val="24"/>
        </w:rPr>
        <w:t xml:space="preserve"> </w:t>
      </w:r>
      <w:r w:rsidRPr="00ED7513">
        <w:rPr>
          <w:rFonts w:ascii="Book Antiqua" w:hAnsi="Book Antiqua" w:cs="Times New Roman"/>
          <w:color w:val="000000" w:themeColor="text1"/>
          <w:sz w:val="24"/>
          <w:szCs w:val="24"/>
        </w:rPr>
        <w:t xml:space="preserve">poor prognosis. Moreover,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is more likely to be diagnosed in patients with PGC than in patients with distal gastric </w:t>
      </w:r>
      <w:proofErr w:type="gramStart"/>
      <w:r w:rsidRPr="00ED7513">
        <w:rPr>
          <w:rFonts w:ascii="Book Antiqua" w:hAnsi="Book Antiqua" w:cs="Times New Roman"/>
          <w:color w:val="000000" w:themeColor="text1"/>
          <w:sz w:val="24"/>
          <w:szCs w:val="24"/>
        </w:rPr>
        <w:t>cancers</w:t>
      </w:r>
      <w:r w:rsidRPr="00ED7513">
        <w:rPr>
          <w:rFonts w:ascii="Book Antiqua" w:hAnsi="Book Antiqua" w:cs="Times New Roman"/>
          <w:noProof/>
          <w:color w:val="000000" w:themeColor="text1"/>
          <w:sz w:val="24"/>
          <w:szCs w:val="24"/>
          <w:vertAlign w:val="superscript"/>
        </w:rPr>
        <w:t>[</w:t>
      </w:r>
      <w:proofErr w:type="gramEnd"/>
      <w:r w:rsidRPr="00ED7513">
        <w:rPr>
          <w:rFonts w:ascii="Book Antiqua" w:hAnsi="Book Antiqua" w:cs="Times New Roman"/>
          <w:noProof/>
          <w:color w:val="000000" w:themeColor="text1"/>
          <w:sz w:val="24"/>
          <w:szCs w:val="24"/>
          <w:vertAlign w:val="superscript"/>
        </w:rPr>
        <w:t>13-15]</w:t>
      </w:r>
      <w:r w:rsidRPr="00ED7513">
        <w:rPr>
          <w:rFonts w:ascii="Book Antiqua" w:hAnsi="Book Antiqua" w:cs="Times New Roman"/>
          <w:color w:val="000000" w:themeColor="text1"/>
          <w:sz w:val="24"/>
          <w:szCs w:val="24"/>
        </w:rPr>
        <w:t xml:space="preserve">. However, few studies have examined the prognostic significance of LBVI status combined with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in patients with APGC. Therefore, in this retrospective study</w:t>
      </w:r>
      <w:r w:rsidR="007F6BB2" w:rsidRPr="00ED7513">
        <w:rPr>
          <w:rFonts w:ascii="Book Antiqua" w:hAnsi="Book Antiqua" w:cs="Times New Roman"/>
          <w:color w:val="000000" w:themeColor="text1"/>
          <w:sz w:val="24"/>
          <w:szCs w:val="24"/>
        </w:rPr>
        <w:t>,</w:t>
      </w:r>
      <w:r w:rsidRPr="00ED7513">
        <w:rPr>
          <w:rFonts w:ascii="Book Antiqua" w:hAnsi="Book Antiqua" w:cs="Times New Roman"/>
          <w:color w:val="000000" w:themeColor="text1"/>
          <w:sz w:val="24"/>
          <w:szCs w:val="24"/>
        </w:rPr>
        <w:t xml:space="preserve"> the </w:t>
      </w:r>
      <w:proofErr w:type="spellStart"/>
      <w:r w:rsidRPr="00ED7513">
        <w:rPr>
          <w:rFonts w:ascii="Book Antiqua" w:hAnsi="Book Antiqua" w:cs="Times New Roman"/>
          <w:color w:val="000000" w:themeColor="text1"/>
          <w:sz w:val="24"/>
          <w:szCs w:val="24"/>
        </w:rPr>
        <w:t>clinicopathological</w:t>
      </w:r>
      <w:proofErr w:type="spellEnd"/>
      <w:r w:rsidRPr="00ED7513">
        <w:rPr>
          <w:rFonts w:ascii="Book Antiqua" w:hAnsi="Book Antiqua" w:cs="Times New Roman"/>
          <w:color w:val="000000" w:themeColor="text1"/>
          <w:sz w:val="24"/>
          <w:szCs w:val="24"/>
        </w:rPr>
        <w:t xml:space="preserve"> characteristics of APGC patients with LBVI (LBVI+) or without LBVI (LBVI–) were compared, and LBVI status was examined to determine whether it could be used to further enhance the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classification system.</w:t>
      </w:r>
    </w:p>
    <w:p w:rsidR="00EA6291" w:rsidRPr="00ED7513" w:rsidRDefault="00EA6291"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b/>
          <w:color w:val="000000" w:themeColor="text1"/>
          <w:sz w:val="24"/>
          <w:szCs w:val="24"/>
        </w:rPr>
      </w:pPr>
      <w:r w:rsidRPr="00ED7513">
        <w:rPr>
          <w:rFonts w:ascii="Book Antiqua" w:hAnsi="Book Antiqua" w:cs="Times New Roman"/>
          <w:b/>
          <w:color w:val="000000" w:themeColor="text1"/>
          <w:sz w:val="24"/>
          <w:szCs w:val="24"/>
        </w:rPr>
        <w:lastRenderedPageBreak/>
        <w:t>MATERIALS AND METHODS</w:t>
      </w:r>
    </w:p>
    <w:p w:rsidR="00EA6291" w:rsidRPr="00ED7513" w:rsidRDefault="00EA6291" w:rsidP="00ED7513">
      <w:pPr>
        <w:spacing w:line="360" w:lineRule="auto"/>
        <w:rPr>
          <w:rFonts w:ascii="Book Antiqua" w:hAnsi="Book Antiqua" w:cs="Times New Roman"/>
          <w:b/>
          <w:i/>
          <w:color w:val="000000" w:themeColor="text1"/>
          <w:sz w:val="24"/>
          <w:szCs w:val="24"/>
        </w:rPr>
      </w:pPr>
      <w:r w:rsidRPr="00ED7513">
        <w:rPr>
          <w:rFonts w:ascii="Book Antiqua" w:hAnsi="Book Antiqua" w:cs="Times New Roman"/>
          <w:b/>
          <w:i/>
          <w:color w:val="000000" w:themeColor="text1"/>
          <w:sz w:val="24"/>
          <w:szCs w:val="24"/>
        </w:rPr>
        <w:t>Patients</w:t>
      </w: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All patients underwent curative proximal or total gastrectomy with standard lymph node dissection at the First Affiliated Hospital of the China Medical University</w:t>
      </w:r>
      <w:r w:rsidR="009118F8" w:rsidRPr="00ED7513">
        <w:rPr>
          <w:rFonts w:ascii="Book Antiqua" w:hAnsi="Book Antiqua" w:cs="Times New Roman"/>
          <w:color w:val="000000" w:themeColor="text1"/>
          <w:sz w:val="24"/>
          <w:szCs w:val="24"/>
        </w:rPr>
        <w:t xml:space="preserve"> </w:t>
      </w:r>
      <w:r w:rsidR="00DC36FF" w:rsidRPr="00ED7513">
        <w:rPr>
          <w:rFonts w:ascii="Book Antiqua" w:hAnsi="Book Antiqua" w:cs="Times New Roman"/>
          <w:color w:val="000000" w:themeColor="text1"/>
          <w:sz w:val="24"/>
          <w:szCs w:val="24"/>
        </w:rPr>
        <w:t xml:space="preserve">between </w:t>
      </w:r>
      <w:r w:rsidRPr="00ED7513">
        <w:rPr>
          <w:rFonts w:ascii="Book Antiqua" w:hAnsi="Book Antiqua" w:cs="Times New Roman"/>
          <w:color w:val="000000" w:themeColor="text1"/>
          <w:sz w:val="24"/>
          <w:szCs w:val="24"/>
        </w:rPr>
        <w:t>January 2005 and October 2012</w:t>
      </w:r>
      <w:r w:rsidR="00ED4C73" w:rsidRPr="00ED7513">
        <w:rPr>
          <w:rFonts w:ascii="Book Antiqua" w:hAnsi="Book Antiqua" w:cs="Times New Roman"/>
          <w:color w:val="000000" w:themeColor="text1"/>
          <w:sz w:val="24"/>
          <w:szCs w:val="24"/>
        </w:rPr>
        <w:t xml:space="preserve">. </w:t>
      </w:r>
      <w:r w:rsidR="00DC36FF" w:rsidRPr="00ED7513">
        <w:rPr>
          <w:rFonts w:ascii="Book Antiqua" w:hAnsi="Book Antiqua" w:cs="Times New Roman"/>
          <w:color w:val="000000" w:themeColor="text1"/>
          <w:sz w:val="24"/>
          <w:szCs w:val="24"/>
        </w:rPr>
        <w:t xml:space="preserve">A total of </w:t>
      </w:r>
      <w:r w:rsidRPr="00ED7513">
        <w:rPr>
          <w:rFonts w:ascii="Book Antiqua" w:hAnsi="Book Antiqua" w:cs="Times New Roman"/>
          <w:color w:val="000000" w:themeColor="text1"/>
          <w:sz w:val="24"/>
          <w:szCs w:val="24"/>
        </w:rPr>
        <w:t xml:space="preserve">494 patients with APGC and complete </w:t>
      </w:r>
      <w:proofErr w:type="spellStart"/>
      <w:r w:rsidRPr="00ED7513">
        <w:rPr>
          <w:rFonts w:ascii="Book Antiqua" w:hAnsi="Book Antiqua" w:cs="Times New Roman"/>
          <w:color w:val="000000" w:themeColor="text1"/>
          <w:sz w:val="24"/>
          <w:szCs w:val="24"/>
        </w:rPr>
        <w:t>clinicopathological</w:t>
      </w:r>
      <w:proofErr w:type="spellEnd"/>
      <w:r w:rsidRPr="00ED7513">
        <w:rPr>
          <w:rFonts w:ascii="Book Antiqua" w:hAnsi="Book Antiqua" w:cs="Times New Roman"/>
          <w:color w:val="000000" w:themeColor="text1"/>
          <w:sz w:val="24"/>
          <w:szCs w:val="24"/>
        </w:rPr>
        <w:t xml:space="preserve"> and surgical </w:t>
      </w:r>
      <w:r w:rsidR="00C14319" w:rsidRPr="00ED7513">
        <w:rPr>
          <w:rFonts w:ascii="Book Antiqua" w:hAnsi="Book Antiqua" w:cs="Times New Roman"/>
          <w:color w:val="000000" w:themeColor="text1"/>
          <w:sz w:val="24"/>
          <w:szCs w:val="24"/>
        </w:rPr>
        <w:t>data</w:t>
      </w:r>
      <w:r w:rsidRPr="00ED7513">
        <w:rPr>
          <w:rFonts w:ascii="Book Antiqua" w:hAnsi="Book Antiqua" w:cs="Times New Roman"/>
          <w:color w:val="000000" w:themeColor="text1"/>
          <w:sz w:val="24"/>
          <w:szCs w:val="24"/>
        </w:rPr>
        <w:t xml:space="preserve">, including age, sex, tumor size,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classification, LBVI status, </w:t>
      </w:r>
      <w:proofErr w:type="spellStart"/>
      <w:r w:rsidRPr="00ED7513">
        <w:rPr>
          <w:rFonts w:ascii="Book Antiqua" w:hAnsi="Book Antiqua" w:cs="Times New Roman"/>
          <w:color w:val="000000" w:themeColor="text1"/>
          <w:sz w:val="24"/>
          <w:szCs w:val="24"/>
        </w:rPr>
        <w:t>pT</w:t>
      </w:r>
      <w:proofErr w:type="spellEnd"/>
      <w:r w:rsidRPr="00ED7513">
        <w:rPr>
          <w:rFonts w:ascii="Book Antiqua" w:hAnsi="Book Antiqua" w:cs="Times New Roman"/>
          <w:color w:val="000000" w:themeColor="text1"/>
          <w:sz w:val="24"/>
          <w:szCs w:val="24"/>
        </w:rPr>
        <w:t xml:space="preserve"> status, </w:t>
      </w:r>
      <w:proofErr w:type="spellStart"/>
      <w:r w:rsidRPr="00ED7513">
        <w:rPr>
          <w:rFonts w:ascii="Book Antiqua" w:hAnsi="Book Antiqua" w:cs="Times New Roman"/>
          <w:color w:val="000000" w:themeColor="text1"/>
          <w:sz w:val="24"/>
          <w:szCs w:val="24"/>
        </w:rPr>
        <w:t>pN</w:t>
      </w:r>
      <w:proofErr w:type="spellEnd"/>
      <w:r w:rsidRPr="00ED7513">
        <w:rPr>
          <w:rFonts w:ascii="Book Antiqua" w:hAnsi="Book Antiqua" w:cs="Times New Roman"/>
          <w:color w:val="000000" w:themeColor="text1"/>
          <w:sz w:val="24"/>
          <w:szCs w:val="24"/>
        </w:rPr>
        <w:t xml:space="preserve"> status, histological grade, resection type, and extent of resection</w:t>
      </w:r>
      <w:r w:rsidR="007F6BB2" w:rsidRPr="00ED7513">
        <w:rPr>
          <w:rFonts w:ascii="Book Antiqua" w:hAnsi="Book Antiqua" w:cs="Times New Roman"/>
          <w:color w:val="000000" w:themeColor="text1"/>
          <w:sz w:val="24"/>
          <w:szCs w:val="24"/>
        </w:rPr>
        <w:t>,</w:t>
      </w:r>
      <w:r w:rsidRPr="00ED7513">
        <w:rPr>
          <w:rFonts w:ascii="Book Antiqua" w:hAnsi="Book Antiqua" w:cs="Times New Roman"/>
          <w:color w:val="000000" w:themeColor="text1"/>
          <w:sz w:val="24"/>
          <w:szCs w:val="24"/>
        </w:rPr>
        <w:t xml:space="preserve"> were included</w:t>
      </w:r>
      <w:r w:rsidR="007F6BB2" w:rsidRPr="00ED7513">
        <w:rPr>
          <w:rFonts w:ascii="Book Antiqua" w:hAnsi="Book Antiqua" w:cs="Times New Roman"/>
          <w:color w:val="000000" w:themeColor="text1"/>
          <w:sz w:val="24"/>
          <w:szCs w:val="24"/>
        </w:rPr>
        <w:t xml:space="preserve"> in this study</w:t>
      </w:r>
      <w:r w:rsidRPr="00ED7513">
        <w:rPr>
          <w:rFonts w:ascii="Book Antiqua" w:hAnsi="Book Antiqua" w:cs="Times New Roman"/>
          <w:color w:val="000000" w:themeColor="text1"/>
          <w:sz w:val="24"/>
          <w:szCs w:val="24"/>
        </w:rPr>
        <w:t>. We defined APGC as</w:t>
      </w:r>
      <w:r w:rsidR="005465E0" w:rsidRPr="00ED7513">
        <w:rPr>
          <w:rFonts w:ascii="Book Antiqua" w:hAnsi="Book Antiqua" w:cs="Times New Roman"/>
          <w:color w:val="000000" w:themeColor="text1"/>
          <w:sz w:val="24"/>
          <w:szCs w:val="24"/>
        </w:rPr>
        <w:t>:</w:t>
      </w:r>
      <w:r w:rsidRPr="00ED7513">
        <w:rPr>
          <w:rFonts w:ascii="Book Antiqua" w:hAnsi="Book Antiqua" w:cs="Times New Roman"/>
          <w:color w:val="000000" w:themeColor="text1"/>
          <w:sz w:val="24"/>
          <w:szCs w:val="24"/>
        </w:rPr>
        <w:t xml:space="preserve"> </w:t>
      </w:r>
      <w:r w:rsidR="009118F8" w:rsidRPr="00ED7513">
        <w:rPr>
          <w:rFonts w:ascii="Book Antiqua" w:hAnsi="Book Antiqua" w:cs="Times New Roman"/>
          <w:color w:val="000000" w:themeColor="text1"/>
          <w:sz w:val="24"/>
          <w:szCs w:val="24"/>
        </w:rPr>
        <w:t>(</w:t>
      </w:r>
      <w:r w:rsidRPr="00ED7513">
        <w:rPr>
          <w:rFonts w:ascii="Book Antiqua" w:hAnsi="Book Antiqua" w:cs="Times New Roman"/>
          <w:color w:val="000000" w:themeColor="text1"/>
          <w:sz w:val="24"/>
          <w:szCs w:val="24"/>
        </w:rPr>
        <w:t xml:space="preserve">1) a tumor located at the proximal third of the stomach, including the gastric cardia, esophageal-gastric junction, and fundus; </w:t>
      </w:r>
      <w:r w:rsidR="009118F8" w:rsidRPr="00ED7513">
        <w:rPr>
          <w:rFonts w:ascii="Book Antiqua" w:hAnsi="Book Antiqua" w:cs="Times New Roman"/>
          <w:color w:val="000000" w:themeColor="text1"/>
          <w:sz w:val="24"/>
          <w:szCs w:val="24"/>
        </w:rPr>
        <w:t>(</w:t>
      </w:r>
      <w:r w:rsidRPr="00ED7513">
        <w:rPr>
          <w:rFonts w:ascii="Book Antiqua" w:hAnsi="Book Antiqua" w:cs="Times New Roman"/>
          <w:color w:val="000000" w:themeColor="text1"/>
          <w:sz w:val="24"/>
          <w:szCs w:val="24"/>
        </w:rPr>
        <w:t xml:space="preserve">2) a tumor histologically diagnosed as gastric adenocarcinoma; and </w:t>
      </w:r>
      <w:r w:rsidR="009118F8" w:rsidRPr="00ED7513">
        <w:rPr>
          <w:rFonts w:ascii="Book Antiqua" w:hAnsi="Book Antiqua" w:cs="Times New Roman"/>
          <w:color w:val="000000" w:themeColor="text1"/>
          <w:sz w:val="24"/>
          <w:szCs w:val="24"/>
        </w:rPr>
        <w:t>(</w:t>
      </w:r>
      <w:r w:rsidRPr="00ED7513">
        <w:rPr>
          <w:rFonts w:ascii="Book Antiqua" w:hAnsi="Book Antiqua" w:cs="Times New Roman"/>
          <w:color w:val="000000" w:themeColor="text1"/>
          <w:sz w:val="24"/>
          <w:szCs w:val="24"/>
        </w:rPr>
        <w:t xml:space="preserve">3) a tumor with a depth of invasion beyond the mucous layer. We excluded the following patients: </w:t>
      </w:r>
      <w:r w:rsidR="009118F8" w:rsidRPr="00ED7513">
        <w:rPr>
          <w:rFonts w:ascii="Book Antiqua" w:hAnsi="Book Antiqua" w:cs="Times New Roman"/>
          <w:color w:val="000000" w:themeColor="text1"/>
          <w:sz w:val="24"/>
          <w:szCs w:val="24"/>
        </w:rPr>
        <w:t>(</w:t>
      </w:r>
      <w:r w:rsidRPr="00ED7513">
        <w:rPr>
          <w:rFonts w:ascii="Book Antiqua" w:hAnsi="Book Antiqua" w:cs="Times New Roman"/>
          <w:color w:val="000000" w:themeColor="text1"/>
          <w:sz w:val="24"/>
          <w:szCs w:val="24"/>
        </w:rPr>
        <w:t xml:space="preserve">1) those with distant metastasis, peritoneal dissemination, or pathological T4b stage; </w:t>
      </w:r>
      <w:r w:rsidR="009118F8" w:rsidRPr="00ED7513">
        <w:rPr>
          <w:rFonts w:ascii="Book Antiqua" w:hAnsi="Book Antiqua" w:cs="Times New Roman"/>
          <w:color w:val="000000" w:themeColor="text1"/>
          <w:sz w:val="24"/>
          <w:szCs w:val="24"/>
        </w:rPr>
        <w:t>(</w:t>
      </w:r>
      <w:r w:rsidRPr="00ED7513">
        <w:rPr>
          <w:rFonts w:ascii="Book Antiqua" w:hAnsi="Book Antiqua" w:cs="Times New Roman"/>
          <w:color w:val="000000" w:themeColor="text1"/>
          <w:sz w:val="24"/>
          <w:szCs w:val="24"/>
        </w:rPr>
        <w:t xml:space="preserve">2) those </w:t>
      </w:r>
      <w:proofErr w:type="gramStart"/>
      <w:r w:rsidRPr="00ED7513">
        <w:rPr>
          <w:rFonts w:ascii="Book Antiqua" w:hAnsi="Book Antiqua" w:cs="Times New Roman"/>
          <w:color w:val="000000" w:themeColor="text1"/>
          <w:sz w:val="24"/>
          <w:szCs w:val="24"/>
        </w:rPr>
        <w:t>who</w:t>
      </w:r>
      <w:proofErr w:type="gramEnd"/>
      <w:r w:rsidRPr="00ED7513">
        <w:rPr>
          <w:rFonts w:ascii="Book Antiqua" w:hAnsi="Book Antiqua" w:cs="Times New Roman"/>
          <w:color w:val="000000" w:themeColor="text1"/>
          <w:sz w:val="24"/>
          <w:szCs w:val="24"/>
        </w:rPr>
        <w:t xml:space="preserve"> underwent palliative surgery; </w:t>
      </w:r>
      <w:r w:rsidR="009118F8" w:rsidRPr="00ED7513">
        <w:rPr>
          <w:rFonts w:ascii="Book Antiqua" w:hAnsi="Book Antiqua" w:cs="Times New Roman"/>
          <w:color w:val="000000" w:themeColor="text1"/>
          <w:sz w:val="24"/>
          <w:szCs w:val="24"/>
        </w:rPr>
        <w:t>(</w:t>
      </w:r>
      <w:r w:rsidRPr="00ED7513">
        <w:rPr>
          <w:rFonts w:ascii="Book Antiqua" w:hAnsi="Book Antiqua" w:cs="Times New Roman"/>
          <w:color w:val="000000" w:themeColor="text1"/>
          <w:sz w:val="24"/>
          <w:szCs w:val="24"/>
        </w:rPr>
        <w:t xml:space="preserve">3) those who died due to postoperative non-tumor-related events; </w:t>
      </w:r>
      <w:r w:rsidR="009118F8" w:rsidRPr="00ED7513">
        <w:rPr>
          <w:rFonts w:ascii="Book Antiqua" w:hAnsi="Book Antiqua" w:cs="Times New Roman"/>
          <w:color w:val="000000" w:themeColor="text1"/>
          <w:sz w:val="24"/>
          <w:szCs w:val="24"/>
        </w:rPr>
        <w:t>(</w:t>
      </w:r>
      <w:r w:rsidRPr="00ED7513">
        <w:rPr>
          <w:rFonts w:ascii="Book Antiqua" w:hAnsi="Book Antiqua" w:cs="Times New Roman"/>
          <w:color w:val="000000" w:themeColor="text1"/>
          <w:sz w:val="24"/>
          <w:szCs w:val="24"/>
        </w:rPr>
        <w:t xml:space="preserve">4) those who had undergone preoperative chemotherapy or radiotherapy; </w:t>
      </w:r>
      <w:r w:rsidR="009118F8" w:rsidRPr="00ED7513">
        <w:rPr>
          <w:rFonts w:ascii="Book Antiqua" w:hAnsi="Book Antiqua" w:cs="Times New Roman"/>
          <w:color w:val="000000" w:themeColor="text1"/>
          <w:sz w:val="24"/>
          <w:szCs w:val="24"/>
        </w:rPr>
        <w:t>(</w:t>
      </w:r>
      <w:r w:rsidRPr="00ED7513">
        <w:rPr>
          <w:rFonts w:ascii="Book Antiqua" w:hAnsi="Book Antiqua" w:cs="Times New Roman"/>
          <w:color w:val="000000" w:themeColor="text1"/>
          <w:sz w:val="24"/>
          <w:szCs w:val="24"/>
        </w:rPr>
        <w:t xml:space="preserve">5) those with carcinoma in the remnant stomach; and </w:t>
      </w:r>
      <w:r w:rsidR="009118F8" w:rsidRPr="00ED7513">
        <w:rPr>
          <w:rFonts w:ascii="Book Antiqua" w:hAnsi="Book Antiqua" w:cs="Times New Roman"/>
          <w:color w:val="000000" w:themeColor="text1"/>
          <w:sz w:val="24"/>
          <w:szCs w:val="24"/>
        </w:rPr>
        <w:t>(</w:t>
      </w:r>
      <w:r w:rsidRPr="00ED7513">
        <w:rPr>
          <w:rFonts w:ascii="Book Antiqua" w:hAnsi="Book Antiqua" w:cs="Times New Roman"/>
          <w:color w:val="000000" w:themeColor="text1"/>
          <w:sz w:val="24"/>
          <w:szCs w:val="24"/>
        </w:rPr>
        <w:t xml:space="preserve">6) those who were lost to follow-up. Therefore, 440 patients were included in the final analyses. </w:t>
      </w:r>
    </w:p>
    <w:p w:rsidR="00EA6291" w:rsidRPr="00ED7513" w:rsidRDefault="00EA6291" w:rsidP="00ED7513">
      <w:pPr>
        <w:spacing w:line="360" w:lineRule="auto"/>
        <w:ind w:firstLineChars="150" w:firstLine="360"/>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All patients underwent standardized follow-up every 3 </w:t>
      </w:r>
      <w:proofErr w:type="spellStart"/>
      <w:r w:rsidR="009118F8" w:rsidRPr="00ED7513">
        <w:rPr>
          <w:rFonts w:ascii="Book Antiqua" w:hAnsi="Book Antiqua" w:cs="Times New Roman"/>
          <w:color w:val="000000" w:themeColor="text1"/>
          <w:sz w:val="24"/>
          <w:szCs w:val="24"/>
        </w:rPr>
        <w:t>mo</w:t>
      </w:r>
      <w:proofErr w:type="spellEnd"/>
      <w:r w:rsidRPr="00ED7513">
        <w:rPr>
          <w:rFonts w:ascii="Book Antiqua" w:hAnsi="Book Antiqua" w:cs="Times New Roman"/>
          <w:color w:val="000000" w:themeColor="text1"/>
          <w:sz w:val="24"/>
          <w:szCs w:val="24"/>
        </w:rPr>
        <w:t xml:space="preserve"> for the first 2 years after surgery, every 6 </w:t>
      </w:r>
      <w:proofErr w:type="spellStart"/>
      <w:r w:rsidR="009118F8" w:rsidRPr="00ED7513">
        <w:rPr>
          <w:rFonts w:ascii="Book Antiqua" w:hAnsi="Book Antiqua" w:cs="Times New Roman"/>
          <w:color w:val="000000" w:themeColor="text1"/>
          <w:sz w:val="24"/>
          <w:szCs w:val="24"/>
        </w:rPr>
        <w:t>mo</w:t>
      </w:r>
      <w:proofErr w:type="spellEnd"/>
      <w:r w:rsidR="009118F8" w:rsidRPr="00ED7513">
        <w:rPr>
          <w:rFonts w:ascii="Book Antiqua" w:hAnsi="Book Antiqua" w:cs="Times New Roman"/>
          <w:color w:val="000000" w:themeColor="text1"/>
          <w:sz w:val="24"/>
          <w:szCs w:val="24"/>
        </w:rPr>
        <w:t xml:space="preserve"> </w:t>
      </w:r>
      <w:r w:rsidRPr="00ED7513">
        <w:rPr>
          <w:rFonts w:ascii="Book Antiqua" w:hAnsi="Book Antiqua" w:cs="Times New Roman"/>
          <w:color w:val="000000" w:themeColor="text1"/>
          <w:sz w:val="24"/>
          <w:szCs w:val="24"/>
        </w:rPr>
        <w:t xml:space="preserve">during the third year, and annually thereafter. The follow-up period was from surgery until the patient’s death or October 2017. The median follow-up period was 65 </w:t>
      </w:r>
      <w:proofErr w:type="spellStart"/>
      <w:proofErr w:type="gramStart"/>
      <w:r w:rsidR="009118F8" w:rsidRPr="00ED7513">
        <w:rPr>
          <w:rFonts w:ascii="Book Antiqua" w:hAnsi="Book Antiqua" w:cs="Times New Roman"/>
          <w:color w:val="000000" w:themeColor="text1"/>
          <w:sz w:val="24"/>
          <w:szCs w:val="24"/>
        </w:rPr>
        <w:t>mo</w:t>
      </w:r>
      <w:proofErr w:type="spellEnd"/>
      <w:proofErr w:type="gramEnd"/>
      <w:r w:rsidR="009118F8" w:rsidRPr="00ED7513">
        <w:rPr>
          <w:rFonts w:ascii="Book Antiqua" w:hAnsi="Book Antiqua" w:cs="Times New Roman"/>
          <w:color w:val="000000" w:themeColor="text1"/>
          <w:sz w:val="24"/>
          <w:szCs w:val="24"/>
        </w:rPr>
        <w:t xml:space="preserve"> </w:t>
      </w:r>
      <w:r w:rsidRPr="00ED7513">
        <w:rPr>
          <w:rFonts w:ascii="Book Antiqua" w:hAnsi="Book Antiqua" w:cs="Times New Roman"/>
          <w:color w:val="000000" w:themeColor="text1"/>
          <w:sz w:val="24"/>
          <w:szCs w:val="24"/>
        </w:rPr>
        <w:t xml:space="preserve">(range: 2–122 </w:t>
      </w:r>
      <w:proofErr w:type="spellStart"/>
      <w:r w:rsidR="009118F8" w:rsidRPr="00ED7513">
        <w:rPr>
          <w:rFonts w:ascii="Book Antiqua" w:hAnsi="Book Antiqua" w:cs="Times New Roman"/>
          <w:color w:val="000000" w:themeColor="text1"/>
          <w:sz w:val="24"/>
          <w:szCs w:val="24"/>
        </w:rPr>
        <w:t>mo</w:t>
      </w:r>
      <w:proofErr w:type="spellEnd"/>
      <w:r w:rsidRPr="00ED7513">
        <w:rPr>
          <w:rFonts w:ascii="Book Antiqua" w:hAnsi="Book Antiqua" w:cs="Times New Roman"/>
          <w:color w:val="000000" w:themeColor="text1"/>
          <w:sz w:val="24"/>
          <w:szCs w:val="24"/>
        </w:rPr>
        <w:t>).</w:t>
      </w:r>
    </w:p>
    <w:p w:rsidR="00EA6291" w:rsidRPr="00ED7513" w:rsidRDefault="00EA6291"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b/>
          <w:i/>
          <w:color w:val="000000" w:themeColor="text1"/>
          <w:sz w:val="24"/>
          <w:szCs w:val="24"/>
        </w:rPr>
      </w:pPr>
      <w:r w:rsidRPr="00ED7513">
        <w:rPr>
          <w:rFonts w:ascii="Book Antiqua" w:hAnsi="Book Antiqua" w:cs="Times New Roman"/>
          <w:b/>
          <w:i/>
          <w:color w:val="000000" w:themeColor="text1"/>
          <w:sz w:val="24"/>
          <w:szCs w:val="24"/>
        </w:rPr>
        <w:t>Tumor classification</w:t>
      </w: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All resected specimens were fixed using 10% formalin, dehydrated using ethanol, embedded in paraffin, stained </w:t>
      </w:r>
      <w:r w:rsidR="005465E0" w:rsidRPr="00ED7513">
        <w:rPr>
          <w:rFonts w:ascii="Book Antiqua" w:hAnsi="Book Antiqua" w:cs="Times New Roman"/>
          <w:color w:val="000000" w:themeColor="text1"/>
          <w:sz w:val="24"/>
          <w:szCs w:val="24"/>
        </w:rPr>
        <w:t xml:space="preserve">with </w:t>
      </w:r>
      <w:r w:rsidR="00A33D70" w:rsidRPr="00ED7513">
        <w:rPr>
          <w:rFonts w:ascii="Book Antiqua" w:hAnsi="Book Antiqua" w:cs="Times New Roman"/>
          <w:color w:val="000000" w:themeColor="text1"/>
          <w:sz w:val="24"/>
          <w:szCs w:val="24"/>
        </w:rPr>
        <w:t>hematoxylin and eosin (H</w:t>
      </w:r>
      <w:r w:rsidRPr="00ED7513">
        <w:rPr>
          <w:rFonts w:ascii="Book Antiqua" w:hAnsi="Book Antiqua" w:cs="Times New Roman"/>
          <w:color w:val="000000" w:themeColor="text1"/>
          <w:sz w:val="24"/>
          <w:szCs w:val="24"/>
        </w:rPr>
        <w:t xml:space="preserve">E), and evaluated using an optical microscope. Each patient’s LBVI status and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were independently evaluated by two pathologists, and disagreements were resolved by a third pathologist. The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classification and LBVI status were determined based on the Japanese </w:t>
      </w:r>
      <w:r w:rsidRPr="00ED7513">
        <w:rPr>
          <w:rFonts w:ascii="Book Antiqua" w:hAnsi="Book Antiqua" w:cs="Times New Roman"/>
          <w:color w:val="000000" w:themeColor="text1"/>
          <w:sz w:val="24"/>
          <w:szCs w:val="24"/>
        </w:rPr>
        <w:lastRenderedPageBreak/>
        <w:t xml:space="preserve">Classification of Gastric </w:t>
      </w:r>
      <w:proofErr w:type="gramStart"/>
      <w:r w:rsidRPr="00ED7513">
        <w:rPr>
          <w:rFonts w:ascii="Book Antiqua" w:hAnsi="Book Antiqua" w:cs="Times New Roman"/>
          <w:color w:val="000000" w:themeColor="text1"/>
          <w:sz w:val="24"/>
          <w:szCs w:val="24"/>
        </w:rPr>
        <w:t>Carcinoma</w:t>
      </w:r>
      <w:r w:rsidRPr="00ED7513">
        <w:rPr>
          <w:rFonts w:ascii="Book Antiqua" w:hAnsi="Book Antiqua" w:cs="Times New Roman"/>
          <w:noProof/>
          <w:color w:val="000000" w:themeColor="text1"/>
          <w:sz w:val="24"/>
          <w:szCs w:val="24"/>
          <w:vertAlign w:val="superscript"/>
        </w:rPr>
        <w:t>[</w:t>
      </w:r>
      <w:proofErr w:type="gramEnd"/>
      <w:r w:rsidRPr="00ED7513">
        <w:rPr>
          <w:rFonts w:ascii="Book Antiqua" w:hAnsi="Book Antiqua" w:cs="Times New Roman"/>
          <w:noProof/>
          <w:color w:val="000000" w:themeColor="text1"/>
          <w:sz w:val="24"/>
          <w:szCs w:val="24"/>
          <w:vertAlign w:val="superscript"/>
        </w:rPr>
        <w:t>16]</w:t>
      </w:r>
      <w:r w:rsidRPr="00ED7513">
        <w:rPr>
          <w:rFonts w:ascii="Book Antiqua" w:hAnsi="Book Antiqua" w:cs="Times New Roman"/>
          <w:color w:val="000000" w:themeColor="text1"/>
          <w:sz w:val="24"/>
          <w:szCs w:val="24"/>
        </w:rPr>
        <w:t xml:space="preserv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 (limited mass) was defined as a tumor that protruded toward the gastric lumen and had a distinct border separating it from the surrounding mucosa.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 (limited ulcerative) was defined as an ulcerated tumor with its dam-shaped margin protruding and surrounded by a thickened gastric wall with clear margins.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(infiltrative ulcerative) was defined as a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 tumor that was surrounded by a thickened gastric wall without clear margins.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(diffuse infiltrative) was defined as a tumor with diffuse infiltration through each layer of the gastric wall, without marked ulceration or raised margins, and without clear margins separating the tumor from normal tissue. The presence of LBVI was identified based on the presence of tumor cells in the </w:t>
      </w:r>
      <w:proofErr w:type="spellStart"/>
      <w:r w:rsidRPr="00ED7513">
        <w:rPr>
          <w:rFonts w:ascii="Book Antiqua" w:hAnsi="Book Antiqua" w:cs="Times New Roman"/>
          <w:color w:val="000000" w:themeColor="text1"/>
          <w:sz w:val="24"/>
          <w:szCs w:val="24"/>
        </w:rPr>
        <w:t>lymphovascular</w:t>
      </w:r>
      <w:proofErr w:type="spellEnd"/>
      <w:r w:rsidRPr="00ED7513">
        <w:rPr>
          <w:rFonts w:ascii="Book Antiqua" w:hAnsi="Book Antiqua" w:cs="Times New Roman"/>
          <w:color w:val="000000" w:themeColor="text1"/>
          <w:sz w:val="24"/>
          <w:szCs w:val="24"/>
        </w:rPr>
        <w:t xml:space="preserve"> system or in the small veins of tumor tissue. Pathological tumor staging was based on the TNM system of the American Joint Committee on Cancer and the International Union </w:t>
      </w:r>
      <w:proofErr w:type="gramStart"/>
      <w:r w:rsidRPr="00ED7513">
        <w:rPr>
          <w:rFonts w:ascii="Book Antiqua" w:hAnsi="Book Antiqua" w:cs="Times New Roman"/>
          <w:color w:val="000000" w:themeColor="text1"/>
          <w:sz w:val="24"/>
          <w:szCs w:val="24"/>
        </w:rPr>
        <w:t>Against</w:t>
      </w:r>
      <w:proofErr w:type="gramEnd"/>
      <w:r w:rsidRPr="00ED7513">
        <w:rPr>
          <w:rFonts w:ascii="Book Antiqua" w:hAnsi="Book Antiqua" w:cs="Times New Roman"/>
          <w:color w:val="000000" w:themeColor="text1"/>
          <w:sz w:val="24"/>
          <w:szCs w:val="24"/>
        </w:rPr>
        <w:t xml:space="preserve"> Cancer (eighth edition). </w:t>
      </w:r>
    </w:p>
    <w:p w:rsidR="00EA6291" w:rsidRPr="00ED7513" w:rsidRDefault="00EA6291"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b/>
          <w:i/>
          <w:color w:val="000000" w:themeColor="text1"/>
          <w:sz w:val="24"/>
          <w:szCs w:val="24"/>
        </w:rPr>
      </w:pPr>
      <w:r w:rsidRPr="00ED7513">
        <w:rPr>
          <w:rFonts w:ascii="Book Antiqua" w:hAnsi="Book Antiqua" w:cs="Times New Roman"/>
          <w:b/>
          <w:i/>
          <w:color w:val="000000" w:themeColor="text1"/>
          <w:sz w:val="24"/>
          <w:szCs w:val="24"/>
        </w:rPr>
        <w:t>Statistical analysis</w:t>
      </w: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Differences between the LBVI– and LBVI+ groups were evaluated using the Chi-square test for categorical variables and the independent </w:t>
      </w:r>
      <w:r w:rsidRPr="00ED7513">
        <w:rPr>
          <w:rFonts w:ascii="Book Antiqua" w:hAnsi="Book Antiqua" w:cs="Times New Roman"/>
          <w:i/>
          <w:color w:val="000000" w:themeColor="text1"/>
          <w:sz w:val="24"/>
          <w:szCs w:val="24"/>
        </w:rPr>
        <w:t xml:space="preserve">t </w:t>
      </w:r>
      <w:r w:rsidRPr="00ED7513">
        <w:rPr>
          <w:rFonts w:ascii="Book Antiqua" w:hAnsi="Book Antiqua" w:cs="Times New Roman"/>
          <w:color w:val="000000" w:themeColor="text1"/>
          <w:sz w:val="24"/>
          <w:szCs w:val="24"/>
        </w:rPr>
        <w:t xml:space="preserve">test for continuous variables. The Kaplan-Meier method and log-rank test were used to identify univariate differences in survival. A multivariate analysis was performed using the Cox proportional hazards model. All statistical analyses were performed using SPSS software (version 22.0; IBM Corp., Armonk, NY, USA), and differences were considered statistically significant at two-sided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values of &lt;</w:t>
      </w:r>
      <w:r w:rsidR="00A33D70" w:rsidRPr="00ED7513">
        <w:rPr>
          <w:rFonts w:ascii="Book Antiqua" w:hAnsi="Book Antiqua" w:cs="Times New Roman"/>
          <w:color w:val="000000" w:themeColor="text1"/>
          <w:sz w:val="24"/>
          <w:szCs w:val="24"/>
        </w:rPr>
        <w:t xml:space="preserve"> </w:t>
      </w:r>
      <w:r w:rsidRPr="00ED7513">
        <w:rPr>
          <w:rFonts w:ascii="Book Antiqua" w:hAnsi="Book Antiqua" w:cs="Times New Roman"/>
          <w:color w:val="000000" w:themeColor="text1"/>
          <w:sz w:val="24"/>
          <w:szCs w:val="24"/>
        </w:rPr>
        <w:t>0.05.</w:t>
      </w:r>
    </w:p>
    <w:p w:rsidR="00EA6291" w:rsidRPr="00ED7513" w:rsidRDefault="00EA6291"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b/>
          <w:color w:val="000000" w:themeColor="text1"/>
          <w:sz w:val="24"/>
          <w:szCs w:val="24"/>
        </w:rPr>
      </w:pPr>
      <w:r w:rsidRPr="00ED7513">
        <w:rPr>
          <w:rFonts w:ascii="Book Antiqua" w:hAnsi="Book Antiqua" w:cs="Times New Roman"/>
          <w:b/>
          <w:color w:val="000000" w:themeColor="text1"/>
          <w:sz w:val="24"/>
          <w:szCs w:val="24"/>
        </w:rPr>
        <w:t>RESULTS</w:t>
      </w:r>
    </w:p>
    <w:p w:rsidR="00EA6291" w:rsidRPr="00ED7513" w:rsidRDefault="00EA6291" w:rsidP="00ED7513">
      <w:pPr>
        <w:spacing w:line="360" w:lineRule="auto"/>
        <w:rPr>
          <w:rFonts w:ascii="Book Antiqua" w:hAnsi="Book Antiqua" w:cs="Times New Roman"/>
          <w:b/>
          <w:i/>
          <w:color w:val="000000" w:themeColor="text1"/>
          <w:sz w:val="24"/>
          <w:szCs w:val="24"/>
        </w:rPr>
      </w:pPr>
      <w:proofErr w:type="spellStart"/>
      <w:r w:rsidRPr="00ED7513">
        <w:rPr>
          <w:rFonts w:ascii="Book Antiqua" w:hAnsi="Book Antiqua" w:cs="Times New Roman"/>
          <w:b/>
          <w:i/>
          <w:color w:val="000000" w:themeColor="text1"/>
          <w:sz w:val="24"/>
          <w:szCs w:val="24"/>
        </w:rPr>
        <w:t>Clinicopathological</w:t>
      </w:r>
      <w:proofErr w:type="spellEnd"/>
      <w:r w:rsidRPr="00ED7513">
        <w:rPr>
          <w:rFonts w:ascii="Book Antiqua" w:hAnsi="Book Antiqua" w:cs="Times New Roman"/>
          <w:b/>
          <w:i/>
          <w:color w:val="000000" w:themeColor="text1"/>
          <w:sz w:val="24"/>
          <w:szCs w:val="24"/>
        </w:rPr>
        <w:t xml:space="preserve"> characteristics</w:t>
      </w: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Of the 440 eligible patients with APGC, 97 patients (22.1%) underwent proximal gastrectomy and 343 patients (77.9%) underwent total gastrectomy. </w:t>
      </w:r>
      <w:r w:rsidRPr="00ED7513">
        <w:rPr>
          <w:rFonts w:ascii="Book Antiqua" w:hAnsi="Book Antiqua" w:cs="Times New Roman"/>
          <w:color w:val="000000" w:themeColor="text1"/>
          <w:sz w:val="24"/>
          <w:szCs w:val="24"/>
        </w:rPr>
        <w:lastRenderedPageBreak/>
        <w:t xml:space="preserve">All patients achieved radical resection (R0), and D2 lymphadenectomy was performed in 436 patients (98.2%). Among the 440 patients, 151 (34.3%) had LBVI and 72 (16.4%) had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disease. The incidence of LBVI+ was 15.5% (9/58) in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disease, 35.8% (111/310) in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disease, and 43.1% (31/7</w:t>
      </w:r>
      <w:r w:rsidR="00A33D70" w:rsidRPr="00ED7513">
        <w:rPr>
          <w:rFonts w:ascii="Book Antiqua" w:hAnsi="Book Antiqua" w:cs="Times New Roman"/>
          <w:color w:val="000000" w:themeColor="text1"/>
          <w:sz w:val="24"/>
          <w:szCs w:val="24"/>
        </w:rPr>
        <w:t xml:space="preserve">2) in </w:t>
      </w:r>
      <w:proofErr w:type="spellStart"/>
      <w:r w:rsidR="00A33D70" w:rsidRPr="00ED7513">
        <w:rPr>
          <w:rFonts w:ascii="Book Antiqua" w:hAnsi="Book Antiqua" w:cs="Times New Roman"/>
          <w:color w:val="000000" w:themeColor="text1"/>
          <w:sz w:val="24"/>
          <w:szCs w:val="24"/>
        </w:rPr>
        <w:t>Borrmann</w:t>
      </w:r>
      <w:proofErr w:type="spellEnd"/>
      <w:r w:rsidR="00A33D70" w:rsidRPr="00ED7513">
        <w:rPr>
          <w:rFonts w:ascii="Book Antiqua" w:hAnsi="Book Antiqua" w:cs="Times New Roman"/>
          <w:color w:val="000000" w:themeColor="text1"/>
          <w:sz w:val="24"/>
          <w:szCs w:val="24"/>
        </w:rPr>
        <w:t xml:space="preserve"> type IV disease.</w:t>
      </w:r>
    </w:p>
    <w:p w:rsidR="00EA6291" w:rsidRPr="00ED7513" w:rsidRDefault="00EA6291" w:rsidP="00ED7513">
      <w:pPr>
        <w:spacing w:line="360" w:lineRule="auto"/>
        <w:ind w:firstLineChars="200" w:firstLine="480"/>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Table 1 shows the patients’ </w:t>
      </w:r>
      <w:proofErr w:type="spellStart"/>
      <w:r w:rsidRPr="00ED7513">
        <w:rPr>
          <w:rFonts w:ascii="Book Antiqua" w:hAnsi="Book Antiqua" w:cs="Times New Roman"/>
          <w:color w:val="000000" w:themeColor="text1"/>
          <w:sz w:val="24"/>
          <w:szCs w:val="24"/>
        </w:rPr>
        <w:t>clinicopathological</w:t>
      </w:r>
      <w:proofErr w:type="spellEnd"/>
      <w:r w:rsidRPr="00ED7513">
        <w:rPr>
          <w:rFonts w:ascii="Book Antiqua" w:hAnsi="Book Antiqua" w:cs="Times New Roman"/>
          <w:color w:val="000000" w:themeColor="text1"/>
          <w:sz w:val="24"/>
          <w:szCs w:val="24"/>
        </w:rPr>
        <w:t xml:space="preserve"> characteristics according to LBVI status. The presence of LVBI was significantly associated with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w:t>
      </w:r>
      <w:r w:rsidRPr="00ED7513">
        <w:rPr>
          <w:rFonts w:ascii="Book Antiqua" w:hAnsi="Book Antiqua" w:cs="Times New Roman"/>
          <w:i/>
          <w:color w:val="000000" w:themeColor="text1"/>
          <w:sz w:val="24"/>
          <w:szCs w:val="24"/>
        </w:rPr>
        <w:t xml:space="preserve">P </w:t>
      </w:r>
      <w:r w:rsidRPr="00ED7513">
        <w:rPr>
          <w:rFonts w:ascii="Book Antiqua" w:hAnsi="Book Antiqua" w:cs="Times New Roman"/>
          <w:color w:val="000000" w:themeColor="text1"/>
          <w:sz w:val="24"/>
          <w:szCs w:val="24"/>
        </w:rPr>
        <w:t xml:space="preserve">= 0.003), </w:t>
      </w:r>
      <w:r w:rsidR="005465E0" w:rsidRPr="00ED7513">
        <w:rPr>
          <w:rFonts w:ascii="Book Antiqua" w:hAnsi="Book Antiqua" w:cs="Times New Roman"/>
          <w:color w:val="000000" w:themeColor="text1"/>
          <w:sz w:val="24"/>
          <w:szCs w:val="24"/>
        </w:rPr>
        <w:t xml:space="preserve">low </w:t>
      </w:r>
      <w:r w:rsidRPr="00ED7513">
        <w:rPr>
          <w:rFonts w:ascii="Book Antiqua" w:hAnsi="Book Antiqua" w:cs="Times New Roman"/>
          <w:color w:val="000000" w:themeColor="text1"/>
          <w:sz w:val="24"/>
          <w:szCs w:val="24"/>
        </w:rPr>
        <w:t>histological grade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 0.001), large tumor size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 0.013), advanced </w:t>
      </w:r>
      <w:proofErr w:type="spellStart"/>
      <w:r w:rsidRPr="00ED7513">
        <w:rPr>
          <w:rFonts w:ascii="Book Antiqua" w:hAnsi="Book Antiqua" w:cs="Times New Roman"/>
          <w:color w:val="000000" w:themeColor="text1"/>
          <w:sz w:val="24"/>
          <w:szCs w:val="24"/>
        </w:rPr>
        <w:t>pT</w:t>
      </w:r>
      <w:proofErr w:type="spellEnd"/>
      <w:r w:rsidRPr="00ED7513">
        <w:rPr>
          <w:rFonts w:ascii="Book Antiqua" w:hAnsi="Book Antiqua" w:cs="Times New Roman"/>
          <w:color w:val="000000" w:themeColor="text1"/>
          <w:sz w:val="24"/>
          <w:szCs w:val="24"/>
        </w:rPr>
        <w:t xml:space="preserve"> status (</w:t>
      </w:r>
      <w:r w:rsidRPr="00ED7513">
        <w:rPr>
          <w:rFonts w:ascii="Book Antiqua" w:hAnsi="Book Antiqua" w:cs="Times New Roman"/>
          <w:i/>
          <w:color w:val="000000" w:themeColor="text1"/>
          <w:sz w:val="24"/>
          <w:szCs w:val="24"/>
        </w:rPr>
        <w:t xml:space="preserve">P </w:t>
      </w:r>
      <w:r w:rsidRPr="00ED7513">
        <w:rPr>
          <w:rFonts w:ascii="Book Antiqua" w:hAnsi="Book Antiqua" w:cs="Times New Roman"/>
          <w:color w:val="000000" w:themeColor="text1"/>
          <w:sz w:val="24"/>
          <w:szCs w:val="24"/>
        </w:rPr>
        <w:t xml:space="preserve">= 0.002), and advanced </w:t>
      </w:r>
      <w:proofErr w:type="spellStart"/>
      <w:r w:rsidRPr="00ED7513">
        <w:rPr>
          <w:rFonts w:ascii="Book Antiqua" w:hAnsi="Book Antiqua" w:cs="Times New Roman"/>
          <w:color w:val="000000" w:themeColor="text1"/>
          <w:sz w:val="24"/>
          <w:szCs w:val="24"/>
        </w:rPr>
        <w:t>pN</w:t>
      </w:r>
      <w:proofErr w:type="spellEnd"/>
      <w:r w:rsidRPr="00ED7513">
        <w:rPr>
          <w:rFonts w:ascii="Book Antiqua" w:hAnsi="Book Antiqua" w:cs="Times New Roman"/>
          <w:color w:val="000000" w:themeColor="text1"/>
          <w:sz w:val="24"/>
          <w:szCs w:val="24"/>
        </w:rPr>
        <w:t xml:space="preserve"> status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&lt; 0.001).</w:t>
      </w:r>
    </w:p>
    <w:p w:rsidR="00EA6291" w:rsidRPr="00ED7513" w:rsidRDefault="00EA6291"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b/>
          <w:i/>
          <w:color w:val="000000" w:themeColor="text1"/>
          <w:sz w:val="24"/>
          <w:szCs w:val="24"/>
        </w:rPr>
      </w:pPr>
      <w:r w:rsidRPr="00ED7513">
        <w:rPr>
          <w:rFonts w:ascii="Book Antiqua" w:hAnsi="Book Antiqua" w:cs="Times New Roman"/>
          <w:b/>
          <w:i/>
          <w:color w:val="000000" w:themeColor="text1"/>
          <w:sz w:val="24"/>
          <w:szCs w:val="24"/>
        </w:rPr>
        <w:t>Predicting APGC prognosis after curative resection</w:t>
      </w: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In the univariate survival analyses, the 5-year overall survival rate of LBVI+ patients was significantly lower than that of LBVI– patients (19.1% </w:t>
      </w:r>
      <w:r w:rsidRPr="00ED7513">
        <w:rPr>
          <w:rFonts w:ascii="Book Antiqua" w:hAnsi="Book Antiqua" w:cs="Times New Roman"/>
          <w:i/>
          <w:color w:val="000000" w:themeColor="text1"/>
          <w:sz w:val="24"/>
          <w:szCs w:val="24"/>
        </w:rPr>
        <w:t>vs</w:t>
      </w:r>
      <w:r w:rsidRPr="00ED7513">
        <w:rPr>
          <w:rFonts w:ascii="Book Antiqua" w:hAnsi="Book Antiqua" w:cs="Times New Roman"/>
          <w:color w:val="000000" w:themeColor="text1"/>
          <w:sz w:val="24"/>
          <w:szCs w:val="24"/>
        </w:rPr>
        <w:t xml:space="preserve"> 25.1%,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&lt; 0.001; Figure 1</w:t>
      </w:r>
      <w:r w:rsidR="00A33D70" w:rsidRPr="00ED7513">
        <w:rPr>
          <w:rFonts w:ascii="Book Antiqua" w:hAnsi="Book Antiqua" w:cs="Times New Roman"/>
          <w:color w:val="000000" w:themeColor="text1"/>
          <w:sz w:val="24"/>
          <w:szCs w:val="24"/>
        </w:rPr>
        <w:t>A</w:t>
      </w:r>
      <w:r w:rsidRPr="00ED7513">
        <w:rPr>
          <w:rFonts w:ascii="Book Antiqua" w:hAnsi="Book Antiqua" w:cs="Times New Roman"/>
          <w:color w:val="000000" w:themeColor="text1"/>
          <w:sz w:val="24"/>
          <w:szCs w:val="24"/>
        </w:rPr>
        <w:t xml:space="preserve">). In addition, significant differences in the 5-year survival rates were observed when patients with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(59.4%), type III (34.3%), and type IV disease (13.4%) were compared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&lt; 0.001;</w:t>
      </w:r>
      <w:r w:rsidRPr="00ED7513" w:rsidDel="00B7635D">
        <w:rPr>
          <w:rFonts w:ascii="Book Antiqua" w:hAnsi="Book Antiqua" w:cs="Times New Roman"/>
          <w:color w:val="000000" w:themeColor="text1"/>
          <w:sz w:val="24"/>
          <w:szCs w:val="24"/>
        </w:rPr>
        <w:t xml:space="preserve"> </w:t>
      </w:r>
      <w:r w:rsidRPr="00ED7513">
        <w:rPr>
          <w:rFonts w:ascii="Book Antiqua" w:hAnsi="Book Antiqua" w:cs="Times New Roman"/>
          <w:color w:val="000000" w:themeColor="text1"/>
          <w:sz w:val="24"/>
          <w:szCs w:val="24"/>
        </w:rPr>
        <w:t>Figure 1</w:t>
      </w:r>
      <w:r w:rsidR="00A33D70" w:rsidRPr="00ED7513">
        <w:rPr>
          <w:rFonts w:ascii="Book Antiqua" w:hAnsi="Book Antiqua" w:cs="Times New Roman"/>
          <w:color w:val="000000" w:themeColor="text1"/>
          <w:sz w:val="24"/>
          <w:szCs w:val="24"/>
        </w:rPr>
        <w:t>B</w:t>
      </w:r>
      <w:r w:rsidRPr="00ED7513">
        <w:rPr>
          <w:rFonts w:ascii="Book Antiqua" w:hAnsi="Book Antiqua" w:cs="Times New Roman"/>
          <w:color w:val="000000" w:themeColor="text1"/>
          <w:sz w:val="24"/>
          <w:szCs w:val="24"/>
        </w:rPr>
        <w:t>). Multivariate Cox regression analysis revealed that poor survival was independently associated with lymph node metastasis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&lt; 0.001),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 0.016), and invasion of adjacent organs (</w:t>
      </w:r>
      <w:r w:rsidRPr="00ED7513">
        <w:rPr>
          <w:rFonts w:ascii="Book Antiqua" w:hAnsi="Book Antiqua" w:cs="Times New Roman"/>
          <w:i/>
          <w:color w:val="000000" w:themeColor="text1"/>
          <w:sz w:val="24"/>
          <w:szCs w:val="24"/>
        </w:rPr>
        <w:t xml:space="preserve">P </w:t>
      </w:r>
      <w:r w:rsidRPr="00ED7513">
        <w:rPr>
          <w:rFonts w:ascii="Book Antiqua" w:hAnsi="Book Antiqua" w:cs="Times New Roman"/>
          <w:color w:val="000000" w:themeColor="text1"/>
          <w:sz w:val="24"/>
          <w:szCs w:val="24"/>
        </w:rPr>
        <w:t>= 0.015), but was not independently associated with LBVI+ status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 0.197) or advanced </w:t>
      </w:r>
      <w:proofErr w:type="spellStart"/>
      <w:r w:rsidRPr="00ED7513">
        <w:rPr>
          <w:rFonts w:ascii="Book Antiqua" w:hAnsi="Book Antiqua" w:cs="Times New Roman"/>
          <w:color w:val="000000" w:themeColor="text1"/>
          <w:sz w:val="24"/>
          <w:szCs w:val="24"/>
        </w:rPr>
        <w:t>pT</w:t>
      </w:r>
      <w:proofErr w:type="spellEnd"/>
      <w:r w:rsidRPr="00ED7513">
        <w:rPr>
          <w:rFonts w:ascii="Book Antiqua" w:hAnsi="Book Antiqua" w:cs="Times New Roman"/>
          <w:color w:val="000000" w:themeColor="text1"/>
          <w:sz w:val="24"/>
          <w:szCs w:val="24"/>
        </w:rPr>
        <w:t xml:space="preserve"> status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 0.997; Table 2).</w:t>
      </w:r>
    </w:p>
    <w:p w:rsidR="00EA6291" w:rsidRPr="00ED7513" w:rsidRDefault="00EA6291"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b/>
          <w:i/>
          <w:color w:val="000000" w:themeColor="text1"/>
          <w:sz w:val="24"/>
          <w:szCs w:val="24"/>
        </w:rPr>
      </w:pPr>
      <w:r w:rsidRPr="00ED7513">
        <w:rPr>
          <w:rFonts w:ascii="Book Antiqua" w:hAnsi="Book Antiqua" w:cs="Times New Roman"/>
          <w:b/>
          <w:i/>
          <w:color w:val="000000" w:themeColor="text1"/>
          <w:sz w:val="24"/>
          <w:szCs w:val="24"/>
        </w:rPr>
        <w:t xml:space="preserve">Prognostic significance of LBVI status in the </w:t>
      </w:r>
      <w:proofErr w:type="spellStart"/>
      <w:r w:rsidRPr="00ED7513">
        <w:rPr>
          <w:rFonts w:ascii="Book Antiqua" w:hAnsi="Book Antiqua" w:cs="Times New Roman"/>
          <w:b/>
          <w:i/>
          <w:color w:val="000000" w:themeColor="text1"/>
          <w:sz w:val="24"/>
          <w:szCs w:val="24"/>
        </w:rPr>
        <w:t>Borrmann</w:t>
      </w:r>
      <w:proofErr w:type="spellEnd"/>
      <w:r w:rsidRPr="00ED7513">
        <w:rPr>
          <w:rFonts w:ascii="Book Antiqua" w:hAnsi="Book Antiqua" w:cs="Times New Roman"/>
          <w:b/>
          <w:i/>
          <w:color w:val="000000" w:themeColor="text1"/>
          <w:sz w:val="24"/>
          <w:szCs w:val="24"/>
        </w:rPr>
        <w:t xml:space="preserve"> classification system </w:t>
      </w:r>
    </w:p>
    <w:p w:rsidR="00EA6291" w:rsidRPr="00ED7513" w:rsidRDefault="00EA6291" w:rsidP="00ED7513">
      <w:pPr>
        <w:spacing w:line="360" w:lineRule="auto"/>
        <w:rPr>
          <w:rFonts w:ascii="Book Antiqua" w:hAnsi="Book Antiqua" w:cs="Times New Roman"/>
          <w:color w:val="000000" w:themeColor="text1"/>
          <w:sz w:val="24"/>
          <w:szCs w:val="24"/>
        </w:rPr>
      </w:pP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or IV disease was present in 382 of the 440 patients with APGC (86.8%), and the prognostic significance of LBVI status in this subgroup was evaluated. Among the patients with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disease, LBVI+ status was associated with significantly poorer survival (5-year survival: 19.8% </w:t>
      </w:r>
      <w:r w:rsidRPr="00ED7513">
        <w:rPr>
          <w:rFonts w:ascii="Book Antiqua" w:hAnsi="Book Antiqua" w:cs="Times New Roman"/>
          <w:i/>
          <w:color w:val="000000" w:themeColor="text1"/>
          <w:sz w:val="24"/>
          <w:szCs w:val="24"/>
        </w:rPr>
        <w:t>vs</w:t>
      </w:r>
      <w:r w:rsidRPr="00ED7513">
        <w:rPr>
          <w:rFonts w:ascii="Book Antiqua" w:hAnsi="Book Antiqua" w:cs="Times New Roman"/>
          <w:color w:val="000000" w:themeColor="text1"/>
          <w:sz w:val="24"/>
          <w:szCs w:val="24"/>
        </w:rPr>
        <w:t xml:space="preserve"> 43.1%,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&lt; 0.001; Figure 2</w:t>
      </w:r>
      <w:r w:rsidR="00A33D70" w:rsidRPr="00ED7513">
        <w:rPr>
          <w:rFonts w:ascii="Book Antiqua" w:hAnsi="Book Antiqua" w:cs="Times New Roman"/>
          <w:color w:val="000000" w:themeColor="text1"/>
          <w:sz w:val="24"/>
          <w:szCs w:val="24"/>
        </w:rPr>
        <w:t>A</w:t>
      </w:r>
      <w:r w:rsidRPr="00ED7513">
        <w:rPr>
          <w:rFonts w:ascii="Book Antiqua" w:hAnsi="Book Antiqua" w:cs="Times New Roman"/>
          <w:color w:val="000000" w:themeColor="text1"/>
          <w:sz w:val="24"/>
          <w:szCs w:val="24"/>
        </w:rPr>
        <w:t xml:space="preserve">). However, no significant difference in survival was observed according to LBVI status in patients with </w:t>
      </w:r>
      <w:proofErr w:type="spellStart"/>
      <w:r w:rsidRPr="00ED7513">
        <w:rPr>
          <w:rFonts w:ascii="Book Antiqua" w:hAnsi="Book Antiqua" w:cs="Times New Roman"/>
          <w:color w:val="000000" w:themeColor="text1"/>
          <w:sz w:val="24"/>
          <w:szCs w:val="24"/>
        </w:rPr>
        <w:lastRenderedPageBreak/>
        <w:t>Borrmann</w:t>
      </w:r>
      <w:proofErr w:type="spellEnd"/>
      <w:r w:rsidRPr="00ED7513">
        <w:rPr>
          <w:rFonts w:ascii="Book Antiqua" w:hAnsi="Book Antiqua" w:cs="Times New Roman"/>
          <w:color w:val="000000" w:themeColor="text1"/>
          <w:sz w:val="24"/>
          <w:szCs w:val="24"/>
        </w:rPr>
        <w:t xml:space="preserve"> type IV disease (5-year survival: 13.0% </w:t>
      </w:r>
      <w:r w:rsidRPr="00ED7513">
        <w:rPr>
          <w:rFonts w:ascii="Book Antiqua" w:hAnsi="Book Antiqua" w:cs="Times New Roman"/>
          <w:i/>
          <w:color w:val="000000" w:themeColor="text1"/>
          <w:sz w:val="24"/>
          <w:szCs w:val="24"/>
        </w:rPr>
        <w:t>vs</w:t>
      </w:r>
      <w:r w:rsidRPr="00ED7513">
        <w:rPr>
          <w:rFonts w:ascii="Book Antiqua" w:hAnsi="Book Antiqua" w:cs="Times New Roman"/>
          <w:color w:val="000000" w:themeColor="text1"/>
          <w:sz w:val="24"/>
          <w:szCs w:val="24"/>
        </w:rPr>
        <w:t xml:space="preserve"> 13.7%,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 0.571; Figure 2</w:t>
      </w:r>
      <w:r w:rsidR="00A33D70" w:rsidRPr="00ED7513">
        <w:rPr>
          <w:rFonts w:ascii="Book Antiqua" w:hAnsi="Book Antiqua" w:cs="Times New Roman"/>
          <w:color w:val="000000" w:themeColor="text1"/>
          <w:sz w:val="24"/>
          <w:szCs w:val="24"/>
        </w:rPr>
        <w:t>B</w:t>
      </w:r>
      <w:r w:rsidRPr="00ED7513">
        <w:rPr>
          <w:rFonts w:ascii="Book Antiqua" w:hAnsi="Book Antiqua" w:cs="Times New Roman"/>
          <w:color w:val="000000" w:themeColor="text1"/>
          <w:sz w:val="24"/>
          <w:szCs w:val="24"/>
        </w:rPr>
        <w:t xml:space="preserve">). Patients with LBVI+ and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disease had a similar prognosis to patients with LBVI– and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disease (5-year survival: 19.8% </w:t>
      </w:r>
      <w:r w:rsidRPr="00ED7513">
        <w:rPr>
          <w:rFonts w:ascii="Book Antiqua" w:hAnsi="Book Antiqua" w:cs="Times New Roman"/>
          <w:i/>
          <w:color w:val="000000" w:themeColor="text1"/>
          <w:sz w:val="24"/>
          <w:szCs w:val="24"/>
        </w:rPr>
        <w:t xml:space="preserve">vs </w:t>
      </w:r>
      <w:r w:rsidRPr="00ED7513">
        <w:rPr>
          <w:rFonts w:ascii="Book Antiqua" w:hAnsi="Book Antiqua" w:cs="Times New Roman"/>
          <w:color w:val="000000" w:themeColor="text1"/>
          <w:sz w:val="24"/>
          <w:szCs w:val="24"/>
        </w:rPr>
        <w:t xml:space="preserve">13.7%,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 0.293; Figure 2</w:t>
      </w:r>
      <w:r w:rsidR="00A33D70" w:rsidRPr="00ED7513">
        <w:rPr>
          <w:rFonts w:ascii="Book Antiqua" w:hAnsi="Book Antiqua" w:cs="Times New Roman"/>
          <w:color w:val="000000" w:themeColor="text1"/>
          <w:sz w:val="24"/>
          <w:szCs w:val="24"/>
        </w:rPr>
        <w:t>C</w:t>
      </w:r>
      <w:r w:rsidRPr="00ED7513">
        <w:rPr>
          <w:rFonts w:ascii="Book Antiqua" w:hAnsi="Book Antiqua" w:cs="Times New Roman"/>
          <w:color w:val="000000" w:themeColor="text1"/>
          <w:sz w:val="24"/>
          <w:szCs w:val="24"/>
        </w:rPr>
        <w:t xml:space="preserve">) and </w:t>
      </w:r>
      <w:r w:rsidR="006B325D" w:rsidRPr="00ED7513">
        <w:rPr>
          <w:rFonts w:ascii="Book Antiqua" w:hAnsi="Book Antiqua" w:cs="Times New Roman"/>
          <w:color w:val="000000" w:themeColor="text1"/>
          <w:sz w:val="24"/>
          <w:szCs w:val="24"/>
        </w:rPr>
        <w:t xml:space="preserve">to </w:t>
      </w:r>
      <w:r w:rsidRPr="00ED7513">
        <w:rPr>
          <w:rFonts w:ascii="Book Antiqua" w:hAnsi="Book Antiqua" w:cs="Times New Roman"/>
          <w:color w:val="000000" w:themeColor="text1"/>
          <w:sz w:val="24"/>
          <w:szCs w:val="24"/>
        </w:rPr>
        <w:t xml:space="preserve">patients with LBVI+ and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disease (5-year survival: 19.8% </w:t>
      </w:r>
      <w:r w:rsidRPr="00ED7513">
        <w:rPr>
          <w:rFonts w:ascii="Book Antiqua" w:hAnsi="Book Antiqua" w:cs="Times New Roman"/>
          <w:i/>
          <w:color w:val="000000" w:themeColor="text1"/>
          <w:sz w:val="24"/>
          <w:szCs w:val="24"/>
        </w:rPr>
        <w:t>vs</w:t>
      </w:r>
      <w:r w:rsidRPr="00ED7513">
        <w:rPr>
          <w:rFonts w:ascii="Book Antiqua" w:hAnsi="Book Antiqua" w:cs="Times New Roman"/>
          <w:color w:val="000000" w:themeColor="text1"/>
          <w:sz w:val="24"/>
          <w:szCs w:val="24"/>
        </w:rPr>
        <w:t xml:space="preserve"> 12.9%, </w:t>
      </w:r>
      <w:r w:rsidRPr="00ED7513">
        <w:rPr>
          <w:rFonts w:ascii="Book Antiqua" w:hAnsi="Book Antiqua" w:cs="Times New Roman"/>
          <w:i/>
          <w:color w:val="000000" w:themeColor="text1"/>
          <w:sz w:val="24"/>
          <w:szCs w:val="24"/>
        </w:rPr>
        <w:t xml:space="preserve">P </w:t>
      </w:r>
      <w:r w:rsidRPr="00ED7513">
        <w:rPr>
          <w:rFonts w:ascii="Book Antiqua" w:hAnsi="Book Antiqua" w:cs="Times New Roman"/>
          <w:color w:val="000000" w:themeColor="text1"/>
          <w:sz w:val="24"/>
          <w:szCs w:val="24"/>
        </w:rPr>
        <w:t>= 0.121; Figure 2</w:t>
      </w:r>
      <w:r w:rsidR="00A33D70" w:rsidRPr="00ED7513">
        <w:rPr>
          <w:rFonts w:ascii="Book Antiqua" w:hAnsi="Book Antiqua" w:cs="Times New Roman"/>
          <w:color w:val="000000" w:themeColor="text1"/>
          <w:sz w:val="24"/>
          <w:szCs w:val="24"/>
        </w:rPr>
        <w:t>D</w:t>
      </w:r>
      <w:r w:rsidRPr="00ED7513">
        <w:rPr>
          <w:rFonts w:ascii="Book Antiqua" w:hAnsi="Book Antiqua" w:cs="Times New Roman"/>
          <w:color w:val="000000" w:themeColor="text1"/>
          <w:sz w:val="24"/>
          <w:szCs w:val="24"/>
        </w:rPr>
        <w:t>).</w:t>
      </w:r>
    </w:p>
    <w:p w:rsidR="00EA6291" w:rsidRPr="00ED7513" w:rsidRDefault="00EA6291" w:rsidP="00ED7513">
      <w:pPr>
        <w:spacing w:line="360" w:lineRule="auto"/>
        <w:ind w:firstLineChars="150" w:firstLine="360"/>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Based on these results, we proposed revised versions of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III</w:t>
      </w:r>
      <w:r w:rsidR="005465E0" w:rsidRPr="00ED7513">
        <w:rPr>
          <w:rFonts w:ascii="Book Antiqua" w:hAnsi="Book Antiqua" w:cs="Times New Roman"/>
          <w:color w:val="000000" w:themeColor="text1"/>
          <w:sz w:val="24"/>
          <w:szCs w:val="24"/>
        </w:rPr>
        <w:t xml:space="preserve">) as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and LBVI– and type IV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w:t>
      </w:r>
      <w:r w:rsidR="005465E0" w:rsidRPr="00ED7513">
        <w:rPr>
          <w:rFonts w:ascii="Book Antiqua" w:hAnsi="Book Antiqua" w:cs="Times New Roman"/>
          <w:color w:val="000000" w:themeColor="text1"/>
          <w:sz w:val="24"/>
          <w:szCs w:val="24"/>
        </w:rPr>
        <w:t>) as</w:t>
      </w:r>
      <w:r w:rsidRPr="00ED7513">
        <w:rPr>
          <w:rFonts w:ascii="Book Antiqua" w:hAnsi="Book Antiqua" w:cs="Times New Roman"/>
          <w:color w:val="000000" w:themeColor="text1"/>
          <w:sz w:val="24"/>
          <w:szCs w:val="24"/>
        </w:rPr>
        <w:t xml:space="preserv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plus LBVI+ or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Figure 3 shows that patients with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APGC had a significantly poorer prognosis based on the univariate analysis (</w:t>
      </w:r>
      <w:r w:rsidRPr="00ED7513">
        <w:rPr>
          <w:rFonts w:ascii="Book Antiqua" w:hAnsi="Book Antiqua" w:cs="Times New Roman"/>
          <w:i/>
          <w:color w:val="000000" w:themeColor="text1"/>
          <w:sz w:val="24"/>
          <w:szCs w:val="24"/>
        </w:rPr>
        <w:t xml:space="preserve">P </w:t>
      </w:r>
      <w:r w:rsidRPr="00ED7513">
        <w:rPr>
          <w:rFonts w:ascii="Book Antiqua" w:hAnsi="Book Antiqua" w:cs="Times New Roman"/>
          <w:color w:val="000000" w:themeColor="text1"/>
          <w:sz w:val="24"/>
          <w:szCs w:val="24"/>
        </w:rPr>
        <w:t xml:space="preserve">&lt; 0.001) and multivariate analysis (hazard ratio: 1.861, 95% CI: 1.091-3.714, </w:t>
      </w:r>
      <w:r w:rsidRPr="00ED7513">
        <w:rPr>
          <w:rFonts w:ascii="Book Antiqua" w:hAnsi="Book Antiqua" w:cs="Times New Roman"/>
          <w:i/>
          <w:color w:val="000000" w:themeColor="text1"/>
          <w:sz w:val="24"/>
          <w:szCs w:val="24"/>
        </w:rPr>
        <w:t xml:space="preserve">P </w:t>
      </w:r>
      <w:r w:rsidRPr="00ED7513">
        <w:rPr>
          <w:rFonts w:ascii="Book Antiqua" w:hAnsi="Book Antiqua" w:cs="Times New Roman"/>
          <w:color w:val="000000" w:themeColor="text1"/>
          <w:sz w:val="24"/>
          <w:szCs w:val="24"/>
        </w:rPr>
        <w:t>= 0.02).</w:t>
      </w:r>
    </w:p>
    <w:p w:rsidR="00EA6291" w:rsidRPr="00ED7513" w:rsidRDefault="00EA6291"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b/>
          <w:i/>
          <w:color w:val="000000" w:themeColor="text1"/>
          <w:sz w:val="24"/>
          <w:szCs w:val="24"/>
        </w:rPr>
      </w:pPr>
      <w:r w:rsidRPr="00ED7513">
        <w:rPr>
          <w:rFonts w:ascii="Book Antiqua" w:hAnsi="Book Antiqua" w:cs="Times New Roman"/>
          <w:b/>
          <w:i/>
          <w:color w:val="000000" w:themeColor="text1"/>
          <w:sz w:val="24"/>
          <w:szCs w:val="24"/>
        </w:rPr>
        <w:t>Prognostic significance of r-</w:t>
      </w:r>
      <w:proofErr w:type="spellStart"/>
      <w:r w:rsidRPr="00ED7513">
        <w:rPr>
          <w:rFonts w:ascii="Book Antiqua" w:hAnsi="Book Antiqua" w:cs="Times New Roman"/>
          <w:b/>
          <w:i/>
          <w:color w:val="000000" w:themeColor="text1"/>
          <w:sz w:val="24"/>
          <w:szCs w:val="24"/>
        </w:rPr>
        <w:t>Bor</w:t>
      </w:r>
      <w:proofErr w:type="spellEnd"/>
      <w:r w:rsidRPr="00ED7513">
        <w:rPr>
          <w:rFonts w:ascii="Book Antiqua" w:hAnsi="Book Antiqua" w:cs="Times New Roman"/>
          <w:b/>
          <w:i/>
          <w:color w:val="000000" w:themeColor="text1"/>
          <w:sz w:val="24"/>
          <w:szCs w:val="24"/>
        </w:rPr>
        <w:t xml:space="preserve"> III and r-</w:t>
      </w:r>
      <w:proofErr w:type="spellStart"/>
      <w:r w:rsidRPr="00ED7513">
        <w:rPr>
          <w:rFonts w:ascii="Book Antiqua" w:hAnsi="Book Antiqua" w:cs="Times New Roman"/>
          <w:b/>
          <w:i/>
          <w:color w:val="000000" w:themeColor="text1"/>
          <w:sz w:val="24"/>
          <w:szCs w:val="24"/>
        </w:rPr>
        <w:t>Bor</w:t>
      </w:r>
      <w:proofErr w:type="spellEnd"/>
      <w:r w:rsidRPr="00ED7513">
        <w:rPr>
          <w:rFonts w:ascii="Book Antiqua" w:hAnsi="Book Antiqua" w:cs="Times New Roman"/>
          <w:b/>
          <w:i/>
          <w:color w:val="000000" w:themeColor="text1"/>
          <w:sz w:val="24"/>
          <w:szCs w:val="24"/>
        </w:rPr>
        <w:t xml:space="preserve"> IV in pT3 and pT4a APGC</w:t>
      </w: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We further examined our</w:t>
      </w:r>
      <w:r w:rsidR="009118F8" w:rsidRPr="00ED7513">
        <w:rPr>
          <w:rFonts w:ascii="Book Antiqua" w:hAnsi="Book Antiqua" w:cs="Times New Roman"/>
          <w:color w:val="000000" w:themeColor="text1"/>
          <w:sz w:val="24"/>
          <w:szCs w:val="24"/>
        </w:rPr>
        <w:t xml:space="preserve"> </w:t>
      </w:r>
      <w:r w:rsidRPr="00ED7513">
        <w:rPr>
          <w:rFonts w:ascii="Book Antiqua" w:hAnsi="Book Antiqua" w:cs="Times New Roman"/>
          <w:color w:val="000000" w:themeColor="text1"/>
          <w:sz w:val="24"/>
          <w:szCs w:val="24"/>
        </w:rPr>
        <w:t>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III and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subgroups to identify survival differences after radical surgery according to pT3 and pT4a status. Patients with pT3 and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disease had a significantly poorer prognosis than patients with pT3 and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III disease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 0.002; Figure 4</w:t>
      </w:r>
      <w:r w:rsidR="00A33D70" w:rsidRPr="00ED7513">
        <w:rPr>
          <w:rFonts w:ascii="Book Antiqua" w:hAnsi="Book Antiqua" w:cs="Times New Roman"/>
          <w:color w:val="000000" w:themeColor="text1"/>
          <w:sz w:val="24"/>
          <w:szCs w:val="24"/>
        </w:rPr>
        <w:t>A</w:t>
      </w:r>
      <w:r w:rsidRPr="00ED7513">
        <w:rPr>
          <w:rFonts w:ascii="Book Antiqua" w:hAnsi="Book Antiqua" w:cs="Times New Roman"/>
          <w:color w:val="000000" w:themeColor="text1"/>
          <w:sz w:val="24"/>
          <w:szCs w:val="24"/>
        </w:rPr>
        <w:t>) and those with pT4a disease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&lt; 0.001; Figure 4</w:t>
      </w:r>
      <w:r w:rsidR="00A33D70" w:rsidRPr="00ED7513">
        <w:rPr>
          <w:rFonts w:ascii="Book Antiqua" w:hAnsi="Book Antiqua" w:cs="Times New Roman"/>
          <w:color w:val="000000" w:themeColor="text1"/>
          <w:sz w:val="24"/>
          <w:szCs w:val="24"/>
        </w:rPr>
        <w:t>B</w:t>
      </w:r>
      <w:r w:rsidRPr="00ED7513">
        <w:rPr>
          <w:rFonts w:ascii="Book Antiqua" w:hAnsi="Book Antiqua" w:cs="Times New Roman"/>
          <w:color w:val="000000" w:themeColor="text1"/>
          <w:sz w:val="24"/>
          <w:szCs w:val="24"/>
        </w:rPr>
        <w:t>). Moreover, patients with pT3 and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disease had a significantly poorer prognosis than patients with pT4a and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III disease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 0.023; Figure 4</w:t>
      </w:r>
      <w:r w:rsidR="00A33D70" w:rsidRPr="00ED7513">
        <w:rPr>
          <w:rFonts w:ascii="Book Antiqua" w:hAnsi="Book Antiqua" w:cs="Times New Roman"/>
          <w:color w:val="000000" w:themeColor="text1"/>
          <w:sz w:val="24"/>
          <w:szCs w:val="24"/>
        </w:rPr>
        <w:t>C</w:t>
      </w:r>
      <w:r w:rsidRPr="00ED7513">
        <w:rPr>
          <w:rFonts w:ascii="Book Antiqua" w:hAnsi="Book Antiqua" w:cs="Times New Roman"/>
          <w:color w:val="000000" w:themeColor="text1"/>
          <w:sz w:val="24"/>
          <w:szCs w:val="24"/>
        </w:rPr>
        <w:t>). No significant differences in prognosis were observed when we compared pT3 and pT4a status in patients with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III disease (</w:t>
      </w:r>
      <w:r w:rsidRPr="00ED7513">
        <w:rPr>
          <w:rFonts w:ascii="Book Antiqua" w:hAnsi="Book Antiqua" w:cs="Times New Roman"/>
          <w:i/>
          <w:color w:val="000000" w:themeColor="text1"/>
          <w:sz w:val="24"/>
          <w:szCs w:val="24"/>
        </w:rPr>
        <w:t xml:space="preserve">P </w:t>
      </w:r>
      <w:r w:rsidRPr="00ED7513">
        <w:rPr>
          <w:rFonts w:ascii="Book Antiqua" w:hAnsi="Book Antiqua" w:cs="Times New Roman"/>
          <w:color w:val="000000" w:themeColor="text1"/>
          <w:sz w:val="24"/>
          <w:szCs w:val="24"/>
        </w:rPr>
        <w:t>= 0.249; Figure 4</w:t>
      </w:r>
      <w:r w:rsidR="00A33D70" w:rsidRPr="00ED7513">
        <w:rPr>
          <w:rFonts w:ascii="Book Antiqua" w:hAnsi="Book Antiqua" w:cs="Times New Roman"/>
          <w:color w:val="000000" w:themeColor="text1"/>
          <w:sz w:val="24"/>
          <w:szCs w:val="24"/>
        </w:rPr>
        <w:t>D</w:t>
      </w:r>
      <w:r w:rsidRPr="00ED7513">
        <w:rPr>
          <w:rFonts w:ascii="Book Antiqua" w:hAnsi="Book Antiqua" w:cs="Times New Roman"/>
          <w:color w:val="000000" w:themeColor="text1"/>
          <w:sz w:val="24"/>
          <w:szCs w:val="24"/>
        </w:rPr>
        <w:t>), or when we compared pT3 and pT4a status in patients with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disease (</w:t>
      </w:r>
      <w:r w:rsidRPr="00ED7513">
        <w:rPr>
          <w:rFonts w:ascii="Book Antiqua" w:hAnsi="Book Antiqua" w:cs="Times New Roman"/>
          <w:i/>
          <w:color w:val="000000" w:themeColor="text1"/>
          <w:sz w:val="24"/>
          <w:szCs w:val="24"/>
        </w:rPr>
        <w:t>P</w:t>
      </w:r>
      <w:r w:rsidRPr="00ED7513">
        <w:rPr>
          <w:rFonts w:ascii="Book Antiqua" w:hAnsi="Book Antiqua" w:cs="Times New Roman"/>
          <w:color w:val="000000" w:themeColor="text1"/>
          <w:sz w:val="24"/>
          <w:szCs w:val="24"/>
        </w:rPr>
        <w:t xml:space="preserve"> = 0.588; Figure 4</w:t>
      </w:r>
      <w:r w:rsidR="00A33D70" w:rsidRPr="00ED7513">
        <w:rPr>
          <w:rFonts w:ascii="Book Antiqua" w:hAnsi="Book Antiqua" w:cs="Times New Roman"/>
          <w:color w:val="000000" w:themeColor="text1"/>
          <w:sz w:val="24"/>
          <w:szCs w:val="24"/>
        </w:rPr>
        <w:t>D</w:t>
      </w:r>
      <w:r w:rsidRPr="00ED7513">
        <w:rPr>
          <w:rFonts w:ascii="Book Antiqua" w:hAnsi="Book Antiqua" w:cs="Times New Roman"/>
          <w:color w:val="000000" w:themeColor="text1"/>
          <w:sz w:val="24"/>
          <w:szCs w:val="24"/>
        </w:rPr>
        <w:t>).</w:t>
      </w:r>
    </w:p>
    <w:p w:rsidR="00EA6291" w:rsidRPr="00ED7513" w:rsidRDefault="00EA6291" w:rsidP="00ED7513">
      <w:pPr>
        <w:spacing w:line="360" w:lineRule="auto"/>
        <w:rPr>
          <w:rFonts w:ascii="Book Antiqua" w:hAnsi="Book Antiqua" w:cs="Times New Roman"/>
          <w:color w:val="000000" w:themeColor="text1"/>
          <w:sz w:val="24"/>
          <w:szCs w:val="24"/>
        </w:rPr>
      </w:pPr>
    </w:p>
    <w:p w:rsidR="00EA6291" w:rsidRPr="00ED7513" w:rsidRDefault="00EA6291" w:rsidP="00ED7513">
      <w:pPr>
        <w:spacing w:line="360" w:lineRule="auto"/>
        <w:rPr>
          <w:rFonts w:ascii="Book Antiqua" w:hAnsi="Book Antiqua" w:cs="Times New Roman"/>
          <w:b/>
          <w:color w:val="000000" w:themeColor="text1"/>
          <w:sz w:val="24"/>
          <w:szCs w:val="24"/>
        </w:rPr>
      </w:pPr>
      <w:r w:rsidRPr="00ED7513">
        <w:rPr>
          <w:rFonts w:ascii="Book Antiqua" w:hAnsi="Book Antiqua" w:cs="Times New Roman"/>
          <w:b/>
          <w:color w:val="000000" w:themeColor="text1"/>
          <w:sz w:val="24"/>
          <w:szCs w:val="24"/>
        </w:rPr>
        <w:t>DISCUSSION</w:t>
      </w: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Compared to patients with distal gastric cancer, patients with APGC are more likely to have adverse </w:t>
      </w:r>
      <w:proofErr w:type="spellStart"/>
      <w:r w:rsidRPr="00ED7513">
        <w:rPr>
          <w:rFonts w:ascii="Book Antiqua" w:hAnsi="Book Antiqua" w:cs="Times New Roman"/>
          <w:color w:val="000000" w:themeColor="text1"/>
          <w:sz w:val="24"/>
          <w:szCs w:val="24"/>
        </w:rPr>
        <w:t>clinicopathological</w:t>
      </w:r>
      <w:proofErr w:type="spellEnd"/>
      <w:r w:rsidRPr="00ED7513">
        <w:rPr>
          <w:rFonts w:ascii="Book Antiqua" w:hAnsi="Book Antiqua" w:cs="Times New Roman"/>
          <w:color w:val="000000" w:themeColor="text1"/>
          <w:sz w:val="24"/>
          <w:szCs w:val="24"/>
        </w:rPr>
        <w:t xml:space="preserve"> characteristics that affect their prognosis, such as lymph node metastasis, serosa invasion, LBVI+ status, and larger tumor </w:t>
      </w:r>
      <w:proofErr w:type="gramStart"/>
      <w:r w:rsidRPr="00ED7513">
        <w:rPr>
          <w:rFonts w:ascii="Book Antiqua" w:hAnsi="Book Antiqua" w:cs="Times New Roman"/>
          <w:color w:val="000000" w:themeColor="text1"/>
          <w:sz w:val="24"/>
          <w:szCs w:val="24"/>
        </w:rPr>
        <w:t>size</w:t>
      </w:r>
      <w:r w:rsidRPr="00ED7513">
        <w:rPr>
          <w:rFonts w:ascii="Book Antiqua" w:hAnsi="Book Antiqua" w:cs="Times New Roman"/>
          <w:noProof/>
          <w:color w:val="000000" w:themeColor="text1"/>
          <w:sz w:val="24"/>
          <w:szCs w:val="24"/>
          <w:vertAlign w:val="superscript"/>
        </w:rPr>
        <w:t>[</w:t>
      </w:r>
      <w:proofErr w:type="gramEnd"/>
      <w:r w:rsidRPr="00ED7513">
        <w:rPr>
          <w:rFonts w:ascii="Book Antiqua" w:hAnsi="Book Antiqua" w:cs="Times New Roman"/>
          <w:noProof/>
          <w:color w:val="000000" w:themeColor="text1"/>
          <w:sz w:val="24"/>
          <w:szCs w:val="24"/>
          <w:vertAlign w:val="superscript"/>
        </w:rPr>
        <w:t>8,17]</w:t>
      </w:r>
      <w:r w:rsidRPr="00ED7513">
        <w:rPr>
          <w:rFonts w:ascii="Book Antiqua" w:hAnsi="Book Antiqua" w:cs="Times New Roman"/>
          <w:color w:val="000000" w:themeColor="text1"/>
          <w:sz w:val="24"/>
          <w:szCs w:val="24"/>
        </w:rPr>
        <w:t xml:space="preserve">. The multivariate analysis in the present study </w:t>
      </w:r>
      <w:r w:rsidRPr="00ED7513">
        <w:rPr>
          <w:rFonts w:ascii="Book Antiqua" w:hAnsi="Book Antiqua" w:cs="Times New Roman"/>
          <w:color w:val="000000" w:themeColor="text1"/>
          <w:sz w:val="24"/>
          <w:szCs w:val="24"/>
        </w:rPr>
        <w:lastRenderedPageBreak/>
        <w:t xml:space="preserve">confirmed that lymph node metastasis,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and invasion of adjacent organs were independent risk factors for</w:t>
      </w:r>
      <w:r w:rsidR="009118F8" w:rsidRPr="00ED7513">
        <w:rPr>
          <w:rFonts w:ascii="Book Antiqua" w:hAnsi="Book Antiqua" w:cs="Times New Roman"/>
          <w:color w:val="000000" w:themeColor="text1"/>
          <w:sz w:val="24"/>
          <w:szCs w:val="24"/>
        </w:rPr>
        <w:t xml:space="preserve"> </w:t>
      </w:r>
      <w:r w:rsidRPr="00ED7513">
        <w:rPr>
          <w:rFonts w:ascii="Book Antiqua" w:hAnsi="Book Antiqua" w:cs="Times New Roman"/>
          <w:color w:val="000000" w:themeColor="text1"/>
          <w:sz w:val="24"/>
          <w:szCs w:val="24"/>
        </w:rPr>
        <w:t xml:space="preserve">patients with APGC. The present study also revealed that LBVI+ status was related to poor prognosis in this setting, although it was not an independent prognostic factor. Previous studies revealed that LBVI+ status is associated with poor prognosis after radical surgery for gastric cancer, and is an independent predictor of poor prognosis in patients with negative lymph </w:t>
      </w:r>
      <w:proofErr w:type="gramStart"/>
      <w:r w:rsidRPr="00ED7513">
        <w:rPr>
          <w:rFonts w:ascii="Book Antiqua" w:hAnsi="Book Antiqua" w:cs="Times New Roman"/>
          <w:color w:val="000000" w:themeColor="text1"/>
          <w:sz w:val="24"/>
          <w:szCs w:val="24"/>
        </w:rPr>
        <w:t>nodes</w:t>
      </w:r>
      <w:r w:rsidRPr="00ED7513">
        <w:rPr>
          <w:rFonts w:ascii="Book Antiqua" w:hAnsi="Book Antiqua" w:cs="Times New Roman"/>
          <w:noProof/>
          <w:color w:val="000000" w:themeColor="text1"/>
          <w:sz w:val="24"/>
          <w:szCs w:val="24"/>
          <w:vertAlign w:val="superscript"/>
        </w:rPr>
        <w:t>[</w:t>
      </w:r>
      <w:proofErr w:type="gramEnd"/>
      <w:r w:rsidRPr="00ED7513">
        <w:rPr>
          <w:rFonts w:ascii="Book Antiqua" w:hAnsi="Book Antiqua" w:cs="Times New Roman"/>
          <w:noProof/>
          <w:color w:val="000000" w:themeColor="text1"/>
          <w:sz w:val="24"/>
          <w:szCs w:val="24"/>
          <w:vertAlign w:val="superscript"/>
        </w:rPr>
        <w:t>18-20]</w:t>
      </w:r>
      <w:r w:rsidRPr="00ED7513">
        <w:rPr>
          <w:rFonts w:ascii="Book Antiqua" w:hAnsi="Book Antiqua" w:cs="Times New Roman"/>
          <w:color w:val="000000" w:themeColor="text1"/>
          <w:sz w:val="24"/>
          <w:szCs w:val="24"/>
        </w:rPr>
        <w:t xml:space="preserve">. </w:t>
      </w:r>
    </w:p>
    <w:p w:rsidR="00EA6291" w:rsidRPr="00ED7513" w:rsidRDefault="00EA6291" w:rsidP="00ED7513">
      <w:pPr>
        <w:spacing w:line="360" w:lineRule="auto"/>
        <w:ind w:firstLineChars="200" w:firstLine="480"/>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The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classification is generally assigned based on macroscopic examination of the tumor, although some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tumors have a similar appearance and prognosis to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tumors, which has led to the term “limited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w:t>
      </w:r>
      <w:proofErr w:type="gramStart"/>
      <w:r w:rsidRPr="00ED7513">
        <w:rPr>
          <w:rFonts w:ascii="Book Antiqua" w:hAnsi="Book Antiqua" w:cs="Times New Roman"/>
          <w:color w:val="000000" w:themeColor="text1"/>
          <w:sz w:val="24"/>
          <w:szCs w:val="24"/>
        </w:rPr>
        <w:t>”</w:t>
      </w:r>
      <w:r w:rsidRPr="00ED7513">
        <w:rPr>
          <w:rFonts w:ascii="Book Antiqua" w:hAnsi="Book Antiqua" w:cs="Times New Roman"/>
          <w:noProof/>
          <w:color w:val="000000" w:themeColor="text1"/>
          <w:sz w:val="24"/>
          <w:szCs w:val="24"/>
          <w:vertAlign w:val="superscript"/>
        </w:rPr>
        <w:t>[</w:t>
      </w:r>
      <w:proofErr w:type="gramEnd"/>
      <w:r w:rsidRPr="00ED7513">
        <w:rPr>
          <w:rFonts w:ascii="Book Antiqua" w:hAnsi="Book Antiqua" w:cs="Times New Roman"/>
          <w:noProof/>
          <w:color w:val="000000" w:themeColor="text1"/>
          <w:sz w:val="24"/>
          <w:szCs w:val="24"/>
          <w:vertAlign w:val="superscript"/>
        </w:rPr>
        <w:t>21]</w:t>
      </w:r>
      <w:r w:rsidRPr="00ED7513">
        <w:rPr>
          <w:rFonts w:ascii="Book Antiqua" w:hAnsi="Book Antiqua" w:cs="Times New Roman"/>
          <w:color w:val="000000" w:themeColor="text1"/>
          <w:sz w:val="24"/>
          <w:szCs w:val="24"/>
        </w:rPr>
        <w:t xml:space="preserve">. Previous studies have indicated that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disease has a very poor </w:t>
      </w:r>
      <w:proofErr w:type="gramStart"/>
      <w:r w:rsidRPr="00ED7513">
        <w:rPr>
          <w:rFonts w:ascii="Book Antiqua" w:hAnsi="Book Antiqua" w:cs="Times New Roman"/>
          <w:color w:val="000000" w:themeColor="text1"/>
          <w:sz w:val="24"/>
          <w:szCs w:val="24"/>
        </w:rPr>
        <w:t>prognosis</w:t>
      </w:r>
      <w:r w:rsidRPr="00ED7513">
        <w:rPr>
          <w:rFonts w:ascii="Book Antiqua" w:hAnsi="Book Antiqua" w:cs="Times New Roman"/>
          <w:noProof/>
          <w:color w:val="000000" w:themeColor="text1"/>
          <w:sz w:val="24"/>
          <w:szCs w:val="24"/>
          <w:vertAlign w:val="superscript"/>
        </w:rPr>
        <w:t>[</w:t>
      </w:r>
      <w:proofErr w:type="gramEnd"/>
      <w:r w:rsidRPr="00ED7513">
        <w:rPr>
          <w:rFonts w:ascii="Book Antiqua" w:hAnsi="Book Antiqua" w:cs="Times New Roman"/>
          <w:noProof/>
          <w:color w:val="000000" w:themeColor="text1"/>
          <w:sz w:val="24"/>
          <w:szCs w:val="24"/>
          <w:vertAlign w:val="superscript"/>
        </w:rPr>
        <w:t>22, 23]</w:t>
      </w:r>
      <w:r w:rsidRPr="00ED7513">
        <w:rPr>
          <w:rFonts w:ascii="Book Antiqua" w:hAnsi="Book Antiqua" w:cs="Times New Roman"/>
          <w:color w:val="000000" w:themeColor="text1"/>
          <w:sz w:val="24"/>
          <w:szCs w:val="24"/>
        </w:rPr>
        <w:t xml:space="preserve">, and we also found that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disease was an independent prognostic factor in APGC patients (5-year survival: 13.3%). We incorporated LBVI in an attempt to better differentiate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and IV disease, which revealed that patients with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w:t>
      </w:r>
      <w:r w:rsidR="004A7E8E" w:rsidRPr="00ED7513">
        <w:rPr>
          <w:rFonts w:ascii="Book Antiqua" w:hAnsi="Book Antiqua" w:cs="Times New Roman"/>
          <w:color w:val="000000" w:themeColor="text1"/>
          <w:sz w:val="24"/>
          <w:szCs w:val="24"/>
        </w:rPr>
        <w:t xml:space="preserve"> disease</w:t>
      </w:r>
      <w:r w:rsidRPr="00ED7513">
        <w:rPr>
          <w:rFonts w:ascii="Book Antiqua" w:hAnsi="Book Antiqua" w:cs="Times New Roman"/>
          <w:color w:val="000000" w:themeColor="text1"/>
          <w:sz w:val="24"/>
          <w:szCs w:val="24"/>
        </w:rPr>
        <w:t xml:space="preserve"> had a similar prognosis to those with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disease, </w:t>
      </w:r>
      <w:r w:rsidR="004A7E8E" w:rsidRPr="00ED7513">
        <w:rPr>
          <w:rFonts w:ascii="Book Antiqua" w:hAnsi="Book Antiqua" w:cs="Times New Roman"/>
          <w:color w:val="000000" w:themeColor="text1"/>
          <w:sz w:val="24"/>
          <w:szCs w:val="24"/>
        </w:rPr>
        <w:t>but had</w:t>
      </w:r>
      <w:r w:rsidRPr="00ED7513">
        <w:rPr>
          <w:rFonts w:ascii="Book Antiqua" w:hAnsi="Book Antiqua" w:cs="Times New Roman"/>
          <w:color w:val="000000" w:themeColor="text1"/>
          <w:sz w:val="24"/>
          <w:szCs w:val="24"/>
        </w:rPr>
        <w:t xml:space="preserve"> significantly poorer</w:t>
      </w:r>
      <w:r w:rsidR="004A7E8E" w:rsidRPr="00ED7513">
        <w:rPr>
          <w:rFonts w:ascii="Book Antiqua" w:hAnsi="Book Antiqua" w:cs="Times New Roman"/>
          <w:color w:val="000000" w:themeColor="text1"/>
          <w:sz w:val="24"/>
          <w:szCs w:val="24"/>
        </w:rPr>
        <w:t xml:space="preserve"> prognosis</w:t>
      </w:r>
      <w:r w:rsidRPr="00ED7513">
        <w:rPr>
          <w:rFonts w:ascii="Book Antiqua" w:hAnsi="Book Antiqua" w:cs="Times New Roman"/>
          <w:color w:val="000000" w:themeColor="text1"/>
          <w:sz w:val="24"/>
          <w:szCs w:val="24"/>
        </w:rPr>
        <w:t xml:space="preserve"> than </w:t>
      </w:r>
      <w:r w:rsidR="007F4BC2" w:rsidRPr="00ED7513">
        <w:rPr>
          <w:rFonts w:ascii="Book Antiqua" w:hAnsi="Book Antiqua" w:cs="Times New Roman"/>
          <w:color w:val="000000" w:themeColor="text1"/>
          <w:sz w:val="24"/>
          <w:szCs w:val="24"/>
        </w:rPr>
        <w:t>patients with</w:t>
      </w:r>
      <w:r w:rsidRPr="00ED7513">
        <w:rPr>
          <w:rFonts w:ascii="Book Antiqua" w:hAnsi="Book Antiqua" w:cs="Times New Roman"/>
          <w:color w:val="000000" w:themeColor="text1"/>
          <w:sz w:val="24"/>
          <w:szCs w:val="24"/>
        </w:rPr>
        <w:t xml:space="preserve">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III</w:t>
      </w:r>
      <w:r w:rsidR="00B965AF" w:rsidRPr="00ED7513">
        <w:rPr>
          <w:rFonts w:ascii="Book Antiqua" w:hAnsi="Book Antiqua" w:cs="Times New Roman"/>
          <w:color w:val="000000" w:themeColor="text1"/>
          <w:sz w:val="24"/>
          <w:szCs w:val="24"/>
        </w:rPr>
        <w:t xml:space="preserve"> disease</w:t>
      </w:r>
      <w:r w:rsidRPr="00ED7513">
        <w:rPr>
          <w:rFonts w:ascii="Book Antiqua" w:hAnsi="Book Antiqua" w:cs="Times New Roman"/>
          <w:color w:val="000000" w:themeColor="text1"/>
          <w:sz w:val="24"/>
          <w:szCs w:val="24"/>
        </w:rPr>
        <w:t xml:space="preserve">. Thus, LBVI status can help differentiate “limited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from standard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Interestingly, some studies have </w:t>
      </w:r>
      <w:r w:rsidR="00B965AF" w:rsidRPr="00ED7513">
        <w:rPr>
          <w:rFonts w:ascii="Book Antiqua" w:hAnsi="Book Antiqua" w:cs="Times New Roman"/>
          <w:color w:val="000000" w:themeColor="text1"/>
          <w:sz w:val="24"/>
          <w:szCs w:val="24"/>
        </w:rPr>
        <w:t>reported</w:t>
      </w:r>
      <w:r w:rsidRPr="00ED7513">
        <w:rPr>
          <w:rFonts w:ascii="Book Antiqua" w:hAnsi="Book Antiqua" w:cs="Times New Roman"/>
          <w:color w:val="000000" w:themeColor="text1"/>
          <w:sz w:val="24"/>
          <w:szCs w:val="24"/>
        </w:rPr>
        <w:t xml:space="preserve"> a lower rate of liver metastasis after surgical resection in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patients </w:t>
      </w:r>
      <w:r w:rsidR="00DA0FE9" w:rsidRPr="00ED7513">
        <w:rPr>
          <w:rFonts w:ascii="Book Antiqua" w:hAnsi="Book Antiqua" w:cs="Times New Roman"/>
          <w:color w:val="000000" w:themeColor="text1"/>
          <w:sz w:val="24"/>
          <w:szCs w:val="24"/>
        </w:rPr>
        <w:t>than in</w:t>
      </w:r>
      <w:r w:rsidR="009118F8" w:rsidRPr="00ED7513">
        <w:rPr>
          <w:rFonts w:ascii="Book Antiqua" w:hAnsi="Book Antiqua" w:cs="Times New Roman"/>
          <w:color w:val="000000" w:themeColor="text1"/>
          <w:sz w:val="24"/>
          <w:szCs w:val="24"/>
        </w:rPr>
        <w:t xml:space="preserv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patients, which raises the question of whether LBVI might also be useful in that setting. Further studies are needed to examine this hypothesis.</w:t>
      </w:r>
    </w:p>
    <w:p w:rsidR="00EA6291" w:rsidRPr="00ED7513" w:rsidRDefault="00EA6291" w:rsidP="00ED7513">
      <w:pPr>
        <w:spacing w:line="360" w:lineRule="auto"/>
        <w:ind w:firstLineChars="200" w:firstLine="480"/>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Although </w:t>
      </w:r>
      <w:proofErr w:type="spellStart"/>
      <w:r w:rsidRPr="00ED7513">
        <w:rPr>
          <w:rFonts w:ascii="Book Antiqua" w:hAnsi="Book Antiqua" w:cs="Times New Roman"/>
          <w:color w:val="000000" w:themeColor="text1"/>
          <w:sz w:val="24"/>
          <w:szCs w:val="24"/>
        </w:rPr>
        <w:t>pT</w:t>
      </w:r>
      <w:proofErr w:type="spellEnd"/>
      <w:r w:rsidRPr="00ED7513">
        <w:rPr>
          <w:rFonts w:ascii="Book Antiqua" w:hAnsi="Book Antiqua" w:cs="Times New Roman"/>
          <w:color w:val="000000" w:themeColor="text1"/>
          <w:sz w:val="24"/>
          <w:szCs w:val="24"/>
        </w:rPr>
        <w:t xml:space="preserve"> status is not an independent prognostic factor for APGC, it is an important factor that influences the prognosis of advanced gastric cancer. In this context, pT1 and pT2 tumors are generally smaller and more accurately classified in a comprehensive pathological examination, while pT3 and pT4 tumors are generally larger, </w:t>
      </w:r>
      <w:r w:rsidR="007F4BC2" w:rsidRPr="00ED7513">
        <w:rPr>
          <w:rFonts w:ascii="Book Antiqua" w:hAnsi="Book Antiqua" w:cs="Times New Roman"/>
          <w:color w:val="000000" w:themeColor="text1"/>
          <w:sz w:val="24"/>
          <w:szCs w:val="24"/>
        </w:rPr>
        <w:t>and it is</w:t>
      </w:r>
      <w:r w:rsidRPr="00ED7513">
        <w:rPr>
          <w:rFonts w:ascii="Book Antiqua" w:hAnsi="Book Antiqua" w:cs="Times New Roman"/>
          <w:color w:val="000000" w:themeColor="text1"/>
          <w:sz w:val="24"/>
          <w:szCs w:val="24"/>
        </w:rPr>
        <w:t xml:space="preserve"> more difficult to accurately determine the </w:t>
      </w:r>
      <w:r w:rsidR="007F4BC2" w:rsidRPr="00ED7513">
        <w:rPr>
          <w:rFonts w:ascii="Book Antiqua" w:hAnsi="Book Antiqua" w:cs="Times New Roman"/>
          <w:color w:val="000000" w:themeColor="text1"/>
          <w:sz w:val="24"/>
          <w:szCs w:val="24"/>
        </w:rPr>
        <w:t xml:space="preserve">depth of </w:t>
      </w:r>
      <w:r w:rsidRPr="00ED7513">
        <w:rPr>
          <w:rFonts w:ascii="Book Antiqua" w:hAnsi="Book Antiqua" w:cs="Times New Roman"/>
          <w:color w:val="000000" w:themeColor="text1"/>
          <w:sz w:val="24"/>
          <w:szCs w:val="24"/>
        </w:rPr>
        <w:t xml:space="preserve">invasion using conventional methods. Moreover, there is some overlap between the </w:t>
      </w:r>
      <w:proofErr w:type="spellStart"/>
      <w:r w:rsidRPr="00ED7513">
        <w:rPr>
          <w:rFonts w:ascii="Book Antiqua" w:hAnsi="Book Antiqua" w:cs="Times New Roman"/>
          <w:color w:val="000000" w:themeColor="text1"/>
          <w:sz w:val="24"/>
          <w:szCs w:val="24"/>
        </w:rPr>
        <w:t>pT</w:t>
      </w:r>
      <w:proofErr w:type="spellEnd"/>
      <w:r w:rsidRPr="00ED7513">
        <w:rPr>
          <w:rFonts w:ascii="Book Antiqua" w:hAnsi="Book Antiqua" w:cs="Times New Roman"/>
          <w:color w:val="000000" w:themeColor="text1"/>
          <w:sz w:val="24"/>
          <w:szCs w:val="24"/>
        </w:rPr>
        <w:t xml:space="preserve"> system and the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classification </w:t>
      </w:r>
      <w:r w:rsidRPr="00ED7513">
        <w:rPr>
          <w:rFonts w:ascii="Book Antiqua" w:hAnsi="Book Antiqua" w:cs="Times New Roman"/>
          <w:color w:val="000000" w:themeColor="text1"/>
          <w:sz w:val="24"/>
          <w:szCs w:val="24"/>
        </w:rPr>
        <w:lastRenderedPageBreak/>
        <w:t xml:space="preserve">system in patients with advanced gastric cancer. Therefore, we examined the influence of our revised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classification in patients with pT3 and pT4 APGC, which revealed that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was an independent predictor of poor prognosis in all patients with APGC. </w:t>
      </w:r>
      <w:r w:rsidR="007F4BC2" w:rsidRPr="00ED7513">
        <w:rPr>
          <w:rFonts w:ascii="Book Antiqua" w:hAnsi="Book Antiqua" w:cs="Times New Roman"/>
          <w:color w:val="000000" w:themeColor="text1"/>
          <w:sz w:val="24"/>
          <w:szCs w:val="24"/>
        </w:rPr>
        <w:t xml:space="preserve">In </w:t>
      </w:r>
      <w:r w:rsidRPr="00ED7513">
        <w:rPr>
          <w:rFonts w:ascii="Book Antiqua" w:hAnsi="Book Antiqua" w:cs="Times New Roman"/>
          <w:color w:val="000000" w:themeColor="text1"/>
          <w:sz w:val="24"/>
          <w:szCs w:val="24"/>
        </w:rPr>
        <w:t>patients with infiltrative gastric cancer (pT3 and pT4a),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was still associated with significantly poorer survival than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III, and the magnitude of the survival difference was large enough to outweigh the prognostic value of </w:t>
      </w:r>
      <w:proofErr w:type="spellStart"/>
      <w:r w:rsidRPr="00ED7513">
        <w:rPr>
          <w:rFonts w:ascii="Book Antiqua" w:hAnsi="Book Antiqua" w:cs="Times New Roman"/>
          <w:color w:val="000000" w:themeColor="text1"/>
          <w:sz w:val="24"/>
          <w:szCs w:val="24"/>
        </w:rPr>
        <w:t>pT</w:t>
      </w:r>
      <w:proofErr w:type="spellEnd"/>
      <w:r w:rsidRPr="00ED7513">
        <w:rPr>
          <w:rFonts w:ascii="Book Antiqua" w:hAnsi="Book Antiqua" w:cs="Times New Roman"/>
          <w:color w:val="000000" w:themeColor="text1"/>
          <w:sz w:val="24"/>
          <w:szCs w:val="24"/>
        </w:rPr>
        <w:t xml:space="preserve"> status. Thus, a more aggressive postoperative adjuvant treatment strategy </w:t>
      </w:r>
      <w:r w:rsidR="009A5B43" w:rsidRPr="00ED7513">
        <w:rPr>
          <w:rFonts w:ascii="Book Antiqua" w:hAnsi="Book Antiqua" w:cs="Times New Roman"/>
          <w:color w:val="000000" w:themeColor="text1"/>
          <w:sz w:val="24"/>
          <w:szCs w:val="24"/>
        </w:rPr>
        <w:t>should</w:t>
      </w:r>
      <w:r w:rsidRPr="00ED7513">
        <w:rPr>
          <w:rFonts w:ascii="Book Antiqua" w:hAnsi="Book Antiqua" w:cs="Times New Roman"/>
          <w:color w:val="000000" w:themeColor="text1"/>
          <w:sz w:val="24"/>
          <w:szCs w:val="24"/>
        </w:rPr>
        <w:t xml:space="preserve"> be adopted for patients with pT3 or pT4a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w:t>
      </w:r>
    </w:p>
    <w:p w:rsidR="00EA6291" w:rsidRPr="00ED7513" w:rsidRDefault="00EA6291" w:rsidP="00ED7513">
      <w:pPr>
        <w:spacing w:line="360" w:lineRule="auto"/>
        <w:ind w:firstLineChars="200" w:firstLine="480"/>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This study has several limitations. First, we only included patients with advanced cancers who underwent radical surgery, and excluded patients with pT4b disease to more accurately evaluate the influence of LBVI status. However, we reviewed the patients’ surgical records, and identified 105 patients who were diagnosed with sT4b disease (intraoperative identification of adjacent organ invasion), and only 10 patients who were postoperatively diagnosed with pT4b disease. Thus, we included sT4b as a covariate in the Cox regression model. Another limitation is that LBVI was identified based on routine histological H&amp;E staining, and the tumor sections were examined at the largest specimen width which may have limited the sensitivity </w:t>
      </w:r>
      <w:r w:rsidR="009A5B43" w:rsidRPr="00ED7513">
        <w:rPr>
          <w:rFonts w:ascii="Book Antiqua" w:hAnsi="Book Antiqua" w:cs="Times New Roman"/>
          <w:color w:val="000000" w:themeColor="text1"/>
          <w:sz w:val="24"/>
          <w:szCs w:val="24"/>
        </w:rPr>
        <w:t>of</w:t>
      </w:r>
      <w:r w:rsidRPr="00ED7513">
        <w:rPr>
          <w:rFonts w:ascii="Book Antiqua" w:hAnsi="Book Antiqua" w:cs="Times New Roman"/>
          <w:color w:val="000000" w:themeColor="text1"/>
          <w:sz w:val="24"/>
          <w:szCs w:val="24"/>
        </w:rPr>
        <w:t xml:space="preserve"> LBVI</w:t>
      </w:r>
      <w:r w:rsidR="009A5B43" w:rsidRPr="00ED7513">
        <w:rPr>
          <w:rFonts w:ascii="Book Antiqua" w:hAnsi="Book Antiqua" w:cs="Times New Roman"/>
          <w:color w:val="000000" w:themeColor="text1"/>
          <w:sz w:val="24"/>
          <w:szCs w:val="24"/>
        </w:rPr>
        <w:t xml:space="preserve"> detection</w:t>
      </w:r>
      <w:r w:rsidRPr="00ED7513">
        <w:rPr>
          <w:rFonts w:ascii="Book Antiqua" w:hAnsi="Book Antiqua" w:cs="Times New Roman"/>
          <w:color w:val="000000" w:themeColor="text1"/>
          <w:sz w:val="24"/>
          <w:szCs w:val="24"/>
        </w:rPr>
        <w:t>.</w:t>
      </w:r>
    </w:p>
    <w:p w:rsidR="005658AE" w:rsidRPr="00ED7513" w:rsidRDefault="00EA6291" w:rsidP="00ED7513">
      <w:pPr>
        <w:spacing w:line="360" w:lineRule="auto"/>
        <w:ind w:firstLine="480"/>
        <w:rPr>
          <w:rFonts w:ascii="Book Antiqua" w:hAnsi="Book Antiqua" w:cs="Times New Roman"/>
          <w:b/>
          <w:color w:val="000000" w:themeColor="text1"/>
          <w:sz w:val="24"/>
          <w:szCs w:val="24"/>
        </w:rPr>
      </w:pPr>
      <w:r w:rsidRPr="00ED7513">
        <w:rPr>
          <w:rFonts w:ascii="Book Antiqua" w:hAnsi="Book Antiqua" w:cs="Times New Roman"/>
          <w:color w:val="000000" w:themeColor="text1"/>
          <w:sz w:val="24"/>
          <w:szCs w:val="24"/>
        </w:rPr>
        <w:t xml:space="preserve">In conclusion, APGC patients with LBVI had significantly shorter survival than patients without LBVI, although LBVI+ status was not an independent prognostic factor in the multivariate analysis. Our data indicate that LBVI status may help clarify the difference between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and IV tumors. Based on our revised system, we suggest that patients with </w:t>
      </w:r>
      <w:r w:rsidR="00FF5CCF" w:rsidRPr="00ED7513">
        <w:rPr>
          <w:rFonts w:ascii="Book Antiqua" w:hAnsi="Book Antiqua" w:cs="Times New Roman"/>
          <w:color w:val="000000" w:themeColor="text1"/>
          <w:sz w:val="24"/>
          <w:szCs w:val="24"/>
        </w:rPr>
        <w:t>r-</w:t>
      </w:r>
      <w:proofErr w:type="spellStart"/>
      <w:r w:rsidR="00FF5CCF" w:rsidRPr="00ED7513">
        <w:rPr>
          <w:rFonts w:ascii="Book Antiqua" w:hAnsi="Book Antiqua" w:cs="Times New Roman"/>
          <w:color w:val="000000" w:themeColor="text1"/>
          <w:sz w:val="24"/>
          <w:szCs w:val="24"/>
        </w:rPr>
        <w:t>Bor</w:t>
      </w:r>
      <w:proofErr w:type="spellEnd"/>
      <w:r w:rsidR="00FF5CCF" w:rsidRPr="00ED7513">
        <w:rPr>
          <w:rFonts w:ascii="Book Antiqua" w:hAnsi="Book Antiqua" w:cs="Times New Roman"/>
          <w:color w:val="000000" w:themeColor="text1"/>
          <w:sz w:val="24"/>
          <w:szCs w:val="24"/>
        </w:rPr>
        <w:t xml:space="preserve"> IV </w:t>
      </w:r>
      <w:r w:rsidRPr="00ED7513">
        <w:rPr>
          <w:rFonts w:ascii="Book Antiqua" w:hAnsi="Book Antiqua" w:cs="Times New Roman"/>
          <w:color w:val="000000" w:themeColor="text1"/>
          <w:sz w:val="24"/>
          <w:szCs w:val="24"/>
        </w:rPr>
        <w:t>APGC</w:t>
      </w:r>
      <w:r w:rsidR="009118F8" w:rsidRPr="00ED7513">
        <w:rPr>
          <w:rFonts w:ascii="Book Antiqua" w:hAnsi="Book Antiqua" w:cs="Times New Roman"/>
          <w:color w:val="000000" w:themeColor="text1"/>
          <w:sz w:val="24"/>
          <w:szCs w:val="24"/>
        </w:rPr>
        <w:t xml:space="preserve"> </w:t>
      </w:r>
      <w:r w:rsidRPr="00ED7513">
        <w:rPr>
          <w:rFonts w:ascii="Book Antiqua" w:hAnsi="Book Antiqua" w:cs="Times New Roman"/>
          <w:color w:val="000000" w:themeColor="text1"/>
          <w:sz w:val="24"/>
          <w:szCs w:val="24"/>
        </w:rPr>
        <w:t xml:space="preserve">should be treated the same as patients with standard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APGC. Furthermore, in patients with pT3 and pT4a APGC,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w:t>
      </w:r>
      <w:r w:rsidR="009118F8" w:rsidRPr="00ED7513">
        <w:rPr>
          <w:rFonts w:ascii="Book Antiqua" w:hAnsi="Book Antiqua" w:cs="Times New Roman"/>
          <w:color w:val="000000" w:themeColor="text1"/>
          <w:sz w:val="24"/>
          <w:szCs w:val="24"/>
        </w:rPr>
        <w:t xml:space="preserve"> </w:t>
      </w:r>
      <w:r w:rsidRPr="00ED7513">
        <w:rPr>
          <w:rFonts w:ascii="Book Antiqua" w:hAnsi="Book Antiqua" w:cs="Times New Roman"/>
          <w:color w:val="000000" w:themeColor="text1"/>
          <w:sz w:val="24"/>
          <w:szCs w:val="24"/>
        </w:rPr>
        <w:t>could be used to guide prognostication and follow-up treatment.</w:t>
      </w:r>
    </w:p>
    <w:p w:rsidR="005658AE" w:rsidRPr="00ED7513" w:rsidRDefault="005658AE" w:rsidP="00ED7513">
      <w:pPr>
        <w:spacing w:line="360" w:lineRule="auto"/>
        <w:rPr>
          <w:rFonts w:ascii="Book Antiqua" w:hAnsi="Book Antiqua" w:cs="Times New Roman"/>
          <w:b/>
          <w:color w:val="000000" w:themeColor="text1"/>
          <w:sz w:val="24"/>
          <w:szCs w:val="24"/>
        </w:rPr>
      </w:pPr>
    </w:p>
    <w:p w:rsidR="00EA6291" w:rsidRPr="00ED7513" w:rsidRDefault="009562CC" w:rsidP="00ED7513">
      <w:pPr>
        <w:spacing w:line="360" w:lineRule="auto"/>
        <w:rPr>
          <w:rFonts w:ascii="Book Antiqua" w:hAnsi="Book Antiqua" w:cs="Times New Roman"/>
          <w:b/>
          <w:color w:val="000000" w:themeColor="text1"/>
          <w:sz w:val="24"/>
          <w:szCs w:val="24"/>
        </w:rPr>
      </w:pPr>
      <w:r w:rsidRPr="00ED7513">
        <w:rPr>
          <w:rFonts w:ascii="Book Antiqua" w:hAnsi="Book Antiqua" w:cs="Times New Roman"/>
          <w:b/>
          <w:color w:val="000000" w:themeColor="text1"/>
          <w:sz w:val="24"/>
          <w:szCs w:val="24"/>
        </w:rPr>
        <w:t>ARTICLE HIGHLIGHTS</w:t>
      </w:r>
    </w:p>
    <w:p w:rsidR="009562CC" w:rsidRPr="00ED7513" w:rsidRDefault="00573B3B" w:rsidP="00ED7513">
      <w:pPr>
        <w:spacing w:line="360" w:lineRule="auto"/>
        <w:rPr>
          <w:rFonts w:ascii="Book Antiqua" w:hAnsi="Book Antiqua" w:cs="Times New Roman"/>
          <w:b/>
          <w:i/>
          <w:color w:val="000000" w:themeColor="text1"/>
          <w:sz w:val="24"/>
          <w:szCs w:val="24"/>
        </w:rPr>
      </w:pPr>
      <w:r w:rsidRPr="00ED7513">
        <w:rPr>
          <w:rFonts w:ascii="Book Antiqua" w:hAnsi="Book Antiqua" w:cs="Times New Roman"/>
          <w:b/>
          <w:i/>
          <w:color w:val="000000" w:themeColor="text1"/>
          <w:sz w:val="24"/>
          <w:szCs w:val="24"/>
        </w:rPr>
        <w:lastRenderedPageBreak/>
        <w:t>Research background</w:t>
      </w:r>
    </w:p>
    <w:p w:rsidR="00765ABE" w:rsidRPr="00ED7513" w:rsidRDefault="00573B3B"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Lymphatic and/or blood vessel invasion (LBVI) plays an important role in tumor cell dissemination and metastasis during tumor progression, which contributes to the poor prognosis o</w:t>
      </w:r>
      <w:r w:rsidR="00A33D70" w:rsidRPr="00ED7513">
        <w:rPr>
          <w:rFonts w:ascii="Book Antiqua" w:hAnsi="Book Antiqua" w:cs="Times New Roman"/>
          <w:color w:val="000000" w:themeColor="text1"/>
          <w:sz w:val="24"/>
          <w:szCs w:val="24"/>
        </w:rPr>
        <w:t>f patients with gastric cancer.</w:t>
      </w:r>
    </w:p>
    <w:p w:rsidR="00A33D70" w:rsidRPr="00ED7513" w:rsidRDefault="00A33D70" w:rsidP="00ED7513">
      <w:pPr>
        <w:spacing w:line="360" w:lineRule="auto"/>
        <w:rPr>
          <w:rFonts w:ascii="Book Antiqua" w:hAnsi="Book Antiqua" w:cs="Times New Roman"/>
          <w:color w:val="000000" w:themeColor="text1"/>
          <w:sz w:val="24"/>
          <w:szCs w:val="24"/>
        </w:rPr>
      </w:pPr>
    </w:p>
    <w:p w:rsidR="009562CC" w:rsidRPr="00ED7513" w:rsidRDefault="00573B3B" w:rsidP="00ED7513">
      <w:pPr>
        <w:spacing w:line="360" w:lineRule="auto"/>
        <w:rPr>
          <w:rFonts w:ascii="Book Antiqua" w:hAnsi="Book Antiqua" w:cs="Times New Roman"/>
          <w:b/>
          <w:i/>
          <w:color w:val="000000" w:themeColor="text1"/>
          <w:sz w:val="24"/>
          <w:szCs w:val="24"/>
        </w:rPr>
      </w:pPr>
      <w:r w:rsidRPr="00ED7513">
        <w:rPr>
          <w:rFonts w:ascii="Book Antiqua" w:hAnsi="Book Antiqua" w:cs="Times New Roman"/>
          <w:b/>
          <w:i/>
          <w:color w:val="000000" w:themeColor="text1"/>
          <w:sz w:val="24"/>
          <w:szCs w:val="24"/>
        </w:rPr>
        <w:t>Research motivation</w:t>
      </w:r>
    </w:p>
    <w:p w:rsidR="00765ABE" w:rsidRPr="00ED7513" w:rsidRDefault="00573B3B"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The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classification is generally assigned based on macroscopic examination of the tumor, although some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tumors have a similar appearance and prognosis to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tumors, which has led to the term “limited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Previous studies have indicated that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disease has a very poor prognosis. </w:t>
      </w:r>
    </w:p>
    <w:p w:rsidR="00A33D70" w:rsidRPr="00ED7513" w:rsidRDefault="00A33D70" w:rsidP="00ED7513">
      <w:pPr>
        <w:spacing w:line="360" w:lineRule="auto"/>
        <w:rPr>
          <w:rFonts w:ascii="Book Antiqua" w:hAnsi="Book Antiqua" w:cs="Times New Roman"/>
          <w:color w:val="000000" w:themeColor="text1"/>
          <w:sz w:val="24"/>
          <w:szCs w:val="24"/>
        </w:rPr>
      </w:pPr>
    </w:p>
    <w:p w:rsidR="009562CC" w:rsidRPr="00ED7513" w:rsidRDefault="00573B3B" w:rsidP="00ED7513">
      <w:pPr>
        <w:spacing w:line="360" w:lineRule="auto"/>
        <w:rPr>
          <w:rFonts w:ascii="Book Antiqua" w:hAnsi="Book Antiqua" w:cs="Times New Roman"/>
          <w:b/>
          <w:i/>
          <w:color w:val="000000" w:themeColor="text1"/>
          <w:sz w:val="24"/>
          <w:szCs w:val="24"/>
        </w:rPr>
      </w:pPr>
      <w:r w:rsidRPr="00ED7513">
        <w:rPr>
          <w:rFonts w:ascii="Book Antiqua" w:hAnsi="Book Antiqua" w:cs="Times New Roman"/>
          <w:b/>
          <w:i/>
          <w:color w:val="000000" w:themeColor="text1"/>
          <w:sz w:val="24"/>
          <w:szCs w:val="24"/>
        </w:rPr>
        <w:t>Research objectives</w:t>
      </w:r>
    </w:p>
    <w:p w:rsidR="00765ABE" w:rsidRPr="00ED7513" w:rsidRDefault="00573B3B"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In this study, the authors aim to evaluate the prognostic significance of LBVI combined with the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in advanced proximal gastric cancer (APGC).</w:t>
      </w:r>
    </w:p>
    <w:p w:rsidR="00A33D70" w:rsidRPr="00ED7513" w:rsidRDefault="00A33D70" w:rsidP="00ED7513">
      <w:pPr>
        <w:spacing w:line="360" w:lineRule="auto"/>
        <w:rPr>
          <w:rFonts w:ascii="Book Antiqua" w:hAnsi="Book Antiqua" w:cs="Times New Roman"/>
          <w:color w:val="000000" w:themeColor="text1"/>
          <w:sz w:val="24"/>
          <w:szCs w:val="24"/>
        </w:rPr>
      </w:pPr>
    </w:p>
    <w:p w:rsidR="009562CC" w:rsidRPr="00ED7513" w:rsidRDefault="00573B3B" w:rsidP="00ED7513">
      <w:pPr>
        <w:spacing w:line="360" w:lineRule="auto"/>
        <w:rPr>
          <w:rFonts w:ascii="Book Antiqua" w:hAnsi="Book Antiqua" w:cs="Times New Roman"/>
          <w:b/>
          <w:i/>
          <w:color w:val="000000" w:themeColor="text1"/>
          <w:sz w:val="24"/>
          <w:szCs w:val="24"/>
        </w:rPr>
      </w:pPr>
      <w:r w:rsidRPr="00ED7513">
        <w:rPr>
          <w:rFonts w:ascii="Book Antiqua" w:hAnsi="Book Antiqua" w:cs="Times New Roman"/>
          <w:b/>
          <w:i/>
          <w:color w:val="000000" w:themeColor="text1"/>
          <w:sz w:val="24"/>
          <w:szCs w:val="24"/>
        </w:rPr>
        <w:t>Research methods</w:t>
      </w:r>
    </w:p>
    <w:p w:rsidR="00936C36" w:rsidRPr="00ED7513" w:rsidRDefault="00573B3B"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The </w:t>
      </w:r>
      <w:proofErr w:type="spellStart"/>
      <w:r w:rsidRPr="00ED7513">
        <w:rPr>
          <w:rFonts w:ascii="Book Antiqua" w:hAnsi="Book Antiqua" w:cs="Times New Roman"/>
          <w:color w:val="000000" w:themeColor="text1"/>
          <w:sz w:val="24"/>
          <w:szCs w:val="24"/>
        </w:rPr>
        <w:t>clinicopathological</w:t>
      </w:r>
      <w:proofErr w:type="spellEnd"/>
      <w:r w:rsidRPr="00ED7513">
        <w:rPr>
          <w:rFonts w:ascii="Book Antiqua" w:hAnsi="Book Antiqua" w:cs="Times New Roman"/>
          <w:color w:val="000000" w:themeColor="text1"/>
          <w:sz w:val="24"/>
          <w:szCs w:val="24"/>
        </w:rPr>
        <w:t xml:space="preserve"> and survival data of 440 patients with APGC who underwent curative surgery between 2005 and 2012 were retrospectively analyzed.</w:t>
      </w:r>
    </w:p>
    <w:p w:rsidR="00A33D70" w:rsidRPr="00ED7513" w:rsidRDefault="00A33D70" w:rsidP="00ED7513">
      <w:pPr>
        <w:spacing w:line="360" w:lineRule="auto"/>
        <w:rPr>
          <w:rFonts w:ascii="Book Antiqua" w:hAnsi="Book Antiqua" w:cs="Times New Roman"/>
          <w:color w:val="000000" w:themeColor="text1"/>
          <w:sz w:val="24"/>
          <w:szCs w:val="24"/>
        </w:rPr>
      </w:pPr>
    </w:p>
    <w:p w:rsidR="009562CC" w:rsidRPr="00ED7513" w:rsidRDefault="00573B3B" w:rsidP="00ED7513">
      <w:pPr>
        <w:spacing w:line="360" w:lineRule="auto"/>
        <w:rPr>
          <w:rFonts w:ascii="Book Antiqua" w:hAnsi="Book Antiqua" w:cs="Times New Roman"/>
          <w:b/>
          <w:i/>
          <w:color w:val="000000" w:themeColor="text1"/>
          <w:sz w:val="24"/>
          <w:szCs w:val="24"/>
        </w:rPr>
      </w:pPr>
      <w:r w:rsidRPr="00ED7513">
        <w:rPr>
          <w:rFonts w:ascii="Book Antiqua" w:hAnsi="Book Antiqua" w:cs="Times New Roman"/>
          <w:b/>
          <w:i/>
          <w:color w:val="000000" w:themeColor="text1"/>
          <w:sz w:val="24"/>
          <w:szCs w:val="24"/>
        </w:rPr>
        <w:t>Research results</w:t>
      </w:r>
    </w:p>
    <w:p w:rsidR="00936C36" w:rsidRPr="00ED7513" w:rsidRDefault="00573B3B"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In these 440 patients, LBVI+ status was associated with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low histological grade, large tumor size, and advanced </w:t>
      </w:r>
      <w:proofErr w:type="spellStart"/>
      <w:r w:rsidRPr="00ED7513">
        <w:rPr>
          <w:rFonts w:ascii="Book Antiqua" w:hAnsi="Book Antiqua" w:cs="Times New Roman"/>
          <w:color w:val="000000" w:themeColor="text1"/>
          <w:sz w:val="24"/>
          <w:szCs w:val="24"/>
        </w:rPr>
        <w:t>pT</w:t>
      </w:r>
      <w:proofErr w:type="spellEnd"/>
      <w:r w:rsidRPr="00ED7513">
        <w:rPr>
          <w:rFonts w:ascii="Book Antiqua" w:hAnsi="Book Antiqua" w:cs="Times New Roman"/>
          <w:color w:val="000000" w:themeColor="text1"/>
          <w:sz w:val="24"/>
          <w:szCs w:val="24"/>
        </w:rPr>
        <w:t xml:space="preserve"> and </w:t>
      </w:r>
      <w:proofErr w:type="spellStart"/>
      <w:r w:rsidRPr="00ED7513">
        <w:rPr>
          <w:rFonts w:ascii="Book Antiqua" w:hAnsi="Book Antiqua" w:cs="Times New Roman"/>
          <w:color w:val="000000" w:themeColor="text1"/>
          <w:sz w:val="24"/>
          <w:szCs w:val="24"/>
        </w:rPr>
        <w:t>pN</w:t>
      </w:r>
      <w:proofErr w:type="spellEnd"/>
      <w:r w:rsidRPr="00ED7513">
        <w:rPr>
          <w:rFonts w:ascii="Book Antiqua" w:hAnsi="Book Antiqua" w:cs="Times New Roman"/>
          <w:color w:val="000000" w:themeColor="text1"/>
          <w:sz w:val="24"/>
          <w:szCs w:val="24"/>
        </w:rPr>
        <w:t xml:space="preserve"> status. The 5-year survival rate of LBVI+ patients was significantly lower than that of LBVI– patients, although LBVI was not an independent prognostic factor in the multivariate analysis. No significant difference in the prognosis of patients with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III/LBVI+ disease and patients with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disease was observed. Therefore, we proposed a revised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w:t>
      </w:r>
      <w:r w:rsidRPr="00ED7513">
        <w:rPr>
          <w:rFonts w:ascii="Book Antiqua" w:hAnsi="Book Antiqua" w:cs="Times New Roman"/>
          <w:color w:val="000000" w:themeColor="text1"/>
          <w:sz w:val="24"/>
          <w:szCs w:val="24"/>
        </w:rPr>
        <w:lastRenderedPageBreak/>
        <w:t>type IV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as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plus LBVI+, and found that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was associated with poor prognosis in patients with APGC, which outweighed the prognostic significance of </w:t>
      </w:r>
      <w:proofErr w:type="spellStart"/>
      <w:r w:rsidRPr="00ED7513">
        <w:rPr>
          <w:rFonts w:ascii="Book Antiqua" w:hAnsi="Book Antiqua" w:cs="Times New Roman"/>
          <w:color w:val="000000" w:themeColor="text1"/>
          <w:sz w:val="24"/>
          <w:szCs w:val="24"/>
        </w:rPr>
        <w:t>pT</w:t>
      </w:r>
      <w:proofErr w:type="spellEnd"/>
      <w:r w:rsidRPr="00ED7513">
        <w:rPr>
          <w:rFonts w:ascii="Book Antiqua" w:hAnsi="Book Antiqua" w:cs="Times New Roman"/>
          <w:color w:val="000000" w:themeColor="text1"/>
          <w:sz w:val="24"/>
          <w:szCs w:val="24"/>
        </w:rPr>
        <w:t xml:space="preserve"> status.</w:t>
      </w:r>
    </w:p>
    <w:p w:rsidR="00A33D70" w:rsidRPr="00ED7513" w:rsidRDefault="00A33D70" w:rsidP="00ED7513">
      <w:pPr>
        <w:spacing w:line="360" w:lineRule="auto"/>
        <w:rPr>
          <w:rFonts w:ascii="Book Antiqua" w:hAnsi="Book Antiqua" w:cs="Times New Roman"/>
          <w:color w:val="000000" w:themeColor="text1"/>
          <w:sz w:val="24"/>
          <w:szCs w:val="24"/>
        </w:rPr>
      </w:pPr>
    </w:p>
    <w:p w:rsidR="009562CC" w:rsidRPr="00ED7513" w:rsidRDefault="00573B3B" w:rsidP="00ED7513">
      <w:pPr>
        <w:spacing w:line="360" w:lineRule="auto"/>
        <w:rPr>
          <w:rFonts w:ascii="Book Antiqua" w:hAnsi="Book Antiqua" w:cs="Times New Roman"/>
          <w:b/>
          <w:i/>
          <w:color w:val="000000" w:themeColor="text1"/>
          <w:sz w:val="24"/>
          <w:szCs w:val="24"/>
        </w:rPr>
      </w:pPr>
      <w:r w:rsidRPr="00ED7513">
        <w:rPr>
          <w:rFonts w:ascii="Book Antiqua" w:hAnsi="Book Antiqua" w:cs="Times New Roman"/>
          <w:b/>
          <w:i/>
          <w:color w:val="000000" w:themeColor="text1"/>
          <w:sz w:val="24"/>
          <w:szCs w:val="24"/>
        </w:rPr>
        <w:t xml:space="preserve">Research conclusions </w:t>
      </w:r>
    </w:p>
    <w:p w:rsidR="00936C36" w:rsidRPr="00ED7513" w:rsidRDefault="00573B3B"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 xml:space="preserve">LBVI status may help clarify the difference between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and IV tumors. Based on our revised classification, we suggest that patients with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APGC should be treated the same as patients with standard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IV APGC. </w:t>
      </w:r>
    </w:p>
    <w:p w:rsidR="00A33D70" w:rsidRPr="00ED7513" w:rsidRDefault="00A33D70" w:rsidP="00ED7513">
      <w:pPr>
        <w:spacing w:line="360" w:lineRule="auto"/>
        <w:rPr>
          <w:rFonts w:ascii="Book Antiqua" w:hAnsi="Book Antiqua" w:cs="Times New Roman"/>
          <w:color w:val="000000" w:themeColor="text1"/>
          <w:sz w:val="24"/>
          <w:szCs w:val="24"/>
        </w:rPr>
      </w:pPr>
    </w:p>
    <w:p w:rsidR="00936C36" w:rsidRPr="00ED7513" w:rsidRDefault="00573B3B" w:rsidP="00ED7513">
      <w:pPr>
        <w:spacing w:line="360" w:lineRule="auto"/>
        <w:rPr>
          <w:rFonts w:ascii="Book Antiqua" w:hAnsi="Book Antiqua" w:cs="Times New Roman"/>
          <w:b/>
          <w:i/>
          <w:color w:val="000000" w:themeColor="text1"/>
          <w:sz w:val="24"/>
          <w:szCs w:val="24"/>
        </w:rPr>
      </w:pPr>
      <w:r w:rsidRPr="00ED7513">
        <w:rPr>
          <w:rFonts w:ascii="Book Antiqua" w:hAnsi="Book Antiqua" w:cs="Times New Roman"/>
          <w:b/>
          <w:i/>
          <w:color w:val="000000" w:themeColor="text1"/>
          <w:sz w:val="24"/>
          <w:szCs w:val="24"/>
        </w:rPr>
        <w:t xml:space="preserve">Research perspectives </w:t>
      </w:r>
    </w:p>
    <w:p w:rsidR="00EA6291" w:rsidRPr="00ED7513" w:rsidRDefault="00573B3B"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color w:val="000000" w:themeColor="text1"/>
          <w:sz w:val="24"/>
          <w:szCs w:val="24"/>
        </w:rPr>
        <w:t>In patients with pT3 and pT4a APGC,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w:t>
      </w:r>
      <w:r w:rsidR="009118F8" w:rsidRPr="00ED7513">
        <w:rPr>
          <w:rFonts w:ascii="Book Antiqua" w:hAnsi="Book Antiqua" w:cs="Times New Roman"/>
          <w:color w:val="000000" w:themeColor="text1"/>
          <w:sz w:val="24"/>
          <w:szCs w:val="24"/>
        </w:rPr>
        <w:t xml:space="preserve"> </w:t>
      </w:r>
      <w:r w:rsidRPr="00ED7513">
        <w:rPr>
          <w:rFonts w:ascii="Book Antiqua" w:hAnsi="Book Antiqua" w:cs="Times New Roman"/>
          <w:color w:val="000000" w:themeColor="text1"/>
          <w:sz w:val="24"/>
          <w:szCs w:val="24"/>
        </w:rPr>
        <w:t>could be used to guide prognostication and follow-up treatment.</w:t>
      </w:r>
    </w:p>
    <w:p w:rsidR="00A33D70" w:rsidRPr="00ED7513" w:rsidRDefault="00A33D70" w:rsidP="00ED7513">
      <w:pPr>
        <w:spacing w:line="360" w:lineRule="auto"/>
        <w:rPr>
          <w:rFonts w:ascii="Book Antiqua" w:hAnsi="Book Antiqua" w:cs="Times New Roman"/>
          <w:b/>
          <w:color w:val="000000" w:themeColor="text1"/>
          <w:sz w:val="24"/>
          <w:szCs w:val="24"/>
        </w:rPr>
      </w:pPr>
    </w:p>
    <w:p w:rsidR="00EA6291" w:rsidRPr="00ED7513" w:rsidRDefault="00EA6291" w:rsidP="00ED7513">
      <w:pPr>
        <w:widowControl/>
        <w:spacing w:line="360" w:lineRule="auto"/>
        <w:rPr>
          <w:rFonts w:ascii="Book Antiqua" w:eastAsia="宋体" w:hAnsi="Book Antiqua" w:cs="Times New Roman"/>
          <w:noProof/>
          <w:color w:val="000000" w:themeColor="text1"/>
          <w:sz w:val="24"/>
          <w:szCs w:val="24"/>
        </w:rPr>
      </w:pPr>
      <w:r w:rsidRPr="00ED7513">
        <w:rPr>
          <w:rFonts w:ascii="Book Antiqua" w:hAnsi="Book Antiqua" w:cs="Times New Roman"/>
          <w:b/>
          <w:color w:val="000000" w:themeColor="text1"/>
          <w:sz w:val="24"/>
          <w:szCs w:val="24"/>
        </w:rPr>
        <w:t>REFERENCES</w:t>
      </w:r>
      <w:r w:rsidR="00573B3B" w:rsidRPr="00ED7513">
        <w:rPr>
          <w:rFonts w:ascii="Book Antiqua" w:eastAsia="宋体" w:hAnsi="Book Antiqua" w:cs="Times New Roman"/>
          <w:color w:val="000000" w:themeColor="text1"/>
          <w:sz w:val="24"/>
          <w:szCs w:val="24"/>
        </w:rPr>
        <w:fldChar w:fldCharType="begin"/>
      </w:r>
      <w:r w:rsidRPr="00ED7513">
        <w:rPr>
          <w:rFonts w:ascii="Book Antiqua" w:eastAsia="宋体" w:hAnsi="Book Antiqua" w:cs="Times New Roman"/>
          <w:color w:val="000000" w:themeColor="text1"/>
          <w:sz w:val="24"/>
          <w:szCs w:val="24"/>
        </w:rPr>
        <w:instrText xml:space="preserve"> ADDIN EN.REFLIST </w:instrText>
      </w:r>
      <w:r w:rsidR="00573B3B" w:rsidRPr="00ED7513">
        <w:rPr>
          <w:rFonts w:ascii="Book Antiqua" w:eastAsia="宋体" w:hAnsi="Book Antiqua" w:cs="Times New Roman"/>
          <w:color w:val="000000" w:themeColor="text1"/>
          <w:sz w:val="24"/>
          <w:szCs w:val="24"/>
        </w:rPr>
        <w:fldChar w:fldCharType="separate"/>
      </w:r>
    </w:p>
    <w:p w:rsidR="00ED7513" w:rsidRPr="00ED7513" w:rsidRDefault="00573B3B" w:rsidP="00ED7513">
      <w:pPr>
        <w:spacing w:line="360" w:lineRule="auto"/>
        <w:rPr>
          <w:rFonts w:ascii="Book Antiqua" w:hAnsi="Book Antiqua"/>
          <w:sz w:val="24"/>
          <w:szCs w:val="24"/>
        </w:rPr>
      </w:pPr>
      <w:r w:rsidRPr="00ED7513">
        <w:rPr>
          <w:rFonts w:ascii="Book Antiqua" w:eastAsia="宋体" w:hAnsi="Book Antiqua" w:cs="Times New Roman"/>
          <w:color w:val="000000" w:themeColor="text1"/>
          <w:sz w:val="24"/>
          <w:szCs w:val="24"/>
        </w:rPr>
        <w:fldChar w:fldCharType="end"/>
      </w:r>
      <w:r w:rsidR="00ED7513" w:rsidRPr="00ED7513">
        <w:rPr>
          <w:rFonts w:ascii="Book Antiqua" w:hAnsi="Book Antiqua"/>
          <w:sz w:val="24"/>
          <w:szCs w:val="24"/>
        </w:rPr>
        <w:t xml:space="preserve">1 </w:t>
      </w:r>
      <w:proofErr w:type="spellStart"/>
      <w:r w:rsidR="00ED7513" w:rsidRPr="00ED7513">
        <w:rPr>
          <w:rFonts w:ascii="Book Antiqua" w:hAnsi="Book Antiqua"/>
          <w:b/>
          <w:sz w:val="24"/>
          <w:szCs w:val="24"/>
        </w:rPr>
        <w:t>Jemal</w:t>
      </w:r>
      <w:proofErr w:type="spellEnd"/>
      <w:r w:rsidR="00ED7513" w:rsidRPr="00ED7513">
        <w:rPr>
          <w:rFonts w:ascii="Book Antiqua" w:hAnsi="Book Antiqua"/>
          <w:b/>
          <w:sz w:val="24"/>
          <w:szCs w:val="24"/>
        </w:rPr>
        <w:t xml:space="preserve"> A</w:t>
      </w:r>
      <w:r w:rsidR="00ED7513" w:rsidRPr="00ED7513">
        <w:rPr>
          <w:rFonts w:ascii="Book Antiqua" w:hAnsi="Book Antiqua"/>
          <w:sz w:val="24"/>
          <w:szCs w:val="24"/>
        </w:rPr>
        <w:t xml:space="preserve">, Bray F, Center MM, </w:t>
      </w:r>
      <w:proofErr w:type="spellStart"/>
      <w:r w:rsidR="00ED7513" w:rsidRPr="00ED7513">
        <w:rPr>
          <w:rFonts w:ascii="Book Antiqua" w:hAnsi="Book Antiqua"/>
          <w:sz w:val="24"/>
          <w:szCs w:val="24"/>
        </w:rPr>
        <w:t>Ferlay</w:t>
      </w:r>
      <w:proofErr w:type="spellEnd"/>
      <w:r w:rsidR="00ED7513" w:rsidRPr="00ED7513">
        <w:rPr>
          <w:rFonts w:ascii="Book Antiqua" w:hAnsi="Book Antiqua"/>
          <w:sz w:val="24"/>
          <w:szCs w:val="24"/>
        </w:rPr>
        <w:t xml:space="preserve"> J, Ward E, Forman D. Global cancer statistics. </w:t>
      </w:r>
      <w:r w:rsidR="00ED7513" w:rsidRPr="00ED7513">
        <w:rPr>
          <w:rFonts w:ascii="Book Antiqua" w:hAnsi="Book Antiqua"/>
          <w:i/>
          <w:sz w:val="24"/>
          <w:szCs w:val="24"/>
        </w:rPr>
        <w:t xml:space="preserve">CA Cancer J </w:t>
      </w:r>
      <w:proofErr w:type="spellStart"/>
      <w:r w:rsidR="00ED7513" w:rsidRPr="00ED7513">
        <w:rPr>
          <w:rFonts w:ascii="Book Antiqua" w:hAnsi="Book Antiqua"/>
          <w:i/>
          <w:sz w:val="24"/>
          <w:szCs w:val="24"/>
        </w:rPr>
        <w:t>Clin</w:t>
      </w:r>
      <w:proofErr w:type="spellEnd"/>
      <w:r w:rsidR="00ED7513" w:rsidRPr="00ED7513">
        <w:rPr>
          <w:rFonts w:ascii="Book Antiqua" w:hAnsi="Book Antiqua"/>
          <w:sz w:val="24"/>
          <w:szCs w:val="24"/>
        </w:rPr>
        <w:t xml:space="preserve"> 2011; </w:t>
      </w:r>
      <w:r w:rsidR="00ED7513" w:rsidRPr="00ED7513">
        <w:rPr>
          <w:rFonts w:ascii="Book Antiqua" w:hAnsi="Book Antiqua"/>
          <w:b/>
          <w:sz w:val="24"/>
          <w:szCs w:val="24"/>
        </w:rPr>
        <w:t>61</w:t>
      </w:r>
      <w:r w:rsidR="00ED7513" w:rsidRPr="00ED7513">
        <w:rPr>
          <w:rFonts w:ascii="Book Antiqua" w:hAnsi="Book Antiqua"/>
          <w:sz w:val="24"/>
          <w:szCs w:val="24"/>
        </w:rPr>
        <w:t>: 69-90 [PMID: 21296855 DOI: 10.3322/caac.20107]</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2 </w:t>
      </w:r>
      <w:r w:rsidRPr="00ED7513">
        <w:rPr>
          <w:rFonts w:ascii="Book Antiqua" w:hAnsi="Book Antiqua"/>
          <w:b/>
          <w:sz w:val="24"/>
          <w:szCs w:val="24"/>
        </w:rPr>
        <w:t>Lin Y</w:t>
      </w:r>
      <w:r w:rsidRPr="00ED7513">
        <w:rPr>
          <w:rFonts w:ascii="Book Antiqua" w:hAnsi="Book Antiqua"/>
          <w:sz w:val="24"/>
          <w:szCs w:val="24"/>
        </w:rPr>
        <w:t xml:space="preserve">, Ueda J, Kikuchi S, Totsuka Y, Wei WQ, </w:t>
      </w:r>
      <w:proofErr w:type="spellStart"/>
      <w:r w:rsidRPr="00ED7513">
        <w:rPr>
          <w:rFonts w:ascii="Book Antiqua" w:hAnsi="Book Antiqua"/>
          <w:sz w:val="24"/>
          <w:szCs w:val="24"/>
        </w:rPr>
        <w:t>Qiao</w:t>
      </w:r>
      <w:proofErr w:type="spellEnd"/>
      <w:r w:rsidRPr="00ED7513">
        <w:rPr>
          <w:rFonts w:ascii="Book Antiqua" w:hAnsi="Book Antiqua"/>
          <w:sz w:val="24"/>
          <w:szCs w:val="24"/>
        </w:rPr>
        <w:t xml:space="preserve"> YL, Inoue M. Comparative epidemiology of gastric cancer between Japan and China. </w:t>
      </w:r>
      <w:r w:rsidRPr="00ED7513">
        <w:rPr>
          <w:rFonts w:ascii="Book Antiqua" w:hAnsi="Book Antiqua"/>
          <w:i/>
          <w:sz w:val="24"/>
          <w:szCs w:val="24"/>
        </w:rPr>
        <w:t xml:space="preserve">World J </w:t>
      </w:r>
      <w:proofErr w:type="spellStart"/>
      <w:r w:rsidRPr="00ED7513">
        <w:rPr>
          <w:rFonts w:ascii="Book Antiqua" w:hAnsi="Book Antiqua"/>
          <w:i/>
          <w:sz w:val="24"/>
          <w:szCs w:val="24"/>
        </w:rPr>
        <w:t>Gastroenterol</w:t>
      </w:r>
      <w:proofErr w:type="spellEnd"/>
      <w:r w:rsidRPr="00ED7513">
        <w:rPr>
          <w:rFonts w:ascii="Book Antiqua" w:hAnsi="Book Antiqua"/>
          <w:sz w:val="24"/>
          <w:szCs w:val="24"/>
        </w:rPr>
        <w:t xml:space="preserve"> 2011; </w:t>
      </w:r>
      <w:r w:rsidRPr="00ED7513">
        <w:rPr>
          <w:rFonts w:ascii="Book Antiqua" w:hAnsi="Book Antiqua"/>
          <w:b/>
          <w:sz w:val="24"/>
          <w:szCs w:val="24"/>
        </w:rPr>
        <w:t>17</w:t>
      </w:r>
      <w:r w:rsidRPr="00ED7513">
        <w:rPr>
          <w:rFonts w:ascii="Book Antiqua" w:hAnsi="Book Antiqua"/>
          <w:sz w:val="24"/>
          <w:szCs w:val="24"/>
        </w:rPr>
        <w:t>: 4421-4428 [PMID: 22110269 DOI: 10.3748/wjg.v17.i39.4421]</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3 </w:t>
      </w:r>
      <w:r w:rsidRPr="00ED7513">
        <w:rPr>
          <w:rFonts w:ascii="Book Antiqua" w:hAnsi="Book Antiqua"/>
          <w:b/>
          <w:sz w:val="24"/>
          <w:szCs w:val="24"/>
        </w:rPr>
        <w:t>Deng J</w:t>
      </w:r>
      <w:r w:rsidRPr="00ED7513">
        <w:rPr>
          <w:rFonts w:ascii="Book Antiqua" w:hAnsi="Book Antiqua"/>
          <w:sz w:val="24"/>
          <w:szCs w:val="24"/>
        </w:rPr>
        <w:t xml:space="preserve">, Liang H, Wang D, Sun D, Pan Y, Liu Y. Investigation of the recurrence patterns of gastric cancer following a curative resection. </w:t>
      </w:r>
      <w:proofErr w:type="spellStart"/>
      <w:r w:rsidRPr="00ED7513">
        <w:rPr>
          <w:rFonts w:ascii="Book Antiqua" w:hAnsi="Book Antiqua"/>
          <w:i/>
          <w:sz w:val="24"/>
          <w:szCs w:val="24"/>
        </w:rPr>
        <w:t>Surg</w:t>
      </w:r>
      <w:proofErr w:type="spellEnd"/>
      <w:r w:rsidRPr="00ED7513">
        <w:rPr>
          <w:rFonts w:ascii="Book Antiqua" w:hAnsi="Book Antiqua"/>
          <w:i/>
          <w:sz w:val="24"/>
          <w:szCs w:val="24"/>
        </w:rPr>
        <w:t xml:space="preserve"> Today</w:t>
      </w:r>
      <w:r w:rsidRPr="00ED7513">
        <w:rPr>
          <w:rFonts w:ascii="Book Antiqua" w:hAnsi="Book Antiqua"/>
          <w:sz w:val="24"/>
          <w:szCs w:val="24"/>
        </w:rPr>
        <w:t xml:space="preserve"> 2011; </w:t>
      </w:r>
      <w:r w:rsidRPr="00ED7513">
        <w:rPr>
          <w:rFonts w:ascii="Book Antiqua" w:hAnsi="Book Antiqua"/>
          <w:b/>
          <w:sz w:val="24"/>
          <w:szCs w:val="24"/>
        </w:rPr>
        <w:t>41</w:t>
      </w:r>
      <w:r w:rsidRPr="00ED7513">
        <w:rPr>
          <w:rFonts w:ascii="Book Antiqua" w:hAnsi="Book Antiqua"/>
          <w:sz w:val="24"/>
          <w:szCs w:val="24"/>
        </w:rPr>
        <w:t>: 210-215 [PMID: 21264756 DOI: 10.1007/s00595-009-4251-y]</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4 </w:t>
      </w:r>
      <w:r w:rsidRPr="00ED7513">
        <w:rPr>
          <w:rFonts w:ascii="Book Antiqua" w:hAnsi="Book Antiqua"/>
          <w:b/>
          <w:sz w:val="24"/>
          <w:szCs w:val="24"/>
        </w:rPr>
        <w:t>Shen L</w:t>
      </w:r>
      <w:r w:rsidRPr="00ED7513">
        <w:rPr>
          <w:rFonts w:ascii="Book Antiqua" w:hAnsi="Book Antiqua"/>
          <w:sz w:val="24"/>
          <w:szCs w:val="24"/>
        </w:rPr>
        <w:t xml:space="preserve">, Shan YS, Hu HM, Price TJ, </w:t>
      </w:r>
      <w:proofErr w:type="spellStart"/>
      <w:r w:rsidRPr="00ED7513">
        <w:rPr>
          <w:rFonts w:ascii="Book Antiqua" w:hAnsi="Book Antiqua"/>
          <w:sz w:val="24"/>
          <w:szCs w:val="24"/>
        </w:rPr>
        <w:t>Sirohi</w:t>
      </w:r>
      <w:proofErr w:type="spellEnd"/>
      <w:r w:rsidRPr="00ED7513">
        <w:rPr>
          <w:rFonts w:ascii="Book Antiqua" w:hAnsi="Book Antiqua"/>
          <w:sz w:val="24"/>
          <w:szCs w:val="24"/>
        </w:rPr>
        <w:t xml:space="preserve"> B, </w:t>
      </w:r>
      <w:proofErr w:type="spellStart"/>
      <w:r w:rsidRPr="00ED7513">
        <w:rPr>
          <w:rFonts w:ascii="Book Antiqua" w:hAnsi="Book Antiqua"/>
          <w:sz w:val="24"/>
          <w:szCs w:val="24"/>
        </w:rPr>
        <w:t>Yeh</w:t>
      </w:r>
      <w:proofErr w:type="spellEnd"/>
      <w:r w:rsidRPr="00ED7513">
        <w:rPr>
          <w:rFonts w:ascii="Book Antiqua" w:hAnsi="Book Antiqua"/>
          <w:sz w:val="24"/>
          <w:szCs w:val="24"/>
        </w:rPr>
        <w:t xml:space="preserve"> KH, Yang YH, Sano T, Yang HK, Zhang X, Park SR, </w:t>
      </w:r>
      <w:proofErr w:type="spellStart"/>
      <w:r w:rsidRPr="00ED7513">
        <w:rPr>
          <w:rFonts w:ascii="Book Antiqua" w:hAnsi="Book Antiqua"/>
          <w:sz w:val="24"/>
          <w:szCs w:val="24"/>
        </w:rPr>
        <w:t>Fujii</w:t>
      </w:r>
      <w:proofErr w:type="spellEnd"/>
      <w:r w:rsidRPr="00ED7513">
        <w:rPr>
          <w:rFonts w:ascii="Book Antiqua" w:hAnsi="Book Antiqua"/>
          <w:sz w:val="24"/>
          <w:szCs w:val="24"/>
        </w:rPr>
        <w:t xml:space="preserve"> M, Kang YK, Chen LT. Management of gastric cancer in Asia: resource-stratified guidelines. </w:t>
      </w:r>
      <w:r w:rsidRPr="00ED7513">
        <w:rPr>
          <w:rFonts w:ascii="Book Antiqua" w:hAnsi="Book Antiqua"/>
          <w:i/>
          <w:sz w:val="24"/>
          <w:szCs w:val="24"/>
        </w:rPr>
        <w:t xml:space="preserve">Lancet </w:t>
      </w:r>
      <w:proofErr w:type="spellStart"/>
      <w:r w:rsidRPr="00ED7513">
        <w:rPr>
          <w:rFonts w:ascii="Book Antiqua" w:hAnsi="Book Antiqua"/>
          <w:i/>
          <w:sz w:val="24"/>
          <w:szCs w:val="24"/>
        </w:rPr>
        <w:t>Oncol</w:t>
      </w:r>
      <w:proofErr w:type="spellEnd"/>
      <w:r w:rsidRPr="00ED7513">
        <w:rPr>
          <w:rFonts w:ascii="Book Antiqua" w:hAnsi="Book Antiqua"/>
          <w:sz w:val="24"/>
          <w:szCs w:val="24"/>
        </w:rPr>
        <w:t xml:space="preserve"> 2013; </w:t>
      </w:r>
      <w:r w:rsidRPr="00ED7513">
        <w:rPr>
          <w:rFonts w:ascii="Book Antiqua" w:hAnsi="Book Antiqua"/>
          <w:b/>
          <w:sz w:val="24"/>
          <w:szCs w:val="24"/>
        </w:rPr>
        <w:t>14</w:t>
      </w:r>
      <w:r w:rsidRPr="00ED7513">
        <w:rPr>
          <w:rFonts w:ascii="Book Antiqua" w:hAnsi="Book Antiqua"/>
          <w:sz w:val="24"/>
          <w:szCs w:val="24"/>
        </w:rPr>
        <w:t>: e535-e547 [PMID: 24176572 DOI: 10.1016/S1470-2045(13)70436-4]</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5 </w:t>
      </w:r>
      <w:r w:rsidRPr="00ED7513">
        <w:rPr>
          <w:rFonts w:ascii="Book Antiqua" w:hAnsi="Book Antiqua"/>
          <w:b/>
          <w:sz w:val="24"/>
          <w:szCs w:val="24"/>
        </w:rPr>
        <w:t>Kang WM</w:t>
      </w:r>
      <w:r w:rsidRPr="00ED7513">
        <w:rPr>
          <w:rFonts w:ascii="Book Antiqua" w:hAnsi="Book Antiqua"/>
          <w:sz w:val="24"/>
          <w:szCs w:val="24"/>
        </w:rPr>
        <w:t xml:space="preserve">, </w:t>
      </w:r>
      <w:proofErr w:type="spellStart"/>
      <w:r w:rsidRPr="00ED7513">
        <w:rPr>
          <w:rFonts w:ascii="Book Antiqua" w:hAnsi="Book Antiqua"/>
          <w:sz w:val="24"/>
          <w:szCs w:val="24"/>
        </w:rPr>
        <w:t>Meng</w:t>
      </w:r>
      <w:proofErr w:type="spellEnd"/>
      <w:r w:rsidRPr="00ED7513">
        <w:rPr>
          <w:rFonts w:ascii="Book Antiqua" w:hAnsi="Book Antiqua"/>
          <w:sz w:val="24"/>
          <w:szCs w:val="24"/>
        </w:rPr>
        <w:t xml:space="preserve"> QB, Yu JC, Ma ZQ, Li ZT. Factors associated with early </w:t>
      </w:r>
      <w:r w:rsidRPr="00ED7513">
        <w:rPr>
          <w:rFonts w:ascii="Book Antiqua" w:hAnsi="Book Antiqua"/>
          <w:sz w:val="24"/>
          <w:szCs w:val="24"/>
        </w:rPr>
        <w:lastRenderedPageBreak/>
        <w:t xml:space="preserve">recurrence after curative surgery for gastric cancer. </w:t>
      </w:r>
      <w:r w:rsidRPr="00ED7513">
        <w:rPr>
          <w:rFonts w:ascii="Book Antiqua" w:hAnsi="Book Antiqua"/>
          <w:i/>
          <w:sz w:val="24"/>
          <w:szCs w:val="24"/>
        </w:rPr>
        <w:t xml:space="preserve">World J </w:t>
      </w:r>
      <w:proofErr w:type="spellStart"/>
      <w:r w:rsidRPr="00ED7513">
        <w:rPr>
          <w:rFonts w:ascii="Book Antiqua" w:hAnsi="Book Antiqua"/>
          <w:i/>
          <w:sz w:val="24"/>
          <w:szCs w:val="24"/>
        </w:rPr>
        <w:t>Gastroenterol</w:t>
      </w:r>
      <w:proofErr w:type="spellEnd"/>
      <w:r w:rsidRPr="00ED7513">
        <w:rPr>
          <w:rFonts w:ascii="Book Antiqua" w:hAnsi="Book Antiqua"/>
          <w:sz w:val="24"/>
          <w:szCs w:val="24"/>
        </w:rPr>
        <w:t xml:space="preserve"> 2015; </w:t>
      </w:r>
      <w:r w:rsidRPr="00ED7513">
        <w:rPr>
          <w:rFonts w:ascii="Book Antiqua" w:hAnsi="Book Antiqua"/>
          <w:b/>
          <w:sz w:val="24"/>
          <w:szCs w:val="24"/>
        </w:rPr>
        <w:t>21</w:t>
      </w:r>
      <w:r w:rsidRPr="00ED7513">
        <w:rPr>
          <w:rFonts w:ascii="Book Antiqua" w:hAnsi="Book Antiqua"/>
          <w:sz w:val="24"/>
          <w:szCs w:val="24"/>
        </w:rPr>
        <w:t>: 5934-5940 [PMID: 26019458 DOI: 10.3748/wjg.v21.i19.5934]</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6 </w:t>
      </w:r>
      <w:proofErr w:type="spellStart"/>
      <w:r w:rsidRPr="00ED7513">
        <w:rPr>
          <w:rFonts w:ascii="Book Antiqua" w:hAnsi="Book Antiqua"/>
          <w:b/>
          <w:sz w:val="24"/>
          <w:szCs w:val="24"/>
        </w:rPr>
        <w:t>Gulmann</w:t>
      </w:r>
      <w:proofErr w:type="spellEnd"/>
      <w:r w:rsidRPr="00ED7513">
        <w:rPr>
          <w:rFonts w:ascii="Book Antiqua" w:hAnsi="Book Antiqua"/>
          <w:b/>
          <w:sz w:val="24"/>
          <w:szCs w:val="24"/>
        </w:rPr>
        <w:t xml:space="preserve"> C</w:t>
      </w:r>
      <w:r w:rsidRPr="00ED7513">
        <w:rPr>
          <w:rFonts w:ascii="Book Antiqua" w:hAnsi="Book Antiqua"/>
          <w:sz w:val="24"/>
          <w:szCs w:val="24"/>
        </w:rPr>
        <w:t xml:space="preserve">, </w:t>
      </w:r>
      <w:proofErr w:type="spellStart"/>
      <w:r w:rsidRPr="00ED7513">
        <w:rPr>
          <w:rFonts w:ascii="Book Antiqua" w:hAnsi="Book Antiqua"/>
          <w:sz w:val="24"/>
          <w:szCs w:val="24"/>
        </w:rPr>
        <w:t>Hegarty</w:t>
      </w:r>
      <w:proofErr w:type="spellEnd"/>
      <w:r w:rsidRPr="00ED7513">
        <w:rPr>
          <w:rFonts w:ascii="Book Antiqua" w:hAnsi="Book Antiqua"/>
          <w:sz w:val="24"/>
          <w:szCs w:val="24"/>
        </w:rPr>
        <w:t xml:space="preserve"> H, Grace </w:t>
      </w:r>
      <w:proofErr w:type="gramStart"/>
      <w:r w:rsidRPr="00ED7513">
        <w:rPr>
          <w:rFonts w:ascii="Book Antiqua" w:hAnsi="Book Antiqua"/>
          <w:sz w:val="24"/>
          <w:szCs w:val="24"/>
        </w:rPr>
        <w:t>A</w:t>
      </w:r>
      <w:proofErr w:type="gramEnd"/>
      <w:r w:rsidRPr="00ED7513">
        <w:rPr>
          <w:rFonts w:ascii="Book Antiqua" w:hAnsi="Book Antiqua"/>
          <w:sz w:val="24"/>
          <w:szCs w:val="24"/>
        </w:rPr>
        <w:t xml:space="preserve">, Leader M, </w:t>
      </w:r>
      <w:proofErr w:type="spellStart"/>
      <w:r w:rsidRPr="00ED7513">
        <w:rPr>
          <w:rFonts w:ascii="Book Antiqua" w:hAnsi="Book Antiqua"/>
          <w:sz w:val="24"/>
          <w:szCs w:val="24"/>
        </w:rPr>
        <w:t>Patchett</w:t>
      </w:r>
      <w:proofErr w:type="spellEnd"/>
      <w:r w:rsidRPr="00ED7513">
        <w:rPr>
          <w:rFonts w:ascii="Book Antiqua" w:hAnsi="Book Antiqua"/>
          <w:sz w:val="24"/>
          <w:szCs w:val="24"/>
        </w:rPr>
        <w:t xml:space="preserve"> S, Kay E. Differences in proximal (cardia) versus distal (antral) gastric carcinogenesis via the retinoblastoma pathway. </w:t>
      </w:r>
      <w:r w:rsidRPr="00ED7513">
        <w:rPr>
          <w:rFonts w:ascii="Book Antiqua" w:hAnsi="Book Antiqua"/>
          <w:i/>
          <w:sz w:val="24"/>
          <w:szCs w:val="24"/>
        </w:rPr>
        <w:t xml:space="preserve">World J </w:t>
      </w:r>
      <w:proofErr w:type="spellStart"/>
      <w:r w:rsidRPr="00ED7513">
        <w:rPr>
          <w:rFonts w:ascii="Book Antiqua" w:hAnsi="Book Antiqua"/>
          <w:i/>
          <w:sz w:val="24"/>
          <w:szCs w:val="24"/>
        </w:rPr>
        <w:t>Gastroenterol</w:t>
      </w:r>
      <w:proofErr w:type="spellEnd"/>
      <w:r w:rsidRPr="00ED7513">
        <w:rPr>
          <w:rFonts w:ascii="Book Antiqua" w:hAnsi="Book Antiqua"/>
          <w:sz w:val="24"/>
          <w:szCs w:val="24"/>
        </w:rPr>
        <w:t xml:space="preserve"> 2004; </w:t>
      </w:r>
      <w:r w:rsidRPr="00ED7513">
        <w:rPr>
          <w:rFonts w:ascii="Book Antiqua" w:hAnsi="Book Antiqua"/>
          <w:b/>
          <w:sz w:val="24"/>
          <w:szCs w:val="24"/>
        </w:rPr>
        <w:t>10</w:t>
      </w:r>
      <w:r w:rsidRPr="00ED7513">
        <w:rPr>
          <w:rFonts w:ascii="Book Antiqua" w:hAnsi="Book Antiqua"/>
          <w:sz w:val="24"/>
          <w:szCs w:val="24"/>
        </w:rPr>
        <w:t>: 17-21 [PMID: 14695761 DOI: 10.3748/wjg.v10.i1.17]</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7 </w:t>
      </w:r>
      <w:r w:rsidRPr="00ED7513">
        <w:rPr>
          <w:rFonts w:ascii="Book Antiqua" w:hAnsi="Book Antiqua"/>
          <w:b/>
          <w:sz w:val="24"/>
          <w:szCs w:val="24"/>
        </w:rPr>
        <w:t>Ishikawa S</w:t>
      </w:r>
      <w:r w:rsidRPr="00ED7513">
        <w:rPr>
          <w:rFonts w:ascii="Book Antiqua" w:hAnsi="Book Antiqua"/>
          <w:sz w:val="24"/>
          <w:szCs w:val="24"/>
        </w:rPr>
        <w:t xml:space="preserve">, Shimada S, </w:t>
      </w:r>
      <w:proofErr w:type="spellStart"/>
      <w:r w:rsidRPr="00ED7513">
        <w:rPr>
          <w:rFonts w:ascii="Book Antiqua" w:hAnsi="Book Antiqua"/>
          <w:sz w:val="24"/>
          <w:szCs w:val="24"/>
        </w:rPr>
        <w:t>Miyanari</w:t>
      </w:r>
      <w:proofErr w:type="spellEnd"/>
      <w:r w:rsidRPr="00ED7513">
        <w:rPr>
          <w:rFonts w:ascii="Book Antiqua" w:hAnsi="Book Antiqua"/>
          <w:sz w:val="24"/>
          <w:szCs w:val="24"/>
        </w:rPr>
        <w:t xml:space="preserve"> N, </w:t>
      </w:r>
      <w:proofErr w:type="spellStart"/>
      <w:r w:rsidRPr="00ED7513">
        <w:rPr>
          <w:rFonts w:ascii="Book Antiqua" w:hAnsi="Book Antiqua"/>
          <w:sz w:val="24"/>
          <w:szCs w:val="24"/>
        </w:rPr>
        <w:t>Hirota</w:t>
      </w:r>
      <w:proofErr w:type="spellEnd"/>
      <w:r w:rsidRPr="00ED7513">
        <w:rPr>
          <w:rFonts w:ascii="Book Antiqua" w:hAnsi="Book Antiqua"/>
          <w:sz w:val="24"/>
          <w:szCs w:val="24"/>
        </w:rPr>
        <w:t xml:space="preserve"> M, </w:t>
      </w:r>
      <w:proofErr w:type="spellStart"/>
      <w:r w:rsidRPr="00ED7513">
        <w:rPr>
          <w:rFonts w:ascii="Book Antiqua" w:hAnsi="Book Antiqua"/>
          <w:sz w:val="24"/>
          <w:szCs w:val="24"/>
        </w:rPr>
        <w:t>Takamori</w:t>
      </w:r>
      <w:proofErr w:type="spellEnd"/>
      <w:r w:rsidRPr="00ED7513">
        <w:rPr>
          <w:rFonts w:ascii="Book Antiqua" w:hAnsi="Book Antiqua"/>
          <w:sz w:val="24"/>
          <w:szCs w:val="24"/>
        </w:rPr>
        <w:t xml:space="preserve"> H, Baba H. Pattern of lymph node involvement in proximal gastric cancer. </w:t>
      </w:r>
      <w:r w:rsidRPr="00ED7513">
        <w:rPr>
          <w:rFonts w:ascii="Book Antiqua" w:hAnsi="Book Antiqua"/>
          <w:i/>
          <w:sz w:val="24"/>
          <w:szCs w:val="24"/>
        </w:rPr>
        <w:t xml:space="preserve">World J </w:t>
      </w:r>
      <w:proofErr w:type="spellStart"/>
      <w:r w:rsidRPr="00ED7513">
        <w:rPr>
          <w:rFonts w:ascii="Book Antiqua" w:hAnsi="Book Antiqua"/>
          <w:i/>
          <w:sz w:val="24"/>
          <w:szCs w:val="24"/>
        </w:rPr>
        <w:t>Surg</w:t>
      </w:r>
      <w:proofErr w:type="spellEnd"/>
      <w:r w:rsidRPr="00ED7513">
        <w:rPr>
          <w:rFonts w:ascii="Book Antiqua" w:hAnsi="Book Antiqua"/>
          <w:sz w:val="24"/>
          <w:szCs w:val="24"/>
        </w:rPr>
        <w:t xml:space="preserve"> 2009; </w:t>
      </w:r>
      <w:r w:rsidRPr="00ED7513">
        <w:rPr>
          <w:rFonts w:ascii="Book Antiqua" w:hAnsi="Book Antiqua"/>
          <w:b/>
          <w:sz w:val="24"/>
          <w:szCs w:val="24"/>
        </w:rPr>
        <w:t>33</w:t>
      </w:r>
      <w:r w:rsidRPr="00ED7513">
        <w:rPr>
          <w:rFonts w:ascii="Book Antiqua" w:hAnsi="Book Antiqua"/>
          <w:sz w:val="24"/>
          <w:szCs w:val="24"/>
        </w:rPr>
        <w:t>: 1687-1692 [PMID: 19488813 DOI: 10.1007/s00268-009-0083-6]</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8 </w:t>
      </w:r>
      <w:r w:rsidRPr="00ED7513">
        <w:rPr>
          <w:rFonts w:ascii="Book Antiqua" w:hAnsi="Book Antiqua"/>
          <w:b/>
          <w:sz w:val="24"/>
          <w:szCs w:val="24"/>
        </w:rPr>
        <w:t>Saito H</w:t>
      </w:r>
      <w:r w:rsidRPr="00ED7513">
        <w:rPr>
          <w:rFonts w:ascii="Book Antiqua" w:hAnsi="Book Antiqua"/>
          <w:sz w:val="24"/>
          <w:szCs w:val="24"/>
        </w:rPr>
        <w:t xml:space="preserve">, Fukumoto Y, Osaki T, Fukuda K, </w:t>
      </w:r>
      <w:proofErr w:type="spellStart"/>
      <w:r w:rsidRPr="00ED7513">
        <w:rPr>
          <w:rFonts w:ascii="Book Antiqua" w:hAnsi="Book Antiqua"/>
          <w:sz w:val="24"/>
          <w:szCs w:val="24"/>
        </w:rPr>
        <w:t>Tatebe</w:t>
      </w:r>
      <w:proofErr w:type="spellEnd"/>
      <w:r w:rsidRPr="00ED7513">
        <w:rPr>
          <w:rFonts w:ascii="Book Antiqua" w:hAnsi="Book Antiqua"/>
          <w:sz w:val="24"/>
          <w:szCs w:val="24"/>
        </w:rPr>
        <w:t xml:space="preserve"> S, </w:t>
      </w:r>
      <w:proofErr w:type="spellStart"/>
      <w:r w:rsidRPr="00ED7513">
        <w:rPr>
          <w:rFonts w:ascii="Book Antiqua" w:hAnsi="Book Antiqua"/>
          <w:sz w:val="24"/>
          <w:szCs w:val="24"/>
        </w:rPr>
        <w:t>Tsujitani</w:t>
      </w:r>
      <w:proofErr w:type="spellEnd"/>
      <w:r w:rsidRPr="00ED7513">
        <w:rPr>
          <w:rFonts w:ascii="Book Antiqua" w:hAnsi="Book Antiqua"/>
          <w:sz w:val="24"/>
          <w:szCs w:val="24"/>
        </w:rPr>
        <w:t xml:space="preserve"> S, </w:t>
      </w:r>
      <w:proofErr w:type="spellStart"/>
      <w:r w:rsidRPr="00ED7513">
        <w:rPr>
          <w:rFonts w:ascii="Book Antiqua" w:hAnsi="Book Antiqua"/>
          <w:sz w:val="24"/>
          <w:szCs w:val="24"/>
        </w:rPr>
        <w:t>Ikeguchi</w:t>
      </w:r>
      <w:proofErr w:type="spellEnd"/>
      <w:r w:rsidRPr="00ED7513">
        <w:rPr>
          <w:rFonts w:ascii="Book Antiqua" w:hAnsi="Book Antiqua"/>
          <w:sz w:val="24"/>
          <w:szCs w:val="24"/>
        </w:rPr>
        <w:t xml:space="preserve"> M. Distinct recurrence pattern and outcome of adenocarcinoma of the gastric cardia in comparison with carcinoma of other regions of the stomach. </w:t>
      </w:r>
      <w:r w:rsidRPr="00ED7513">
        <w:rPr>
          <w:rFonts w:ascii="Book Antiqua" w:hAnsi="Book Antiqua"/>
          <w:i/>
          <w:sz w:val="24"/>
          <w:szCs w:val="24"/>
        </w:rPr>
        <w:t xml:space="preserve">World J </w:t>
      </w:r>
      <w:proofErr w:type="spellStart"/>
      <w:r w:rsidRPr="00ED7513">
        <w:rPr>
          <w:rFonts w:ascii="Book Antiqua" w:hAnsi="Book Antiqua"/>
          <w:i/>
          <w:sz w:val="24"/>
          <w:szCs w:val="24"/>
        </w:rPr>
        <w:t>Surg</w:t>
      </w:r>
      <w:proofErr w:type="spellEnd"/>
      <w:r w:rsidRPr="00ED7513">
        <w:rPr>
          <w:rFonts w:ascii="Book Antiqua" w:hAnsi="Book Antiqua"/>
          <w:sz w:val="24"/>
          <w:szCs w:val="24"/>
        </w:rPr>
        <w:t xml:space="preserve"> 2006; </w:t>
      </w:r>
      <w:r w:rsidRPr="00ED7513">
        <w:rPr>
          <w:rFonts w:ascii="Book Antiqua" w:hAnsi="Book Antiqua"/>
          <w:b/>
          <w:sz w:val="24"/>
          <w:szCs w:val="24"/>
        </w:rPr>
        <w:t>30</w:t>
      </w:r>
      <w:r w:rsidRPr="00ED7513">
        <w:rPr>
          <w:rFonts w:ascii="Book Antiqua" w:hAnsi="Book Antiqua"/>
          <w:sz w:val="24"/>
          <w:szCs w:val="24"/>
        </w:rPr>
        <w:t>: 1864-1869 [PMID: 16983479 DOI: 10.1007/s00268-005-0582-z]</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9 </w:t>
      </w:r>
      <w:proofErr w:type="spellStart"/>
      <w:r w:rsidRPr="00ED7513">
        <w:rPr>
          <w:rFonts w:ascii="Book Antiqua" w:hAnsi="Book Antiqua"/>
          <w:b/>
          <w:sz w:val="24"/>
          <w:szCs w:val="24"/>
        </w:rPr>
        <w:t>Borch</w:t>
      </w:r>
      <w:proofErr w:type="spellEnd"/>
      <w:r w:rsidRPr="00ED7513">
        <w:rPr>
          <w:rFonts w:ascii="Book Antiqua" w:hAnsi="Book Antiqua"/>
          <w:b/>
          <w:sz w:val="24"/>
          <w:szCs w:val="24"/>
        </w:rPr>
        <w:t xml:space="preserve"> K</w:t>
      </w:r>
      <w:r w:rsidRPr="00ED7513">
        <w:rPr>
          <w:rFonts w:ascii="Book Antiqua" w:hAnsi="Book Antiqua"/>
          <w:sz w:val="24"/>
          <w:szCs w:val="24"/>
        </w:rPr>
        <w:t xml:space="preserve">, </w:t>
      </w:r>
      <w:proofErr w:type="spellStart"/>
      <w:r w:rsidRPr="00ED7513">
        <w:rPr>
          <w:rFonts w:ascii="Book Antiqua" w:hAnsi="Book Antiqua"/>
          <w:sz w:val="24"/>
          <w:szCs w:val="24"/>
        </w:rPr>
        <w:t>Jönsson</w:t>
      </w:r>
      <w:proofErr w:type="spellEnd"/>
      <w:r w:rsidRPr="00ED7513">
        <w:rPr>
          <w:rFonts w:ascii="Book Antiqua" w:hAnsi="Book Antiqua"/>
          <w:sz w:val="24"/>
          <w:szCs w:val="24"/>
        </w:rPr>
        <w:t xml:space="preserve"> B, </w:t>
      </w:r>
      <w:proofErr w:type="spellStart"/>
      <w:r w:rsidRPr="00ED7513">
        <w:rPr>
          <w:rFonts w:ascii="Book Antiqua" w:hAnsi="Book Antiqua"/>
          <w:sz w:val="24"/>
          <w:szCs w:val="24"/>
        </w:rPr>
        <w:t>Tarpila</w:t>
      </w:r>
      <w:proofErr w:type="spellEnd"/>
      <w:r w:rsidRPr="00ED7513">
        <w:rPr>
          <w:rFonts w:ascii="Book Antiqua" w:hAnsi="Book Antiqua"/>
          <w:sz w:val="24"/>
          <w:szCs w:val="24"/>
        </w:rPr>
        <w:t xml:space="preserve"> E, </w:t>
      </w:r>
      <w:proofErr w:type="spellStart"/>
      <w:r w:rsidRPr="00ED7513">
        <w:rPr>
          <w:rFonts w:ascii="Book Antiqua" w:hAnsi="Book Antiqua"/>
          <w:sz w:val="24"/>
          <w:szCs w:val="24"/>
        </w:rPr>
        <w:t>Franzén</w:t>
      </w:r>
      <w:proofErr w:type="spellEnd"/>
      <w:r w:rsidRPr="00ED7513">
        <w:rPr>
          <w:rFonts w:ascii="Book Antiqua" w:hAnsi="Book Antiqua"/>
          <w:sz w:val="24"/>
          <w:szCs w:val="24"/>
        </w:rPr>
        <w:t xml:space="preserve"> T, Berglund J, </w:t>
      </w:r>
      <w:proofErr w:type="spellStart"/>
      <w:r w:rsidRPr="00ED7513">
        <w:rPr>
          <w:rFonts w:ascii="Book Antiqua" w:hAnsi="Book Antiqua"/>
          <w:sz w:val="24"/>
          <w:szCs w:val="24"/>
        </w:rPr>
        <w:t>Kullman</w:t>
      </w:r>
      <w:proofErr w:type="spellEnd"/>
      <w:r w:rsidRPr="00ED7513">
        <w:rPr>
          <w:rFonts w:ascii="Book Antiqua" w:hAnsi="Book Antiqua"/>
          <w:sz w:val="24"/>
          <w:szCs w:val="24"/>
        </w:rPr>
        <w:t xml:space="preserve"> E, </w:t>
      </w:r>
      <w:proofErr w:type="spellStart"/>
      <w:r w:rsidRPr="00ED7513">
        <w:rPr>
          <w:rFonts w:ascii="Book Antiqua" w:hAnsi="Book Antiqua"/>
          <w:sz w:val="24"/>
          <w:szCs w:val="24"/>
        </w:rPr>
        <w:t>Franzén</w:t>
      </w:r>
      <w:proofErr w:type="spellEnd"/>
      <w:r w:rsidRPr="00ED7513">
        <w:rPr>
          <w:rFonts w:ascii="Book Antiqua" w:hAnsi="Book Antiqua"/>
          <w:sz w:val="24"/>
          <w:szCs w:val="24"/>
        </w:rPr>
        <w:t xml:space="preserve"> L. Changing pattern of histological type, location, stage and outcome of surgical treatment of gastric carcinoma. </w:t>
      </w:r>
      <w:r w:rsidRPr="00ED7513">
        <w:rPr>
          <w:rFonts w:ascii="Book Antiqua" w:hAnsi="Book Antiqua"/>
          <w:i/>
          <w:sz w:val="24"/>
          <w:szCs w:val="24"/>
        </w:rPr>
        <w:t xml:space="preserve">Br J </w:t>
      </w:r>
      <w:proofErr w:type="spellStart"/>
      <w:r w:rsidRPr="00ED7513">
        <w:rPr>
          <w:rFonts w:ascii="Book Antiqua" w:hAnsi="Book Antiqua"/>
          <w:i/>
          <w:sz w:val="24"/>
          <w:szCs w:val="24"/>
        </w:rPr>
        <w:t>Surg</w:t>
      </w:r>
      <w:proofErr w:type="spellEnd"/>
      <w:r w:rsidRPr="00ED7513">
        <w:rPr>
          <w:rFonts w:ascii="Book Antiqua" w:hAnsi="Book Antiqua"/>
          <w:sz w:val="24"/>
          <w:szCs w:val="24"/>
        </w:rPr>
        <w:t xml:space="preserve"> 2000; </w:t>
      </w:r>
      <w:r w:rsidRPr="00ED7513">
        <w:rPr>
          <w:rFonts w:ascii="Book Antiqua" w:hAnsi="Book Antiqua"/>
          <w:b/>
          <w:sz w:val="24"/>
          <w:szCs w:val="24"/>
        </w:rPr>
        <w:t>87</w:t>
      </w:r>
      <w:r w:rsidRPr="00ED7513">
        <w:rPr>
          <w:rFonts w:ascii="Book Antiqua" w:hAnsi="Book Antiqua"/>
          <w:sz w:val="24"/>
          <w:szCs w:val="24"/>
        </w:rPr>
        <w:t>: 618-626 [PMID: 10792320 DOI: 10.1046/j.1365-2168.2000.01425.x]</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10 </w:t>
      </w:r>
      <w:r w:rsidRPr="00ED7513">
        <w:rPr>
          <w:rFonts w:ascii="Book Antiqua" w:hAnsi="Book Antiqua"/>
          <w:b/>
          <w:sz w:val="24"/>
          <w:szCs w:val="24"/>
        </w:rPr>
        <w:t xml:space="preserve">del </w:t>
      </w:r>
      <w:proofErr w:type="spellStart"/>
      <w:r w:rsidRPr="00ED7513">
        <w:rPr>
          <w:rFonts w:ascii="Book Antiqua" w:hAnsi="Book Antiqua"/>
          <w:b/>
          <w:sz w:val="24"/>
          <w:szCs w:val="24"/>
        </w:rPr>
        <w:t>Casar</w:t>
      </w:r>
      <w:proofErr w:type="spellEnd"/>
      <w:r w:rsidRPr="00ED7513">
        <w:rPr>
          <w:rFonts w:ascii="Book Antiqua" w:hAnsi="Book Antiqua"/>
          <w:b/>
          <w:sz w:val="24"/>
          <w:szCs w:val="24"/>
        </w:rPr>
        <w:t xml:space="preserve"> JM</w:t>
      </w:r>
      <w:r w:rsidRPr="00ED7513">
        <w:rPr>
          <w:rFonts w:ascii="Book Antiqua" w:hAnsi="Book Antiqua"/>
          <w:sz w:val="24"/>
          <w:szCs w:val="24"/>
        </w:rPr>
        <w:t xml:space="preserve">, Corte MD, Alvarez A, </w:t>
      </w:r>
      <w:proofErr w:type="spellStart"/>
      <w:r w:rsidRPr="00ED7513">
        <w:rPr>
          <w:rFonts w:ascii="Book Antiqua" w:hAnsi="Book Antiqua"/>
          <w:sz w:val="24"/>
          <w:szCs w:val="24"/>
        </w:rPr>
        <w:t>García</w:t>
      </w:r>
      <w:proofErr w:type="spellEnd"/>
      <w:r w:rsidRPr="00ED7513">
        <w:rPr>
          <w:rFonts w:ascii="Book Antiqua" w:hAnsi="Book Antiqua"/>
          <w:sz w:val="24"/>
          <w:szCs w:val="24"/>
        </w:rPr>
        <w:t xml:space="preserve"> I, </w:t>
      </w:r>
      <w:proofErr w:type="spellStart"/>
      <w:r w:rsidRPr="00ED7513">
        <w:rPr>
          <w:rFonts w:ascii="Book Antiqua" w:hAnsi="Book Antiqua"/>
          <w:sz w:val="24"/>
          <w:szCs w:val="24"/>
        </w:rPr>
        <w:t>Bongera</w:t>
      </w:r>
      <w:proofErr w:type="spellEnd"/>
      <w:r w:rsidRPr="00ED7513">
        <w:rPr>
          <w:rFonts w:ascii="Book Antiqua" w:hAnsi="Book Antiqua"/>
          <w:sz w:val="24"/>
          <w:szCs w:val="24"/>
        </w:rPr>
        <w:t xml:space="preserve"> M, González LO, </w:t>
      </w:r>
      <w:proofErr w:type="spellStart"/>
      <w:r w:rsidRPr="00ED7513">
        <w:rPr>
          <w:rFonts w:ascii="Book Antiqua" w:hAnsi="Book Antiqua"/>
          <w:sz w:val="24"/>
          <w:szCs w:val="24"/>
        </w:rPr>
        <w:t>García-Muñiz</w:t>
      </w:r>
      <w:proofErr w:type="spellEnd"/>
      <w:r w:rsidRPr="00ED7513">
        <w:rPr>
          <w:rFonts w:ascii="Book Antiqua" w:hAnsi="Book Antiqua"/>
          <w:sz w:val="24"/>
          <w:szCs w:val="24"/>
        </w:rPr>
        <w:t xml:space="preserve"> JL, Allende MT, </w:t>
      </w:r>
      <w:proofErr w:type="spellStart"/>
      <w:r w:rsidRPr="00ED7513">
        <w:rPr>
          <w:rFonts w:ascii="Book Antiqua" w:hAnsi="Book Antiqua"/>
          <w:sz w:val="24"/>
          <w:szCs w:val="24"/>
        </w:rPr>
        <w:t>Astudillo</w:t>
      </w:r>
      <w:proofErr w:type="spellEnd"/>
      <w:r w:rsidRPr="00ED7513">
        <w:rPr>
          <w:rFonts w:ascii="Book Antiqua" w:hAnsi="Book Antiqua"/>
          <w:sz w:val="24"/>
          <w:szCs w:val="24"/>
        </w:rPr>
        <w:t xml:space="preserve"> A, </w:t>
      </w:r>
      <w:proofErr w:type="spellStart"/>
      <w:r w:rsidRPr="00ED7513">
        <w:rPr>
          <w:rFonts w:ascii="Book Antiqua" w:hAnsi="Book Antiqua"/>
          <w:sz w:val="24"/>
          <w:szCs w:val="24"/>
        </w:rPr>
        <w:t>Vizoso</w:t>
      </w:r>
      <w:proofErr w:type="spellEnd"/>
      <w:r w:rsidRPr="00ED7513">
        <w:rPr>
          <w:rFonts w:ascii="Book Antiqua" w:hAnsi="Book Antiqua"/>
          <w:sz w:val="24"/>
          <w:szCs w:val="24"/>
        </w:rPr>
        <w:t xml:space="preserve"> FJ. Lymphatic and/or blood vessel invasion in gastric cancer: relationship with </w:t>
      </w:r>
      <w:proofErr w:type="spellStart"/>
      <w:r w:rsidRPr="00ED7513">
        <w:rPr>
          <w:rFonts w:ascii="Book Antiqua" w:hAnsi="Book Antiqua"/>
          <w:sz w:val="24"/>
          <w:szCs w:val="24"/>
        </w:rPr>
        <w:t>clinicopathological</w:t>
      </w:r>
      <w:proofErr w:type="spellEnd"/>
      <w:r w:rsidRPr="00ED7513">
        <w:rPr>
          <w:rFonts w:ascii="Book Antiqua" w:hAnsi="Book Antiqua"/>
          <w:sz w:val="24"/>
          <w:szCs w:val="24"/>
        </w:rPr>
        <w:t xml:space="preserve"> parameters, biological factors and prognostic significance. </w:t>
      </w:r>
      <w:r w:rsidRPr="00ED7513">
        <w:rPr>
          <w:rFonts w:ascii="Book Antiqua" w:hAnsi="Book Antiqua"/>
          <w:i/>
          <w:sz w:val="24"/>
          <w:szCs w:val="24"/>
        </w:rPr>
        <w:t xml:space="preserve">J Cancer Res </w:t>
      </w:r>
      <w:proofErr w:type="spellStart"/>
      <w:r w:rsidRPr="00ED7513">
        <w:rPr>
          <w:rFonts w:ascii="Book Antiqua" w:hAnsi="Book Antiqua"/>
          <w:i/>
          <w:sz w:val="24"/>
          <w:szCs w:val="24"/>
        </w:rPr>
        <w:t>Clin</w:t>
      </w:r>
      <w:proofErr w:type="spellEnd"/>
      <w:r w:rsidRPr="00ED7513">
        <w:rPr>
          <w:rFonts w:ascii="Book Antiqua" w:hAnsi="Book Antiqua"/>
          <w:i/>
          <w:sz w:val="24"/>
          <w:szCs w:val="24"/>
        </w:rPr>
        <w:t xml:space="preserve"> </w:t>
      </w:r>
      <w:proofErr w:type="spellStart"/>
      <w:r w:rsidRPr="00ED7513">
        <w:rPr>
          <w:rFonts w:ascii="Book Antiqua" w:hAnsi="Book Antiqua"/>
          <w:i/>
          <w:sz w:val="24"/>
          <w:szCs w:val="24"/>
        </w:rPr>
        <w:t>Oncol</w:t>
      </w:r>
      <w:proofErr w:type="spellEnd"/>
      <w:r w:rsidRPr="00ED7513">
        <w:rPr>
          <w:rFonts w:ascii="Book Antiqua" w:hAnsi="Book Antiqua"/>
          <w:sz w:val="24"/>
          <w:szCs w:val="24"/>
        </w:rPr>
        <w:t xml:space="preserve"> 2008; </w:t>
      </w:r>
      <w:r w:rsidRPr="00ED7513">
        <w:rPr>
          <w:rFonts w:ascii="Book Antiqua" w:hAnsi="Book Antiqua"/>
          <w:b/>
          <w:sz w:val="24"/>
          <w:szCs w:val="24"/>
        </w:rPr>
        <w:t>134</w:t>
      </w:r>
      <w:r w:rsidRPr="00ED7513">
        <w:rPr>
          <w:rFonts w:ascii="Book Antiqua" w:hAnsi="Book Antiqua"/>
          <w:sz w:val="24"/>
          <w:szCs w:val="24"/>
        </w:rPr>
        <w:t>: 153-161 [PMID: 17628829 DOI: 10.1007/s00432-007-0264-3]</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11 </w:t>
      </w:r>
      <w:r w:rsidRPr="00ED7513">
        <w:rPr>
          <w:rFonts w:ascii="Book Antiqua" w:hAnsi="Book Antiqua"/>
          <w:b/>
          <w:sz w:val="24"/>
          <w:szCs w:val="24"/>
        </w:rPr>
        <w:t>Zhao B</w:t>
      </w:r>
      <w:r w:rsidRPr="00ED7513">
        <w:rPr>
          <w:rFonts w:ascii="Book Antiqua" w:hAnsi="Book Antiqua"/>
          <w:sz w:val="24"/>
          <w:szCs w:val="24"/>
        </w:rPr>
        <w:t xml:space="preserve">, Huang X, Zhang J, Luo R, Lu H, Xu H, Huang B. </w:t>
      </w:r>
      <w:proofErr w:type="spellStart"/>
      <w:r w:rsidRPr="00ED7513">
        <w:rPr>
          <w:rFonts w:ascii="Book Antiqua" w:hAnsi="Book Antiqua"/>
          <w:sz w:val="24"/>
          <w:szCs w:val="24"/>
        </w:rPr>
        <w:t>Clinicopathologic</w:t>
      </w:r>
      <w:proofErr w:type="spellEnd"/>
      <w:r w:rsidRPr="00ED7513">
        <w:rPr>
          <w:rFonts w:ascii="Book Antiqua" w:hAnsi="Book Antiqua"/>
          <w:sz w:val="24"/>
          <w:szCs w:val="24"/>
        </w:rPr>
        <w:t xml:space="preserve"> factors associated with recurrence and long-term survival in node-negative advanced gastric cancer patients. </w:t>
      </w:r>
      <w:r w:rsidRPr="00ED7513">
        <w:rPr>
          <w:rFonts w:ascii="Book Antiqua" w:hAnsi="Book Antiqua"/>
          <w:i/>
          <w:sz w:val="24"/>
          <w:szCs w:val="24"/>
        </w:rPr>
        <w:t xml:space="preserve">Rev </w:t>
      </w:r>
      <w:proofErr w:type="spellStart"/>
      <w:proofErr w:type="gramStart"/>
      <w:r w:rsidRPr="00ED7513">
        <w:rPr>
          <w:rFonts w:ascii="Book Antiqua" w:hAnsi="Book Antiqua"/>
          <w:i/>
          <w:sz w:val="24"/>
          <w:szCs w:val="24"/>
        </w:rPr>
        <w:t>Esp</w:t>
      </w:r>
      <w:proofErr w:type="spellEnd"/>
      <w:proofErr w:type="gramEnd"/>
      <w:r w:rsidRPr="00ED7513">
        <w:rPr>
          <w:rFonts w:ascii="Book Antiqua" w:hAnsi="Book Antiqua"/>
          <w:i/>
          <w:sz w:val="24"/>
          <w:szCs w:val="24"/>
        </w:rPr>
        <w:t xml:space="preserve"> </w:t>
      </w:r>
      <w:proofErr w:type="spellStart"/>
      <w:r w:rsidRPr="00ED7513">
        <w:rPr>
          <w:rFonts w:ascii="Book Antiqua" w:hAnsi="Book Antiqua"/>
          <w:i/>
          <w:sz w:val="24"/>
          <w:szCs w:val="24"/>
        </w:rPr>
        <w:t>Enferm</w:t>
      </w:r>
      <w:proofErr w:type="spellEnd"/>
      <w:r w:rsidRPr="00ED7513">
        <w:rPr>
          <w:rFonts w:ascii="Book Antiqua" w:hAnsi="Book Antiqua"/>
          <w:i/>
          <w:sz w:val="24"/>
          <w:szCs w:val="24"/>
        </w:rPr>
        <w:t xml:space="preserve"> Dig</w:t>
      </w:r>
      <w:r w:rsidRPr="00ED7513">
        <w:rPr>
          <w:rFonts w:ascii="Book Antiqua" w:hAnsi="Book Antiqua"/>
          <w:sz w:val="24"/>
          <w:szCs w:val="24"/>
        </w:rPr>
        <w:t xml:space="preserve"> 2019; </w:t>
      </w:r>
      <w:r w:rsidRPr="00ED7513">
        <w:rPr>
          <w:rFonts w:ascii="Book Antiqua" w:hAnsi="Book Antiqua"/>
          <w:b/>
          <w:sz w:val="24"/>
          <w:szCs w:val="24"/>
        </w:rPr>
        <w:t>111</w:t>
      </w:r>
      <w:r w:rsidRPr="00ED7513">
        <w:rPr>
          <w:rFonts w:ascii="Book Antiqua" w:hAnsi="Book Antiqua"/>
          <w:sz w:val="24"/>
          <w:szCs w:val="24"/>
        </w:rPr>
        <w:t>: 111-120 [PMID: 30404528 DOI: 10.17235/reed.2018.5829/2018]</w:t>
      </w:r>
    </w:p>
    <w:p w:rsidR="00ED7513" w:rsidRPr="00ED7513" w:rsidRDefault="00ED7513" w:rsidP="00ED7513">
      <w:pPr>
        <w:spacing w:line="360" w:lineRule="auto"/>
        <w:rPr>
          <w:rFonts w:ascii="Book Antiqua" w:hAnsi="Book Antiqua"/>
          <w:sz w:val="24"/>
          <w:szCs w:val="24"/>
        </w:rPr>
      </w:pPr>
      <w:proofErr w:type="gramStart"/>
      <w:r w:rsidRPr="00ED7513">
        <w:rPr>
          <w:rFonts w:ascii="Book Antiqua" w:hAnsi="Book Antiqua"/>
          <w:sz w:val="24"/>
          <w:szCs w:val="24"/>
        </w:rPr>
        <w:t xml:space="preserve">12 </w:t>
      </w:r>
      <w:r w:rsidRPr="00ED7513">
        <w:rPr>
          <w:rFonts w:ascii="Book Antiqua" w:hAnsi="Book Antiqua"/>
          <w:b/>
          <w:sz w:val="24"/>
          <w:szCs w:val="24"/>
        </w:rPr>
        <w:t>Lee JH</w:t>
      </w:r>
      <w:r w:rsidRPr="00ED7513">
        <w:rPr>
          <w:rFonts w:ascii="Book Antiqua" w:hAnsi="Book Antiqua"/>
          <w:sz w:val="24"/>
          <w:szCs w:val="24"/>
        </w:rPr>
        <w:t>, Kim MG, Jung MS, Kwon SJ.</w:t>
      </w:r>
      <w:proofErr w:type="gramEnd"/>
      <w:r w:rsidRPr="00ED7513">
        <w:rPr>
          <w:rFonts w:ascii="Book Antiqua" w:hAnsi="Book Antiqua"/>
          <w:sz w:val="24"/>
          <w:szCs w:val="24"/>
        </w:rPr>
        <w:t xml:space="preserve"> </w:t>
      </w:r>
      <w:proofErr w:type="gramStart"/>
      <w:r w:rsidRPr="00ED7513">
        <w:rPr>
          <w:rFonts w:ascii="Book Antiqua" w:hAnsi="Book Antiqua"/>
          <w:sz w:val="24"/>
          <w:szCs w:val="24"/>
        </w:rPr>
        <w:t xml:space="preserve">Prognostic significance of </w:t>
      </w:r>
      <w:proofErr w:type="spellStart"/>
      <w:r w:rsidRPr="00ED7513">
        <w:rPr>
          <w:rFonts w:ascii="Book Antiqua" w:hAnsi="Book Antiqua"/>
          <w:sz w:val="24"/>
          <w:szCs w:val="24"/>
        </w:rPr>
        <w:t>lymphovascular</w:t>
      </w:r>
      <w:proofErr w:type="spellEnd"/>
      <w:r w:rsidRPr="00ED7513">
        <w:rPr>
          <w:rFonts w:ascii="Book Antiqua" w:hAnsi="Book Antiqua"/>
          <w:sz w:val="24"/>
          <w:szCs w:val="24"/>
        </w:rPr>
        <w:t xml:space="preserve"> invasion in node-negative gastric cancer.</w:t>
      </w:r>
      <w:proofErr w:type="gramEnd"/>
      <w:r w:rsidRPr="00ED7513">
        <w:rPr>
          <w:rFonts w:ascii="Book Antiqua" w:hAnsi="Book Antiqua"/>
          <w:sz w:val="24"/>
          <w:szCs w:val="24"/>
        </w:rPr>
        <w:t xml:space="preserve"> </w:t>
      </w:r>
      <w:r w:rsidRPr="00ED7513">
        <w:rPr>
          <w:rFonts w:ascii="Book Antiqua" w:hAnsi="Book Antiqua"/>
          <w:i/>
          <w:sz w:val="24"/>
          <w:szCs w:val="24"/>
        </w:rPr>
        <w:t xml:space="preserve">World J </w:t>
      </w:r>
      <w:proofErr w:type="spellStart"/>
      <w:r w:rsidRPr="00ED7513">
        <w:rPr>
          <w:rFonts w:ascii="Book Antiqua" w:hAnsi="Book Antiqua"/>
          <w:i/>
          <w:sz w:val="24"/>
          <w:szCs w:val="24"/>
        </w:rPr>
        <w:t>Surg</w:t>
      </w:r>
      <w:proofErr w:type="spellEnd"/>
      <w:r w:rsidRPr="00ED7513">
        <w:rPr>
          <w:rFonts w:ascii="Book Antiqua" w:hAnsi="Book Antiqua"/>
          <w:sz w:val="24"/>
          <w:szCs w:val="24"/>
        </w:rPr>
        <w:t xml:space="preserve"> 2015; </w:t>
      </w:r>
      <w:r w:rsidRPr="00ED7513">
        <w:rPr>
          <w:rFonts w:ascii="Book Antiqua" w:hAnsi="Book Antiqua"/>
          <w:b/>
          <w:sz w:val="24"/>
          <w:szCs w:val="24"/>
        </w:rPr>
        <w:t>39</w:t>
      </w:r>
      <w:r w:rsidRPr="00ED7513">
        <w:rPr>
          <w:rFonts w:ascii="Book Antiqua" w:hAnsi="Book Antiqua"/>
          <w:sz w:val="24"/>
          <w:szCs w:val="24"/>
        </w:rPr>
        <w:t>: 732-739 [PMID: 25376868 DOI: 10.1007/s00268-014-2846-y]</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13 </w:t>
      </w:r>
      <w:r w:rsidRPr="00ED7513">
        <w:rPr>
          <w:rFonts w:ascii="Book Antiqua" w:hAnsi="Book Antiqua"/>
          <w:b/>
          <w:sz w:val="24"/>
          <w:szCs w:val="24"/>
        </w:rPr>
        <w:t>An JY</w:t>
      </w:r>
      <w:r w:rsidRPr="00ED7513">
        <w:rPr>
          <w:rFonts w:ascii="Book Antiqua" w:hAnsi="Book Antiqua"/>
          <w:sz w:val="24"/>
          <w:szCs w:val="24"/>
        </w:rPr>
        <w:t xml:space="preserve">, Kang TH, Choi MG, Noh JH, </w:t>
      </w:r>
      <w:proofErr w:type="spellStart"/>
      <w:r w:rsidRPr="00ED7513">
        <w:rPr>
          <w:rFonts w:ascii="Book Antiqua" w:hAnsi="Book Antiqua"/>
          <w:sz w:val="24"/>
          <w:szCs w:val="24"/>
        </w:rPr>
        <w:t>Sohn</w:t>
      </w:r>
      <w:proofErr w:type="spellEnd"/>
      <w:r w:rsidRPr="00ED7513">
        <w:rPr>
          <w:rFonts w:ascii="Book Antiqua" w:hAnsi="Book Antiqua"/>
          <w:sz w:val="24"/>
          <w:szCs w:val="24"/>
        </w:rPr>
        <w:t xml:space="preserve"> TS, Kim S. </w:t>
      </w:r>
      <w:proofErr w:type="spellStart"/>
      <w:r w:rsidRPr="00ED7513">
        <w:rPr>
          <w:rFonts w:ascii="Book Antiqua" w:hAnsi="Book Antiqua"/>
          <w:sz w:val="24"/>
          <w:szCs w:val="24"/>
        </w:rPr>
        <w:t>Borrmann</w:t>
      </w:r>
      <w:proofErr w:type="spellEnd"/>
      <w:r w:rsidRPr="00ED7513">
        <w:rPr>
          <w:rFonts w:ascii="Book Antiqua" w:hAnsi="Book Antiqua"/>
          <w:sz w:val="24"/>
          <w:szCs w:val="24"/>
        </w:rPr>
        <w:t xml:space="preserve"> type IV: an </w:t>
      </w:r>
      <w:r w:rsidRPr="00ED7513">
        <w:rPr>
          <w:rFonts w:ascii="Book Antiqua" w:hAnsi="Book Antiqua"/>
          <w:sz w:val="24"/>
          <w:szCs w:val="24"/>
        </w:rPr>
        <w:lastRenderedPageBreak/>
        <w:t xml:space="preserve">independent prognostic factor for survival in gastric cancer. </w:t>
      </w:r>
      <w:r w:rsidRPr="00ED7513">
        <w:rPr>
          <w:rFonts w:ascii="Book Antiqua" w:hAnsi="Book Antiqua"/>
          <w:i/>
          <w:sz w:val="24"/>
          <w:szCs w:val="24"/>
        </w:rPr>
        <w:t xml:space="preserve">J </w:t>
      </w:r>
      <w:proofErr w:type="spellStart"/>
      <w:r w:rsidRPr="00ED7513">
        <w:rPr>
          <w:rFonts w:ascii="Book Antiqua" w:hAnsi="Book Antiqua"/>
          <w:i/>
          <w:sz w:val="24"/>
          <w:szCs w:val="24"/>
        </w:rPr>
        <w:t>Gastrointest</w:t>
      </w:r>
      <w:proofErr w:type="spellEnd"/>
      <w:r w:rsidRPr="00ED7513">
        <w:rPr>
          <w:rFonts w:ascii="Book Antiqua" w:hAnsi="Book Antiqua"/>
          <w:i/>
          <w:sz w:val="24"/>
          <w:szCs w:val="24"/>
        </w:rPr>
        <w:t xml:space="preserve"> </w:t>
      </w:r>
      <w:proofErr w:type="spellStart"/>
      <w:r w:rsidRPr="00ED7513">
        <w:rPr>
          <w:rFonts w:ascii="Book Antiqua" w:hAnsi="Book Antiqua"/>
          <w:i/>
          <w:sz w:val="24"/>
          <w:szCs w:val="24"/>
        </w:rPr>
        <w:t>Surg</w:t>
      </w:r>
      <w:proofErr w:type="spellEnd"/>
      <w:r w:rsidRPr="00ED7513">
        <w:rPr>
          <w:rFonts w:ascii="Book Antiqua" w:hAnsi="Book Antiqua"/>
          <w:sz w:val="24"/>
          <w:szCs w:val="24"/>
        </w:rPr>
        <w:t xml:space="preserve"> 2008; </w:t>
      </w:r>
      <w:r w:rsidRPr="00ED7513">
        <w:rPr>
          <w:rFonts w:ascii="Book Antiqua" w:hAnsi="Book Antiqua"/>
          <w:b/>
          <w:sz w:val="24"/>
          <w:szCs w:val="24"/>
        </w:rPr>
        <w:t>12</w:t>
      </w:r>
      <w:r w:rsidRPr="00ED7513">
        <w:rPr>
          <w:rFonts w:ascii="Book Antiqua" w:hAnsi="Book Antiqua"/>
          <w:sz w:val="24"/>
          <w:szCs w:val="24"/>
        </w:rPr>
        <w:t>: 1364-1369 [PMID: 18516653 DOI: 10.1007/s11605-008-0516-9]</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14 </w:t>
      </w:r>
      <w:r w:rsidRPr="00ED7513">
        <w:rPr>
          <w:rFonts w:ascii="Book Antiqua" w:hAnsi="Book Antiqua"/>
          <w:b/>
          <w:sz w:val="24"/>
          <w:szCs w:val="24"/>
        </w:rPr>
        <w:t>Luo Y</w:t>
      </w:r>
      <w:r w:rsidRPr="00ED7513">
        <w:rPr>
          <w:rFonts w:ascii="Book Antiqua" w:hAnsi="Book Antiqua"/>
          <w:sz w:val="24"/>
          <w:szCs w:val="24"/>
        </w:rPr>
        <w:t xml:space="preserve">, Gao P, Song Y, Sun J, Huang X, Zhao J, Ma B, Li Y, Wang Z. </w:t>
      </w:r>
      <w:proofErr w:type="spellStart"/>
      <w:r w:rsidRPr="00ED7513">
        <w:rPr>
          <w:rFonts w:ascii="Book Antiqua" w:hAnsi="Book Antiqua"/>
          <w:sz w:val="24"/>
          <w:szCs w:val="24"/>
        </w:rPr>
        <w:t>Clinicopathologic</w:t>
      </w:r>
      <w:proofErr w:type="spellEnd"/>
      <w:r w:rsidRPr="00ED7513">
        <w:rPr>
          <w:rFonts w:ascii="Book Antiqua" w:hAnsi="Book Antiqua"/>
          <w:sz w:val="24"/>
          <w:szCs w:val="24"/>
        </w:rPr>
        <w:t xml:space="preserve"> characteristics and prognosis of </w:t>
      </w:r>
      <w:proofErr w:type="spellStart"/>
      <w:r w:rsidRPr="00ED7513">
        <w:rPr>
          <w:rFonts w:ascii="Book Antiqua" w:hAnsi="Book Antiqua"/>
          <w:sz w:val="24"/>
          <w:szCs w:val="24"/>
        </w:rPr>
        <w:t>Borrmann</w:t>
      </w:r>
      <w:proofErr w:type="spellEnd"/>
      <w:r w:rsidRPr="00ED7513">
        <w:rPr>
          <w:rFonts w:ascii="Book Antiqua" w:hAnsi="Book Antiqua"/>
          <w:sz w:val="24"/>
          <w:szCs w:val="24"/>
        </w:rPr>
        <w:t xml:space="preserve"> type IV gastric cancer: a meta-analysis. </w:t>
      </w:r>
      <w:r w:rsidRPr="00ED7513">
        <w:rPr>
          <w:rFonts w:ascii="Book Antiqua" w:hAnsi="Book Antiqua"/>
          <w:i/>
          <w:sz w:val="24"/>
          <w:szCs w:val="24"/>
        </w:rPr>
        <w:t xml:space="preserve">World J </w:t>
      </w:r>
      <w:proofErr w:type="spellStart"/>
      <w:r w:rsidRPr="00ED7513">
        <w:rPr>
          <w:rFonts w:ascii="Book Antiqua" w:hAnsi="Book Antiqua"/>
          <w:i/>
          <w:sz w:val="24"/>
          <w:szCs w:val="24"/>
        </w:rPr>
        <w:t>Surg</w:t>
      </w:r>
      <w:proofErr w:type="spellEnd"/>
      <w:r w:rsidRPr="00ED7513">
        <w:rPr>
          <w:rFonts w:ascii="Book Antiqua" w:hAnsi="Book Antiqua"/>
          <w:i/>
          <w:sz w:val="24"/>
          <w:szCs w:val="24"/>
        </w:rPr>
        <w:t xml:space="preserve"> </w:t>
      </w:r>
      <w:proofErr w:type="spellStart"/>
      <w:r w:rsidRPr="00ED7513">
        <w:rPr>
          <w:rFonts w:ascii="Book Antiqua" w:hAnsi="Book Antiqua"/>
          <w:i/>
          <w:sz w:val="24"/>
          <w:szCs w:val="24"/>
        </w:rPr>
        <w:t>Oncol</w:t>
      </w:r>
      <w:proofErr w:type="spellEnd"/>
      <w:r w:rsidRPr="00ED7513">
        <w:rPr>
          <w:rFonts w:ascii="Book Antiqua" w:hAnsi="Book Antiqua"/>
          <w:sz w:val="24"/>
          <w:szCs w:val="24"/>
        </w:rPr>
        <w:t xml:space="preserve"> 2016; </w:t>
      </w:r>
      <w:r w:rsidRPr="00ED7513">
        <w:rPr>
          <w:rFonts w:ascii="Book Antiqua" w:hAnsi="Book Antiqua"/>
          <w:b/>
          <w:sz w:val="24"/>
          <w:szCs w:val="24"/>
        </w:rPr>
        <w:t>14</w:t>
      </w:r>
      <w:r w:rsidRPr="00ED7513">
        <w:rPr>
          <w:rFonts w:ascii="Book Antiqua" w:hAnsi="Book Antiqua"/>
          <w:sz w:val="24"/>
          <w:szCs w:val="24"/>
        </w:rPr>
        <w:t>: 49 [PMID: 26912240 DOI: 10.1186/s12957-016-0805-9]</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15 </w:t>
      </w:r>
      <w:r w:rsidRPr="00ED7513">
        <w:rPr>
          <w:rFonts w:ascii="Book Antiqua" w:hAnsi="Book Antiqua"/>
          <w:b/>
          <w:sz w:val="24"/>
          <w:szCs w:val="24"/>
        </w:rPr>
        <w:t>Zhu YL</w:t>
      </w:r>
      <w:r w:rsidRPr="00ED7513">
        <w:rPr>
          <w:rFonts w:ascii="Book Antiqua" w:hAnsi="Book Antiqua"/>
          <w:sz w:val="24"/>
          <w:szCs w:val="24"/>
        </w:rPr>
        <w:t xml:space="preserve">, Yang L, Sui ZQ, Liu L, Du JF. </w:t>
      </w:r>
      <w:proofErr w:type="spellStart"/>
      <w:r w:rsidRPr="00ED7513">
        <w:rPr>
          <w:rFonts w:ascii="Book Antiqua" w:hAnsi="Book Antiqua"/>
          <w:sz w:val="24"/>
          <w:szCs w:val="24"/>
        </w:rPr>
        <w:t>Clinicopathological</w:t>
      </w:r>
      <w:proofErr w:type="spellEnd"/>
      <w:r w:rsidRPr="00ED7513">
        <w:rPr>
          <w:rFonts w:ascii="Book Antiqua" w:hAnsi="Book Antiqua"/>
          <w:sz w:val="24"/>
          <w:szCs w:val="24"/>
        </w:rPr>
        <w:t xml:space="preserve"> features and prognosis of </w:t>
      </w:r>
      <w:proofErr w:type="spellStart"/>
      <w:r w:rsidRPr="00ED7513">
        <w:rPr>
          <w:rFonts w:ascii="Book Antiqua" w:hAnsi="Book Antiqua"/>
          <w:sz w:val="24"/>
          <w:szCs w:val="24"/>
        </w:rPr>
        <w:t>Borrmann</w:t>
      </w:r>
      <w:proofErr w:type="spellEnd"/>
      <w:r w:rsidRPr="00ED7513">
        <w:rPr>
          <w:rFonts w:ascii="Book Antiqua" w:hAnsi="Book Antiqua"/>
          <w:sz w:val="24"/>
          <w:szCs w:val="24"/>
        </w:rPr>
        <w:t xml:space="preserve"> type IV gastric cancer. </w:t>
      </w:r>
      <w:r w:rsidRPr="00ED7513">
        <w:rPr>
          <w:rFonts w:ascii="Book Antiqua" w:hAnsi="Book Antiqua"/>
          <w:i/>
          <w:sz w:val="24"/>
          <w:szCs w:val="24"/>
        </w:rPr>
        <w:t>J BUON</w:t>
      </w:r>
      <w:r w:rsidRPr="00ED7513">
        <w:rPr>
          <w:rFonts w:ascii="Book Antiqua" w:hAnsi="Book Antiqua"/>
          <w:sz w:val="24"/>
          <w:szCs w:val="24"/>
        </w:rPr>
        <w:t xml:space="preserve"> 2016; </w:t>
      </w:r>
      <w:r w:rsidRPr="00ED7513">
        <w:rPr>
          <w:rFonts w:ascii="Book Antiqua" w:hAnsi="Book Antiqua"/>
          <w:b/>
          <w:sz w:val="24"/>
          <w:szCs w:val="24"/>
        </w:rPr>
        <w:t>21</w:t>
      </w:r>
      <w:r w:rsidRPr="00ED7513">
        <w:rPr>
          <w:rFonts w:ascii="Book Antiqua" w:hAnsi="Book Antiqua"/>
          <w:sz w:val="24"/>
          <w:szCs w:val="24"/>
        </w:rPr>
        <w:t>: 1471-1475 [PMID: 28039710]</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16 </w:t>
      </w:r>
      <w:r w:rsidRPr="00ED7513">
        <w:rPr>
          <w:rFonts w:ascii="Book Antiqua" w:hAnsi="Book Antiqua"/>
          <w:b/>
          <w:sz w:val="24"/>
          <w:szCs w:val="24"/>
        </w:rPr>
        <w:t>Japanese Gastric Cancer Association</w:t>
      </w:r>
      <w:proofErr w:type="gramStart"/>
      <w:r w:rsidRPr="00ED7513">
        <w:rPr>
          <w:rFonts w:ascii="Book Antiqua" w:hAnsi="Book Antiqua"/>
          <w:b/>
          <w:sz w:val="24"/>
          <w:szCs w:val="24"/>
        </w:rPr>
        <w:t>.</w:t>
      </w:r>
      <w:r w:rsidRPr="00ED7513">
        <w:rPr>
          <w:rFonts w:ascii="Book Antiqua" w:hAnsi="Book Antiqua"/>
          <w:sz w:val="24"/>
          <w:szCs w:val="24"/>
        </w:rPr>
        <w:t>.</w:t>
      </w:r>
      <w:proofErr w:type="gramEnd"/>
      <w:r w:rsidRPr="00ED7513">
        <w:rPr>
          <w:rFonts w:ascii="Book Antiqua" w:hAnsi="Book Antiqua"/>
          <w:sz w:val="24"/>
          <w:szCs w:val="24"/>
        </w:rPr>
        <w:t xml:space="preserve"> Japanese classification of gastric carcinoma: 3rd English edition. </w:t>
      </w:r>
      <w:r w:rsidRPr="00ED7513">
        <w:rPr>
          <w:rFonts w:ascii="Book Antiqua" w:hAnsi="Book Antiqua"/>
          <w:i/>
          <w:sz w:val="24"/>
          <w:szCs w:val="24"/>
        </w:rPr>
        <w:t>Gastric Cancer</w:t>
      </w:r>
      <w:r w:rsidRPr="00ED7513">
        <w:rPr>
          <w:rFonts w:ascii="Book Antiqua" w:hAnsi="Book Antiqua"/>
          <w:sz w:val="24"/>
          <w:szCs w:val="24"/>
        </w:rPr>
        <w:t xml:space="preserve"> 2011; </w:t>
      </w:r>
      <w:r w:rsidRPr="00ED7513">
        <w:rPr>
          <w:rFonts w:ascii="Book Antiqua" w:hAnsi="Book Antiqua"/>
          <w:b/>
          <w:sz w:val="24"/>
          <w:szCs w:val="24"/>
        </w:rPr>
        <w:t>14</w:t>
      </w:r>
      <w:r w:rsidRPr="00ED7513">
        <w:rPr>
          <w:rFonts w:ascii="Book Antiqua" w:hAnsi="Book Antiqua"/>
          <w:sz w:val="24"/>
          <w:szCs w:val="24"/>
        </w:rPr>
        <w:t>: 101-112 [PMID: 21573743 DOI: 10.1007/s10120-011-0041-5]</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17 </w:t>
      </w:r>
      <w:r w:rsidRPr="00ED7513">
        <w:rPr>
          <w:rFonts w:ascii="Book Antiqua" w:hAnsi="Book Antiqua"/>
          <w:b/>
          <w:sz w:val="24"/>
          <w:szCs w:val="24"/>
        </w:rPr>
        <w:t>Li F</w:t>
      </w:r>
      <w:r w:rsidRPr="00ED7513">
        <w:rPr>
          <w:rFonts w:ascii="Book Antiqua" w:hAnsi="Book Antiqua"/>
          <w:sz w:val="24"/>
          <w:szCs w:val="24"/>
        </w:rPr>
        <w:t xml:space="preserve">, Zhang R, Liang H, Liu H, </w:t>
      </w:r>
      <w:proofErr w:type="spellStart"/>
      <w:r w:rsidRPr="00ED7513">
        <w:rPr>
          <w:rFonts w:ascii="Book Antiqua" w:hAnsi="Book Antiqua"/>
          <w:sz w:val="24"/>
          <w:szCs w:val="24"/>
        </w:rPr>
        <w:t>Quan</w:t>
      </w:r>
      <w:proofErr w:type="spellEnd"/>
      <w:r w:rsidRPr="00ED7513">
        <w:rPr>
          <w:rFonts w:ascii="Book Antiqua" w:hAnsi="Book Antiqua"/>
          <w:sz w:val="24"/>
          <w:szCs w:val="24"/>
        </w:rPr>
        <w:t xml:space="preserve"> J. </w:t>
      </w:r>
      <w:proofErr w:type="gramStart"/>
      <w:r w:rsidRPr="00ED7513">
        <w:rPr>
          <w:rFonts w:ascii="Book Antiqua" w:hAnsi="Book Antiqua"/>
          <w:sz w:val="24"/>
          <w:szCs w:val="24"/>
        </w:rPr>
        <w:t>The pattern and risk factors of recurrence of proximal gastric cancer after curative resection.</w:t>
      </w:r>
      <w:proofErr w:type="gramEnd"/>
      <w:r w:rsidRPr="00ED7513">
        <w:rPr>
          <w:rFonts w:ascii="Book Antiqua" w:hAnsi="Book Antiqua"/>
          <w:sz w:val="24"/>
          <w:szCs w:val="24"/>
        </w:rPr>
        <w:t xml:space="preserve"> </w:t>
      </w:r>
      <w:r w:rsidRPr="00ED7513">
        <w:rPr>
          <w:rFonts w:ascii="Book Antiqua" w:hAnsi="Book Antiqua"/>
          <w:i/>
          <w:sz w:val="24"/>
          <w:szCs w:val="24"/>
        </w:rPr>
        <w:t xml:space="preserve">J </w:t>
      </w:r>
      <w:proofErr w:type="spellStart"/>
      <w:r w:rsidRPr="00ED7513">
        <w:rPr>
          <w:rFonts w:ascii="Book Antiqua" w:hAnsi="Book Antiqua"/>
          <w:i/>
          <w:sz w:val="24"/>
          <w:szCs w:val="24"/>
        </w:rPr>
        <w:t>Surg</w:t>
      </w:r>
      <w:proofErr w:type="spellEnd"/>
      <w:r w:rsidRPr="00ED7513">
        <w:rPr>
          <w:rFonts w:ascii="Book Antiqua" w:hAnsi="Book Antiqua"/>
          <w:i/>
          <w:sz w:val="24"/>
          <w:szCs w:val="24"/>
        </w:rPr>
        <w:t xml:space="preserve"> </w:t>
      </w:r>
      <w:proofErr w:type="spellStart"/>
      <w:r w:rsidRPr="00ED7513">
        <w:rPr>
          <w:rFonts w:ascii="Book Antiqua" w:hAnsi="Book Antiqua"/>
          <w:i/>
          <w:sz w:val="24"/>
          <w:szCs w:val="24"/>
        </w:rPr>
        <w:t>Oncol</w:t>
      </w:r>
      <w:proofErr w:type="spellEnd"/>
      <w:r w:rsidRPr="00ED7513">
        <w:rPr>
          <w:rFonts w:ascii="Book Antiqua" w:hAnsi="Book Antiqua"/>
          <w:sz w:val="24"/>
          <w:szCs w:val="24"/>
        </w:rPr>
        <w:t xml:space="preserve"> 2013; </w:t>
      </w:r>
      <w:r w:rsidRPr="00ED7513">
        <w:rPr>
          <w:rFonts w:ascii="Book Antiqua" w:hAnsi="Book Antiqua"/>
          <w:b/>
          <w:sz w:val="24"/>
          <w:szCs w:val="24"/>
        </w:rPr>
        <w:t>107</w:t>
      </w:r>
      <w:r w:rsidRPr="00ED7513">
        <w:rPr>
          <w:rFonts w:ascii="Book Antiqua" w:hAnsi="Book Antiqua"/>
          <w:sz w:val="24"/>
          <w:szCs w:val="24"/>
        </w:rPr>
        <w:t>: 130-135 [PMID: 22949400 DOI: 10.1002/jso.23252]</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18 </w:t>
      </w:r>
      <w:r w:rsidRPr="00ED7513">
        <w:rPr>
          <w:rFonts w:ascii="Book Antiqua" w:hAnsi="Book Antiqua"/>
          <w:b/>
          <w:sz w:val="24"/>
          <w:szCs w:val="24"/>
        </w:rPr>
        <w:t>Du CY</w:t>
      </w:r>
      <w:r w:rsidRPr="00ED7513">
        <w:rPr>
          <w:rFonts w:ascii="Book Antiqua" w:hAnsi="Book Antiqua"/>
          <w:sz w:val="24"/>
          <w:szCs w:val="24"/>
        </w:rPr>
        <w:t xml:space="preserve">, Chen JG, Zhou Y, Zhao GF, Fu H, Zhou XK, Shi YQ. </w:t>
      </w:r>
      <w:proofErr w:type="gramStart"/>
      <w:r w:rsidRPr="00ED7513">
        <w:rPr>
          <w:rFonts w:ascii="Book Antiqua" w:hAnsi="Book Antiqua"/>
          <w:sz w:val="24"/>
          <w:szCs w:val="24"/>
        </w:rPr>
        <w:t>Impact of lymphatic and/or blood vessel invasion in stage II gastric cancer.</w:t>
      </w:r>
      <w:proofErr w:type="gramEnd"/>
      <w:r w:rsidRPr="00ED7513">
        <w:rPr>
          <w:rFonts w:ascii="Book Antiqua" w:hAnsi="Book Antiqua"/>
          <w:sz w:val="24"/>
          <w:szCs w:val="24"/>
        </w:rPr>
        <w:t xml:space="preserve"> </w:t>
      </w:r>
      <w:r w:rsidRPr="00ED7513">
        <w:rPr>
          <w:rFonts w:ascii="Book Antiqua" w:hAnsi="Book Antiqua"/>
          <w:i/>
          <w:sz w:val="24"/>
          <w:szCs w:val="24"/>
        </w:rPr>
        <w:t xml:space="preserve">World J </w:t>
      </w:r>
      <w:proofErr w:type="spellStart"/>
      <w:r w:rsidRPr="00ED7513">
        <w:rPr>
          <w:rFonts w:ascii="Book Antiqua" w:hAnsi="Book Antiqua"/>
          <w:i/>
          <w:sz w:val="24"/>
          <w:szCs w:val="24"/>
        </w:rPr>
        <w:t>Gastroenterol</w:t>
      </w:r>
      <w:proofErr w:type="spellEnd"/>
      <w:r w:rsidRPr="00ED7513">
        <w:rPr>
          <w:rFonts w:ascii="Book Antiqua" w:hAnsi="Book Antiqua"/>
          <w:sz w:val="24"/>
          <w:szCs w:val="24"/>
        </w:rPr>
        <w:t xml:space="preserve"> 2012; </w:t>
      </w:r>
      <w:r w:rsidRPr="00ED7513">
        <w:rPr>
          <w:rFonts w:ascii="Book Antiqua" w:hAnsi="Book Antiqua"/>
          <w:b/>
          <w:sz w:val="24"/>
          <w:szCs w:val="24"/>
        </w:rPr>
        <w:t>18</w:t>
      </w:r>
      <w:r w:rsidRPr="00ED7513">
        <w:rPr>
          <w:rFonts w:ascii="Book Antiqua" w:hAnsi="Book Antiqua"/>
          <w:sz w:val="24"/>
          <w:szCs w:val="24"/>
        </w:rPr>
        <w:t>: 3610-3616 [PMID: 22826628 DOI: 10.3748/wjg.v18.i27.3610]</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19 </w:t>
      </w:r>
      <w:r w:rsidRPr="00ED7513">
        <w:rPr>
          <w:rFonts w:ascii="Book Antiqua" w:hAnsi="Book Antiqua"/>
          <w:b/>
          <w:sz w:val="24"/>
          <w:szCs w:val="24"/>
        </w:rPr>
        <w:t>Ichikawa D</w:t>
      </w:r>
      <w:r w:rsidRPr="00ED7513">
        <w:rPr>
          <w:rFonts w:ascii="Book Antiqua" w:hAnsi="Book Antiqua"/>
          <w:sz w:val="24"/>
          <w:szCs w:val="24"/>
        </w:rPr>
        <w:t xml:space="preserve">, Kubota T, Kikuchi S, Fujiwara H, </w:t>
      </w:r>
      <w:proofErr w:type="spellStart"/>
      <w:r w:rsidRPr="00ED7513">
        <w:rPr>
          <w:rFonts w:ascii="Book Antiqua" w:hAnsi="Book Antiqua"/>
          <w:sz w:val="24"/>
          <w:szCs w:val="24"/>
        </w:rPr>
        <w:t>Konishi</w:t>
      </w:r>
      <w:proofErr w:type="spellEnd"/>
      <w:r w:rsidRPr="00ED7513">
        <w:rPr>
          <w:rFonts w:ascii="Book Antiqua" w:hAnsi="Book Antiqua"/>
          <w:sz w:val="24"/>
          <w:szCs w:val="24"/>
        </w:rPr>
        <w:t xml:space="preserve"> H, </w:t>
      </w:r>
      <w:proofErr w:type="spellStart"/>
      <w:r w:rsidRPr="00ED7513">
        <w:rPr>
          <w:rFonts w:ascii="Book Antiqua" w:hAnsi="Book Antiqua"/>
          <w:sz w:val="24"/>
          <w:szCs w:val="24"/>
        </w:rPr>
        <w:t>Tsujiura</w:t>
      </w:r>
      <w:proofErr w:type="spellEnd"/>
      <w:r w:rsidRPr="00ED7513">
        <w:rPr>
          <w:rFonts w:ascii="Book Antiqua" w:hAnsi="Book Antiqua"/>
          <w:sz w:val="24"/>
          <w:szCs w:val="24"/>
        </w:rPr>
        <w:t xml:space="preserve"> M, </w:t>
      </w:r>
      <w:proofErr w:type="spellStart"/>
      <w:r w:rsidRPr="00ED7513">
        <w:rPr>
          <w:rFonts w:ascii="Book Antiqua" w:hAnsi="Book Antiqua"/>
          <w:sz w:val="24"/>
          <w:szCs w:val="24"/>
        </w:rPr>
        <w:t>Ikoma</w:t>
      </w:r>
      <w:proofErr w:type="spellEnd"/>
      <w:r w:rsidRPr="00ED7513">
        <w:rPr>
          <w:rFonts w:ascii="Book Antiqua" w:hAnsi="Book Antiqua"/>
          <w:sz w:val="24"/>
          <w:szCs w:val="24"/>
        </w:rPr>
        <w:t xml:space="preserve"> H, Nakanishi M, Okamoto K, </w:t>
      </w:r>
      <w:proofErr w:type="spellStart"/>
      <w:r w:rsidRPr="00ED7513">
        <w:rPr>
          <w:rFonts w:ascii="Book Antiqua" w:hAnsi="Book Antiqua"/>
          <w:sz w:val="24"/>
          <w:szCs w:val="24"/>
        </w:rPr>
        <w:t>Sakakura</w:t>
      </w:r>
      <w:proofErr w:type="spellEnd"/>
      <w:r w:rsidRPr="00ED7513">
        <w:rPr>
          <w:rFonts w:ascii="Book Antiqua" w:hAnsi="Book Antiqua"/>
          <w:sz w:val="24"/>
          <w:szCs w:val="24"/>
        </w:rPr>
        <w:t xml:space="preserve"> C, </w:t>
      </w:r>
      <w:proofErr w:type="spellStart"/>
      <w:r w:rsidRPr="00ED7513">
        <w:rPr>
          <w:rFonts w:ascii="Book Antiqua" w:hAnsi="Book Antiqua"/>
          <w:sz w:val="24"/>
          <w:szCs w:val="24"/>
        </w:rPr>
        <w:t>Ochiai</w:t>
      </w:r>
      <w:proofErr w:type="spellEnd"/>
      <w:r w:rsidRPr="00ED7513">
        <w:rPr>
          <w:rFonts w:ascii="Book Antiqua" w:hAnsi="Book Antiqua"/>
          <w:sz w:val="24"/>
          <w:szCs w:val="24"/>
        </w:rPr>
        <w:t xml:space="preserve"> T, </w:t>
      </w:r>
      <w:proofErr w:type="spellStart"/>
      <w:r w:rsidRPr="00ED7513">
        <w:rPr>
          <w:rFonts w:ascii="Book Antiqua" w:hAnsi="Book Antiqua"/>
          <w:sz w:val="24"/>
          <w:szCs w:val="24"/>
        </w:rPr>
        <w:t>Kokuba</w:t>
      </w:r>
      <w:proofErr w:type="spellEnd"/>
      <w:r w:rsidRPr="00ED7513">
        <w:rPr>
          <w:rFonts w:ascii="Book Antiqua" w:hAnsi="Book Antiqua"/>
          <w:sz w:val="24"/>
          <w:szCs w:val="24"/>
        </w:rPr>
        <w:t xml:space="preserve"> Y, </w:t>
      </w:r>
      <w:proofErr w:type="spellStart"/>
      <w:r w:rsidRPr="00ED7513">
        <w:rPr>
          <w:rFonts w:ascii="Book Antiqua" w:hAnsi="Book Antiqua"/>
          <w:sz w:val="24"/>
          <w:szCs w:val="24"/>
        </w:rPr>
        <w:t>Otsuji</w:t>
      </w:r>
      <w:proofErr w:type="spellEnd"/>
      <w:r w:rsidRPr="00ED7513">
        <w:rPr>
          <w:rFonts w:ascii="Book Antiqua" w:hAnsi="Book Antiqua"/>
          <w:sz w:val="24"/>
          <w:szCs w:val="24"/>
        </w:rPr>
        <w:t xml:space="preserve"> E. Prognostic impact of lymphatic invasion in patients with node-negative gastric cancer. </w:t>
      </w:r>
      <w:r w:rsidRPr="00ED7513">
        <w:rPr>
          <w:rFonts w:ascii="Book Antiqua" w:hAnsi="Book Antiqua"/>
          <w:i/>
          <w:sz w:val="24"/>
          <w:szCs w:val="24"/>
        </w:rPr>
        <w:t xml:space="preserve">J </w:t>
      </w:r>
      <w:proofErr w:type="spellStart"/>
      <w:r w:rsidRPr="00ED7513">
        <w:rPr>
          <w:rFonts w:ascii="Book Antiqua" w:hAnsi="Book Antiqua"/>
          <w:i/>
          <w:sz w:val="24"/>
          <w:szCs w:val="24"/>
        </w:rPr>
        <w:t>Surg</w:t>
      </w:r>
      <w:proofErr w:type="spellEnd"/>
      <w:r w:rsidRPr="00ED7513">
        <w:rPr>
          <w:rFonts w:ascii="Book Antiqua" w:hAnsi="Book Antiqua"/>
          <w:i/>
          <w:sz w:val="24"/>
          <w:szCs w:val="24"/>
        </w:rPr>
        <w:t xml:space="preserve"> </w:t>
      </w:r>
      <w:proofErr w:type="spellStart"/>
      <w:r w:rsidRPr="00ED7513">
        <w:rPr>
          <w:rFonts w:ascii="Book Antiqua" w:hAnsi="Book Antiqua"/>
          <w:i/>
          <w:sz w:val="24"/>
          <w:szCs w:val="24"/>
        </w:rPr>
        <w:t>Oncol</w:t>
      </w:r>
      <w:proofErr w:type="spellEnd"/>
      <w:r w:rsidRPr="00ED7513">
        <w:rPr>
          <w:rFonts w:ascii="Book Antiqua" w:hAnsi="Book Antiqua"/>
          <w:sz w:val="24"/>
          <w:szCs w:val="24"/>
        </w:rPr>
        <w:t xml:space="preserve"> 2009; </w:t>
      </w:r>
      <w:r w:rsidRPr="00ED7513">
        <w:rPr>
          <w:rFonts w:ascii="Book Antiqua" w:hAnsi="Book Antiqua"/>
          <w:b/>
          <w:sz w:val="24"/>
          <w:szCs w:val="24"/>
        </w:rPr>
        <w:t>100</w:t>
      </w:r>
      <w:r w:rsidRPr="00ED7513">
        <w:rPr>
          <w:rFonts w:ascii="Book Antiqua" w:hAnsi="Book Antiqua"/>
          <w:sz w:val="24"/>
          <w:szCs w:val="24"/>
        </w:rPr>
        <w:t>: 111-114 [PMID: 19475584 DOI: 10.1002/jso.21311]</w:t>
      </w:r>
    </w:p>
    <w:p w:rsidR="00ED7513" w:rsidRPr="00ED7513" w:rsidRDefault="00ED7513" w:rsidP="00ED7513">
      <w:pPr>
        <w:spacing w:line="360" w:lineRule="auto"/>
        <w:rPr>
          <w:rFonts w:ascii="Book Antiqua" w:hAnsi="Book Antiqua"/>
          <w:sz w:val="24"/>
          <w:szCs w:val="24"/>
        </w:rPr>
      </w:pPr>
      <w:proofErr w:type="gramStart"/>
      <w:r w:rsidRPr="00ED7513">
        <w:rPr>
          <w:rFonts w:ascii="Book Antiqua" w:hAnsi="Book Antiqua"/>
          <w:sz w:val="24"/>
          <w:szCs w:val="24"/>
        </w:rPr>
        <w:t xml:space="preserve">20 </w:t>
      </w:r>
      <w:r w:rsidRPr="00ED7513">
        <w:rPr>
          <w:rFonts w:ascii="Book Antiqua" w:hAnsi="Book Antiqua"/>
          <w:b/>
          <w:sz w:val="24"/>
          <w:szCs w:val="24"/>
        </w:rPr>
        <w:t>Lee EW</w:t>
      </w:r>
      <w:r w:rsidRPr="00ED7513">
        <w:rPr>
          <w:rFonts w:ascii="Book Antiqua" w:hAnsi="Book Antiqua"/>
          <w:sz w:val="24"/>
          <w:szCs w:val="24"/>
        </w:rPr>
        <w:t>, Lee WY, Koo HS.</w:t>
      </w:r>
      <w:proofErr w:type="gramEnd"/>
      <w:r w:rsidRPr="00ED7513">
        <w:rPr>
          <w:rFonts w:ascii="Book Antiqua" w:hAnsi="Book Antiqua"/>
          <w:sz w:val="24"/>
          <w:szCs w:val="24"/>
        </w:rPr>
        <w:t xml:space="preserve"> Prognostic Factors for Node-Negative Advanced Gastric Cancer after Curative Gastrectomy. </w:t>
      </w:r>
      <w:r w:rsidRPr="00ED7513">
        <w:rPr>
          <w:rFonts w:ascii="Book Antiqua" w:hAnsi="Book Antiqua"/>
          <w:i/>
          <w:sz w:val="24"/>
          <w:szCs w:val="24"/>
        </w:rPr>
        <w:t>J Gastric Cancer</w:t>
      </w:r>
      <w:r w:rsidRPr="00ED7513">
        <w:rPr>
          <w:rFonts w:ascii="Book Antiqua" w:hAnsi="Book Antiqua"/>
          <w:sz w:val="24"/>
          <w:szCs w:val="24"/>
        </w:rPr>
        <w:t xml:space="preserve"> 2016; </w:t>
      </w:r>
      <w:r w:rsidRPr="00ED7513">
        <w:rPr>
          <w:rFonts w:ascii="Book Antiqua" w:hAnsi="Book Antiqua"/>
          <w:b/>
          <w:sz w:val="24"/>
          <w:szCs w:val="24"/>
        </w:rPr>
        <w:t>16</w:t>
      </w:r>
      <w:r w:rsidRPr="00ED7513">
        <w:rPr>
          <w:rFonts w:ascii="Book Antiqua" w:hAnsi="Book Antiqua"/>
          <w:sz w:val="24"/>
          <w:szCs w:val="24"/>
        </w:rPr>
        <w:t>: 161-166 [PMID: 27752393 DOI: 10.5230/jgc.2016.16.3.161]</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21 </w:t>
      </w:r>
      <w:r w:rsidRPr="00ED7513">
        <w:rPr>
          <w:rFonts w:ascii="Book Antiqua" w:hAnsi="Book Antiqua"/>
          <w:b/>
          <w:sz w:val="24"/>
          <w:szCs w:val="24"/>
        </w:rPr>
        <w:t>Pan M</w:t>
      </w:r>
      <w:r w:rsidRPr="00ED7513">
        <w:rPr>
          <w:rFonts w:ascii="Book Antiqua" w:hAnsi="Book Antiqua"/>
          <w:sz w:val="24"/>
          <w:szCs w:val="24"/>
        </w:rPr>
        <w:t xml:space="preserve">, Huang P, Li S, Chen J, Wei S, Zhang Y. Double contrast-enhanced ultrasonography in preoperative </w:t>
      </w:r>
      <w:proofErr w:type="spellStart"/>
      <w:r w:rsidRPr="00ED7513">
        <w:rPr>
          <w:rFonts w:ascii="Book Antiqua" w:hAnsi="Book Antiqua"/>
          <w:sz w:val="24"/>
          <w:szCs w:val="24"/>
        </w:rPr>
        <w:t>Borrmann</w:t>
      </w:r>
      <w:proofErr w:type="spellEnd"/>
      <w:r w:rsidRPr="00ED7513">
        <w:rPr>
          <w:rFonts w:ascii="Book Antiqua" w:hAnsi="Book Antiqua"/>
          <w:sz w:val="24"/>
          <w:szCs w:val="24"/>
        </w:rPr>
        <w:t xml:space="preserve"> classification of advanced gastric carcinoma: comparison with histopathology. </w:t>
      </w:r>
      <w:proofErr w:type="spellStart"/>
      <w:r w:rsidRPr="00ED7513">
        <w:rPr>
          <w:rFonts w:ascii="Book Antiqua" w:hAnsi="Book Antiqua"/>
          <w:i/>
          <w:sz w:val="24"/>
          <w:szCs w:val="24"/>
        </w:rPr>
        <w:t>Sci</w:t>
      </w:r>
      <w:proofErr w:type="spellEnd"/>
      <w:r w:rsidRPr="00ED7513">
        <w:rPr>
          <w:rFonts w:ascii="Book Antiqua" w:hAnsi="Book Antiqua"/>
          <w:i/>
          <w:sz w:val="24"/>
          <w:szCs w:val="24"/>
        </w:rPr>
        <w:t xml:space="preserve"> Rep</w:t>
      </w:r>
      <w:r w:rsidRPr="00ED7513">
        <w:rPr>
          <w:rFonts w:ascii="Book Antiqua" w:hAnsi="Book Antiqua"/>
          <w:sz w:val="24"/>
          <w:szCs w:val="24"/>
        </w:rPr>
        <w:t xml:space="preserve"> 2013; </w:t>
      </w:r>
      <w:r w:rsidRPr="00ED7513">
        <w:rPr>
          <w:rFonts w:ascii="Book Antiqua" w:hAnsi="Book Antiqua"/>
          <w:b/>
          <w:sz w:val="24"/>
          <w:szCs w:val="24"/>
        </w:rPr>
        <w:t>3</w:t>
      </w:r>
      <w:r w:rsidRPr="00ED7513">
        <w:rPr>
          <w:rFonts w:ascii="Book Antiqua" w:hAnsi="Book Antiqua"/>
          <w:sz w:val="24"/>
          <w:szCs w:val="24"/>
        </w:rPr>
        <w:t xml:space="preserve">: 3338 [PMID: </w:t>
      </w:r>
      <w:r w:rsidRPr="00ED7513">
        <w:rPr>
          <w:rFonts w:ascii="Book Antiqua" w:hAnsi="Book Antiqua"/>
          <w:sz w:val="24"/>
          <w:szCs w:val="24"/>
        </w:rPr>
        <w:lastRenderedPageBreak/>
        <w:t>24275807 DOI: 10.1038/srep03338]</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22 </w:t>
      </w:r>
      <w:r w:rsidRPr="00ED7513">
        <w:rPr>
          <w:rFonts w:ascii="Book Antiqua" w:hAnsi="Book Antiqua"/>
          <w:b/>
          <w:sz w:val="24"/>
          <w:szCs w:val="24"/>
        </w:rPr>
        <w:t>Huang JY</w:t>
      </w:r>
      <w:r w:rsidRPr="00ED7513">
        <w:rPr>
          <w:rFonts w:ascii="Book Antiqua" w:hAnsi="Book Antiqua"/>
          <w:sz w:val="24"/>
          <w:szCs w:val="24"/>
        </w:rPr>
        <w:t xml:space="preserve">, Wang ZN, Lu CY, Miao ZF, Zhu Z, Song YX, Xu HM, Xu YY. </w:t>
      </w:r>
      <w:proofErr w:type="spellStart"/>
      <w:r w:rsidRPr="00ED7513">
        <w:rPr>
          <w:rFonts w:ascii="Book Antiqua" w:hAnsi="Book Antiqua"/>
          <w:sz w:val="24"/>
          <w:szCs w:val="24"/>
        </w:rPr>
        <w:t>Borrmann</w:t>
      </w:r>
      <w:proofErr w:type="spellEnd"/>
      <w:r w:rsidRPr="00ED7513">
        <w:rPr>
          <w:rFonts w:ascii="Book Antiqua" w:hAnsi="Book Antiqua"/>
          <w:sz w:val="24"/>
          <w:szCs w:val="24"/>
        </w:rPr>
        <w:t xml:space="preserve"> type IV gastric cancer should be classified as pT4b disease. </w:t>
      </w:r>
      <w:r w:rsidRPr="00ED7513">
        <w:rPr>
          <w:rFonts w:ascii="Book Antiqua" w:hAnsi="Book Antiqua"/>
          <w:i/>
          <w:sz w:val="24"/>
          <w:szCs w:val="24"/>
        </w:rPr>
        <w:t xml:space="preserve">J </w:t>
      </w:r>
      <w:proofErr w:type="spellStart"/>
      <w:r w:rsidRPr="00ED7513">
        <w:rPr>
          <w:rFonts w:ascii="Book Antiqua" w:hAnsi="Book Antiqua"/>
          <w:i/>
          <w:sz w:val="24"/>
          <w:szCs w:val="24"/>
        </w:rPr>
        <w:t>Surg</w:t>
      </w:r>
      <w:proofErr w:type="spellEnd"/>
      <w:r w:rsidRPr="00ED7513">
        <w:rPr>
          <w:rFonts w:ascii="Book Antiqua" w:hAnsi="Book Antiqua"/>
          <w:i/>
          <w:sz w:val="24"/>
          <w:szCs w:val="24"/>
        </w:rPr>
        <w:t xml:space="preserve"> Res</w:t>
      </w:r>
      <w:r w:rsidRPr="00ED7513">
        <w:rPr>
          <w:rFonts w:ascii="Book Antiqua" w:hAnsi="Book Antiqua"/>
          <w:sz w:val="24"/>
          <w:szCs w:val="24"/>
        </w:rPr>
        <w:t xml:space="preserve"> 2016; </w:t>
      </w:r>
      <w:r w:rsidRPr="00ED7513">
        <w:rPr>
          <w:rFonts w:ascii="Book Antiqua" w:hAnsi="Book Antiqua"/>
          <w:b/>
          <w:sz w:val="24"/>
          <w:szCs w:val="24"/>
        </w:rPr>
        <w:t>203</w:t>
      </w:r>
      <w:r w:rsidRPr="00ED7513">
        <w:rPr>
          <w:rFonts w:ascii="Book Antiqua" w:hAnsi="Book Antiqua"/>
          <w:sz w:val="24"/>
          <w:szCs w:val="24"/>
        </w:rPr>
        <w:t>: 258-267 [PMID: 27363630 DOI: 10.1016/j.jss.2016.04.026]</w:t>
      </w:r>
    </w:p>
    <w:p w:rsidR="00ED7513" w:rsidRPr="00ED7513" w:rsidRDefault="00ED7513" w:rsidP="00ED7513">
      <w:pPr>
        <w:spacing w:line="360" w:lineRule="auto"/>
        <w:rPr>
          <w:rFonts w:ascii="Book Antiqua" w:hAnsi="Book Antiqua"/>
          <w:sz w:val="24"/>
          <w:szCs w:val="24"/>
        </w:rPr>
      </w:pPr>
      <w:r w:rsidRPr="00ED7513">
        <w:rPr>
          <w:rFonts w:ascii="Book Antiqua" w:hAnsi="Book Antiqua"/>
          <w:sz w:val="24"/>
          <w:szCs w:val="24"/>
        </w:rPr>
        <w:t xml:space="preserve">23 </w:t>
      </w:r>
      <w:r w:rsidRPr="00ED7513">
        <w:rPr>
          <w:rFonts w:ascii="Book Antiqua" w:hAnsi="Book Antiqua"/>
          <w:b/>
          <w:sz w:val="24"/>
          <w:szCs w:val="24"/>
        </w:rPr>
        <w:t>Yang B</w:t>
      </w:r>
      <w:r w:rsidRPr="00ED7513">
        <w:rPr>
          <w:rFonts w:ascii="Book Antiqua" w:hAnsi="Book Antiqua"/>
          <w:sz w:val="24"/>
          <w:szCs w:val="24"/>
        </w:rPr>
        <w:t xml:space="preserve">, Wu G, Wang X, Zhang X. Discussion of modifying stage IV gastric cancer based on </w:t>
      </w:r>
      <w:proofErr w:type="spellStart"/>
      <w:r w:rsidRPr="00ED7513">
        <w:rPr>
          <w:rFonts w:ascii="Book Antiqua" w:hAnsi="Book Antiqua"/>
          <w:sz w:val="24"/>
          <w:szCs w:val="24"/>
        </w:rPr>
        <w:t>Borrmann</w:t>
      </w:r>
      <w:proofErr w:type="spellEnd"/>
      <w:r w:rsidRPr="00ED7513">
        <w:rPr>
          <w:rFonts w:ascii="Book Antiqua" w:hAnsi="Book Antiqua"/>
          <w:sz w:val="24"/>
          <w:szCs w:val="24"/>
        </w:rPr>
        <w:t xml:space="preserve"> classification. </w:t>
      </w:r>
      <w:proofErr w:type="spellStart"/>
      <w:r w:rsidRPr="00ED7513">
        <w:rPr>
          <w:rFonts w:ascii="Book Antiqua" w:hAnsi="Book Antiqua"/>
          <w:i/>
          <w:sz w:val="24"/>
          <w:szCs w:val="24"/>
        </w:rPr>
        <w:t>Tumour</w:t>
      </w:r>
      <w:proofErr w:type="spellEnd"/>
      <w:r w:rsidRPr="00ED7513">
        <w:rPr>
          <w:rFonts w:ascii="Book Antiqua" w:hAnsi="Book Antiqua"/>
          <w:i/>
          <w:sz w:val="24"/>
          <w:szCs w:val="24"/>
        </w:rPr>
        <w:t xml:space="preserve"> </w:t>
      </w:r>
      <w:proofErr w:type="spellStart"/>
      <w:r w:rsidRPr="00ED7513">
        <w:rPr>
          <w:rFonts w:ascii="Book Antiqua" w:hAnsi="Book Antiqua"/>
          <w:i/>
          <w:sz w:val="24"/>
          <w:szCs w:val="24"/>
        </w:rPr>
        <w:t>Biol</w:t>
      </w:r>
      <w:proofErr w:type="spellEnd"/>
      <w:r w:rsidRPr="00ED7513">
        <w:rPr>
          <w:rFonts w:ascii="Book Antiqua" w:hAnsi="Book Antiqua"/>
          <w:sz w:val="24"/>
          <w:szCs w:val="24"/>
        </w:rPr>
        <w:t xml:space="preserve"> 2013; </w:t>
      </w:r>
      <w:r w:rsidRPr="00ED7513">
        <w:rPr>
          <w:rFonts w:ascii="Book Antiqua" w:hAnsi="Book Antiqua"/>
          <w:b/>
          <w:sz w:val="24"/>
          <w:szCs w:val="24"/>
        </w:rPr>
        <w:t>34</w:t>
      </w:r>
      <w:r w:rsidRPr="00ED7513">
        <w:rPr>
          <w:rFonts w:ascii="Book Antiqua" w:hAnsi="Book Antiqua"/>
          <w:sz w:val="24"/>
          <w:szCs w:val="24"/>
        </w:rPr>
        <w:t>: 1485-1491 [PMID: 23404404 DOI: 10.1007/s13277-013-0673-7]</w:t>
      </w:r>
    </w:p>
    <w:p w:rsidR="00A33D70" w:rsidRPr="00ED7513" w:rsidRDefault="00EA6291" w:rsidP="00E53804">
      <w:pPr>
        <w:spacing w:line="360" w:lineRule="auto"/>
        <w:jc w:val="right"/>
        <w:rPr>
          <w:rFonts w:ascii="Book Antiqua" w:hAnsi="Book Antiqua"/>
          <w:sz w:val="24"/>
          <w:szCs w:val="24"/>
        </w:rPr>
      </w:pPr>
      <w:r w:rsidRPr="00ED7513">
        <w:rPr>
          <w:rFonts w:ascii="Book Antiqua" w:eastAsia="等线" w:hAnsi="Book Antiqua" w:cs="Times New Roman"/>
          <w:color w:val="000000" w:themeColor="text1"/>
          <w:sz w:val="24"/>
          <w:szCs w:val="24"/>
        </w:rPr>
        <w:t xml:space="preserve"> </w:t>
      </w:r>
      <w:r w:rsidR="002A1D71" w:rsidRPr="00ED7513">
        <w:rPr>
          <w:rFonts w:ascii="Book Antiqua" w:hAnsi="Book Antiqua"/>
          <w:b/>
          <w:color w:val="000000"/>
          <w:sz w:val="24"/>
          <w:szCs w:val="24"/>
        </w:rPr>
        <w:t xml:space="preserve">P-Reviewer: </w:t>
      </w:r>
      <w:r w:rsidR="002A1D71" w:rsidRPr="00ED7513">
        <w:rPr>
          <w:rFonts w:ascii="Book Antiqua" w:hAnsi="Book Antiqua"/>
          <w:sz w:val="24"/>
          <w:szCs w:val="24"/>
        </w:rPr>
        <w:t xml:space="preserve">Reich R, </w:t>
      </w:r>
      <w:r w:rsidR="00ED4C73" w:rsidRPr="00ED7513">
        <w:rPr>
          <w:rFonts w:ascii="Book Antiqua" w:hAnsi="Book Antiqua"/>
          <w:sz w:val="24"/>
          <w:szCs w:val="24"/>
        </w:rPr>
        <w:t xml:space="preserve">Satya R, </w:t>
      </w:r>
      <w:r w:rsidR="002A1D71" w:rsidRPr="00ED7513">
        <w:rPr>
          <w:rFonts w:ascii="Book Antiqua" w:hAnsi="Book Antiqua"/>
          <w:sz w:val="24"/>
          <w:szCs w:val="24"/>
        </w:rPr>
        <w:t>Manuel C</w:t>
      </w:r>
    </w:p>
    <w:p w:rsidR="002A1D71" w:rsidRPr="00ED7513" w:rsidRDefault="002A1D71" w:rsidP="00E53804">
      <w:pPr>
        <w:spacing w:line="360" w:lineRule="auto"/>
        <w:jc w:val="right"/>
        <w:rPr>
          <w:rFonts w:ascii="Book Antiqua" w:hAnsi="Book Antiqua"/>
          <w:b/>
          <w:color w:val="000000"/>
          <w:sz w:val="24"/>
          <w:szCs w:val="24"/>
        </w:rPr>
      </w:pPr>
      <w:r w:rsidRPr="00ED7513">
        <w:rPr>
          <w:rFonts w:ascii="Book Antiqua" w:hAnsi="Book Antiqua"/>
          <w:b/>
          <w:color w:val="000000"/>
          <w:sz w:val="24"/>
          <w:szCs w:val="24"/>
        </w:rPr>
        <w:t xml:space="preserve">S-Editor: </w:t>
      </w:r>
      <w:r w:rsidRPr="00ED7513">
        <w:rPr>
          <w:rFonts w:ascii="Book Antiqua" w:hAnsi="Book Antiqua"/>
          <w:color w:val="000000"/>
          <w:sz w:val="24"/>
          <w:szCs w:val="24"/>
        </w:rPr>
        <w:t>Wang JL</w:t>
      </w:r>
      <w:r w:rsidRPr="00ED7513">
        <w:rPr>
          <w:rFonts w:ascii="Book Antiqua" w:hAnsi="Book Antiqua"/>
          <w:b/>
          <w:color w:val="000000"/>
          <w:sz w:val="24"/>
          <w:szCs w:val="24"/>
        </w:rPr>
        <w:t xml:space="preserve"> L-Editor: E-Editor:</w:t>
      </w:r>
    </w:p>
    <w:p w:rsidR="002A1D71" w:rsidRPr="00ED7513" w:rsidRDefault="002A1D71" w:rsidP="00ED7513">
      <w:pPr>
        <w:pStyle w:val="ac"/>
        <w:spacing w:line="360" w:lineRule="auto"/>
        <w:rPr>
          <w:rFonts w:ascii="Book Antiqua" w:hAnsi="Book Antiqua"/>
          <w:b/>
          <w:color w:val="000000"/>
          <w:sz w:val="24"/>
          <w:szCs w:val="24"/>
        </w:rPr>
      </w:pPr>
      <w:r w:rsidRPr="00ED7513">
        <w:rPr>
          <w:rFonts w:ascii="Book Antiqua" w:hAnsi="Book Antiqua"/>
          <w:b/>
          <w:color w:val="000000"/>
          <w:sz w:val="24"/>
          <w:szCs w:val="24"/>
        </w:rPr>
        <w:t xml:space="preserve"> </w:t>
      </w:r>
    </w:p>
    <w:p w:rsidR="002A1D71" w:rsidRPr="00ED7513" w:rsidRDefault="002A1D71" w:rsidP="00ED7513">
      <w:pPr>
        <w:snapToGrid w:val="0"/>
        <w:spacing w:line="360" w:lineRule="auto"/>
        <w:rPr>
          <w:rFonts w:ascii="Book Antiqua" w:hAnsi="Book Antiqua" w:cs="Helvetica"/>
          <w:b/>
          <w:color w:val="000000"/>
          <w:sz w:val="24"/>
          <w:szCs w:val="24"/>
        </w:rPr>
      </w:pPr>
      <w:r w:rsidRPr="00ED7513">
        <w:rPr>
          <w:rFonts w:ascii="Book Antiqua" w:hAnsi="Book Antiqua" w:cs="Helvetica"/>
          <w:b/>
          <w:color w:val="000000"/>
          <w:sz w:val="24"/>
          <w:szCs w:val="24"/>
        </w:rPr>
        <w:t xml:space="preserve">Specialty type: </w:t>
      </w:r>
      <w:r w:rsidRPr="00ED7513">
        <w:rPr>
          <w:rFonts w:ascii="Book Antiqua" w:eastAsia="微软雅黑" w:hAnsi="Book Antiqua"/>
          <w:color w:val="000000"/>
          <w:sz w:val="24"/>
          <w:szCs w:val="24"/>
        </w:rPr>
        <w:t>Oncology</w:t>
      </w:r>
    </w:p>
    <w:p w:rsidR="002A1D71" w:rsidRPr="00ED7513" w:rsidRDefault="002A1D71" w:rsidP="00ED7513">
      <w:pPr>
        <w:snapToGrid w:val="0"/>
        <w:spacing w:line="360" w:lineRule="auto"/>
        <w:rPr>
          <w:rFonts w:ascii="Book Antiqua" w:hAnsi="Book Antiqua" w:cs="Helvetica"/>
          <w:b/>
          <w:color w:val="000000"/>
          <w:sz w:val="24"/>
          <w:szCs w:val="24"/>
        </w:rPr>
      </w:pPr>
      <w:r w:rsidRPr="00ED7513">
        <w:rPr>
          <w:rFonts w:ascii="Book Antiqua" w:hAnsi="Book Antiqua" w:cs="Helvetica"/>
          <w:b/>
          <w:color w:val="000000"/>
          <w:sz w:val="24"/>
          <w:szCs w:val="24"/>
        </w:rPr>
        <w:t xml:space="preserve">Country of origin: </w:t>
      </w:r>
      <w:r w:rsidRPr="00ED7513">
        <w:rPr>
          <w:rFonts w:ascii="Book Antiqua" w:hAnsi="Book Antiqua"/>
          <w:color w:val="000000"/>
          <w:sz w:val="24"/>
          <w:szCs w:val="24"/>
        </w:rPr>
        <w:t>China</w:t>
      </w:r>
    </w:p>
    <w:p w:rsidR="002A1D71" w:rsidRPr="00ED7513" w:rsidRDefault="002A1D71" w:rsidP="00ED7513">
      <w:pPr>
        <w:snapToGrid w:val="0"/>
        <w:spacing w:line="360" w:lineRule="auto"/>
        <w:rPr>
          <w:rFonts w:ascii="Book Antiqua" w:hAnsi="Book Antiqua" w:cs="Helvetica"/>
          <w:b/>
          <w:color w:val="000000"/>
          <w:sz w:val="24"/>
          <w:szCs w:val="24"/>
        </w:rPr>
      </w:pPr>
      <w:r w:rsidRPr="00ED7513">
        <w:rPr>
          <w:rFonts w:ascii="Book Antiqua" w:hAnsi="Book Antiqua" w:cs="Helvetica"/>
          <w:b/>
          <w:color w:val="000000"/>
          <w:sz w:val="24"/>
          <w:szCs w:val="24"/>
        </w:rPr>
        <w:t>Peer-review report classification</w:t>
      </w:r>
    </w:p>
    <w:p w:rsidR="002A1D71" w:rsidRPr="00ED7513" w:rsidRDefault="002A1D71" w:rsidP="00ED7513">
      <w:pPr>
        <w:snapToGrid w:val="0"/>
        <w:spacing w:line="360" w:lineRule="auto"/>
        <w:rPr>
          <w:rFonts w:ascii="Book Antiqua" w:hAnsi="Book Antiqua" w:cs="Helvetica"/>
          <w:color w:val="000000"/>
          <w:sz w:val="24"/>
          <w:szCs w:val="24"/>
        </w:rPr>
      </w:pPr>
      <w:r w:rsidRPr="00ED7513">
        <w:rPr>
          <w:rFonts w:ascii="Book Antiqua" w:hAnsi="Book Antiqua" w:cs="Helvetica"/>
          <w:color w:val="000000"/>
          <w:sz w:val="24"/>
          <w:szCs w:val="24"/>
        </w:rPr>
        <w:t xml:space="preserve">Grade </w:t>
      </w:r>
      <w:proofErr w:type="gramStart"/>
      <w:r w:rsidRPr="00ED7513">
        <w:rPr>
          <w:rFonts w:ascii="Book Antiqua" w:hAnsi="Book Antiqua" w:cs="Helvetica"/>
          <w:color w:val="000000"/>
          <w:sz w:val="24"/>
          <w:szCs w:val="24"/>
        </w:rPr>
        <w:t>A</w:t>
      </w:r>
      <w:proofErr w:type="gramEnd"/>
      <w:r w:rsidRPr="00ED7513">
        <w:rPr>
          <w:rFonts w:ascii="Book Antiqua" w:hAnsi="Book Antiqua" w:cs="Helvetica"/>
          <w:color w:val="000000"/>
          <w:sz w:val="24"/>
          <w:szCs w:val="24"/>
        </w:rPr>
        <w:t xml:space="preserve"> (Excellent): 0</w:t>
      </w:r>
    </w:p>
    <w:p w:rsidR="002A1D71" w:rsidRPr="00ED7513" w:rsidRDefault="002A1D71" w:rsidP="00ED7513">
      <w:pPr>
        <w:snapToGrid w:val="0"/>
        <w:spacing w:line="360" w:lineRule="auto"/>
        <w:rPr>
          <w:rFonts w:ascii="Book Antiqua" w:hAnsi="Book Antiqua" w:cs="Helvetica"/>
          <w:color w:val="000000"/>
          <w:sz w:val="24"/>
          <w:szCs w:val="24"/>
        </w:rPr>
      </w:pPr>
      <w:r w:rsidRPr="00ED7513">
        <w:rPr>
          <w:rFonts w:ascii="Book Antiqua" w:hAnsi="Book Antiqua" w:cs="Helvetica"/>
          <w:color w:val="000000"/>
          <w:sz w:val="24"/>
          <w:szCs w:val="24"/>
        </w:rPr>
        <w:t>Grade B (Very good): B, B</w:t>
      </w:r>
    </w:p>
    <w:p w:rsidR="002A1D71" w:rsidRPr="00ED7513" w:rsidRDefault="002A1D71" w:rsidP="00ED7513">
      <w:pPr>
        <w:snapToGrid w:val="0"/>
        <w:spacing w:line="360" w:lineRule="auto"/>
        <w:rPr>
          <w:rFonts w:ascii="Book Antiqua" w:hAnsi="Book Antiqua" w:cs="Helvetica"/>
          <w:color w:val="000000"/>
          <w:sz w:val="24"/>
          <w:szCs w:val="24"/>
        </w:rPr>
      </w:pPr>
      <w:r w:rsidRPr="00ED7513">
        <w:rPr>
          <w:rFonts w:ascii="Book Antiqua" w:hAnsi="Book Antiqua" w:cs="Helvetica"/>
          <w:color w:val="000000"/>
          <w:sz w:val="24"/>
          <w:szCs w:val="24"/>
        </w:rPr>
        <w:t>Grade C (Good): C</w:t>
      </w:r>
    </w:p>
    <w:p w:rsidR="002A1D71" w:rsidRPr="00ED7513" w:rsidRDefault="002A1D71" w:rsidP="00ED7513">
      <w:pPr>
        <w:snapToGrid w:val="0"/>
        <w:spacing w:line="360" w:lineRule="auto"/>
        <w:rPr>
          <w:rFonts w:ascii="Book Antiqua" w:hAnsi="Book Antiqua" w:cs="Helvetica"/>
          <w:color w:val="000000"/>
          <w:sz w:val="24"/>
          <w:szCs w:val="24"/>
        </w:rPr>
      </w:pPr>
      <w:r w:rsidRPr="00ED7513">
        <w:rPr>
          <w:rFonts w:ascii="Book Antiqua" w:hAnsi="Book Antiqua" w:cs="Helvetica"/>
          <w:color w:val="000000"/>
          <w:sz w:val="24"/>
          <w:szCs w:val="24"/>
        </w:rPr>
        <w:t>Grade D (Fair): 0</w:t>
      </w:r>
    </w:p>
    <w:p w:rsidR="002A1D71" w:rsidRPr="00ED7513" w:rsidRDefault="002A1D71" w:rsidP="00ED7513">
      <w:pPr>
        <w:snapToGrid w:val="0"/>
        <w:spacing w:line="360" w:lineRule="auto"/>
        <w:rPr>
          <w:rFonts w:ascii="Book Antiqua" w:hAnsi="Book Antiqua" w:cs="Helvetica"/>
          <w:color w:val="000000"/>
          <w:sz w:val="24"/>
          <w:szCs w:val="24"/>
        </w:rPr>
      </w:pPr>
      <w:r w:rsidRPr="00ED7513">
        <w:rPr>
          <w:rFonts w:ascii="Book Antiqua" w:hAnsi="Book Antiqua" w:cs="Helvetica"/>
          <w:color w:val="000000"/>
          <w:sz w:val="24"/>
          <w:szCs w:val="24"/>
        </w:rPr>
        <w:t>Grade E (Poor): 0</w:t>
      </w:r>
    </w:p>
    <w:p w:rsidR="00BC5298" w:rsidRPr="00ED7513" w:rsidRDefault="00BC5298" w:rsidP="00ED7513">
      <w:pPr>
        <w:spacing w:line="360" w:lineRule="auto"/>
        <w:rPr>
          <w:rFonts w:ascii="Book Antiqua" w:eastAsia="等线" w:hAnsi="Book Antiqua" w:cs="Times New Roman"/>
          <w:color w:val="000000" w:themeColor="text1"/>
          <w:sz w:val="24"/>
          <w:szCs w:val="24"/>
        </w:rPr>
      </w:pPr>
    </w:p>
    <w:p w:rsidR="00BC5298" w:rsidRPr="00ED7513" w:rsidRDefault="00BC5298" w:rsidP="00ED7513">
      <w:pPr>
        <w:spacing w:line="360" w:lineRule="auto"/>
        <w:rPr>
          <w:rFonts w:ascii="Book Antiqua" w:eastAsia="等线" w:hAnsi="Book Antiqua" w:cs="Times New Roman"/>
          <w:color w:val="000000" w:themeColor="text1"/>
          <w:sz w:val="24"/>
          <w:szCs w:val="24"/>
        </w:rPr>
      </w:pPr>
    </w:p>
    <w:p w:rsidR="00BC5298" w:rsidRPr="00ED7513" w:rsidRDefault="00BC5298" w:rsidP="00ED7513">
      <w:pPr>
        <w:spacing w:line="360" w:lineRule="auto"/>
        <w:rPr>
          <w:rFonts w:ascii="Book Antiqua" w:eastAsia="等线" w:hAnsi="Book Antiqua" w:cs="Times New Roman"/>
          <w:color w:val="000000" w:themeColor="text1"/>
          <w:sz w:val="24"/>
          <w:szCs w:val="24"/>
        </w:rPr>
      </w:pPr>
    </w:p>
    <w:p w:rsidR="00BC5298" w:rsidRPr="00ED7513" w:rsidRDefault="00BC5298" w:rsidP="00ED7513">
      <w:pPr>
        <w:spacing w:line="360" w:lineRule="auto"/>
        <w:rPr>
          <w:rFonts w:ascii="Book Antiqua" w:eastAsia="等线" w:hAnsi="Book Antiqua" w:cs="Times New Roman"/>
          <w:color w:val="000000" w:themeColor="text1"/>
          <w:sz w:val="24"/>
          <w:szCs w:val="24"/>
        </w:rPr>
      </w:pPr>
    </w:p>
    <w:p w:rsidR="00BC5298" w:rsidRPr="00ED7513" w:rsidRDefault="00BC5298" w:rsidP="00ED7513">
      <w:pPr>
        <w:spacing w:line="360" w:lineRule="auto"/>
        <w:rPr>
          <w:rFonts w:ascii="Book Antiqua" w:eastAsia="等线" w:hAnsi="Book Antiqua" w:cs="Times New Roman"/>
          <w:color w:val="000000" w:themeColor="text1"/>
          <w:sz w:val="24"/>
          <w:szCs w:val="24"/>
        </w:rPr>
      </w:pPr>
    </w:p>
    <w:p w:rsidR="00BC5298" w:rsidRPr="00ED7513" w:rsidRDefault="00BC5298" w:rsidP="00ED7513">
      <w:pPr>
        <w:spacing w:line="360" w:lineRule="auto"/>
        <w:rPr>
          <w:rFonts w:ascii="Book Antiqua" w:eastAsia="等线" w:hAnsi="Book Antiqua" w:cs="Times New Roman"/>
          <w:color w:val="000000" w:themeColor="text1"/>
          <w:sz w:val="24"/>
          <w:szCs w:val="24"/>
        </w:rPr>
      </w:pPr>
    </w:p>
    <w:p w:rsidR="00BC5298" w:rsidRPr="00ED7513" w:rsidRDefault="00BC5298" w:rsidP="00ED7513">
      <w:pPr>
        <w:spacing w:line="360" w:lineRule="auto"/>
        <w:rPr>
          <w:rFonts w:ascii="Book Antiqua" w:eastAsia="等线" w:hAnsi="Book Antiqua" w:cs="Times New Roman"/>
          <w:color w:val="000000" w:themeColor="text1"/>
          <w:sz w:val="24"/>
          <w:szCs w:val="24"/>
        </w:rPr>
      </w:pPr>
    </w:p>
    <w:p w:rsidR="00BC5298" w:rsidRPr="00ED7513" w:rsidRDefault="00BC5298" w:rsidP="00ED7513">
      <w:pPr>
        <w:spacing w:line="360" w:lineRule="auto"/>
        <w:rPr>
          <w:rFonts w:ascii="Book Antiqua" w:eastAsia="等线" w:hAnsi="Book Antiqua" w:cs="Times New Roman"/>
          <w:color w:val="000000" w:themeColor="text1"/>
          <w:sz w:val="24"/>
          <w:szCs w:val="24"/>
        </w:rPr>
      </w:pPr>
    </w:p>
    <w:p w:rsidR="00EA6291" w:rsidRPr="00ED7513" w:rsidRDefault="00BC5298"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noProof/>
          <w:color w:val="000000" w:themeColor="text1"/>
          <w:sz w:val="24"/>
          <w:szCs w:val="24"/>
        </w:rPr>
        <w:lastRenderedPageBreak/>
        <w:drawing>
          <wp:inline distT="0" distB="0" distL="0" distR="0" wp14:anchorId="67416D16" wp14:editId="5402D310">
            <wp:extent cx="5274310" cy="1995288"/>
            <wp:effectExtent l="19050" t="0" r="2540" b="0"/>
            <wp:docPr id="1" name="图片 1" descr="F:\2019年4月投稿\0407润色后\老大改后\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19年4月投稿\0407润色后\老大改后\Figure 1.tif"/>
                    <pic:cNvPicPr>
                      <a:picLocks noChangeAspect="1" noChangeArrowheads="1"/>
                    </pic:cNvPicPr>
                  </pic:nvPicPr>
                  <pic:blipFill>
                    <a:blip r:embed="rId9" cstate="print"/>
                    <a:srcRect/>
                    <a:stretch>
                      <a:fillRect/>
                    </a:stretch>
                  </pic:blipFill>
                  <pic:spPr bwMode="auto">
                    <a:xfrm>
                      <a:off x="0" y="0"/>
                      <a:ext cx="5274310" cy="1995288"/>
                    </a:xfrm>
                    <a:prstGeom prst="rect">
                      <a:avLst/>
                    </a:prstGeom>
                    <a:noFill/>
                    <a:ln w="9525">
                      <a:noFill/>
                      <a:miter lim="800000"/>
                      <a:headEnd/>
                      <a:tailEnd/>
                    </a:ln>
                  </pic:spPr>
                </pic:pic>
              </a:graphicData>
            </a:graphic>
          </wp:inline>
        </w:drawing>
      </w:r>
      <w:r w:rsidR="00F2571A" w:rsidRPr="00ED7513">
        <w:rPr>
          <w:rFonts w:ascii="Book Antiqua" w:hAnsi="Book Antiqua" w:cs="Times New Roman"/>
          <w:b/>
          <w:color w:val="000000" w:themeColor="text1"/>
          <w:sz w:val="24"/>
          <w:szCs w:val="24"/>
        </w:rPr>
        <w:t>Figure 1 Survival according to lymphat</w:t>
      </w:r>
      <w:r w:rsidR="00A33D70" w:rsidRPr="00ED7513">
        <w:rPr>
          <w:rFonts w:ascii="Book Antiqua" w:hAnsi="Book Antiqua" w:cs="Times New Roman"/>
          <w:b/>
          <w:color w:val="000000" w:themeColor="text1"/>
          <w:sz w:val="24"/>
          <w:szCs w:val="24"/>
        </w:rPr>
        <w:t>ic and/or blood vessel invasion</w:t>
      </w:r>
      <w:r w:rsidR="00F2571A" w:rsidRPr="00ED7513">
        <w:rPr>
          <w:rFonts w:ascii="Book Antiqua" w:hAnsi="Book Antiqua" w:cs="Times New Roman"/>
          <w:b/>
          <w:color w:val="000000" w:themeColor="text1"/>
          <w:sz w:val="24"/>
          <w:szCs w:val="24"/>
        </w:rPr>
        <w:t xml:space="preserve"> status and </w:t>
      </w:r>
      <w:proofErr w:type="spellStart"/>
      <w:r w:rsidR="00F2571A" w:rsidRPr="00ED7513">
        <w:rPr>
          <w:rFonts w:ascii="Book Antiqua" w:hAnsi="Book Antiqua" w:cs="Times New Roman"/>
          <w:b/>
          <w:color w:val="000000" w:themeColor="text1"/>
          <w:sz w:val="24"/>
          <w:szCs w:val="24"/>
        </w:rPr>
        <w:t>Borrmann</w:t>
      </w:r>
      <w:proofErr w:type="spellEnd"/>
      <w:r w:rsidR="00F2571A" w:rsidRPr="00ED7513">
        <w:rPr>
          <w:rFonts w:ascii="Book Antiqua" w:hAnsi="Book Antiqua" w:cs="Times New Roman"/>
          <w:b/>
          <w:color w:val="000000" w:themeColor="text1"/>
          <w:sz w:val="24"/>
          <w:szCs w:val="24"/>
        </w:rPr>
        <w:t xml:space="preserve"> type.</w:t>
      </w:r>
      <w:r w:rsidR="00F2571A" w:rsidRPr="00ED7513">
        <w:rPr>
          <w:rFonts w:ascii="Book Antiqua" w:hAnsi="Book Antiqua" w:cs="Times New Roman"/>
          <w:color w:val="000000" w:themeColor="text1"/>
          <w:sz w:val="24"/>
          <w:szCs w:val="24"/>
        </w:rPr>
        <w:t xml:space="preserve"> Survival curves according to</w:t>
      </w:r>
      <w:r w:rsidR="00A33D70" w:rsidRPr="00ED7513">
        <w:rPr>
          <w:rFonts w:ascii="Book Antiqua" w:hAnsi="Book Antiqua" w:cs="Times New Roman"/>
          <w:color w:val="000000" w:themeColor="text1"/>
          <w:sz w:val="24"/>
          <w:szCs w:val="24"/>
        </w:rPr>
        <w:t>,</w:t>
      </w:r>
      <w:r w:rsidR="00F2571A" w:rsidRPr="00ED7513">
        <w:rPr>
          <w:rFonts w:ascii="Book Antiqua" w:hAnsi="Book Antiqua" w:cs="Times New Roman"/>
          <w:color w:val="000000" w:themeColor="text1"/>
          <w:sz w:val="24"/>
          <w:szCs w:val="24"/>
        </w:rPr>
        <w:t xml:space="preserve"> </w:t>
      </w:r>
      <w:r w:rsidR="00A33D70" w:rsidRPr="00ED7513">
        <w:rPr>
          <w:rFonts w:ascii="Book Antiqua" w:hAnsi="Book Antiqua" w:cs="Times New Roman"/>
          <w:color w:val="000000" w:themeColor="text1"/>
          <w:sz w:val="24"/>
          <w:szCs w:val="24"/>
        </w:rPr>
        <w:t>A:</w:t>
      </w:r>
      <w:r w:rsidR="00F2571A" w:rsidRPr="00ED7513">
        <w:rPr>
          <w:rFonts w:ascii="Book Antiqua" w:hAnsi="Book Antiqua" w:cs="Times New Roman"/>
          <w:color w:val="000000" w:themeColor="text1"/>
          <w:sz w:val="24"/>
          <w:szCs w:val="24"/>
        </w:rPr>
        <w:t xml:space="preserve"> </w:t>
      </w:r>
      <w:r w:rsidR="00A33D70" w:rsidRPr="00ED7513">
        <w:rPr>
          <w:rFonts w:ascii="Book Antiqua" w:hAnsi="Book Antiqua" w:cs="Times New Roman"/>
          <w:color w:val="000000" w:themeColor="text1"/>
          <w:sz w:val="24"/>
          <w:szCs w:val="24"/>
        </w:rPr>
        <w:t xml:space="preserve">lymphatic and/or blood vessel invasion </w:t>
      </w:r>
      <w:r w:rsidR="00F2571A" w:rsidRPr="00ED7513">
        <w:rPr>
          <w:rFonts w:ascii="Book Antiqua" w:hAnsi="Book Antiqua" w:cs="Times New Roman"/>
          <w:color w:val="000000" w:themeColor="text1"/>
          <w:sz w:val="24"/>
          <w:szCs w:val="24"/>
        </w:rPr>
        <w:t>status</w:t>
      </w:r>
      <w:r w:rsidR="00A33D70" w:rsidRPr="00ED7513">
        <w:rPr>
          <w:rFonts w:ascii="Book Antiqua" w:hAnsi="Book Antiqua" w:cs="Times New Roman"/>
          <w:color w:val="000000" w:themeColor="text1"/>
          <w:sz w:val="24"/>
          <w:szCs w:val="24"/>
        </w:rPr>
        <w:t>;</w:t>
      </w:r>
      <w:r w:rsidR="00F2571A" w:rsidRPr="00ED7513">
        <w:rPr>
          <w:rFonts w:ascii="Book Antiqua" w:hAnsi="Book Antiqua" w:cs="Times New Roman"/>
          <w:color w:val="000000" w:themeColor="text1"/>
          <w:sz w:val="24"/>
          <w:szCs w:val="24"/>
        </w:rPr>
        <w:t xml:space="preserve"> </w:t>
      </w:r>
      <w:r w:rsidR="00A33D70" w:rsidRPr="00ED7513">
        <w:rPr>
          <w:rFonts w:ascii="Book Antiqua" w:hAnsi="Book Antiqua" w:cs="Times New Roman"/>
          <w:color w:val="000000" w:themeColor="text1"/>
          <w:sz w:val="24"/>
          <w:szCs w:val="24"/>
        </w:rPr>
        <w:t>B:</w:t>
      </w:r>
      <w:r w:rsidR="00F2571A" w:rsidRPr="00ED7513">
        <w:rPr>
          <w:rFonts w:ascii="Book Antiqua" w:hAnsi="Book Antiqua" w:cs="Times New Roman"/>
          <w:color w:val="000000" w:themeColor="text1"/>
          <w:sz w:val="24"/>
          <w:szCs w:val="24"/>
        </w:rPr>
        <w:t xml:space="preserve"> </w:t>
      </w:r>
      <w:proofErr w:type="spellStart"/>
      <w:r w:rsidR="00F2571A" w:rsidRPr="00ED7513">
        <w:rPr>
          <w:rFonts w:ascii="Book Antiqua" w:hAnsi="Book Antiqua" w:cs="Times New Roman"/>
          <w:color w:val="000000" w:themeColor="text1"/>
          <w:sz w:val="24"/>
          <w:szCs w:val="24"/>
        </w:rPr>
        <w:t>Borrmann</w:t>
      </w:r>
      <w:proofErr w:type="spellEnd"/>
      <w:r w:rsidR="00F2571A" w:rsidRPr="00ED7513">
        <w:rPr>
          <w:rFonts w:ascii="Book Antiqua" w:hAnsi="Book Antiqua" w:cs="Times New Roman"/>
          <w:color w:val="000000" w:themeColor="text1"/>
          <w:sz w:val="24"/>
          <w:szCs w:val="24"/>
        </w:rPr>
        <w:t xml:space="preserve"> type (</w:t>
      </w:r>
      <w:proofErr w:type="spellStart"/>
      <w:r w:rsidR="00F2571A" w:rsidRPr="00ED7513">
        <w:rPr>
          <w:rFonts w:ascii="Book Antiqua" w:hAnsi="Book Antiqua" w:cs="Times New Roman"/>
          <w:color w:val="000000" w:themeColor="text1"/>
          <w:sz w:val="24"/>
          <w:szCs w:val="24"/>
        </w:rPr>
        <w:t>Bor</w:t>
      </w:r>
      <w:proofErr w:type="spellEnd"/>
      <w:r w:rsidR="00F2571A" w:rsidRPr="00ED7513">
        <w:rPr>
          <w:rFonts w:ascii="Book Antiqua" w:hAnsi="Book Antiqua" w:cs="Times New Roman"/>
          <w:color w:val="000000" w:themeColor="text1"/>
          <w:sz w:val="24"/>
          <w:szCs w:val="24"/>
        </w:rPr>
        <w:t>) in 440 patients with advanced proximal gastric cancer.</w:t>
      </w:r>
    </w:p>
    <w:p w:rsidR="00F2571A" w:rsidRPr="00ED7513" w:rsidRDefault="00F2571A" w:rsidP="00ED7513">
      <w:pPr>
        <w:spacing w:line="360" w:lineRule="auto"/>
        <w:rPr>
          <w:rFonts w:ascii="Book Antiqua" w:hAnsi="Book Antiqua" w:cs="Times New Roman"/>
          <w:noProof/>
          <w:color w:val="000000" w:themeColor="text1"/>
          <w:sz w:val="24"/>
          <w:szCs w:val="24"/>
        </w:rPr>
      </w:pPr>
    </w:p>
    <w:p w:rsidR="00A33D70" w:rsidRPr="00ED7513" w:rsidRDefault="00A33D70" w:rsidP="00ED7513">
      <w:pPr>
        <w:widowControl/>
        <w:spacing w:line="360" w:lineRule="auto"/>
        <w:rPr>
          <w:rFonts w:ascii="Book Antiqua" w:hAnsi="Book Antiqua" w:cs="Times New Roman"/>
          <w:b/>
          <w:color w:val="000000" w:themeColor="text1"/>
          <w:sz w:val="24"/>
          <w:szCs w:val="24"/>
        </w:rPr>
      </w:pPr>
      <w:r w:rsidRPr="00ED7513">
        <w:rPr>
          <w:rFonts w:ascii="Book Antiqua" w:hAnsi="Book Antiqua" w:cs="Times New Roman"/>
          <w:b/>
          <w:color w:val="000000" w:themeColor="text1"/>
          <w:sz w:val="24"/>
          <w:szCs w:val="24"/>
        </w:rPr>
        <w:br w:type="page"/>
      </w:r>
    </w:p>
    <w:p w:rsidR="00A33D70" w:rsidRPr="00ED7513" w:rsidRDefault="00A33D70" w:rsidP="00ED7513">
      <w:pPr>
        <w:spacing w:line="360" w:lineRule="auto"/>
        <w:rPr>
          <w:rFonts w:ascii="Book Antiqua" w:hAnsi="Book Antiqua" w:cs="Times New Roman"/>
          <w:b/>
          <w:color w:val="000000" w:themeColor="text1"/>
          <w:sz w:val="24"/>
          <w:szCs w:val="24"/>
        </w:rPr>
      </w:pPr>
      <w:r w:rsidRPr="00ED7513">
        <w:rPr>
          <w:rFonts w:ascii="Book Antiqua" w:hAnsi="Book Antiqua" w:cs="Times New Roman"/>
          <w:b/>
          <w:noProof/>
          <w:color w:val="000000" w:themeColor="text1"/>
          <w:sz w:val="24"/>
          <w:szCs w:val="24"/>
        </w:rPr>
        <w:lastRenderedPageBreak/>
        <w:drawing>
          <wp:inline distT="0" distB="0" distL="0" distR="0" wp14:anchorId="0B67E023" wp14:editId="2B0E5198">
            <wp:extent cx="5404485" cy="4060190"/>
            <wp:effectExtent l="0" t="0" r="0" b="0"/>
            <wp:docPr id="2" name="图片 2" descr="D:\WJG\15-兼任编辑部主任\编辑稿件\2019-07-17\49004\49004\49004-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JG\15-兼任编辑部主任\编辑稿件\2019-07-17\49004\49004\49004-Figure 2.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4485" cy="4060190"/>
                    </a:xfrm>
                    <a:prstGeom prst="rect">
                      <a:avLst/>
                    </a:prstGeom>
                    <a:noFill/>
                    <a:ln>
                      <a:noFill/>
                    </a:ln>
                  </pic:spPr>
                </pic:pic>
              </a:graphicData>
            </a:graphic>
          </wp:inline>
        </w:drawing>
      </w:r>
      <w:r w:rsidRPr="00ED7513">
        <w:rPr>
          <w:rFonts w:ascii="Book Antiqua" w:hAnsi="Book Antiqua" w:cs="Times New Roman"/>
          <w:b/>
          <w:color w:val="000000" w:themeColor="text1"/>
          <w:sz w:val="24"/>
          <w:szCs w:val="24"/>
        </w:rPr>
        <w:t xml:space="preserve"> </w:t>
      </w: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b/>
          <w:color w:val="000000" w:themeColor="text1"/>
          <w:sz w:val="24"/>
          <w:szCs w:val="24"/>
        </w:rPr>
        <w:t>Figure 2</w:t>
      </w:r>
      <w:r w:rsidR="009A5B43" w:rsidRPr="00ED7513">
        <w:rPr>
          <w:rFonts w:ascii="Book Antiqua" w:hAnsi="Book Antiqua" w:cs="Times New Roman"/>
          <w:b/>
          <w:color w:val="000000" w:themeColor="text1"/>
          <w:sz w:val="24"/>
          <w:szCs w:val="24"/>
        </w:rPr>
        <w:t xml:space="preserve"> </w:t>
      </w:r>
      <w:r w:rsidRPr="00ED7513">
        <w:rPr>
          <w:rFonts w:ascii="Book Antiqua" w:hAnsi="Book Antiqua" w:cs="Times New Roman"/>
          <w:b/>
          <w:color w:val="000000" w:themeColor="text1"/>
          <w:sz w:val="24"/>
          <w:szCs w:val="24"/>
        </w:rPr>
        <w:t>Survival</w:t>
      </w:r>
      <w:r w:rsidRPr="00ED7513">
        <w:rPr>
          <w:rFonts w:ascii="Book Antiqua" w:hAnsi="Book Antiqua" w:cs="Times New Roman"/>
          <w:color w:val="000000" w:themeColor="text1"/>
          <w:sz w:val="24"/>
          <w:szCs w:val="24"/>
        </w:rPr>
        <w:t xml:space="preserve"> </w:t>
      </w:r>
      <w:r w:rsidRPr="00ED7513">
        <w:rPr>
          <w:rFonts w:ascii="Book Antiqua" w:hAnsi="Book Antiqua" w:cs="Times New Roman"/>
          <w:b/>
          <w:color w:val="000000" w:themeColor="text1"/>
          <w:sz w:val="24"/>
          <w:szCs w:val="24"/>
        </w:rPr>
        <w:t xml:space="preserve">after incorporating lymphatic and/or blood vessel invasion into the </w:t>
      </w:r>
      <w:proofErr w:type="spellStart"/>
      <w:r w:rsidRPr="00ED7513">
        <w:rPr>
          <w:rFonts w:ascii="Book Antiqua" w:hAnsi="Book Antiqua" w:cs="Times New Roman"/>
          <w:b/>
          <w:color w:val="000000" w:themeColor="text1"/>
          <w:sz w:val="24"/>
          <w:szCs w:val="24"/>
        </w:rPr>
        <w:t>Borrmann</w:t>
      </w:r>
      <w:proofErr w:type="spellEnd"/>
      <w:r w:rsidRPr="00ED7513">
        <w:rPr>
          <w:rFonts w:ascii="Book Antiqua" w:hAnsi="Book Antiqua" w:cs="Times New Roman"/>
          <w:b/>
          <w:color w:val="000000" w:themeColor="text1"/>
          <w:sz w:val="24"/>
          <w:szCs w:val="24"/>
        </w:rPr>
        <w:t xml:space="preserve"> type</w:t>
      </w:r>
      <w:r w:rsidRPr="00ED7513">
        <w:rPr>
          <w:rFonts w:ascii="Book Antiqua" w:hAnsi="Book Antiqua" w:cs="Times New Roman"/>
          <w:color w:val="000000" w:themeColor="text1"/>
          <w:sz w:val="24"/>
          <w:szCs w:val="24"/>
        </w:rPr>
        <w:t xml:space="preserve">. Survival curves after incorporating </w:t>
      </w:r>
      <w:r w:rsidR="00A33D70" w:rsidRPr="00ED7513">
        <w:rPr>
          <w:rFonts w:ascii="Book Antiqua" w:hAnsi="Book Antiqua" w:cs="Times New Roman"/>
          <w:color w:val="000000" w:themeColor="text1"/>
          <w:sz w:val="24"/>
          <w:szCs w:val="24"/>
        </w:rPr>
        <w:t xml:space="preserve">lymphatic and/or blood vessel invasion </w:t>
      </w:r>
      <w:r w:rsidRPr="00ED7513">
        <w:rPr>
          <w:rFonts w:ascii="Book Antiqua" w:hAnsi="Book Antiqua" w:cs="Times New Roman"/>
          <w:color w:val="000000" w:themeColor="text1"/>
          <w:sz w:val="24"/>
          <w:szCs w:val="24"/>
        </w:rPr>
        <w:t xml:space="preserve">into the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for 382 patients with infiltrative advanced pr</w:t>
      </w:r>
      <w:r w:rsidR="00A33D70" w:rsidRPr="00ED7513">
        <w:rPr>
          <w:rFonts w:ascii="Book Antiqua" w:hAnsi="Book Antiqua" w:cs="Times New Roman"/>
          <w:color w:val="000000" w:themeColor="text1"/>
          <w:sz w:val="24"/>
          <w:szCs w:val="24"/>
        </w:rPr>
        <w:t>oximal gastric cancer (</w:t>
      </w:r>
      <w:proofErr w:type="spellStart"/>
      <w:r w:rsidR="00A33D70" w:rsidRPr="00ED7513">
        <w:rPr>
          <w:rFonts w:ascii="Book Antiqua" w:hAnsi="Book Antiqua" w:cs="Times New Roman"/>
          <w:color w:val="000000" w:themeColor="text1"/>
          <w:sz w:val="24"/>
          <w:szCs w:val="24"/>
        </w:rPr>
        <w:t>Bor</w:t>
      </w:r>
      <w:proofErr w:type="spellEnd"/>
      <w:r w:rsidR="00A33D70" w:rsidRPr="00ED7513">
        <w:rPr>
          <w:rFonts w:ascii="Book Antiqua" w:hAnsi="Book Antiqua" w:cs="Times New Roman"/>
          <w:color w:val="000000" w:themeColor="text1"/>
          <w:sz w:val="24"/>
          <w:szCs w:val="24"/>
        </w:rPr>
        <w:t xml:space="preserve"> III and</w:t>
      </w:r>
      <w:r w:rsidRPr="00ED7513">
        <w:rPr>
          <w:rFonts w:ascii="Book Antiqua" w:hAnsi="Book Antiqua" w:cs="Times New Roman"/>
          <w:color w:val="000000" w:themeColor="text1"/>
          <w:sz w:val="24"/>
          <w:szCs w:val="24"/>
        </w:rPr>
        <w:t xml:space="preserve"> IV).</w:t>
      </w:r>
    </w:p>
    <w:p w:rsidR="00EA6291" w:rsidRPr="00ED7513" w:rsidRDefault="00EA6291" w:rsidP="00ED7513">
      <w:pPr>
        <w:spacing w:line="360" w:lineRule="auto"/>
        <w:rPr>
          <w:rFonts w:ascii="Book Antiqua" w:hAnsi="Book Antiqua" w:cs="Times New Roman"/>
          <w:color w:val="000000" w:themeColor="text1"/>
          <w:sz w:val="24"/>
          <w:szCs w:val="24"/>
        </w:rPr>
      </w:pPr>
    </w:p>
    <w:p w:rsidR="00A33D70" w:rsidRPr="00ED7513" w:rsidRDefault="00A33D70" w:rsidP="00ED7513">
      <w:pPr>
        <w:widowControl/>
        <w:spacing w:line="360" w:lineRule="auto"/>
        <w:rPr>
          <w:rFonts w:ascii="Book Antiqua" w:hAnsi="Book Antiqua" w:cs="Times New Roman"/>
          <w:b/>
          <w:color w:val="000000" w:themeColor="text1"/>
          <w:sz w:val="24"/>
          <w:szCs w:val="24"/>
        </w:rPr>
      </w:pPr>
      <w:r w:rsidRPr="00ED7513">
        <w:rPr>
          <w:rFonts w:ascii="Book Antiqua" w:hAnsi="Book Antiqua" w:cs="Times New Roman"/>
          <w:b/>
          <w:color w:val="000000" w:themeColor="text1"/>
          <w:sz w:val="24"/>
          <w:szCs w:val="24"/>
        </w:rPr>
        <w:br w:type="page"/>
      </w:r>
    </w:p>
    <w:p w:rsidR="00A33D70" w:rsidRPr="00ED7513" w:rsidRDefault="00A33D70" w:rsidP="00ED7513">
      <w:pPr>
        <w:spacing w:line="360" w:lineRule="auto"/>
        <w:rPr>
          <w:rFonts w:ascii="Book Antiqua" w:hAnsi="Book Antiqua" w:cs="Times New Roman"/>
          <w:b/>
          <w:color w:val="000000" w:themeColor="text1"/>
          <w:sz w:val="24"/>
          <w:szCs w:val="24"/>
        </w:rPr>
      </w:pPr>
      <w:r w:rsidRPr="00ED7513">
        <w:rPr>
          <w:rFonts w:ascii="Book Antiqua" w:hAnsi="Book Antiqua" w:cs="Times New Roman"/>
          <w:b/>
          <w:noProof/>
          <w:color w:val="000000" w:themeColor="text1"/>
          <w:sz w:val="24"/>
          <w:szCs w:val="24"/>
        </w:rPr>
        <w:lastRenderedPageBreak/>
        <w:drawing>
          <wp:inline distT="0" distB="0" distL="0" distR="0" wp14:anchorId="5F5CF481" wp14:editId="0C1CF33A">
            <wp:extent cx="5075733" cy="1821977"/>
            <wp:effectExtent l="0" t="0" r="0" b="0"/>
            <wp:docPr id="3" name="图片 3" descr="D:\WJG\15-兼任编辑部主任\编辑稿件\2019-07-17\49004\49004\49004-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JG\15-兼任编辑部主任\编辑稿件\2019-07-17\49004\49004\49004-Figure 3.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75521" cy="1821901"/>
                    </a:xfrm>
                    <a:prstGeom prst="rect">
                      <a:avLst/>
                    </a:prstGeom>
                    <a:noFill/>
                    <a:ln>
                      <a:noFill/>
                    </a:ln>
                  </pic:spPr>
                </pic:pic>
              </a:graphicData>
            </a:graphic>
          </wp:inline>
        </w:drawing>
      </w:r>
      <w:r w:rsidRPr="00ED7513">
        <w:rPr>
          <w:rFonts w:ascii="Book Antiqua" w:hAnsi="Book Antiqua" w:cs="Times New Roman"/>
          <w:b/>
          <w:color w:val="000000" w:themeColor="text1"/>
          <w:sz w:val="24"/>
          <w:szCs w:val="24"/>
        </w:rPr>
        <w:t xml:space="preserve"> </w:t>
      </w: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b/>
          <w:color w:val="000000" w:themeColor="text1"/>
          <w:sz w:val="24"/>
          <w:szCs w:val="24"/>
        </w:rPr>
        <w:t xml:space="preserve">Figure 3 Prognostic significance of revised </w:t>
      </w:r>
      <w:proofErr w:type="spellStart"/>
      <w:r w:rsidRPr="00ED7513">
        <w:rPr>
          <w:rFonts w:ascii="Book Antiqua" w:hAnsi="Book Antiqua" w:cs="Times New Roman"/>
          <w:b/>
          <w:color w:val="000000" w:themeColor="text1"/>
          <w:sz w:val="24"/>
          <w:szCs w:val="24"/>
        </w:rPr>
        <w:t>Borrmann</w:t>
      </w:r>
      <w:proofErr w:type="spellEnd"/>
      <w:r w:rsidRPr="00ED7513">
        <w:rPr>
          <w:rFonts w:ascii="Book Antiqua" w:hAnsi="Book Antiqua" w:cs="Times New Roman"/>
          <w:b/>
          <w:color w:val="000000" w:themeColor="text1"/>
          <w:sz w:val="24"/>
          <w:szCs w:val="24"/>
        </w:rPr>
        <w:t xml:space="preserve"> type III and type IV</w:t>
      </w:r>
      <w:r w:rsidRPr="00ED7513">
        <w:rPr>
          <w:rFonts w:ascii="Book Antiqua" w:hAnsi="Book Antiqua" w:cs="Times New Roman"/>
          <w:color w:val="000000" w:themeColor="text1"/>
          <w:sz w:val="24"/>
          <w:szCs w:val="24"/>
        </w:rPr>
        <w:t xml:space="preserve">. Prognostic significance of revised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III) and type IV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in 440 patients with advanced proximal gastric cancer according to the a) univariate analysis and b) multivariate analysis.</w:t>
      </w:r>
    </w:p>
    <w:p w:rsidR="00A33D70" w:rsidRPr="00ED7513" w:rsidRDefault="00A33D70" w:rsidP="00ED7513">
      <w:pPr>
        <w:widowControl/>
        <w:spacing w:line="360" w:lineRule="auto"/>
        <w:rPr>
          <w:rFonts w:ascii="Book Antiqua" w:hAnsi="Book Antiqua" w:cs="Times New Roman"/>
          <w:b/>
          <w:color w:val="000000" w:themeColor="text1"/>
          <w:sz w:val="24"/>
          <w:szCs w:val="24"/>
        </w:rPr>
      </w:pPr>
      <w:r w:rsidRPr="00ED7513">
        <w:rPr>
          <w:rFonts w:ascii="Book Antiqua" w:hAnsi="Book Antiqua" w:cs="Times New Roman"/>
          <w:b/>
          <w:color w:val="000000" w:themeColor="text1"/>
          <w:sz w:val="24"/>
          <w:szCs w:val="24"/>
        </w:rPr>
        <w:br w:type="page"/>
      </w:r>
    </w:p>
    <w:p w:rsidR="00A33D70" w:rsidRPr="00ED7513" w:rsidRDefault="00A33D70" w:rsidP="00ED7513">
      <w:pPr>
        <w:spacing w:line="360" w:lineRule="auto"/>
        <w:rPr>
          <w:rFonts w:ascii="Book Antiqua" w:hAnsi="Book Antiqua" w:cs="Times New Roman"/>
          <w:b/>
          <w:color w:val="000000" w:themeColor="text1"/>
          <w:sz w:val="24"/>
          <w:szCs w:val="24"/>
        </w:rPr>
      </w:pPr>
      <w:r w:rsidRPr="00ED7513">
        <w:rPr>
          <w:rFonts w:ascii="Book Antiqua" w:hAnsi="Book Antiqua" w:cs="Times New Roman"/>
          <w:b/>
          <w:noProof/>
          <w:color w:val="000000" w:themeColor="text1"/>
          <w:sz w:val="24"/>
          <w:szCs w:val="24"/>
        </w:rPr>
        <w:lastRenderedPageBreak/>
        <w:drawing>
          <wp:inline distT="0" distB="0" distL="0" distR="0" wp14:anchorId="4DAB9CEF" wp14:editId="4BB064C0">
            <wp:extent cx="5274310" cy="4129095"/>
            <wp:effectExtent l="0" t="0" r="0" b="0"/>
            <wp:docPr id="4" name="图片 4" descr="D:\WJG\15-兼任编辑部主任\编辑稿件\2019-07-17\49004\49004\49004-Figure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JG\15-兼任编辑部主任\编辑稿件\2019-07-17\49004\49004\49004-Figure 4.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4129095"/>
                    </a:xfrm>
                    <a:prstGeom prst="rect">
                      <a:avLst/>
                    </a:prstGeom>
                    <a:noFill/>
                    <a:ln>
                      <a:noFill/>
                    </a:ln>
                  </pic:spPr>
                </pic:pic>
              </a:graphicData>
            </a:graphic>
          </wp:inline>
        </w:drawing>
      </w:r>
    </w:p>
    <w:p w:rsidR="00EA6291" w:rsidRPr="00ED7513" w:rsidRDefault="00EA6291" w:rsidP="00ED7513">
      <w:pPr>
        <w:spacing w:line="360" w:lineRule="auto"/>
        <w:rPr>
          <w:rFonts w:ascii="Book Antiqua" w:hAnsi="Book Antiqua" w:cs="Times New Roman"/>
          <w:color w:val="000000" w:themeColor="text1"/>
          <w:sz w:val="24"/>
          <w:szCs w:val="24"/>
        </w:rPr>
      </w:pPr>
      <w:r w:rsidRPr="00ED7513">
        <w:rPr>
          <w:rFonts w:ascii="Book Antiqua" w:hAnsi="Book Antiqua" w:cs="Times New Roman"/>
          <w:b/>
          <w:color w:val="000000" w:themeColor="text1"/>
          <w:sz w:val="24"/>
          <w:szCs w:val="24"/>
        </w:rPr>
        <w:t>Figure 4 Prognostic</w:t>
      </w:r>
      <w:r w:rsidRPr="00ED7513">
        <w:rPr>
          <w:rFonts w:ascii="Book Antiqua" w:hAnsi="Book Antiqua" w:cs="Times New Roman"/>
          <w:color w:val="000000" w:themeColor="text1"/>
          <w:sz w:val="24"/>
          <w:szCs w:val="24"/>
        </w:rPr>
        <w:t xml:space="preserve"> </w:t>
      </w:r>
      <w:r w:rsidRPr="00ED7513">
        <w:rPr>
          <w:rFonts w:ascii="Book Antiqua" w:hAnsi="Book Antiqua" w:cs="Times New Roman"/>
          <w:b/>
          <w:color w:val="000000" w:themeColor="text1"/>
          <w:sz w:val="24"/>
          <w:szCs w:val="24"/>
        </w:rPr>
        <w:t xml:space="preserve">significance of revised </w:t>
      </w:r>
      <w:proofErr w:type="spellStart"/>
      <w:r w:rsidRPr="00ED7513">
        <w:rPr>
          <w:rFonts w:ascii="Book Antiqua" w:hAnsi="Book Antiqua" w:cs="Times New Roman"/>
          <w:b/>
          <w:color w:val="000000" w:themeColor="text1"/>
          <w:sz w:val="24"/>
          <w:szCs w:val="24"/>
        </w:rPr>
        <w:t>Borrmann</w:t>
      </w:r>
      <w:proofErr w:type="spellEnd"/>
      <w:r w:rsidRPr="00ED7513">
        <w:rPr>
          <w:rFonts w:ascii="Book Antiqua" w:hAnsi="Book Antiqua" w:cs="Times New Roman"/>
          <w:b/>
          <w:color w:val="000000" w:themeColor="text1"/>
          <w:sz w:val="24"/>
          <w:szCs w:val="24"/>
        </w:rPr>
        <w:t xml:space="preserve"> type III and type IV</w:t>
      </w:r>
      <w:r w:rsidRPr="00ED7513">
        <w:rPr>
          <w:rFonts w:ascii="Book Antiqua" w:hAnsi="Book Antiqua" w:cs="Times New Roman"/>
          <w:color w:val="000000" w:themeColor="text1"/>
          <w:sz w:val="24"/>
          <w:szCs w:val="24"/>
        </w:rPr>
        <w:t xml:space="preserve">. Prognostic significance of revised </w:t>
      </w:r>
      <w:proofErr w:type="spellStart"/>
      <w:r w:rsidRPr="00ED7513">
        <w:rPr>
          <w:rFonts w:ascii="Book Antiqua" w:hAnsi="Book Antiqua" w:cs="Times New Roman"/>
          <w:color w:val="000000" w:themeColor="text1"/>
          <w:sz w:val="24"/>
          <w:szCs w:val="24"/>
        </w:rPr>
        <w:t>Borrmann</w:t>
      </w:r>
      <w:proofErr w:type="spellEnd"/>
      <w:r w:rsidRPr="00ED7513">
        <w:rPr>
          <w:rFonts w:ascii="Book Antiqua" w:hAnsi="Book Antiqua" w:cs="Times New Roman"/>
          <w:color w:val="000000" w:themeColor="text1"/>
          <w:sz w:val="24"/>
          <w:szCs w:val="24"/>
        </w:rPr>
        <w:t xml:space="preserve"> type III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III) and type IV (r-</w:t>
      </w:r>
      <w:proofErr w:type="spellStart"/>
      <w:r w:rsidRPr="00ED7513">
        <w:rPr>
          <w:rFonts w:ascii="Book Antiqua" w:hAnsi="Book Antiqua" w:cs="Times New Roman"/>
          <w:color w:val="000000" w:themeColor="text1"/>
          <w:sz w:val="24"/>
          <w:szCs w:val="24"/>
        </w:rPr>
        <w:t>Bor</w:t>
      </w:r>
      <w:proofErr w:type="spellEnd"/>
      <w:r w:rsidRPr="00ED7513">
        <w:rPr>
          <w:rFonts w:ascii="Book Antiqua" w:hAnsi="Book Antiqua" w:cs="Times New Roman"/>
          <w:color w:val="000000" w:themeColor="text1"/>
          <w:sz w:val="24"/>
          <w:szCs w:val="24"/>
        </w:rPr>
        <w:t xml:space="preserve"> IV) in patients with pT3 and pT4a disease.</w:t>
      </w:r>
    </w:p>
    <w:p w:rsidR="00A33D70" w:rsidRPr="00ED7513" w:rsidRDefault="00A33D70" w:rsidP="00ED7513">
      <w:pPr>
        <w:widowControl/>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br w:type="page"/>
      </w:r>
    </w:p>
    <w:p w:rsidR="00F2571A"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b/>
          <w:bCs/>
          <w:color w:val="000000" w:themeColor="text1"/>
          <w:sz w:val="24"/>
          <w:szCs w:val="24"/>
        </w:rPr>
        <w:lastRenderedPageBreak/>
        <w:t xml:space="preserve">Table 1 </w:t>
      </w:r>
      <w:proofErr w:type="spellStart"/>
      <w:r w:rsidRPr="00ED7513">
        <w:rPr>
          <w:rFonts w:ascii="Book Antiqua" w:hAnsi="Book Antiqua"/>
          <w:b/>
          <w:bCs/>
          <w:color w:val="000000" w:themeColor="text1"/>
          <w:sz w:val="24"/>
          <w:szCs w:val="24"/>
        </w:rPr>
        <w:t>Clinicopatholgical</w:t>
      </w:r>
      <w:proofErr w:type="spellEnd"/>
      <w:r w:rsidRPr="00ED7513">
        <w:rPr>
          <w:rFonts w:ascii="Book Antiqua" w:hAnsi="Book Antiqua"/>
          <w:b/>
          <w:bCs/>
          <w:color w:val="000000" w:themeColor="text1"/>
          <w:sz w:val="24"/>
          <w:szCs w:val="24"/>
        </w:rPr>
        <w:t xml:space="preserve"> factors according to lymphatic vessel invasion,</w:t>
      </w:r>
      <w:r w:rsidRPr="00ED7513">
        <w:rPr>
          <w:rFonts w:ascii="Book Antiqua" w:hAnsi="Book Antiqua"/>
          <w:b/>
          <w:bCs/>
          <w:i/>
          <w:color w:val="000000" w:themeColor="text1"/>
          <w:sz w:val="24"/>
          <w:szCs w:val="24"/>
        </w:rPr>
        <w:t xml:space="preserve"> n </w:t>
      </w:r>
      <w:r w:rsidRPr="00ED7513">
        <w:rPr>
          <w:rFonts w:ascii="Book Antiqua" w:hAnsi="Book Antiqua"/>
          <w:b/>
          <w:bCs/>
          <w:color w:val="000000" w:themeColor="text1"/>
          <w:sz w:val="24"/>
          <w:szCs w:val="24"/>
        </w:rPr>
        <w:t>(%)</w:t>
      </w:r>
    </w:p>
    <w:tbl>
      <w:tblPr>
        <w:tblpPr w:leftFromText="180" w:rightFromText="180" w:vertAnchor="text" w:horzAnchor="page" w:tblpX="1205" w:tblpY="64"/>
        <w:tblW w:w="9355" w:type="dxa"/>
        <w:tblBorders>
          <w:top w:val="single" w:sz="6" w:space="0" w:color="131413"/>
          <w:bottom w:val="single" w:sz="6" w:space="0" w:color="131413"/>
        </w:tblBorders>
        <w:tblLayout w:type="fixed"/>
        <w:tblCellMar>
          <w:left w:w="0" w:type="dxa"/>
          <w:right w:w="0" w:type="dxa"/>
        </w:tblCellMar>
        <w:tblLook w:val="01E0" w:firstRow="1" w:lastRow="1" w:firstColumn="1" w:lastColumn="1" w:noHBand="0" w:noVBand="0"/>
      </w:tblPr>
      <w:tblGrid>
        <w:gridCol w:w="2410"/>
        <w:gridCol w:w="1559"/>
        <w:gridCol w:w="1984"/>
        <w:gridCol w:w="2127"/>
        <w:gridCol w:w="1275"/>
      </w:tblGrid>
      <w:tr w:rsidR="00921D66" w:rsidRPr="00ED7513" w:rsidTr="00446EA2">
        <w:trPr>
          <w:trHeight w:val="237"/>
        </w:trPr>
        <w:tc>
          <w:tcPr>
            <w:tcW w:w="2410" w:type="dxa"/>
            <w:vMerge w:val="restart"/>
            <w:tcBorders>
              <w:top w:val="single" w:sz="6" w:space="0" w:color="131413"/>
              <w:bottom w:val="single" w:sz="6" w:space="0" w:color="131413"/>
            </w:tcBorders>
            <w:vAlign w:val="center"/>
          </w:tcPr>
          <w:p w:rsidR="002E7863" w:rsidRPr="00ED7513" w:rsidRDefault="002E7863" w:rsidP="00ED7513">
            <w:pPr>
              <w:spacing w:line="360" w:lineRule="auto"/>
              <w:rPr>
                <w:rFonts w:ascii="Book Antiqua" w:hAnsi="Book Antiqua"/>
                <w:b/>
                <w:color w:val="000000" w:themeColor="text1"/>
                <w:sz w:val="24"/>
                <w:szCs w:val="24"/>
              </w:rPr>
            </w:pPr>
            <w:r w:rsidRPr="00ED7513">
              <w:rPr>
                <w:rFonts w:ascii="Book Antiqua" w:hAnsi="Book Antiqua"/>
                <w:b/>
                <w:color w:val="000000" w:themeColor="text1"/>
                <w:sz w:val="24"/>
                <w:szCs w:val="24"/>
              </w:rPr>
              <w:t>Variable</w:t>
            </w:r>
          </w:p>
        </w:tc>
        <w:tc>
          <w:tcPr>
            <w:tcW w:w="1559" w:type="dxa"/>
            <w:vMerge w:val="restart"/>
            <w:tcBorders>
              <w:top w:val="single" w:sz="6" w:space="0" w:color="131413"/>
              <w:bottom w:val="single" w:sz="6" w:space="0" w:color="131413"/>
            </w:tcBorders>
            <w:vAlign w:val="center"/>
          </w:tcPr>
          <w:p w:rsidR="002E7863" w:rsidRPr="00ED7513" w:rsidRDefault="00A33D70" w:rsidP="00ED7513">
            <w:pPr>
              <w:spacing w:line="360" w:lineRule="auto"/>
              <w:rPr>
                <w:rFonts w:ascii="Book Antiqua" w:hAnsi="Book Antiqua"/>
                <w:b/>
                <w:i/>
                <w:color w:val="000000" w:themeColor="text1"/>
                <w:sz w:val="24"/>
                <w:szCs w:val="24"/>
              </w:rPr>
            </w:pPr>
            <w:r w:rsidRPr="00ED7513">
              <w:rPr>
                <w:rFonts w:ascii="Book Antiqua" w:hAnsi="Book Antiqua"/>
                <w:b/>
                <w:i/>
                <w:color w:val="000000" w:themeColor="text1"/>
                <w:sz w:val="24"/>
                <w:szCs w:val="24"/>
              </w:rPr>
              <w:t>n</w:t>
            </w:r>
          </w:p>
        </w:tc>
        <w:tc>
          <w:tcPr>
            <w:tcW w:w="4111" w:type="dxa"/>
            <w:gridSpan w:val="2"/>
            <w:tcBorders>
              <w:top w:val="single" w:sz="6" w:space="0" w:color="131413"/>
              <w:bottom w:val="single" w:sz="6" w:space="0" w:color="131413"/>
            </w:tcBorders>
            <w:vAlign w:val="center"/>
          </w:tcPr>
          <w:p w:rsidR="001F394D" w:rsidRPr="00ED7513" w:rsidRDefault="002E7863" w:rsidP="00ED7513">
            <w:pPr>
              <w:spacing w:line="360" w:lineRule="auto"/>
              <w:ind w:firstLineChars="350" w:firstLine="843"/>
              <w:rPr>
                <w:rFonts w:ascii="Book Antiqua" w:hAnsi="Book Antiqua"/>
                <w:b/>
                <w:color w:val="000000" w:themeColor="text1"/>
                <w:sz w:val="24"/>
                <w:szCs w:val="24"/>
              </w:rPr>
            </w:pPr>
            <w:r w:rsidRPr="00ED7513">
              <w:rPr>
                <w:rFonts w:ascii="Book Antiqua" w:hAnsi="Book Antiqua"/>
                <w:b/>
                <w:color w:val="000000" w:themeColor="text1"/>
                <w:sz w:val="24"/>
                <w:szCs w:val="24"/>
              </w:rPr>
              <w:t>Lymphatic vessel invasion</w:t>
            </w:r>
          </w:p>
        </w:tc>
        <w:tc>
          <w:tcPr>
            <w:tcW w:w="1275" w:type="dxa"/>
            <w:vMerge w:val="restart"/>
            <w:tcBorders>
              <w:top w:val="single" w:sz="6" w:space="0" w:color="131413"/>
              <w:bottom w:val="single" w:sz="6" w:space="0" w:color="131413"/>
            </w:tcBorders>
            <w:vAlign w:val="center"/>
          </w:tcPr>
          <w:p w:rsidR="002E7863" w:rsidRPr="00ED7513" w:rsidRDefault="00573B3B" w:rsidP="00ED7513">
            <w:pPr>
              <w:spacing w:line="360" w:lineRule="auto"/>
              <w:rPr>
                <w:rFonts w:ascii="Book Antiqua" w:hAnsi="Book Antiqua"/>
                <w:b/>
                <w:color w:val="000000" w:themeColor="text1"/>
                <w:sz w:val="24"/>
                <w:szCs w:val="24"/>
              </w:rPr>
            </w:pPr>
            <w:r w:rsidRPr="00ED7513">
              <w:rPr>
                <w:rFonts w:ascii="Book Antiqua" w:hAnsi="Book Antiqua"/>
                <w:b/>
                <w:i/>
                <w:color w:val="000000" w:themeColor="text1"/>
                <w:sz w:val="24"/>
                <w:szCs w:val="24"/>
              </w:rPr>
              <w:t>P</w:t>
            </w:r>
            <w:r w:rsidR="002E7863" w:rsidRPr="00ED7513">
              <w:rPr>
                <w:rFonts w:ascii="Book Antiqua" w:hAnsi="Book Antiqua"/>
                <w:b/>
                <w:color w:val="000000" w:themeColor="text1"/>
                <w:sz w:val="24"/>
                <w:szCs w:val="24"/>
              </w:rPr>
              <w:t xml:space="preserve"> value</w:t>
            </w:r>
          </w:p>
        </w:tc>
      </w:tr>
      <w:tr w:rsidR="00921D66" w:rsidRPr="00ED7513" w:rsidTr="00446EA2">
        <w:trPr>
          <w:trHeight w:val="356"/>
        </w:trPr>
        <w:tc>
          <w:tcPr>
            <w:tcW w:w="2410" w:type="dxa"/>
            <w:vMerge/>
            <w:tcBorders>
              <w:top w:val="single" w:sz="6" w:space="0" w:color="131413"/>
              <w:bottom w:val="single" w:sz="6" w:space="0" w:color="131413"/>
            </w:tcBorders>
          </w:tcPr>
          <w:p w:rsidR="002E7863" w:rsidRPr="00ED7513" w:rsidRDefault="002E7863" w:rsidP="00ED7513">
            <w:pPr>
              <w:spacing w:line="360" w:lineRule="auto"/>
              <w:rPr>
                <w:rFonts w:ascii="Book Antiqua" w:hAnsi="Book Antiqua"/>
                <w:b/>
                <w:color w:val="000000" w:themeColor="text1"/>
                <w:sz w:val="24"/>
                <w:szCs w:val="24"/>
              </w:rPr>
            </w:pPr>
          </w:p>
        </w:tc>
        <w:tc>
          <w:tcPr>
            <w:tcW w:w="1559" w:type="dxa"/>
            <w:vMerge/>
            <w:tcBorders>
              <w:top w:val="single" w:sz="6" w:space="0" w:color="131413"/>
              <w:bottom w:val="single" w:sz="6" w:space="0" w:color="131413"/>
            </w:tcBorders>
          </w:tcPr>
          <w:p w:rsidR="002E7863" w:rsidRPr="00ED7513" w:rsidRDefault="002E7863" w:rsidP="00ED7513">
            <w:pPr>
              <w:spacing w:line="360" w:lineRule="auto"/>
              <w:rPr>
                <w:rFonts w:ascii="Book Antiqua" w:hAnsi="Book Antiqua"/>
                <w:b/>
                <w:color w:val="000000" w:themeColor="text1"/>
                <w:sz w:val="24"/>
                <w:szCs w:val="24"/>
              </w:rPr>
            </w:pPr>
          </w:p>
        </w:tc>
        <w:tc>
          <w:tcPr>
            <w:tcW w:w="1984" w:type="dxa"/>
            <w:tcBorders>
              <w:top w:val="single" w:sz="6" w:space="0" w:color="131413"/>
              <w:bottom w:val="single" w:sz="6" w:space="0" w:color="131413"/>
            </w:tcBorders>
            <w:vAlign w:val="center"/>
          </w:tcPr>
          <w:p w:rsidR="002E7863" w:rsidRPr="00ED7513" w:rsidRDefault="002E7863" w:rsidP="00ED7513">
            <w:pPr>
              <w:spacing w:line="360" w:lineRule="auto"/>
              <w:rPr>
                <w:rFonts w:ascii="Book Antiqua" w:hAnsi="Book Antiqua"/>
                <w:b/>
                <w:color w:val="000000" w:themeColor="text1"/>
                <w:sz w:val="24"/>
                <w:szCs w:val="24"/>
              </w:rPr>
            </w:pPr>
            <w:r w:rsidRPr="00ED7513">
              <w:rPr>
                <w:rFonts w:ascii="Book Antiqua" w:hAnsi="Book Antiqua"/>
                <w:b/>
                <w:color w:val="000000" w:themeColor="text1"/>
                <w:sz w:val="24"/>
                <w:szCs w:val="24"/>
              </w:rPr>
              <w:t>Absent (</w:t>
            </w:r>
            <w:r w:rsidR="00573B3B" w:rsidRPr="00ED7513">
              <w:rPr>
                <w:rFonts w:ascii="Book Antiqua" w:hAnsi="Book Antiqua"/>
                <w:b/>
                <w:i/>
                <w:color w:val="000000" w:themeColor="text1"/>
                <w:sz w:val="24"/>
                <w:szCs w:val="24"/>
              </w:rPr>
              <w:t>n</w:t>
            </w:r>
            <w:r w:rsidR="00A33D70" w:rsidRPr="00ED7513">
              <w:rPr>
                <w:rFonts w:ascii="Book Antiqua" w:hAnsi="Book Antiqua"/>
                <w:b/>
                <w:i/>
                <w:color w:val="000000" w:themeColor="text1"/>
                <w:sz w:val="24"/>
                <w:szCs w:val="24"/>
              </w:rPr>
              <w:t xml:space="preserve"> </w:t>
            </w:r>
            <w:r w:rsidRPr="00ED7513">
              <w:rPr>
                <w:rFonts w:ascii="Book Antiqua" w:hAnsi="Book Antiqua"/>
                <w:b/>
                <w:color w:val="000000" w:themeColor="text1"/>
                <w:sz w:val="24"/>
                <w:szCs w:val="24"/>
              </w:rPr>
              <w:t>=</w:t>
            </w:r>
            <w:r w:rsidR="00A33D70" w:rsidRPr="00ED7513">
              <w:rPr>
                <w:rFonts w:ascii="Book Antiqua" w:hAnsi="Book Antiqua"/>
                <w:b/>
                <w:color w:val="000000" w:themeColor="text1"/>
                <w:sz w:val="24"/>
                <w:szCs w:val="24"/>
              </w:rPr>
              <w:t xml:space="preserve"> </w:t>
            </w:r>
            <w:r w:rsidRPr="00ED7513">
              <w:rPr>
                <w:rFonts w:ascii="Book Antiqua" w:hAnsi="Book Antiqua"/>
                <w:b/>
                <w:color w:val="000000" w:themeColor="text1"/>
                <w:sz w:val="24"/>
                <w:szCs w:val="24"/>
              </w:rPr>
              <w:t>289</w:t>
            </w:r>
            <w:r w:rsidR="00A33D70" w:rsidRPr="00ED7513">
              <w:rPr>
                <w:rFonts w:ascii="Book Antiqua" w:hAnsi="Book Antiqua"/>
                <w:b/>
                <w:color w:val="000000" w:themeColor="text1"/>
                <w:sz w:val="24"/>
                <w:szCs w:val="24"/>
              </w:rPr>
              <w:t>,</w:t>
            </w:r>
            <w:r w:rsidRPr="00ED7513">
              <w:rPr>
                <w:rFonts w:ascii="Book Antiqua" w:hAnsi="Book Antiqua"/>
                <w:b/>
                <w:color w:val="000000" w:themeColor="text1"/>
                <w:sz w:val="24"/>
                <w:szCs w:val="24"/>
              </w:rPr>
              <w:t xml:space="preserve"> 65.7%)</w:t>
            </w:r>
          </w:p>
        </w:tc>
        <w:tc>
          <w:tcPr>
            <w:tcW w:w="2127" w:type="dxa"/>
            <w:tcBorders>
              <w:top w:val="single" w:sz="6" w:space="0" w:color="131413"/>
              <w:bottom w:val="single" w:sz="6" w:space="0" w:color="131413"/>
            </w:tcBorders>
            <w:vAlign w:val="center"/>
          </w:tcPr>
          <w:p w:rsidR="002E7863" w:rsidRPr="00ED7513" w:rsidRDefault="002E7863" w:rsidP="00ED7513">
            <w:pPr>
              <w:spacing w:line="360" w:lineRule="auto"/>
              <w:rPr>
                <w:rFonts w:ascii="Book Antiqua" w:hAnsi="Book Antiqua"/>
                <w:b/>
                <w:color w:val="000000" w:themeColor="text1"/>
                <w:sz w:val="24"/>
                <w:szCs w:val="24"/>
              </w:rPr>
            </w:pPr>
            <w:r w:rsidRPr="00ED7513">
              <w:rPr>
                <w:rFonts w:ascii="Book Antiqua" w:hAnsi="Book Antiqua"/>
                <w:b/>
                <w:color w:val="000000" w:themeColor="text1"/>
                <w:sz w:val="24"/>
                <w:szCs w:val="24"/>
              </w:rPr>
              <w:t>Present (</w:t>
            </w:r>
            <w:r w:rsidR="00573B3B" w:rsidRPr="00ED7513">
              <w:rPr>
                <w:rFonts w:ascii="Book Antiqua" w:hAnsi="Book Antiqua"/>
                <w:b/>
                <w:i/>
                <w:color w:val="000000" w:themeColor="text1"/>
                <w:sz w:val="24"/>
                <w:szCs w:val="24"/>
              </w:rPr>
              <w:t>n</w:t>
            </w:r>
            <w:r w:rsidRPr="00ED7513">
              <w:rPr>
                <w:rFonts w:ascii="Book Antiqua" w:hAnsi="Book Antiqua"/>
                <w:b/>
                <w:color w:val="000000" w:themeColor="text1"/>
                <w:sz w:val="24"/>
                <w:szCs w:val="24"/>
              </w:rPr>
              <w:t>=151</w:t>
            </w:r>
            <w:r w:rsidR="00A33D70" w:rsidRPr="00ED7513">
              <w:rPr>
                <w:rFonts w:ascii="Book Antiqua" w:hAnsi="Book Antiqua"/>
                <w:b/>
                <w:color w:val="000000" w:themeColor="text1"/>
                <w:sz w:val="24"/>
                <w:szCs w:val="24"/>
              </w:rPr>
              <w:t>,</w:t>
            </w:r>
            <w:r w:rsidRPr="00ED7513">
              <w:rPr>
                <w:rFonts w:ascii="Book Antiqua" w:hAnsi="Book Antiqua"/>
                <w:b/>
                <w:color w:val="000000" w:themeColor="text1"/>
                <w:sz w:val="24"/>
                <w:szCs w:val="24"/>
              </w:rPr>
              <w:t xml:space="preserve"> 34.3%)</w:t>
            </w:r>
          </w:p>
        </w:tc>
        <w:tc>
          <w:tcPr>
            <w:tcW w:w="1275" w:type="dxa"/>
            <w:vMerge/>
            <w:tcBorders>
              <w:top w:val="single" w:sz="6" w:space="0" w:color="131413"/>
              <w:bottom w:val="single" w:sz="6" w:space="0" w:color="131413"/>
            </w:tcBorders>
            <w:vAlign w:val="center"/>
          </w:tcPr>
          <w:p w:rsidR="002E7863" w:rsidRPr="00ED7513" w:rsidRDefault="002E7863" w:rsidP="00ED7513">
            <w:pPr>
              <w:spacing w:line="360" w:lineRule="auto"/>
              <w:rPr>
                <w:rFonts w:ascii="Book Antiqua" w:hAnsi="Book Antiqua"/>
                <w:b/>
                <w:color w:val="000000" w:themeColor="text1"/>
                <w:sz w:val="24"/>
                <w:szCs w:val="24"/>
              </w:rPr>
            </w:pPr>
          </w:p>
        </w:tc>
      </w:tr>
      <w:tr w:rsidR="00921D66" w:rsidRPr="00ED7513" w:rsidTr="00446EA2">
        <w:trPr>
          <w:trHeight w:val="306"/>
        </w:trPr>
        <w:tc>
          <w:tcPr>
            <w:tcW w:w="2410" w:type="dxa"/>
            <w:tcBorders>
              <w:top w:val="single" w:sz="6" w:space="0" w:color="131413"/>
            </w:tcBorders>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Age (</w:t>
            </w:r>
            <w:proofErr w:type="spellStart"/>
            <w:r w:rsidR="00A33D70" w:rsidRPr="00ED7513">
              <w:rPr>
                <w:rFonts w:ascii="Book Antiqua" w:hAnsi="Book Antiqua"/>
                <w:color w:val="000000" w:themeColor="text1"/>
                <w:sz w:val="24"/>
                <w:szCs w:val="24"/>
              </w:rPr>
              <w:t>yr</w:t>
            </w:r>
            <w:proofErr w:type="spellEnd"/>
            <w:r w:rsidRPr="00ED7513">
              <w:rPr>
                <w:rFonts w:ascii="Book Antiqua" w:hAnsi="Book Antiqua"/>
                <w:color w:val="000000" w:themeColor="text1"/>
                <w:sz w:val="24"/>
                <w:szCs w:val="24"/>
              </w:rPr>
              <w:t xml:space="preserve">) </w:t>
            </w:r>
          </w:p>
        </w:tc>
        <w:tc>
          <w:tcPr>
            <w:tcW w:w="1559" w:type="dxa"/>
            <w:tcBorders>
              <w:top w:val="single" w:sz="6" w:space="0" w:color="131413"/>
            </w:tcBorders>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440</w:t>
            </w:r>
          </w:p>
        </w:tc>
        <w:tc>
          <w:tcPr>
            <w:tcW w:w="1984" w:type="dxa"/>
            <w:tcBorders>
              <w:top w:val="single" w:sz="6" w:space="0" w:color="131413"/>
            </w:tcBorders>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59.86</w:t>
            </w:r>
            <w:r w:rsidR="00A33D70" w:rsidRPr="00ED7513">
              <w:rPr>
                <w:rFonts w:ascii="Book Antiqua" w:hAnsi="Book Antiqua"/>
                <w:color w:val="000000" w:themeColor="text1"/>
                <w:sz w:val="24"/>
                <w:szCs w:val="24"/>
              </w:rPr>
              <w:t xml:space="preserve"> </w:t>
            </w:r>
            <w:r w:rsidRPr="00ED7513">
              <w:rPr>
                <w:rFonts w:ascii="Book Antiqua" w:hAnsi="Book Antiqua"/>
                <w:color w:val="000000" w:themeColor="text1"/>
                <w:sz w:val="24"/>
                <w:szCs w:val="24"/>
              </w:rPr>
              <w:t>±</w:t>
            </w:r>
            <w:r w:rsidR="00A33D70" w:rsidRPr="00ED7513">
              <w:rPr>
                <w:rFonts w:ascii="Book Antiqua" w:hAnsi="Book Antiqua"/>
                <w:color w:val="000000" w:themeColor="text1"/>
                <w:sz w:val="24"/>
                <w:szCs w:val="24"/>
              </w:rPr>
              <w:t xml:space="preserve"> </w:t>
            </w:r>
            <w:r w:rsidRPr="00ED7513">
              <w:rPr>
                <w:rFonts w:ascii="Book Antiqua" w:hAnsi="Book Antiqua"/>
                <w:color w:val="000000" w:themeColor="text1"/>
                <w:sz w:val="24"/>
                <w:szCs w:val="24"/>
              </w:rPr>
              <w:t>10.4</w:t>
            </w:r>
          </w:p>
        </w:tc>
        <w:tc>
          <w:tcPr>
            <w:tcW w:w="2127" w:type="dxa"/>
            <w:tcBorders>
              <w:top w:val="single" w:sz="6" w:space="0" w:color="131413"/>
            </w:tcBorders>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58.55 ±</w:t>
            </w:r>
            <w:r w:rsidR="00A33D70" w:rsidRPr="00ED7513">
              <w:rPr>
                <w:rFonts w:ascii="Book Antiqua" w:hAnsi="Book Antiqua"/>
                <w:color w:val="000000" w:themeColor="text1"/>
                <w:sz w:val="24"/>
                <w:szCs w:val="24"/>
              </w:rPr>
              <w:t xml:space="preserve"> </w:t>
            </w:r>
            <w:r w:rsidRPr="00ED7513">
              <w:rPr>
                <w:rFonts w:ascii="Book Antiqua" w:hAnsi="Book Antiqua"/>
                <w:color w:val="000000" w:themeColor="text1"/>
                <w:sz w:val="24"/>
                <w:szCs w:val="24"/>
              </w:rPr>
              <w:t>11.128</w:t>
            </w:r>
          </w:p>
        </w:tc>
        <w:tc>
          <w:tcPr>
            <w:tcW w:w="1275" w:type="dxa"/>
            <w:tcBorders>
              <w:top w:val="single" w:sz="6" w:space="0" w:color="131413"/>
            </w:tcBorders>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0.426</w:t>
            </w: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 xml:space="preserve">Gender </w:t>
            </w:r>
          </w:p>
        </w:tc>
        <w:tc>
          <w:tcPr>
            <w:tcW w:w="1559" w:type="dxa"/>
          </w:tcPr>
          <w:p w:rsidR="002E7863" w:rsidRPr="00ED7513" w:rsidRDefault="002E7863" w:rsidP="00ED7513">
            <w:pPr>
              <w:spacing w:line="360" w:lineRule="auto"/>
              <w:rPr>
                <w:rFonts w:ascii="Book Antiqua" w:hAnsi="Book Antiqua"/>
                <w:color w:val="000000" w:themeColor="text1"/>
                <w:sz w:val="24"/>
                <w:szCs w:val="24"/>
              </w:rPr>
            </w:pPr>
          </w:p>
        </w:tc>
        <w:tc>
          <w:tcPr>
            <w:tcW w:w="1984"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2127"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0.765</w:t>
            </w: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Male</w:t>
            </w:r>
          </w:p>
        </w:tc>
        <w:tc>
          <w:tcPr>
            <w:tcW w:w="1559" w:type="dxa"/>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333 (75.7</w:t>
            </w:r>
            <w:r w:rsidR="002E7863" w:rsidRPr="00ED7513">
              <w:rPr>
                <w:rFonts w:ascii="Book Antiqua" w:hAnsi="Book Antiqua"/>
                <w:color w:val="000000" w:themeColor="text1"/>
                <w:sz w:val="24"/>
                <w:szCs w:val="24"/>
              </w:rPr>
              <w:t>)</w:t>
            </w:r>
          </w:p>
        </w:tc>
        <w:tc>
          <w:tcPr>
            <w:tcW w:w="1984"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220 (66.1</w:t>
            </w:r>
            <w:r w:rsidR="002E7863" w:rsidRPr="00ED7513">
              <w:rPr>
                <w:rFonts w:ascii="Book Antiqua" w:hAnsi="Book Antiqua"/>
                <w:color w:val="000000" w:themeColor="text1"/>
                <w:sz w:val="24"/>
                <w:szCs w:val="24"/>
              </w:rPr>
              <w:t>)</w:t>
            </w:r>
          </w:p>
        </w:tc>
        <w:tc>
          <w:tcPr>
            <w:tcW w:w="2127"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113 (33.9</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Female</w:t>
            </w:r>
          </w:p>
        </w:tc>
        <w:tc>
          <w:tcPr>
            <w:tcW w:w="1559" w:type="dxa"/>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107 (24.3</w:t>
            </w:r>
            <w:r w:rsidR="002E7863" w:rsidRPr="00ED7513">
              <w:rPr>
                <w:rFonts w:ascii="Book Antiqua" w:hAnsi="Book Antiqua"/>
                <w:color w:val="000000" w:themeColor="text1"/>
                <w:sz w:val="24"/>
                <w:szCs w:val="24"/>
              </w:rPr>
              <w:t>)</w:t>
            </w:r>
          </w:p>
        </w:tc>
        <w:tc>
          <w:tcPr>
            <w:tcW w:w="1984"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69 (64.5</w:t>
            </w:r>
            <w:r w:rsidR="002E7863" w:rsidRPr="00ED7513">
              <w:rPr>
                <w:rFonts w:ascii="Book Antiqua" w:hAnsi="Book Antiqua"/>
                <w:color w:val="000000" w:themeColor="text1"/>
                <w:sz w:val="24"/>
                <w:szCs w:val="24"/>
              </w:rPr>
              <w:t>)</w:t>
            </w:r>
          </w:p>
        </w:tc>
        <w:tc>
          <w:tcPr>
            <w:tcW w:w="2127"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38 (35.5</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Tumor size (cm)</w:t>
            </w:r>
          </w:p>
        </w:tc>
        <w:tc>
          <w:tcPr>
            <w:tcW w:w="1559" w:type="dxa"/>
          </w:tcPr>
          <w:p w:rsidR="002E7863" w:rsidRPr="00ED7513" w:rsidRDefault="002E7863" w:rsidP="00ED7513">
            <w:pPr>
              <w:spacing w:line="360" w:lineRule="auto"/>
              <w:rPr>
                <w:rFonts w:ascii="Book Antiqua" w:hAnsi="Book Antiqua"/>
                <w:color w:val="000000" w:themeColor="text1"/>
                <w:sz w:val="24"/>
                <w:szCs w:val="24"/>
              </w:rPr>
            </w:pPr>
          </w:p>
        </w:tc>
        <w:tc>
          <w:tcPr>
            <w:tcW w:w="1984"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2127"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0.013</w:t>
            </w:r>
          </w:p>
        </w:tc>
      </w:tr>
      <w:tr w:rsidR="00921D66" w:rsidRPr="00ED7513" w:rsidTr="00446EA2">
        <w:trPr>
          <w:trHeight w:val="236"/>
        </w:trPr>
        <w:tc>
          <w:tcPr>
            <w:tcW w:w="2410"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w:t>
            </w:r>
            <w:r w:rsidR="00A33D70" w:rsidRPr="00ED7513">
              <w:rPr>
                <w:rFonts w:ascii="Book Antiqua" w:hAnsi="Book Antiqua"/>
                <w:color w:val="000000" w:themeColor="text1"/>
                <w:sz w:val="24"/>
                <w:szCs w:val="24"/>
              </w:rPr>
              <w:t xml:space="preserve"> </w:t>
            </w:r>
            <w:r w:rsidRPr="00ED7513">
              <w:rPr>
                <w:rFonts w:ascii="Book Antiqua" w:hAnsi="Book Antiqua"/>
                <w:color w:val="000000" w:themeColor="text1"/>
                <w:sz w:val="24"/>
                <w:szCs w:val="24"/>
              </w:rPr>
              <w:t>5</w:t>
            </w:r>
          </w:p>
        </w:tc>
        <w:tc>
          <w:tcPr>
            <w:tcW w:w="1559"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169 (38.5</w:t>
            </w:r>
            <w:r w:rsidR="002E7863" w:rsidRPr="00ED7513">
              <w:rPr>
                <w:rFonts w:ascii="Book Antiqua" w:hAnsi="Book Antiqua"/>
                <w:color w:val="000000" w:themeColor="text1"/>
                <w:sz w:val="24"/>
                <w:szCs w:val="24"/>
              </w:rPr>
              <w:t>)</w:t>
            </w:r>
          </w:p>
        </w:tc>
        <w:tc>
          <w:tcPr>
            <w:tcW w:w="1984"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123 (72.8</w:t>
            </w:r>
            <w:r w:rsidR="002E7863" w:rsidRPr="00ED7513">
              <w:rPr>
                <w:rFonts w:ascii="Book Antiqua" w:hAnsi="Book Antiqua"/>
                <w:color w:val="000000" w:themeColor="text1"/>
                <w:sz w:val="24"/>
                <w:szCs w:val="24"/>
              </w:rPr>
              <w:t>)</w:t>
            </w:r>
          </w:p>
        </w:tc>
        <w:tc>
          <w:tcPr>
            <w:tcW w:w="2127"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46 (27.2</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6"/>
        </w:trPr>
        <w:tc>
          <w:tcPr>
            <w:tcW w:w="2410"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&gt;</w:t>
            </w:r>
            <w:r w:rsidR="00A33D70" w:rsidRPr="00ED7513">
              <w:rPr>
                <w:rFonts w:ascii="Book Antiqua" w:hAnsi="Book Antiqua"/>
                <w:color w:val="000000" w:themeColor="text1"/>
                <w:sz w:val="24"/>
                <w:szCs w:val="24"/>
              </w:rPr>
              <w:t xml:space="preserve"> </w:t>
            </w:r>
            <w:r w:rsidRPr="00ED7513">
              <w:rPr>
                <w:rFonts w:ascii="Book Antiqua" w:hAnsi="Book Antiqua"/>
                <w:color w:val="000000" w:themeColor="text1"/>
                <w:sz w:val="24"/>
                <w:szCs w:val="24"/>
              </w:rPr>
              <w:t>5</w:t>
            </w:r>
          </w:p>
        </w:tc>
        <w:tc>
          <w:tcPr>
            <w:tcW w:w="1559"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231 (52.5</w:t>
            </w:r>
            <w:r w:rsidR="002E7863" w:rsidRPr="00ED7513">
              <w:rPr>
                <w:rFonts w:ascii="Book Antiqua" w:hAnsi="Book Antiqua"/>
                <w:color w:val="000000" w:themeColor="text1"/>
                <w:sz w:val="24"/>
                <w:szCs w:val="24"/>
              </w:rPr>
              <w:t>)</w:t>
            </w:r>
          </w:p>
        </w:tc>
        <w:tc>
          <w:tcPr>
            <w:tcW w:w="1984"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166 (60.4</w:t>
            </w:r>
            <w:r w:rsidR="002E7863" w:rsidRPr="00ED7513">
              <w:rPr>
                <w:rFonts w:ascii="Book Antiqua" w:hAnsi="Book Antiqua"/>
                <w:color w:val="000000" w:themeColor="text1"/>
                <w:sz w:val="24"/>
                <w:szCs w:val="24"/>
              </w:rPr>
              <w:t>)</w:t>
            </w:r>
          </w:p>
        </w:tc>
        <w:tc>
          <w:tcPr>
            <w:tcW w:w="2127"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105 (39.6</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7"/>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Macroscopic type</w:t>
            </w:r>
          </w:p>
        </w:tc>
        <w:tc>
          <w:tcPr>
            <w:tcW w:w="1559" w:type="dxa"/>
          </w:tcPr>
          <w:p w:rsidR="002E7863" w:rsidRPr="00ED7513" w:rsidRDefault="002E7863" w:rsidP="00ED7513">
            <w:pPr>
              <w:spacing w:line="360" w:lineRule="auto"/>
              <w:rPr>
                <w:rFonts w:ascii="Book Antiqua" w:hAnsi="Book Antiqua"/>
                <w:color w:val="000000" w:themeColor="text1"/>
                <w:sz w:val="24"/>
                <w:szCs w:val="24"/>
              </w:rPr>
            </w:pPr>
          </w:p>
        </w:tc>
        <w:tc>
          <w:tcPr>
            <w:tcW w:w="1984"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2127"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0.003</w:t>
            </w:r>
          </w:p>
        </w:tc>
      </w:tr>
      <w:tr w:rsidR="00921D66" w:rsidRPr="00ED7513" w:rsidTr="00446EA2">
        <w:trPr>
          <w:trHeight w:val="237"/>
        </w:trPr>
        <w:tc>
          <w:tcPr>
            <w:tcW w:w="2410" w:type="dxa"/>
            <w:vAlign w:val="center"/>
          </w:tcPr>
          <w:p w:rsidR="002E7863" w:rsidRPr="00ED7513" w:rsidRDefault="002E7863" w:rsidP="00ED7513">
            <w:pPr>
              <w:spacing w:line="360" w:lineRule="auto"/>
              <w:rPr>
                <w:rFonts w:ascii="Book Antiqua" w:hAnsi="Book Antiqua"/>
                <w:color w:val="000000" w:themeColor="text1"/>
                <w:sz w:val="24"/>
                <w:szCs w:val="24"/>
              </w:rPr>
            </w:pPr>
            <w:proofErr w:type="spellStart"/>
            <w:r w:rsidRPr="00ED7513">
              <w:rPr>
                <w:rFonts w:ascii="Book Antiqua" w:hAnsi="Book Antiqua"/>
                <w:color w:val="000000" w:themeColor="text1"/>
                <w:sz w:val="24"/>
                <w:szCs w:val="24"/>
              </w:rPr>
              <w:t>Borrmann</w:t>
            </w:r>
            <w:proofErr w:type="spellEnd"/>
            <w:r w:rsidRPr="00ED7513">
              <w:rPr>
                <w:rFonts w:ascii="Book Antiqua" w:hAnsi="Book Antiqua"/>
                <w:color w:val="000000" w:themeColor="text1"/>
                <w:sz w:val="24"/>
                <w:szCs w:val="24"/>
              </w:rPr>
              <w:t xml:space="preserve"> I-II</w:t>
            </w:r>
          </w:p>
        </w:tc>
        <w:tc>
          <w:tcPr>
            <w:tcW w:w="1559"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58 (13.2</w:t>
            </w:r>
            <w:r w:rsidR="002E7863" w:rsidRPr="00ED7513">
              <w:rPr>
                <w:rFonts w:ascii="Book Antiqua" w:hAnsi="Book Antiqua"/>
                <w:color w:val="000000" w:themeColor="text1"/>
                <w:sz w:val="24"/>
                <w:szCs w:val="24"/>
              </w:rPr>
              <w:t>)</w:t>
            </w:r>
          </w:p>
        </w:tc>
        <w:tc>
          <w:tcPr>
            <w:tcW w:w="1984"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49 (84.5</w:t>
            </w:r>
            <w:r w:rsidR="002E7863" w:rsidRPr="00ED7513">
              <w:rPr>
                <w:rFonts w:ascii="Book Antiqua" w:hAnsi="Book Antiqua"/>
                <w:color w:val="000000" w:themeColor="text1"/>
                <w:sz w:val="24"/>
                <w:szCs w:val="24"/>
              </w:rPr>
              <w:t>)</w:t>
            </w:r>
          </w:p>
        </w:tc>
        <w:tc>
          <w:tcPr>
            <w:tcW w:w="2127"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9 (15.5</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7"/>
        </w:trPr>
        <w:tc>
          <w:tcPr>
            <w:tcW w:w="2410" w:type="dxa"/>
            <w:vAlign w:val="center"/>
          </w:tcPr>
          <w:p w:rsidR="002E7863" w:rsidRPr="00ED7513" w:rsidRDefault="002E7863" w:rsidP="00ED7513">
            <w:pPr>
              <w:spacing w:line="360" w:lineRule="auto"/>
              <w:rPr>
                <w:rFonts w:ascii="Book Antiqua" w:hAnsi="Book Antiqua"/>
                <w:color w:val="000000" w:themeColor="text1"/>
                <w:sz w:val="24"/>
                <w:szCs w:val="24"/>
              </w:rPr>
            </w:pPr>
            <w:proofErr w:type="spellStart"/>
            <w:r w:rsidRPr="00ED7513">
              <w:rPr>
                <w:rFonts w:ascii="Book Antiqua" w:hAnsi="Book Antiqua"/>
                <w:color w:val="000000" w:themeColor="text1"/>
                <w:sz w:val="24"/>
                <w:szCs w:val="24"/>
              </w:rPr>
              <w:t>Borrmann</w:t>
            </w:r>
            <w:proofErr w:type="spellEnd"/>
            <w:r w:rsidRPr="00ED7513">
              <w:rPr>
                <w:rFonts w:ascii="Book Antiqua" w:hAnsi="Book Antiqua"/>
                <w:color w:val="000000" w:themeColor="text1"/>
                <w:sz w:val="24"/>
                <w:szCs w:val="24"/>
              </w:rPr>
              <w:t xml:space="preserve"> III</w:t>
            </w:r>
          </w:p>
        </w:tc>
        <w:tc>
          <w:tcPr>
            <w:tcW w:w="1559"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310 (70.4</w:t>
            </w:r>
            <w:r w:rsidR="002E7863" w:rsidRPr="00ED7513">
              <w:rPr>
                <w:rFonts w:ascii="Book Antiqua" w:hAnsi="Book Antiqua"/>
                <w:color w:val="000000" w:themeColor="text1"/>
                <w:sz w:val="24"/>
                <w:szCs w:val="24"/>
              </w:rPr>
              <w:t>)</w:t>
            </w:r>
          </w:p>
        </w:tc>
        <w:tc>
          <w:tcPr>
            <w:tcW w:w="1984"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199 (64.2</w:t>
            </w:r>
            <w:r w:rsidR="002E7863" w:rsidRPr="00ED7513">
              <w:rPr>
                <w:rFonts w:ascii="Book Antiqua" w:hAnsi="Book Antiqua"/>
                <w:color w:val="000000" w:themeColor="text1"/>
                <w:sz w:val="24"/>
                <w:szCs w:val="24"/>
              </w:rPr>
              <w:t>)</w:t>
            </w:r>
          </w:p>
        </w:tc>
        <w:tc>
          <w:tcPr>
            <w:tcW w:w="2127"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111 (35.8</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7"/>
        </w:trPr>
        <w:tc>
          <w:tcPr>
            <w:tcW w:w="2410" w:type="dxa"/>
            <w:vAlign w:val="center"/>
          </w:tcPr>
          <w:p w:rsidR="002E7863" w:rsidRPr="00ED7513" w:rsidRDefault="002E7863" w:rsidP="00ED7513">
            <w:pPr>
              <w:spacing w:line="360" w:lineRule="auto"/>
              <w:rPr>
                <w:rFonts w:ascii="Book Antiqua" w:hAnsi="Book Antiqua"/>
                <w:color w:val="000000" w:themeColor="text1"/>
                <w:sz w:val="24"/>
                <w:szCs w:val="24"/>
              </w:rPr>
            </w:pPr>
            <w:proofErr w:type="spellStart"/>
            <w:r w:rsidRPr="00ED7513">
              <w:rPr>
                <w:rFonts w:ascii="Book Antiqua" w:hAnsi="Book Antiqua"/>
                <w:color w:val="000000" w:themeColor="text1"/>
                <w:sz w:val="24"/>
                <w:szCs w:val="24"/>
              </w:rPr>
              <w:t>Borrmann</w:t>
            </w:r>
            <w:proofErr w:type="spellEnd"/>
            <w:r w:rsidRPr="00ED7513">
              <w:rPr>
                <w:rFonts w:ascii="Book Antiqua" w:hAnsi="Book Antiqua"/>
                <w:color w:val="000000" w:themeColor="text1"/>
                <w:sz w:val="24"/>
                <w:szCs w:val="24"/>
              </w:rPr>
              <w:t xml:space="preserve"> IV</w:t>
            </w:r>
          </w:p>
        </w:tc>
        <w:tc>
          <w:tcPr>
            <w:tcW w:w="1559"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72 (16.4</w:t>
            </w:r>
            <w:r w:rsidR="002E7863" w:rsidRPr="00ED7513">
              <w:rPr>
                <w:rFonts w:ascii="Book Antiqua" w:hAnsi="Book Antiqua"/>
                <w:color w:val="000000" w:themeColor="text1"/>
                <w:sz w:val="24"/>
                <w:szCs w:val="24"/>
              </w:rPr>
              <w:t>)</w:t>
            </w:r>
          </w:p>
        </w:tc>
        <w:tc>
          <w:tcPr>
            <w:tcW w:w="1984"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41 (56.9</w:t>
            </w:r>
            <w:r w:rsidR="002E7863" w:rsidRPr="00ED7513">
              <w:rPr>
                <w:rFonts w:ascii="Book Antiqua" w:hAnsi="Book Antiqua"/>
                <w:color w:val="000000" w:themeColor="text1"/>
                <w:sz w:val="24"/>
                <w:szCs w:val="24"/>
              </w:rPr>
              <w:t>)</w:t>
            </w:r>
          </w:p>
        </w:tc>
        <w:tc>
          <w:tcPr>
            <w:tcW w:w="2127" w:type="dxa"/>
            <w:vAlign w:val="center"/>
          </w:tcPr>
          <w:p w:rsidR="002E7863" w:rsidRPr="00ED7513" w:rsidRDefault="00A33D70"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31 (43.1</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7"/>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 xml:space="preserve">Adjacent </w:t>
            </w:r>
            <w:r w:rsidR="001E6EDF" w:rsidRPr="00ED7513">
              <w:rPr>
                <w:rFonts w:ascii="Book Antiqua" w:hAnsi="Book Antiqua"/>
                <w:color w:val="000000" w:themeColor="text1"/>
                <w:sz w:val="24"/>
                <w:szCs w:val="24"/>
              </w:rPr>
              <w:t>o</w:t>
            </w:r>
            <w:r w:rsidRPr="00ED7513">
              <w:rPr>
                <w:rFonts w:ascii="Book Antiqua" w:hAnsi="Book Antiqua"/>
                <w:color w:val="000000" w:themeColor="text1"/>
                <w:sz w:val="24"/>
                <w:szCs w:val="24"/>
              </w:rPr>
              <w:t xml:space="preserve">rgans </w:t>
            </w:r>
            <w:r w:rsidR="001E6EDF" w:rsidRPr="00ED7513">
              <w:rPr>
                <w:rFonts w:ascii="Book Antiqua" w:hAnsi="Book Antiqua"/>
                <w:color w:val="000000" w:themeColor="text1"/>
                <w:sz w:val="24"/>
                <w:szCs w:val="24"/>
              </w:rPr>
              <w:t>i</w:t>
            </w:r>
            <w:r w:rsidRPr="00ED7513">
              <w:rPr>
                <w:rFonts w:ascii="Book Antiqua" w:hAnsi="Book Antiqua"/>
                <w:color w:val="000000" w:themeColor="text1"/>
                <w:sz w:val="24"/>
                <w:szCs w:val="24"/>
              </w:rPr>
              <w:t>nvaded</w:t>
            </w:r>
            <w:r w:rsidR="00446EA2" w:rsidRPr="00ED7513">
              <w:rPr>
                <w:rFonts w:ascii="Book Antiqua" w:hAnsi="Book Antiqua"/>
                <w:color w:val="000000" w:themeColor="text1"/>
                <w:sz w:val="24"/>
                <w:szCs w:val="24"/>
                <w:vertAlign w:val="superscript"/>
              </w:rPr>
              <w:t>1</w:t>
            </w:r>
          </w:p>
        </w:tc>
        <w:tc>
          <w:tcPr>
            <w:tcW w:w="1559" w:type="dxa"/>
          </w:tcPr>
          <w:p w:rsidR="002E7863" w:rsidRPr="00ED7513" w:rsidRDefault="002E7863" w:rsidP="00ED7513">
            <w:pPr>
              <w:spacing w:line="360" w:lineRule="auto"/>
              <w:rPr>
                <w:rFonts w:ascii="Book Antiqua" w:hAnsi="Book Antiqua"/>
                <w:color w:val="000000" w:themeColor="text1"/>
                <w:sz w:val="24"/>
                <w:szCs w:val="24"/>
              </w:rPr>
            </w:pPr>
          </w:p>
        </w:tc>
        <w:tc>
          <w:tcPr>
            <w:tcW w:w="1984"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2127"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0.815</w:t>
            </w:r>
          </w:p>
        </w:tc>
      </w:tr>
      <w:tr w:rsidR="00921D66" w:rsidRPr="00ED7513" w:rsidTr="00446EA2">
        <w:trPr>
          <w:trHeight w:val="237"/>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With</w:t>
            </w:r>
          </w:p>
        </w:tc>
        <w:tc>
          <w:tcPr>
            <w:tcW w:w="1559" w:type="dxa"/>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105 (23.9</w:t>
            </w:r>
            <w:r w:rsidR="002E7863" w:rsidRPr="00ED7513">
              <w:rPr>
                <w:rFonts w:ascii="Book Antiqua" w:hAnsi="Book Antiqua"/>
                <w:color w:val="000000" w:themeColor="text1"/>
                <w:sz w:val="24"/>
                <w:szCs w:val="24"/>
              </w:rPr>
              <w:t>)</w:t>
            </w:r>
          </w:p>
        </w:tc>
        <w:tc>
          <w:tcPr>
            <w:tcW w:w="1984"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70 (66.7</w:t>
            </w:r>
            <w:r w:rsidR="002E7863" w:rsidRPr="00ED7513">
              <w:rPr>
                <w:rFonts w:ascii="Book Antiqua" w:hAnsi="Book Antiqua"/>
                <w:color w:val="000000" w:themeColor="text1"/>
                <w:sz w:val="24"/>
                <w:szCs w:val="24"/>
              </w:rPr>
              <w:t>)</w:t>
            </w:r>
          </w:p>
        </w:tc>
        <w:tc>
          <w:tcPr>
            <w:tcW w:w="2127"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36 (33.3</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7"/>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Without</w:t>
            </w:r>
          </w:p>
        </w:tc>
        <w:tc>
          <w:tcPr>
            <w:tcW w:w="1559" w:type="dxa"/>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335 (76.1</w:t>
            </w:r>
            <w:r w:rsidR="002E7863" w:rsidRPr="00ED7513">
              <w:rPr>
                <w:rFonts w:ascii="Book Antiqua" w:hAnsi="Book Antiqua"/>
                <w:color w:val="000000" w:themeColor="text1"/>
                <w:sz w:val="24"/>
                <w:szCs w:val="24"/>
              </w:rPr>
              <w:t>)</w:t>
            </w:r>
          </w:p>
        </w:tc>
        <w:tc>
          <w:tcPr>
            <w:tcW w:w="1984"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219 (65.4</w:t>
            </w:r>
            <w:r w:rsidR="002E7863" w:rsidRPr="00ED7513">
              <w:rPr>
                <w:rFonts w:ascii="Book Antiqua" w:hAnsi="Book Antiqua"/>
                <w:color w:val="000000" w:themeColor="text1"/>
                <w:sz w:val="24"/>
                <w:szCs w:val="24"/>
              </w:rPr>
              <w:t>)</w:t>
            </w:r>
          </w:p>
        </w:tc>
        <w:tc>
          <w:tcPr>
            <w:tcW w:w="2127"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116 (34.6</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7"/>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Histologic grade</w:t>
            </w:r>
          </w:p>
        </w:tc>
        <w:tc>
          <w:tcPr>
            <w:tcW w:w="1559" w:type="dxa"/>
          </w:tcPr>
          <w:p w:rsidR="002E7863" w:rsidRPr="00ED7513" w:rsidRDefault="002E7863" w:rsidP="00ED7513">
            <w:pPr>
              <w:spacing w:line="360" w:lineRule="auto"/>
              <w:rPr>
                <w:rFonts w:ascii="Book Antiqua" w:hAnsi="Book Antiqua"/>
                <w:color w:val="000000" w:themeColor="text1"/>
                <w:sz w:val="24"/>
                <w:szCs w:val="24"/>
              </w:rPr>
            </w:pPr>
          </w:p>
        </w:tc>
        <w:tc>
          <w:tcPr>
            <w:tcW w:w="1984"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2127"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0.001</w:t>
            </w: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Well</w:t>
            </w:r>
          </w:p>
        </w:tc>
        <w:tc>
          <w:tcPr>
            <w:tcW w:w="1559" w:type="dxa"/>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203 (46.1</w:t>
            </w:r>
            <w:r w:rsidR="002E7863" w:rsidRPr="00ED7513">
              <w:rPr>
                <w:rFonts w:ascii="Book Antiqua" w:hAnsi="Book Antiqua"/>
                <w:color w:val="000000" w:themeColor="text1"/>
                <w:sz w:val="24"/>
                <w:szCs w:val="24"/>
              </w:rPr>
              <w:t>)</w:t>
            </w:r>
          </w:p>
        </w:tc>
        <w:tc>
          <w:tcPr>
            <w:tcW w:w="1984"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149 (73.4</w:t>
            </w:r>
            <w:r w:rsidR="002E7863" w:rsidRPr="00ED7513">
              <w:rPr>
                <w:rFonts w:ascii="Book Antiqua" w:hAnsi="Book Antiqua"/>
                <w:color w:val="000000" w:themeColor="text1"/>
                <w:sz w:val="24"/>
                <w:szCs w:val="24"/>
              </w:rPr>
              <w:t>)</w:t>
            </w:r>
          </w:p>
        </w:tc>
        <w:tc>
          <w:tcPr>
            <w:tcW w:w="2127"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54 (26.6</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Poor</w:t>
            </w:r>
          </w:p>
        </w:tc>
        <w:tc>
          <w:tcPr>
            <w:tcW w:w="1559" w:type="dxa"/>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237 (53.9</w:t>
            </w:r>
            <w:r w:rsidR="002E7863" w:rsidRPr="00ED7513">
              <w:rPr>
                <w:rFonts w:ascii="Book Antiqua" w:hAnsi="Book Antiqua"/>
                <w:color w:val="000000" w:themeColor="text1"/>
                <w:sz w:val="24"/>
                <w:szCs w:val="24"/>
              </w:rPr>
              <w:t>)</w:t>
            </w:r>
          </w:p>
        </w:tc>
        <w:tc>
          <w:tcPr>
            <w:tcW w:w="1984"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140 (59.1</w:t>
            </w:r>
            <w:r w:rsidR="002E7863" w:rsidRPr="00ED7513">
              <w:rPr>
                <w:rFonts w:ascii="Book Antiqua" w:hAnsi="Book Antiqua"/>
                <w:color w:val="000000" w:themeColor="text1"/>
                <w:sz w:val="24"/>
                <w:szCs w:val="24"/>
              </w:rPr>
              <w:t>)</w:t>
            </w:r>
          </w:p>
        </w:tc>
        <w:tc>
          <w:tcPr>
            <w:tcW w:w="2127"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97 (40.9</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 xml:space="preserve">AJCC </w:t>
            </w:r>
            <w:proofErr w:type="spellStart"/>
            <w:r w:rsidRPr="00ED7513">
              <w:rPr>
                <w:rFonts w:ascii="Book Antiqua" w:hAnsi="Book Antiqua"/>
                <w:color w:val="000000" w:themeColor="text1"/>
                <w:sz w:val="24"/>
                <w:szCs w:val="24"/>
              </w:rPr>
              <w:t>pT</w:t>
            </w:r>
            <w:proofErr w:type="spellEnd"/>
            <w:r w:rsidRPr="00ED7513">
              <w:rPr>
                <w:rFonts w:ascii="Book Antiqua" w:hAnsi="Book Antiqua"/>
                <w:color w:val="000000" w:themeColor="text1"/>
                <w:sz w:val="24"/>
                <w:szCs w:val="24"/>
              </w:rPr>
              <w:t xml:space="preserve"> category</w:t>
            </w:r>
          </w:p>
        </w:tc>
        <w:tc>
          <w:tcPr>
            <w:tcW w:w="1559" w:type="dxa"/>
          </w:tcPr>
          <w:p w:rsidR="002E7863" w:rsidRPr="00ED7513" w:rsidRDefault="002E7863" w:rsidP="00ED7513">
            <w:pPr>
              <w:spacing w:line="360" w:lineRule="auto"/>
              <w:rPr>
                <w:rFonts w:ascii="Book Antiqua" w:hAnsi="Book Antiqua"/>
                <w:color w:val="000000" w:themeColor="text1"/>
                <w:sz w:val="24"/>
                <w:szCs w:val="24"/>
              </w:rPr>
            </w:pPr>
          </w:p>
        </w:tc>
        <w:tc>
          <w:tcPr>
            <w:tcW w:w="1984"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2127"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0.002</w:t>
            </w: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pT2</w:t>
            </w:r>
          </w:p>
        </w:tc>
        <w:tc>
          <w:tcPr>
            <w:tcW w:w="1559" w:type="dxa"/>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53 (12.0</w:t>
            </w:r>
            <w:r w:rsidR="002E7863" w:rsidRPr="00ED7513">
              <w:rPr>
                <w:rFonts w:ascii="Book Antiqua" w:hAnsi="Book Antiqua"/>
                <w:color w:val="000000" w:themeColor="text1"/>
                <w:sz w:val="24"/>
                <w:szCs w:val="24"/>
              </w:rPr>
              <w:t>)</w:t>
            </w:r>
          </w:p>
        </w:tc>
        <w:tc>
          <w:tcPr>
            <w:tcW w:w="1984"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37 (69.8</w:t>
            </w:r>
            <w:r w:rsidR="002E7863" w:rsidRPr="00ED7513">
              <w:rPr>
                <w:rFonts w:ascii="Book Antiqua" w:hAnsi="Book Antiqua"/>
                <w:color w:val="000000" w:themeColor="text1"/>
                <w:sz w:val="24"/>
                <w:szCs w:val="24"/>
              </w:rPr>
              <w:t>)</w:t>
            </w:r>
          </w:p>
        </w:tc>
        <w:tc>
          <w:tcPr>
            <w:tcW w:w="2127"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16 (30.2</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pT3</w:t>
            </w:r>
          </w:p>
        </w:tc>
        <w:tc>
          <w:tcPr>
            <w:tcW w:w="1559" w:type="dxa"/>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136 (31.0</w:t>
            </w:r>
            <w:r w:rsidR="002E7863" w:rsidRPr="00ED7513">
              <w:rPr>
                <w:rFonts w:ascii="Book Antiqua" w:hAnsi="Book Antiqua"/>
                <w:color w:val="000000" w:themeColor="text1"/>
                <w:sz w:val="24"/>
                <w:szCs w:val="24"/>
              </w:rPr>
              <w:t>)</w:t>
            </w:r>
          </w:p>
        </w:tc>
        <w:tc>
          <w:tcPr>
            <w:tcW w:w="1984"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104 (76.5</w:t>
            </w:r>
            <w:r w:rsidR="002E7863" w:rsidRPr="00ED7513">
              <w:rPr>
                <w:rFonts w:ascii="Book Antiqua" w:hAnsi="Book Antiqua"/>
                <w:color w:val="000000" w:themeColor="text1"/>
                <w:sz w:val="24"/>
                <w:szCs w:val="24"/>
              </w:rPr>
              <w:t>)</w:t>
            </w:r>
          </w:p>
        </w:tc>
        <w:tc>
          <w:tcPr>
            <w:tcW w:w="2127"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32 (23.5</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pT4a</w:t>
            </w:r>
          </w:p>
        </w:tc>
        <w:tc>
          <w:tcPr>
            <w:tcW w:w="1559" w:type="dxa"/>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251 (57.0</w:t>
            </w:r>
            <w:r w:rsidR="002E7863" w:rsidRPr="00ED7513">
              <w:rPr>
                <w:rFonts w:ascii="Book Antiqua" w:hAnsi="Book Antiqua"/>
                <w:color w:val="000000" w:themeColor="text1"/>
                <w:sz w:val="24"/>
                <w:szCs w:val="24"/>
              </w:rPr>
              <w:t>)</w:t>
            </w:r>
          </w:p>
        </w:tc>
        <w:tc>
          <w:tcPr>
            <w:tcW w:w="1984"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148 (59.0</w:t>
            </w:r>
            <w:r w:rsidR="002E7863" w:rsidRPr="00ED7513">
              <w:rPr>
                <w:rFonts w:ascii="Book Antiqua" w:hAnsi="Book Antiqua"/>
                <w:color w:val="000000" w:themeColor="text1"/>
                <w:sz w:val="24"/>
                <w:szCs w:val="24"/>
              </w:rPr>
              <w:t>)</w:t>
            </w:r>
          </w:p>
        </w:tc>
        <w:tc>
          <w:tcPr>
            <w:tcW w:w="2127"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103 (41.0</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 xml:space="preserve">AJCC </w:t>
            </w:r>
            <w:proofErr w:type="spellStart"/>
            <w:r w:rsidRPr="00ED7513">
              <w:rPr>
                <w:rFonts w:ascii="Book Antiqua" w:hAnsi="Book Antiqua"/>
                <w:color w:val="000000" w:themeColor="text1"/>
                <w:sz w:val="24"/>
                <w:szCs w:val="24"/>
              </w:rPr>
              <w:t>pN</w:t>
            </w:r>
            <w:proofErr w:type="spellEnd"/>
            <w:r w:rsidRPr="00ED7513">
              <w:rPr>
                <w:rFonts w:ascii="Book Antiqua" w:hAnsi="Book Antiqua"/>
                <w:color w:val="000000" w:themeColor="text1"/>
                <w:sz w:val="24"/>
                <w:szCs w:val="24"/>
              </w:rPr>
              <w:t xml:space="preserve"> category</w:t>
            </w:r>
          </w:p>
        </w:tc>
        <w:tc>
          <w:tcPr>
            <w:tcW w:w="1559" w:type="dxa"/>
          </w:tcPr>
          <w:p w:rsidR="002E7863" w:rsidRPr="00ED7513" w:rsidRDefault="002E7863" w:rsidP="00ED7513">
            <w:pPr>
              <w:spacing w:line="360" w:lineRule="auto"/>
              <w:rPr>
                <w:rFonts w:ascii="Book Antiqua" w:hAnsi="Book Antiqua"/>
                <w:color w:val="000000" w:themeColor="text1"/>
                <w:sz w:val="24"/>
                <w:szCs w:val="24"/>
              </w:rPr>
            </w:pPr>
          </w:p>
        </w:tc>
        <w:tc>
          <w:tcPr>
            <w:tcW w:w="1984"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2127"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0.000</w:t>
            </w: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pN0</w:t>
            </w:r>
          </w:p>
        </w:tc>
        <w:tc>
          <w:tcPr>
            <w:tcW w:w="1559" w:type="dxa"/>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102 (23.2</w:t>
            </w:r>
            <w:r w:rsidR="002E7863" w:rsidRPr="00ED7513">
              <w:rPr>
                <w:rFonts w:ascii="Book Antiqua" w:hAnsi="Book Antiqua"/>
                <w:color w:val="000000" w:themeColor="text1"/>
                <w:sz w:val="24"/>
                <w:szCs w:val="24"/>
              </w:rPr>
              <w:t>)</w:t>
            </w:r>
          </w:p>
        </w:tc>
        <w:tc>
          <w:tcPr>
            <w:tcW w:w="1984"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96 (94.1</w:t>
            </w:r>
            <w:r w:rsidR="002E7863" w:rsidRPr="00ED7513">
              <w:rPr>
                <w:rFonts w:ascii="Book Antiqua" w:hAnsi="Book Antiqua"/>
                <w:color w:val="000000" w:themeColor="text1"/>
                <w:sz w:val="24"/>
                <w:szCs w:val="24"/>
              </w:rPr>
              <w:t>)</w:t>
            </w:r>
          </w:p>
        </w:tc>
        <w:tc>
          <w:tcPr>
            <w:tcW w:w="2127"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6 (5.9</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lastRenderedPageBreak/>
              <w:t>pN1</w:t>
            </w:r>
          </w:p>
        </w:tc>
        <w:tc>
          <w:tcPr>
            <w:tcW w:w="1559" w:type="dxa"/>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71 (16.2</w:t>
            </w:r>
            <w:r w:rsidR="002E7863" w:rsidRPr="00ED7513">
              <w:rPr>
                <w:rFonts w:ascii="Book Antiqua" w:hAnsi="Book Antiqua"/>
                <w:color w:val="000000" w:themeColor="text1"/>
                <w:sz w:val="24"/>
                <w:szCs w:val="24"/>
              </w:rPr>
              <w:t>)</w:t>
            </w:r>
          </w:p>
        </w:tc>
        <w:tc>
          <w:tcPr>
            <w:tcW w:w="1984"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51 (71.8</w:t>
            </w:r>
            <w:r w:rsidR="002E7863" w:rsidRPr="00ED7513">
              <w:rPr>
                <w:rFonts w:ascii="Book Antiqua" w:hAnsi="Book Antiqua"/>
                <w:color w:val="000000" w:themeColor="text1"/>
                <w:sz w:val="24"/>
                <w:szCs w:val="24"/>
              </w:rPr>
              <w:t>)</w:t>
            </w:r>
          </w:p>
        </w:tc>
        <w:tc>
          <w:tcPr>
            <w:tcW w:w="2127"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20 (28.2</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pN2</w:t>
            </w:r>
          </w:p>
        </w:tc>
        <w:tc>
          <w:tcPr>
            <w:tcW w:w="1559" w:type="dxa"/>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98 (22.2</w:t>
            </w:r>
            <w:r w:rsidR="002E7863" w:rsidRPr="00ED7513">
              <w:rPr>
                <w:rFonts w:ascii="Book Antiqua" w:hAnsi="Book Antiqua"/>
                <w:color w:val="000000" w:themeColor="text1"/>
                <w:sz w:val="24"/>
                <w:szCs w:val="24"/>
              </w:rPr>
              <w:t>)</w:t>
            </w:r>
          </w:p>
        </w:tc>
        <w:tc>
          <w:tcPr>
            <w:tcW w:w="1984"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65 (66.3</w:t>
            </w:r>
            <w:r w:rsidR="002E7863" w:rsidRPr="00ED7513">
              <w:rPr>
                <w:rFonts w:ascii="Book Antiqua" w:hAnsi="Book Antiqua"/>
                <w:color w:val="000000" w:themeColor="text1"/>
                <w:sz w:val="24"/>
                <w:szCs w:val="24"/>
              </w:rPr>
              <w:t>)</w:t>
            </w:r>
          </w:p>
        </w:tc>
        <w:tc>
          <w:tcPr>
            <w:tcW w:w="2127"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33 (33.7</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pN3a</w:t>
            </w:r>
          </w:p>
        </w:tc>
        <w:tc>
          <w:tcPr>
            <w:tcW w:w="1559" w:type="dxa"/>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89 (20.2</w:t>
            </w:r>
            <w:r w:rsidR="002E7863" w:rsidRPr="00ED7513">
              <w:rPr>
                <w:rFonts w:ascii="Book Antiqua" w:hAnsi="Book Antiqua"/>
                <w:color w:val="000000" w:themeColor="text1"/>
                <w:sz w:val="24"/>
                <w:szCs w:val="24"/>
              </w:rPr>
              <w:t>)</w:t>
            </w:r>
          </w:p>
        </w:tc>
        <w:tc>
          <w:tcPr>
            <w:tcW w:w="1984"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47 (52.8</w:t>
            </w:r>
            <w:r w:rsidR="002E7863" w:rsidRPr="00ED7513">
              <w:rPr>
                <w:rFonts w:ascii="Book Antiqua" w:hAnsi="Book Antiqua"/>
                <w:color w:val="000000" w:themeColor="text1"/>
                <w:sz w:val="24"/>
                <w:szCs w:val="24"/>
              </w:rPr>
              <w:t>)</w:t>
            </w:r>
          </w:p>
        </w:tc>
        <w:tc>
          <w:tcPr>
            <w:tcW w:w="2127"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42 (47.2</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pN3b</w:t>
            </w:r>
          </w:p>
        </w:tc>
        <w:tc>
          <w:tcPr>
            <w:tcW w:w="1559" w:type="dxa"/>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80 (18.2</w:t>
            </w:r>
            <w:r w:rsidR="002E7863" w:rsidRPr="00ED7513">
              <w:rPr>
                <w:rFonts w:ascii="Book Antiqua" w:hAnsi="Book Antiqua"/>
                <w:color w:val="000000" w:themeColor="text1"/>
                <w:sz w:val="24"/>
                <w:szCs w:val="24"/>
              </w:rPr>
              <w:t>)</w:t>
            </w:r>
          </w:p>
        </w:tc>
        <w:tc>
          <w:tcPr>
            <w:tcW w:w="1984"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30 (37.5</w:t>
            </w:r>
            <w:r w:rsidR="002E7863" w:rsidRPr="00ED7513">
              <w:rPr>
                <w:rFonts w:ascii="Book Antiqua" w:hAnsi="Book Antiqua"/>
                <w:color w:val="000000" w:themeColor="text1"/>
                <w:sz w:val="24"/>
                <w:szCs w:val="24"/>
              </w:rPr>
              <w:t>)</w:t>
            </w:r>
          </w:p>
        </w:tc>
        <w:tc>
          <w:tcPr>
            <w:tcW w:w="2127"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50 (62.5</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7"/>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Resection type</w:t>
            </w:r>
          </w:p>
        </w:tc>
        <w:tc>
          <w:tcPr>
            <w:tcW w:w="1559" w:type="dxa"/>
          </w:tcPr>
          <w:p w:rsidR="002E7863" w:rsidRPr="00ED7513" w:rsidRDefault="002E7863" w:rsidP="00ED7513">
            <w:pPr>
              <w:spacing w:line="360" w:lineRule="auto"/>
              <w:rPr>
                <w:rFonts w:ascii="Book Antiqua" w:hAnsi="Book Antiqua"/>
                <w:color w:val="000000" w:themeColor="text1"/>
                <w:sz w:val="24"/>
                <w:szCs w:val="24"/>
              </w:rPr>
            </w:pPr>
          </w:p>
        </w:tc>
        <w:tc>
          <w:tcPr>
            <w:tcW w:w="1984"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2127"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0.426</w:t>
            </w:r>
          </w:p>
        </w:tc>
      </w:tr>
      <w:tr w:rsidR="00921D66" w:rsidRPr="00ED7513" w:rsidTr="00446EA2">
        <w:trPr>
          <w:trHeight w:val="237"/>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Proximal</w:t>
            </w:r>
          </w:p>
        </w:tc>
        <w:tc>
          <w:tcPr>
            <w:tcW w:w="1559" w:type="dxa"/>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97 (22.1</w:t>
            </w:r>
            <w:r w:rsidR="002E7863" w:rsidRPr="00ED7513">
              <w:rPr>
                <w:rFonts w:ascii="Book Antiqua" w:hAnsi="Book Antiqua"/>
                <w:color w:val="000000" w:themeColor="text1"/>
                <w:sz w:val="24"/>
                <w:szCs w:val="24"/>
              </w:rPr>
              <w:t>)</w:t>
            </w:r>
          </w:p>
        </w:tc>
        <w:tc>
          <w:tcPr>
            <w:tcW w:w="1984"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67 (69.1</w:t>
            </w:r>
            <w:r w:rsidR="002E7863" w:rsidRPr="00ED7513">
              <w:rPr>
                <w:rFonts w:ascii="Book Antiqua" w:hAnsi="Book Antiqua"/>
                <w:color w:val="000000" w:themeColor="text1"/>
                <w:sz w:val="24"/>
                <w:szCs w:val="24"/>
              </w:rPr>
              <w:t>)</w:t>
            </w:r>
          </w:p>
        </w:tc>
        <w:tc>
          <w:tcPr>
            <w:tcW w:w="2127"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30 (30.1</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7"/>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Total</w:t>
            </w:r>
          </w:p>
        </w:tc>
        <w:tc>
          <w:tcPr>
            <w:tcW w:w="1559" w:type="dxa"/>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343 (77.9</w:t>
            </w:r>
            <w:r w:rsidR="002E7863" w:rsidRPr="00ED7513">
              <w:rPr>
                <w:rFonts w:ascii="Book Antiqua" w:hAnsi="Book Antiqua"/>
                <w:color w:val="000000" w:themeColor="text1"/>
                <w:sz w:val="24"/>
                <w:szCs w:val="24"/>
              </w:rPr>
              <w:t>)</w:t>
            </w:r>
          </w:p>
        </w:tc>
        <w:tc>
          <w:tcPr>
            <w:tcW w:w="1984"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222 (64.7</w:t>
            </w:r>
            <w:r w:rsidR="002E7863" w:rsidRPr="00ED7513">
              <w:rPr>
                <w:rFonts w:ascii="Book Antiqua" w:hAnsi="Book Antiqua"/>
                <w:color w:val="000000" w:themeColor="text1"/>
                <w:sz w:val="24"/>
                <w:szCs w:val="24"/>
              </w:rPr>
              <w:t>)</w:t>
            </w:r>
          </w:p>
        </w:tc>
        <w:tc>
          <w:tcPr>
            <w:tcW w:w="2127"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121 (35.3</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7"/>
        </w:trPr>
        <w:tc>
          <w:tcPr>
            <w:tcW w:w="5953" w:type="dxa"/>
            <w:gridSpan w:val="3"/>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Combined other organ resection</w:t>
            </w:r>
          </w:p>
        </w:tc>
        <w:tc>
          <w:tcPr>
            <w:tcW w:w="2127" w:type="dxa"/>
            <w:vAlign w:val="center"/>
          </w:tcPr>
          <w:p w:rsidR="002E7863" w:rsidRPr="00ED7513" w:rsidRDefault="002E7863" w:rsidP="00ED7513">
            <w:pPr>
              <w:spacing w:line="360" w:lineRule="auto"/>
              <w:rPr>
                <w:rFonts w:ascii="Book Antiqua" w:hAnsi="Book Antiqua"/>
                <w:color w:val="000000" w:themeColor="text1"/>
                <w:sz w:val="24"/>
                <w:szCs w:val="24"/>
              </w:rPr>
            </w:pP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0.815</w:t>
            </w:r>
          </w:p>
        </w:tc>
      </w:tr>
      <w:tr w:rsidR="00921D66" w:rsidRPr="00ED7513" w:rsidTr="00446EA2">
        <w:trPr>
          <w:trHeight w:val="237"/>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No</w:t>
            </w:r>
          </w:p>
        </w:tc>
        <w:tc>
          <w:tcPr>
            <w:tcW w:w="1559"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396 (90.0)</w:t>
            </w:r>
          </w:p>
        </w:tc>
        <w:tc>
          <w:tcPr>
            <w:tcW w:w="1984"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259 (65.4</w:t>
            </w:r>
            <w:r w:rsidR="002E7863" w:rsidRPr="00ED7513">
              <w:rPr>
                <w:rFonts w:ascii="Book Antiqua" w:hAnsi="Book Antiqua"/>
                <w:color w:val="000000" w:themeColor="text1"/>
                <w:sz w:val="24"/>
                <w:szCs w:val="24"/>
              </w:rPr>
              <w:t>)</w:t>
            </w:r>
          </w:p>
        </w:tc>
        <w:tc>
          <w:tcPr>
            <w:tcW w:w="2127"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137 (34.6</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36"/>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Yes</w:t>
            </w:r>
          </w:p>
        </w:tc>
        <w:tc>
          <w:tcPr>
            <w:tcW w:w="1559" w:type="dxa"/>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44 (10.0</w:t>
            </w:r>
            <w:r w:rsidR="002E7863" w:rsidRPr="00ED7513">
              <w:rPr>
                <w:rFonts w:ascii="Book Antiqua" w:hAnsi="Book Antiqua"/>
                <w:color w:val="000000" w:themeColor="text1"/>
                <w:sz w:val="24"/>
                <w:szCs w:val="24"/>
              </w:rPr>
              <w:t>)</w:t>
            </w:r>
          </w:p>
        </w:tc>
        <w:tc>
          <w:tcPr>
            <w:tcW w:w="1984"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30 (68.2</w:t>
            </w:r>
            <w:r w:rsidR="002E7863" w:rsidRPr="00ED7513">
              <w:rPr>
                <w:rFonts w:ascii="Book Antiqua" w:hAnsi="Book Antiqua"/>
                <w:color w:val="000000" w:themeColor="text1"/>
                <w:sz w:val="24"/>
                <w:szCs w:val="24"/>
              </w:rPr>
              <w:t>)</w:t>
            </w:r>
          </w:p>
        </w:tc>
        <w:tc>
          <w:tcPr>
            <w:tcW w:w="2127" w:type="dxa"/>
            <w:vAlign w:val="center"/>
          </w:tcPr>
          <w:p w:rsidR="002E7863" w:rsidRPr="00ED7513" w:rsidRDefault="00446EA2"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14 (31.8</w:t>
            </w:r>
            <w:r w:rsidR="002E7863" w:rsidRPr="00ED7513">
              <w:rPr>
                <w:rFonts w:ascii="Book Antiqua" w:hAnsi="Book Antiqua"/>
                <w:color w:val="000000" w:themeColor="text1"/>
                <w:sz w:val="24"/>
                <w:szCs w:val="24"/>
              </w:rPr>
              <w:t>)</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p>
        </w:tc>
      </w:tr>
      <w:tr w:rsidR="00921D66" w:rsidRPr="00ED7513" w:rsidTr="00446EA2">
        <w:trPr>
          <w:trHeight w:val="250"/>
        </w:trPr>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 xml:space="preserve">Survival at 5 </w:t>
            </w:r>
            <w:proofErr w:type="spellStart"/>
            <w:r w:rsidRPr="00ED7513">
              <w:rPr>
                <w:rFonts w:ascii="Book Antiqua" w:hAnsi="Book Antiqua"/>
                <w:color w:val="000000" w:themeColor="text1"/>
                <w:sz w:val="24"/>
                <w:szCs w:val="24"/>
              </w:rPr>
              <w:t>yr</w:t>
            </w:r>
            <w:proofErr w:type="spellEnd"/>
            <w:r w:rsidRPr="00ED7513">
              <w:rPr>
                <w:rFonts w:ascii="Book Antiqua" w:hAnsi="Book Antiqua"/>
                <w:color w:val="000000" w:themeColor="text1"/>
                <w:sz w:val="24"/>
                <w:szCs w:val="24"/>
              </w:rPr>
              <w:t xml:space="preserve"> </w:t>
            </w:r>
          </w:p>
        </w:tc>
        <w:tc>
          <w:tcPr>
            <w:tcW w:w="1559"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34.2%</w:t>
            </w:r>
          </w:p>
        </w:tc>
        <w:tc>
          <w:tcPr>
            <w:tcW w:w="1984"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42.5%</w:t>
            </w:r>
          </w:p>
        </w:tc>
        <w:tc>
          <w:tcPr>
            <w:tcW w:w="2127"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25.1%</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0.000</w:t>
            </w:r>
          </w:p>
        </w:tc>
      </w:tr>
      <w:tr w:rsidR="00921D66" w:rsidRPr="00ED7513" w:rsidTr="00446EA2">
        <w:trPr>
          <w:trHeight w:val="250"/>
        </w:trPr>
        <w:tc>
          <w:tcPr>
            <w:tcW w:w="9355" w:type="dxa"/>
            <w:gridSpan w:val="5"/>
          </w:tcPr>
          <w:p w:rsidR="002E7863" w:rsidRPr="00ED7513" w:rsidRDefault="002E7863" w:rsidP="00ED7513">
            <w:pPr>
              <w:spacing w:line="360" w:lineRule="auto"/>
              <w:rPr>
                <w:rFonts w:ascii="Book Antiqua" w:hAnsi="Book Antiqua"/>
                <w:color w:val="000000" w:themeColor="text1"/>
                <w:sz w:val="24"/>
                <w:szCs w:val="24"/>
              </w:rPr>
            </w:pPr>
          </w:p>
        </w:tc>
      </w:tr>
    </w:tbl>
    <w:p w:rsidR="001F394D" w:rsidRPr="00ED7513" w:rsidRDefault="00446EA2" w:rsidP="00ED7513">
      <w:pPr>
        <w:spacing w:line="360" w:lineRule="auto"/>
        <w:ind w:leftChars="-270" w:left="-567"/>
        <w:rPr>
          <w:rFonts w:ascii="Book Antiqua" w:hAnsi="Book Antiqua"/>
          <w:color w:val="000000" w:themeColor="text1"/>
          <w:sz w:val="24"/>
          <w:szCs w:val="24"/>
        </w:rPr>
      </w:pPr>
      <w:r w:rsidRPr="00ED7513">
        <w:rPr>
          <w:rFonts w:ascii="Book Antiqua" w:hAnsi="Book Antiqua"/>
          <w:color w:val="000000" w:themeColor="text1"/>
          <w:sz w:val="24"/>
          <w:szCs w:val="24"/>
          <w:vertAlign w:val="superscript"/>
        </w:rPr>
        <w:t>1</w:t>
      </w:r>
      <w:r w:rsidR="009E7910" w:rsidRPr="00ED7513">
        <w:rPr>
          <w:rFonts w:ascii="Book Antiqua" w:hAnsi="Book Antiqua"/>
          <w:color w:val="000000" w:themeColor="text1"/>
          <w:sz w:val="24"/>
          <w:szCs w:val="24"/>
        </w:rPr>
        <w:t>Adjacent organs invaded were diagnosed by the surgeon intraoperatively.</w:t>
      </w:r>
    </w:p>
    <w:p w:rsidR="001F394D" w:rsidRPr="00ED7513" w:rsidRDefault="001F394D" w:rsidP="00ED7513">
      <w:pPr>
        <w:spacing w:line="360" w:lineRule="auto"/>
        <w:ind w:leftChars="-270" w:left="-567"/>
        <w:rPr>
          <w:rFonts w:ascii="Book Antiqua" w:hAnsi="Book Antiqua"/>
          <w:color w:val="000000" w:themeColor="text1"/>
          <w:sz w:val="24"/>
          <w:szCs w:val="24"/>
        </w:rPr>
      </w:pPr>
    </w:p>
    <w:p w:rsidR="001B5D93" w:rsidRPr="00ED7513" w:rsidRDefault="001B5D93" w:rsidP="00ED7513">
      <w:pPr>
        <w:widowControl/>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br w:type="page"/>
      </w:r>
    </w:p>
    <w:p w:rsidR="002E7863" w:rsidRPr="00ED7513" w:rsidRDefault="001B5D93" w:rsidP="00ED7513">
      <w:pPr>
        <w:spacing w:line="360" w:lineRule="auto"/>
        <w:rPr>
          <w:rFonts w:ascii="Book Antiqua" w:hAnsi="Book Antiqua"/>
          <w:b/>
          <w:color w:val="000000" w:themeColor="text1"/>
          <w:sz w:val="24"/>
          <w:szCs w:val="24"/>
        </w:rPr>
      </w:pPr>
      <w:r w:rsidRPr="00ED7513">
        <w:rPr>
          <w:rFonts w:ascii="Book Antiqua" w:hAnsi="Book Antiqua"/>
          <w:b/>
          <w:bCs/>
          <w:color w:val="000000" w:themeColor="text1"/>
          <w:sz w:val="24"/>
          <w:szCs w:val="24"/>
        </w:rPr>
        <w:lastRenderedPageBreak/>
        <w:t xml:space="preserve">Table 2 Univariate and multivariate analysis of prognostic factors in 440 patients with </w:t>
      </w:r>
      <w:r w:rsidR="005B6FA8" w:rsidRPr="00ED7513">
        <w:rPr>
          <w:rFonts w:ascii="Book Antiqua" w:hAnsi="Book Antiqua" w:cs="Times New Roman"/>
          <w:b/>
          <w:color w:val="000000" w:themeColor="text1"/>
          <w:sz w:val="24"/>
          <w:szCs w:val="24"/>
        </w:rPr>
        <w:t>advanced proximal gastric cancer</w:t>
      </w:r>
      <w:r w:rsidR="005B6FA8" w:rsidRPr="00ED7513">
        <w:rPr>
          <w:rFonts w:ascii="Book Antiqua" w:hAnsi="Book Antiqua"/>
          <w:b/>
          <w:bCs/>
          <w:color w:val="000000" w:themeColor="text1"/>
          <w:sz w:val="24"/>
          <w:szCs w:val="24"/>
        </w:rPr>
        <w:t xml:space="preserve"> </w:t>
      </w:r>
      <w:r w:rsidRPr="00ED7513">
        <w:rPr>
          <w:rFonts w:ascii="Book Antiqua" w:hAnsi="Book Antiqua"/>
          <w:b/>
          <w:bCs/>
          <w:color w:val="000000" w:themeColor="text1"/>
          <w:sz w:val="24"/>
          <w:szCs w:val="24"/>
        </w:rPr>
        <w:t>after curative resection</w:t>
      </w:r>
    </w:p>
    <w:tbl>
      <w:tblPr>
        <w:tblW w:w="10087" w:type="dxa"/>
        <w:tblInd w:w="-1007" w:type="dxa"/>
        <w:tblBorders>
          <w:top w:val="single" w:sz="6" w:space="0" w:color="131413"/>
          <w:bottom w:val="single" w:sz="6" w:space="0" w:color="131413"/>
        </w:tblBorders>
        <w:tblLayout w:type="fixed"/>
        <w:tblCellMar>
          <w:left w:w="0" w:type="dxa"/>
          <w:right w:w="0" w:type="dxa"/>
        </w:tblCellMar>
        <w:tblLook w:val="01E0" w:firstRow="1" w:lastRow="1" w:firstColumn="1" w:lastColumn="1" w:noHBand="0" w:noVBand="0"/>
      </w:tblPr>
      <w:tblGrid>
        <w:gridCol w:w="2835"/>
        <w:gridCol w:w="2410"/>
        <w:gridCol w:w="1299"/>
        <w:gridCol w:w="2268"/>
        <w:gridCol w:w="1275"/>
      </w:tblGrid>
      <w:tr w:rsidR="001B5D93" w:rsidRPr="00ED7513" w:rsidTr="00FB1A6A">
        <w:trPr>
          <w:trHeight w:val="306"/>
        </w:trPr>
        <w:tc>
          <w:tcPr>
            <w:tcW w:w="2835" w:type="dxa"/>
            <w:vMerge w:val="restart"/>
            <w:tcBorders>
              <w:top w:val="single" w:sz="6" w:space="0" w:color="131413"/>
              <w:bottom w:val="single" w:sz="6" w:space="0" w:color="131413"/>
            </w:tcBorders>
          </w:tcPr>
          <w:p w:rsidR="001B5D93" w:rsidRPr="00ED7513" w:rsidRDefault="001B5D93" w:rsidP="00ED7513">
            <w:pPr>
              <w:spacing w:line="360" w:lineRule="auto"/>
              <w:rPr>
                <w:rFonts w:ascii="Book Antiqua" w:hAnsi="Book Antiqua"/>
                <w:color w:val="000000" w:themeColor="text1"/>
                <w:sz w:val="24"/>
                <w:szCs w:val="24"/>
              </w:rPr>
            </w:pPr>
          </w:p>
        </w:tc>
        <w:tc>
          <w:tcPr>
            <w:tcW w:w="3709" w:type="dxa"/>
            <w:gridSpan w:val="2"/>
            <w:tcBorders>
              <w:top w:val="single" w:sz="6" w:space="0" w:color="131413"/>
              <w:bottom w:val="single" w:sz="6" w:space="0" w:color="131413"/>
            </w:tcBorders>
          </w:tcPr>
          <w:p w:rsidR="001B5D93" w:rsidRPr="00ED7513" w:rsidRDefault="001B5D93" w:rsidP="00ED7513">
            <w:pPr>
              <w:spacing w:line="360" w:lineRule="auto"/>
              <w:ind w:firstLineChars="350" w:firstLine="843"/>
              <w:rPr>
                <w:rFonts w:ascii="Book Antiqua" w:hAnsi="Book Antiqua"/>
                <w:b/>
                <w:color w:val="000000" w:themeColor="text1"/>
                <w:sz w:val="24"/>
                <w:szCs w:val="24"/>
              </w:rPr>
            </w:pPr>
            <w:r w:rsidRPr="00ED7513">
              <w:rPr>
                <w:rFonts w:ascii="Book Antiqua" w:hAnsi="Book Antiqua"/>
                <w:b/>
                <w:color w:val="000000" w:themeColor="text1"/>
                <w:sz w:val="24"/>
                <w:szCs w:val="24"/>
              </w:rPr>
              <w:t>Univariate analysis</w:t>
            </w:r>
          </w:p>
        </w:tc>
        <w:tc>
          <w:tcPr>
            <w:tcW w:w="3543" w:type="dxa"/>
            <w:gridSpan w:val="2"/>
            <w:tcBorders>
              <w:top w:val="single" w:sz="6" w:space="0" w:color="131413"/>
              <w:bottom w:val="single" w:sz="6" w:space="0" w:color="131413"/>
            </w:tcBorders>
          </w:tcPr>
          <w:p w:rsidR="001B5D93" w:rsidRPr="00ED7513" w:rsidRDefault="001B5D93" w:rsidP="00ED7513">
            <w:pPr>
              <w:spacing w:line="360" w:lineRule="auto"/>
              <w:rPr>
                <w:rFonts w:ascii="Book Antiqua" w:hAnsi="Book Antiqua"/>
                <w:b/>
                <w:color w:val="000000" w:themeColor="text1"/>
                <w:sz w:val="24"/>
                <w:szCs w:val="24"/>
              </w:rPr>
            </w:pPr>
            <w:r w:rsidRPr="00ED7513">
              <w:rPr>
                <w:rFonts w:ascii="Book Antiqua" w:hAnsi="Book Antiqua"/>
                <w:b/>
                <w:color w:val="000000" w:themeColor="text1"/>
                <w:sz w:val="24"/>
                <w:szCs w:val="24"/>
              </w:rPr>
              <w:t>Multivariate analysis</w:t>
            </w:r>
          </w:p>
        </w:tc>
      </w:tr>
      <w:tr w:rsidR="001B5D93" w:rsidRPr="00ED7513" w:rsidTr="00FB1A6A">
        <w:trPr>
          <w:trHeight w:val="306"/>
        </w:trPr>
        <w:tc>
          <w:tcPr>
            <w:tcW w:w="2835" w:type="dxa"/>
            <w:vMerge/>
            <w:tcBorders>
              <w:top w:val="single" w:sz="6" w:space="0" w:color="131413"/>
              <w:bottom w:val="single" w:sz="6" w:space="0" w:color="131413"/>
            </w:tcBorders>
          </w:tcPr>
          <w:p w:rsidR="001B5D93" w:rsidRPr="00ED7513" w:rsidRDefault="001B5D93" w:rsidP="00ED7513">
            <w:pPr>
              <w:spacing w:line="360" w:lineRule="auto"/>
              <w:rPr>
                <w:rFonts w:ascii="Book Antiqua" w:hAnsi="Book Antiqua"/>
                <w:color w:val="000000" w:themeColor="text1"/>
                <w:sz w:val="24"/>
                <w:szCs w:val="24"/>
              </w:rPr>
            </w:pPr>
          </w:p>
        </w:tc>
        <w:tc>
          <w:tcPr>
            <w:tcW w:w="2410" w:type="dxa"/>
            <w:tcBorders>
              <w:top w:val="single" w:sz="6" w:space="0" w:color="131413"/>
              <w:bottom w:val="single" w:sz="6" w:space="0" w:color="131413"/>
            </w:tcBorders>
          </w:tcPr>
          <w:p w:rsidR="001B5D93" w:rsidRPr="00ED7513" w:rsidRDefault="001B5D93" w:rsidP="00ED7513">
            <w:pPr>
              <w:spacing w:line="360" w:lineRule="auto"/>
              <w:rPr>
                <w:rFonts w:ascii="Book Antiqua" w:hAnsi="Book Antiqua"/>
                <w:b/>
                <w:color w:val="000000" w:themeColor="text1"/>
                <w:sz w:val="24"/>
                <w:szCs w:val="24"/>
              </w:rPr>
            </w:pPr>
            <w:r w:rsidRPr="00ED7513">
              <w:rPr>
                <w:rFonts w:ascii="Book Antiqua" w:hAnsi="Book Antiqua"/>
                <w:b/>
                <w:color w:val="000000" w:themeColor="text1"/>
                <w:sz w:val="24"/>
                <w:szCs w:val="24"/>
              </w:rPr>
              <w:t>Hazard ratio (95% CI)</w:t>
            </w:r>
          </w:p>
        </w:tc>
        <w:tc>
          <w:tcPr>
            <w:tcW w:w="1299" w:type="dxa"/>
            <w:tcBorders>
              <w:top w:val="single" w:sz="6" w:space="0" w:color="131413"/>
              <w:bottom w:val="single" w:sz="6" w:space="0" w:color="131413"/>
            </w:tcBorders>
          </w:tcPr>
          <w:p w:rsidR="001B5D93" w:rsidRPr="00ED7513" w:rsidRDefault="001B5D93" w:rsidP="00ED7513">
            <w:pPr>
              <w:spacing w:line="360" w:lineRule="auto"/>
              <w:rPr>
                <w:rFonts w:ascii="Book Antiqua" w:hAnsi="Book Antiqua"/>
                <w:b/>
                <w:color w:val="000000" w:themeColor="text1"/>
                <w:sz w:val="24"/>
                <w:szCs w:val="24"/>
              </w:rPr>
            </w:pPr>
            <w:r w:rsidRPr="00ED7513">
              <w:rPr>
                <w:rFonts w:ascii="Book Antiqua" w:hAnsi="Book Antiqua"/>
                <w:b/>
                <w:i/>
                <w:color w:val="000000" w:themeColor="text1"/>
                <w:sz w:val="24"/>
                <w:szCs w:val="24"/>
              </w:rPr>
              <w:t>P</w:t>
            </w:r>
            <w:r w:rsidRPr="00ED7513">
              <w:rPr>
                <w:rFonts w:ascii="Book Antiqua" w:hAnsi="Book Antiqua"/>
                <w:b/>
                <w:color w:val="000000" w:themeColor="text1"/>
                <w:sz w:val="24"/>
                <w:szCs w:val="24"/>
              </w:rPr>
              <w:t xml:space="preserve"> value</w:t>
            </w:r>
          </w:p>
        </w:tc>
        <w:tc>
          <w:tcPr>
            <w:tcW w:w="2268" w:type="dxa"/>
            <w:tcBorders>
              <w:top w:val="single" w:sz="6" w:space="0" w:color="131413"/>
              <w:bottom w:val="single" w:sz="6" w:space="0" w:color="131413"/>
            </w:tcBorders>
          </w:tcPr>
          <w:p w:rsidR="001B5D93" w:rsidRPr="00ED7513" w:rsidRDefault="001B5D93" w:rsidP="00ED7513">
            <w:pPr>
              <w:spacing w:line="360" w:lineRule="auto"/>
              <w:rPr>
                <w:rFonts w:ascii="Book Antiqua" w:hAnsi="Book Antiqua"/>
                <w:b/>
                <w:color w:val="000000" w:themeColor="text1"/>
                <w:sz w:val="24"/>
                <w:szCs w:val="24"/>
              </w:rPr>
            </w:pPr>
            <w:r w:rsidRPr="00ED7513">
              <w:rPr>
                <w:rFonts w:ascii="Book Antiqua" w:hAnsi="Book Antiqua"/>
                <w:b/>
                <w:color w:val="000000" w:themeColor="text1"/>
                <w:sz w:val="24"/>
                <w:szCs w:val="24"/>
              </w:rPr>
              <w:t>Hazard ratio (95% CI)</w:t>
            </w:r>
          </w:p>
        </w:tc>
        <w:tc>
          <w:tcPr>
            <w:tcW w:w="1275" w:type="dxa"/>
            <w:tcBorders>
              <w:top w:val="single" w:sz="6" w:space="0" w:color="131413"/>
              <w:bottom w:val="single" w:sz="6" w:space="0" w:color="131413"/>
            </w:tcBorders>
            <w:vAlign w:val="center"/>
          </w:tcPr>
          <w:p w:rsidR="001B5D93" w:rsidRPr="00ED7513" w:rsidRDefault="001B5D93" w:rsidP="00ED7513">
            <w:pPr>
              <w:spacing w:line="360" w:lineRule="auto"/>
              <w:rPr>
                <w:rFonts w:ascii="Book Antiqua" w:hAnsi="Book Antiqua"/>
                <w:b/>
                <w:color w:val="000000" w:themeColor="text1"/>
                <w:sz w:val="24"/>
                <w:szCs w:val="24"/>
              </w:rPr>
            </w:pPr>
            <w:bookmarkStart w:id="7" w:name="OLE_LINK1"/>
            <w:r w:rsidRPr="00ED7513">
              <w:rPr>
                <w:rFonts w:ascii="Book Antiqua" w:hAnsi="Book Antiqua"/>
                <w:b/>
                <w:i/>
                <w:color w:val="000000" w:themeColor="text1"/>
                <w:sz w:val="24"/>
                <w:szCs w:val="24"/>
              </w:rPr>
              <w:t>P</w:t>
            </w:r>
            <w:r w:rsidRPr="00ED7513">
              <w:rPr>
                <w:rFonts w:ascii="Book Antiqua" w:hAnsi="Book Antiqua"/>
                <w:b/>
                <w:color w:val="000000" w:themeColor="text1"/>
                <w:sz w:val="24"/>
                <w:szCs w:val="24"/>
              </w:rPr>
              <w:t xml:space="preserve"> value</w:t>
            </w:r>
            <w:bookmarkEnd w:id="7"/>
          </w:p>
        </w:tc>
      </w:tr>
      <w:tr w:rsidR="001B5D93" w:rsidRPr="00ED7513" w:rsidTr="00FB1A6A">
        <w:trPr>
          <w:trHeight w:val="306"/>
        </w:trPr>
        <w:tc>
          <w:tcPr>
            <w:tcW w:w="10087" w:type="dxa"/>
            <w:gridSpan w:val="5"/>
            <w:tcBorders>
              <w:top w:val="single" w:sz="6" w:space="0" w:color="131413"/>
            </w:tcBorders>
          </w:tcPr>
          <w:p w:rsidR="001B5D93" w:rsidRPr="00ED7513" w:rsidRDefault="001B5D9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Age (</w:t>
            </w:r>
            <w:proofErr w:type="spellStart"/>
            <w:r w:rsidRPr="00ED7513">
              <w:rPr>
                <w:rFonts w:ascii="Book Antiqua" w:hAnsi="Book Antiqua"/>
                <w:color w:val="000000" w:themeColor="text1"/>
                <w:sz w:val="24"/>
                <w:szCs w:val="24"/>
              </w:rPr>
              <w:t>yr</w:t>
            </w:r>
            <w:proofErr w:type="spellEnd"/>
            <w:r w:rsidRPr="00ED7513">
              <w:rPr>
                <w:rFonts w:ascii="Book Antiqua" w:hAnsi="Book Antiqua"/>
                <w:color w:val="000000" w:themeColor="text1"/>
                <w:sz w:val="24"/>
                <w:szCs w:val="24"/>
              </w:rPr>
              <w:t xml:space="preserve">) </w:t>
            </w:r>
          </w:p>
        </w:tc>
      </w:tr>
      <w:tr w:rsidR="001B5D93" w:rsidRPr="00ED7513" w:rsidTr="00FB1A6A">
        <w:trPr>
          <w:trHeight w:val="236"/>
        </w:trPr>
        <w:tc>
          <w:tcPr>
            <w:tcW w:w="2835" w:type="dxa"/>
            <w:vAlign w:val="center"/>
          </w:tcPr>
          <w:p w:rsidR="001B5D93" w:rsidRPr="00ED7513" w:rsidRDefault="001B5D9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 xml:space="preserve">&gt; 60 </w:t>
            </w:r>
            <w:r w:rsidRPr="00ED7513">
              <w:rPr>
                <w:rFonts w:ascii="Book Antiqua" w:hAnsi="Book Antiqua"/>
                <w:i/>
                <w:color w:val="000000" w:themeColor="text1"/>
                <w:sz w:val="24"/>
                <w:szCs w:val="24"/>
              </w:rPr>
              <w:t>vs</w:t>
            </w:r>
            <w:r w:rsidRPr="00ED7513">
              <w:rPr>
                <w:rFonts w:ascii="Book Antiqua" w:hAnsi="Book Antiqua"/>
                <w:color w:val="000000" w:themeColor="text1"/>
                <w:sz w:val="24"/>
                <w:szCs w:val="24"/>
              </w:rPr>
              <w:t xml:space="preserve"> ≤ 60</w:t>
            </w:r>
          </w:p>
        </w:tc>
        <w:tc>
          <w:tcPr>
            <w:tcW w:w="2410" w:type="dxa"/>
          </w:tcPr>
          <w:p w:rsidR="001B5D93" w:rsidRPr="00ED7513" w:rsidRDefault="001B5D9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1.295 (1.031-1.628)</w:t>
            </w:r>
          </w:p>
        </w:tc>
        <w:tc>
          <w:tcPr>
            <w:tcW w:w="1299" w:type="dxa"/>
          </w:tcPr>
          <w:p w:rsidR="001B5D93" w:rsidRPr="00ED7513" w:rsidRDefault="001B5D9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0.026</w:t>
            </w:r>
          </w:p>
        </w:tc>
        <w:tc>
          <w:tcPr>
            <w:tcW w:w="2268" w:type="dxa"/>
          </w:tcPr>
          <w:p w:rsidR="001B5D93" w:rsidRPr="00ED7513" w:rsidRDefault="001B5D9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1.206 (0.928-1.567)</w:t>
            </w:r>
          </w:p>
        </w:tc>
        <w:tc>
          <w:tcPr>
            <w:tcW w:w="1275" w:type="dxa"/>
          </w:tcPr>
          <w:p w:rsidR="001B5D93" w:rsidRPr="00ED7513" w:rsidRDefault="001B5D9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0.161</w:t>
            </w:r>
          </w:p>
        </w:tc>
      </w:tr>
      <w:tr w:rsidR="001B5D93" w:rsidRPr="00ED7513" w:rsidTr="00FB1A6A">
        <w:trPr>
          <w:trHeight w:val="236"/>
        </w:trPr>
        <w:tc>
          <w:tcPr>
            <w:tcW w:w="10087" w:type="dxa"/>
            <w:gridSpan w:val="5"/>
          </w:tcPr>
          <w:p w:rsidR="001B5D93" w:rsidRPr="00ED7513" w:rsidRDefault="001B5D9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Tumor size (cm)</w:t>
            </w:r>
          </w:p>
        </w:tc>
      </w:tr>
      <w:tr w:rsidR="00921D66" w:rsidRPr="00ED7513" w:rsidTr="00FB1A6A">
        <w:trPr>
          <w:trHeight w:val="236"/>
        </w:trPr>
        <w:tc>
          <w:tcPr>
            <w:tcW w:w="283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&gt;</w:t>
            </w:r>
            <w:r w:rsidR="001B5D93" w:rsidRPr="00ED7513">
              <w:rPr>
                <w:rFonts w:ascii="Book Antiqua" w:hAnsi="Book Antiqua"/>
                <w:color w:val="000000" w:themeColor="text1"/>
                <w:sz w:val="24"/>
                <w:szCs w:val="24"/>
              </w:rPr>
              <w:t xml:space="preserve"> </w:t>
            </w:r>
            <w:r w:rsidRPr="00ED7513">
              <w:rPr>
                <w:rFonts w:ascii="Book Antiqua" w:hAnsi="Book Antiqua"/>
                <w:color w:val="000000" w:themeColor="text1"/>
                <w:sz w:val="24"/>
                <w:szCs w:val="24"/>
              </w:rPr>
              <w:t xml:space="preserve">5 </w:t>
            </w:r>
            <w:r w:rsidRPr="00ED7513">
              <w:rPr>
                <w:rFonts w:ascii="Book Antiqua" w:hAnsi="Book Antiqua"/>
                <w:i/>
                <w:color w:val="000000" w:themeColor="text1"/>
                <w:sz w:val="24"/>
                <w:szCs w:val="24"/>
              </w:rPr>
              <w:t>vs</w:t>
            </w:r>
            <w:r w:rsidRPr="00ED7513">
              <w:rPr>
                <w:rFonts w:ascii="Book Antiqua" w:hAnsi="Book Antiqua"/>
                <w:color w:val="000000" w:themeColor="text1"/>
                <w:sz w:val="24"/>
                <w:szCs w:val="24"/>
              </w:rPr>
              <w:t xml:space="preserve"> ≤</w:t>
            </w:r>
            <w:r w:rsidR="001B5D93" w:rsidRPr="00ED7513">
              <w:rPr>
                <w:rFonts w:ascii="Book Antiqua" w:hAnsi="Book Antiqua"/>
                <w:color w:val="000000" w:themeColor="text1"/>
                <w:sz w:val="24"/>
                <w:szCs w:val="24"/>
              </w:rPr>
              <w:t xml:space="preserve"> </w:t>
            </w:r>
            <w:r w:rsidRPr="00ED7513">
              <w:rPr>
                <w:rFonts w:ascii="Book Antiqua" w:hAnsi="Book Antiqua"/>
                <w:color w:val="000000" w:themeColor="text1"/>
                <w:sz w:val="24"/>
                <w:szCs w:val="24"/>
              </w:rPr>
              <w:t>5</w:t>
            </w:r>
          </w:p>
        </w:tc>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2.118 (1.648-2.722)</w:t>
            </w:r>
          </w:p>
        </w:tc>
        <w:tc>
          <w:tcPr>
            <w:tcW w:w="1299"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0.000</w:t>
            </w:r>
          </w:p>
        </w:tc>
        <w:tc>
          <w:tcPr>
            <w:tcW w:w="2268"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1.246 (0.922-1.684)</w:t>
            </w:r>
          </w:p>
        </w:tc>
        <w:tc>
          <w:tcPr>
            <w:tcW w:w="127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0.153</w:t>
            </w:r>
          </w:p>
        </w:tc>
      </w:tr>
      <w:tr w:rsidR="001B5D93" w:rsidRPr="00ED7513" w:rsidTr="00FB1A6A">
        <w:trPr>
          <w:trHeight w:val="237"/>
        </w:trPr>
        <w:tc>
          <w:tcPr>
            <w:tcW w:w="10087" w:type="dxa"/>
            <w:gridSpan w:val="5"/>
          </w:tcPr>
          <w:p w:rsidR="001B5D93" w:rsidRPr="00ED7513" w:rsidRDefault="001B5D9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Adjacent organs invaded</w:t>
            </w:r>
            <w:r w:rsidRPr="00ED7513">
              <w:rPr>
                <w:rFonts w:ascii="Book Antiqua" w:hAnsi="Book Antiqua"/>
                <w:color w:val="000000" w:themeColor="text1"/>
                <w:sz w:val="24"/>
                <w:szCs w:val="24"/>
                <w:vertAlign w:val="superscript"/>
              </w:rPr>
              <w:t>1</w:t>
            </w:r>
          </w:p>
        </w:tc>
      </w:tr>
      <w:tr w:rsidR="00921D66" w:rsidRPr="00ED7513" w:rsidTr="00FB1A6A">
        <w:trPr>
          <w:trHeight w:val="237"/>
        </w:trPr>
        <w:tc>
          <w:tcPr>
            <w:tcW w:w="283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With vs Without</w:t>
            </w:r>
          </w:p>
        </w:tc>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1.630 (1.264-2.102)</w:t>
            </w:r>
          </w:p>
        </w:tc>
        <w:tc>
          <w:tcPr>
            <w:tcW w:w="1299"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0.000</w:t>
            </w:r>
          </w:p>
        </w:tc>
        <w:tc>
          <w:tcPr>
            <w:tcW w:w="2268"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1.436 (1.074-1.919)</w:t>
            </w:r>
          </w:p>
        </w:tc>
        <w:tc>
          <w:tcPr>
            <w:tcW w:w="127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0.015</w:t>
            </w:r>
          </w:p>
        </w:tc>
      </w:tr>
      <w:tr w:rsidR="00AB21BD" w:rsidRPr="00ED7513" w:rsidTr="00FB1A6A">
        <w:trPr>
          <w:trHeight w:val="237"/>
        </w:trPr>
        <w:tc>
          <w:tcPr>
            <w:tcW w:w="10087" w:type="dxa"/>
            <w:gridSpan w:val="5"/>
          </w:tcPr>
          <w:p w:rsidR="00AB21BD" w:rsidRPr="00ED7513" w:rsidRDefault="00AB21BD"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Histologic differentiation</w:t>
            </w:r>
          </w:p>
        </w:tc>
      </w:tr>
      <w:tr w:rsidR="00921D66" w:rsidRPr="00ED7513" w:rsidTr="00FB1A6A">
        <w:trPr>
          <w:trHeight w:val="236"/>
        </w:trPr>
        <w:tc>
          <w:tcPr>
            <w:tcW w:w="283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Poor vs well</w:t>
            </w:r>
          </w:p>
        </w:tc>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1.370 (1.088-1.725)</w:t>
            </w:r>
          </w:p>
        </w:tc>
        <w:tc>
          <w:tcPr>
            <w:tcW w:w="1299"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0.007</w:t>
            </w:r>
          </w:p>
        </w:tc>
        <w:tc>
          <w:tcPr>
            <w:tcW w:w="2268"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1.278 (0.980-1.666)</w:t>
            </w:r>
          </w:p>
        </w:tc>
        <w:tc>
          <w:tcPr>
            <w:tcW w:w="127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0.070</w:t>
            </w:r>
          </w:p>
        </w:tc>
      </w:tr>
      <w:tr w:rsidR="00921D66" w:rsidRPr="00ED7513" w:rsidTr="00FB1A6A">
        <w:trPr>
          <w:trHeight w:val="236"/>
        </w:trPr>
        <w:tc>
          <w:tcPr>
            <w:tcW w:w="283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 xml:space="preserve">AJCC </w:t>
            </w:r>
            <w:proofErr w:type="spellStart"/>
            <w:r w:rsidRPr="00ED7513">
              <w:rPr>
                <w:rFonts w:ascii="Book Antiqua" w:hAnsi="Book Antiqua"/>
                <w:color w:val="000000" w:themeColor="text1"/>
                <w:sz w:val="24"/>
                <w:szCs w:val="24"/>
              </w:rPr>
              <w:t>pT</w:t>
            </w:r>
            <w:proofErr w:type="spellEnd"/>
            <w:r w:rsidRPr="00ED7513">
              <w:rPr>
                <w:rFonts w:ascii="Book Antiqua" w:hAnsi="Book Antiqua"/>
                <w:color w:val="000000" w:themeColor="text1"/>
                <w:sz w:val="24"/>
                <w:szCs w:val="24"/>
              </w:rPr>
              <w:t xml:space="preserve"> category</w:t>
            </w:r>
          </w:p>
        </w:tc>
        <w:tc>
          <w:tcPr>
            <w:tcW w:w="2410" w:type="dxa"/>
          </w:tcPr>
          <w:p w:rsidR="002E7863" w:rsidRPr="00ED7513" w:rsidRDefault="002E7863" w:rsidP="00ED7513">
            <w:pPr>
              <w:spacing w:line="360" w:lineRule="auto"/>
              <w:rPr>
                <w:rFonts w:ascii="Book Antiqua" w:hAnsi="Book Antiqua"/>
                <w:color w:val="000000" w:themeColor="text1"/>
                <w:sz w:val="24"/>
                <w:szCs w:val="24"/>
              </w:rPr>
            </w:pPr>
          </w:p>
        </w:tc>
        <w:tc>
          <w:tcPr>
            <w:tcW w:w="1299" w:type="dxa"/>
          </w:tcPr>
          <w:p w:rsidR="002E7863" w:rsidRPr="00ED7513" w:rsidRDefault="002E7863" w:rsidP="00ED7513">
            <w:pPr>
              <w:spacing w:line="360" w:lineRule="auto"/>
              <w:rPr>
                <w:rFonts w:ascii="Book Antiqua" w:hAnsi="Book Antiqua"/>
                <w:color w:val="000000" w:themeColor="text1"/>
                <w:sz w:val="24"/>
                <w:szCs w:val="24"/>
              </w:rPr>
            </w:pPr>
          </w:p>
        </w:tc>
        <w:tc>
          <w:tcPr>
            <w:tcW w:w="2268" w:type="dxa"/>
          </w:tcPr>
          <w:p w:rsidR="002E7863" w:rsidRPr="00ED7513" w:rsidRDefault="002E7863" w:rsidP="00ED7513">
            <w:pPr>
              <w:spacing w:line="360" w:lineRule="auto"/>
              <w:rPr>
                <w:rFonts w:ascii="Book Antiqua" w:hAnsi="Book Antiqua"/>
                <w:color w:val="000000" w:themeColor="text1"/>
                <w:sz w:val="24"/>
                <w:szCs w:val="24"/>
              </w:rPr>
            </w:pPr>
          </w:p>
        </w:tc>
        <w:tc>
          <w:tcPr>
            <w:tcW w:w="127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0.996</w:t>
            </w:r>
          </w:p>
        </w:tc>
      </w:tr>
      <w:tr w:rsidR="00921D66" w:rsidRPr="00ED7513" w:rsidTr="00FB1A6A">
        <w:trPr>
          <w:trHeight w:val="236"/>
        </w:trPr>
        <w:tc>
          <w:tcPr>
            <w:tcW w:w="283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pT3 vs pT2</w:t>
            </w:r>
          </w:p>
        </w:tc>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1.707 (1.093-2.666)</w:t>
            </w:r>
          </w:p>
        </w:tc>
        <w:tc>
          <w:tcPr>
            <w:tcW w:w="1299"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0.019</w:t>
            </w:r>
          </w:p>
        </w:tc>
        <w:tc>
          <w:tcPr>
            <w:tcW w:w="2268"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1.019 (0.604-1.718)</w:t>
            </w:r>
          </w:p>
        </w:tc>
        <w:tc>
          <w:tcPr>
            <w:tcW w:w="127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0.943</w:t>
            </w:r>
          </w:p>
        </w:tc>
      </w:tr>
      <w:tr w:rsidR="00921D66" w:rsidRPr="00ED7513" w:rsidTr="00FB1A6A">
        <w:trPr>
          <w:trHeight w:val="236"/>
        </w:trPr>
        <w:tc>
          <w:tcPr>
            <w:tcW w:w="283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pT4a vs pT2</w:t>
            </w:r>
          </w:p>
        </w:tc>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2.405 (1.582-3.656)</w:t>
            </w:r>
          </w:p>
        </w:tc>
        <w:tc>
          <w:tcPr>
            <w:tcW w:w="1299"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0.000</w:t>
            </w:r>
          </w:p>
        </w:tc>
        <w:tc>
          <w:tcPr>
            <w:tcW w:w="2268"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1.024 (0.614-1.707)</w:t>
            </w:r>
          </w:p>
        </w:tc>
        <w:tc>
          <w:tcPr>
            <w:tcW w:w="127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0.927</w:t>
            </w:r>
          </w:p>
        </w:tc>
      </w:tr>
      <w:tr w:rsidR="00921D66" w:rsidRPr="00ED7513" w:rsidTr="00FB1A6A">
        <w:trPr>
          <w:trHeight w:val="236"/>
        </w:trPr>
        <w:tc>
          <w:tcPr>
            <w:tcW w:w="283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 xml:space="preserve">AJCC </w:t>
            </w:r>
            <w:proofErr w:type="spellStart"/>
            <w:r w:rsidRPr="00ED7513">
              <w:rPr>
                <w:rFonts w:ascii="Book Antiqua" w:hAnsi="Book Antiqua"/>
                <w:color w:val="000000" w:themeColor="text1"/>
                <w:sz w:val="24"/>
                <w:szCs w:val="24"/>
              </w:rPr>
              <w:t>pN</w:t>
            </w:r>
            <w:proofErr w:type="spellEnd"/>
            <w:r w:rsidRPr="00ED7513">
              <w:rPr>
                <w:rFonts w:ascii="Book Antiqua" w:hAnsi="Book Antiqua"/>
                <w:color w:val="000000" w:themeColor="text1"/>
                <w:sz w:val="24"/>
                <w:szCs w:val="24"/>
              </w:rPr>
              <w:t xml:space="preserve"> category</w:t>
            </w:r>
          </w:p>
        </w:tc>
        <w:tc>
          <w:tcPr>
            <w:tcW w:w="2410" w:type="dxa"/>
          </w:tcPr>
          <w:p w:rsidR="002E7863" w:rsidRPr="00ED7513" w:rsidRDefault="002E7863" w:rsidP="00ED7513">
            <w:pPr>
              <w:spacing w:line="360" w:lineRule="auto"/>
              <w:rPr>
                <w:rFonts w:ascii="Book Antiqua" w:hAnsi="Book Antiqua"/>
                <w:color w:val="000000" w:themeColor="text1"/>
                <w:sz w:val="24"/>
                <w:szCs w:val="24"/>
              </w:rPr>
            </w:pPr>
          </w:p>
        </w:tc>
        <w:tc>
          <w:tcPr>
            <w:tcW w:w="1299" w:type="dxa"/>
          </w:tcPr>
          <w:p w:rsidR="002E7863" w:rsidRPr="00ED7513" w:rsidRDefault="002E7863" w:rsidP="00ED7513">
            <w:pPr>
              <w:spacing w:line="360" w:lineRule="auto"/>
              <w:rPr>
                <w:rFonts w:ascii="Book Antiqua" w:hAnsi="Book Antiqua"/>
                <w:color w:val="000000" w:themeColor="text1"/>
                <w:sz w:val="24"/>
                <w:szCs w:val="24"/>
              </w:rPr>
            </w:pPr>
          </w:p>
        </w:tc>
        <w:tc>
          <w:tcPr>
            <w:tcW w:w="2268" w:type="dxa"/>
          </w:tcPr>
          <w:p w:rsidR="002E7863" w:rsidRPr="00ED7513" w:rsidRDefault="002E7863" w:rsidP="00ED7513">
            <w:pPr>
              <w:spacing w:line="360" w:lineRule="auto"/>
              <w:rPr>
                <w:rFonts w:ascii="Book Antiqua" w:hAnsi="Book Antiqua"/>
                <w:color w:val="000000" w:themeColor="text1"/>
                <w:sz w:val="24"/>
                <w:szCs w:val="24"/>
              </w:rPr>
            </w:pPr>
          </w:p>
        </w:tc>
        <w:tc>
          <w:tcPr>
            <w:tcW w:w="127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0.000</w:t>
            </w:r>
          </w:p>
        </w:tc>
      </w:tr>
      <w:tr w:rsidR="00921D66" w:rsidRPr="00ED7513" w:rsidTr="00FB1A6A">
        <w:trPr>
          <w:trHeight w:val="236"/>
        </w:trPr>
        <w:tc>
          <w:tcPr>
            <w:tcW w:w="283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pN1 vs pN0</w:t>
            </w:r>
          </w:p>
        </w:tc>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1.758 (1.110-2.783)</w:t>
            </w:r>
          </w:p>
        </w:tc>
        <w:tc>
          <w:tcPr>
            <w:tcW w:w="1299"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0.016</w:t>
            </w:r>
          </w:p>
        </w:tc>
        <w:tc>
          <w:tcPr>
            <w:tcW w:w="2268"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1.487 (0.878-2.517)</w:t>
            </w:r>
          </w:p>
        </w:tc>
        <w:tc>
          <w:tcPr>
            <w:tcW w:w="127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0.140</w:t>
            </w:r>
          </w:p>
        </w:tc>
      </w:tr>
      <w:tr w:rsidR="00921D66" w:rsidRPr="00ED7513" w:rsidTr="00FB1A6A">
        <w:trPr>
          <w:trHeight w:val="236"/>
        </w:trPr>
        <w:tc>
          <w:tcPr>
            <w:tcW w:w="283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pN2 vs pN0</w:t>
            </w:r>
          </w:p>
        </w:tc>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2.996 (1.995-4.500)</w:t>
            </w:r>
          </w:p>
        </w:tc>
        <w:tc>
          <w:tcPr>
            <w:tcW w:w="1299"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0.000</w:t>
            </w:r>
          </w:p>
        </w:tc>
        <w:tc>
          <w:tcPr>
            <w:tcW w:w="2268"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2.501 (1.567-3.990)</w:t>
            </w:r>
          </w:p>
        </w:tc>
        <w:tc>
          <w:tcPr>
            <w:tcW w:w="127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0.000</w:t>
            </w:r>
          </w:p>
        </w:tc>
      </w:tr>
      <w:tr w:rsidR="00921D66" w:rsidRPr="00ED7513" w:rsidTr="00FB1A6A">
        <w:trPr>
          <w:trHeight w:val="236"/>
        </w:trPr>
        <w:tc>
          <w:tcPr>
            <w:tcW w:w="283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pN3a vs pN0</w:t>
            </w:r>
          </w:p>
        </w:tc>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4.531 (3.034-6.765)</w:t>
            </w:r>
          </w:p>
        </w:tc>
        <w:tc>
          <w:tcPr>
            <w:tcW w:w="1299"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0.000</w:t>
            </w:r>
          </w:p>
        </w:tc>
        <w:tc>
          <w:tcPr>
            <w:tcW w:w="2268"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3.406 (2.106-5.509)</w:t>
            </w:r>
          </w:p>
        </w:tc>
        <w:tc>
          <w:tcPr>
            <w:tcW w:w="127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0.000</w:t>
            </w:r>
          </w:p>
        </w:tc>
      </w:tr>
      <w:tr w:rsidR="00921D66" w:rsidRPr="00ED7513" w:rsidTr="00FB1A6A">
        <w:trPr>
          <w:trHeight w:val="236"/>
        </w:trPr>
        <w:tc>
          <w:tcPr>
            <w:tcW w:w="283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pN3b vs pN0</w:t>
            </w:r>
          </w:p>
        </w:tc>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6.377 (4.240-9.592)</w:t>
            </w:r>
          </w:p>
        </w:tc>
        <w:tc>
          <w:tcPr>
            <w:tcW w:w="1299"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0.000</w:t>
            </w:r>
          </w:p>
        </w:tc>
        <w:tc>
          <w:tcPr>
            <w:tcW w:w="2268"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4.245 (2.551-7.064)</w:t>
            </w:r>
          </w:p>
        </w:tc>
        <w:tc>
          <w:tcPr>
            <w:tcW w:w="127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0.000</w:t>
            </w:r>
          </w:p>
        </w:tc>
      </w:tr>
      <w:tr w:rsidR="00AB21BD" w:rsidRPr="00ED7513" w:rsidTr="00FB1A6A">
        <w:trPr>
          <w:trHeight w:val="237"/>
        </w:trPr>
        <w:tc>
          <w:tcPr>
            <w:tcW w:w="10087" w:type="dxa"/>
            <w:gridSpan w:val="5"/>
          </w:tcPr>
          <w:p w:rsidR="00AB21BD" w:rsidRPr="00ED7513" w:rsidRDefault="00AB21BD"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Resection type</w:t>
            </w:r>
          </w:p>
        </w:tc>
      </w:tr>
      <w:tr w:rsidR="00921D66" w:rsidRPr="00ED7513" w:rsidTr="00FB1A6A">
        <w:trPr>
          <w:trHeight w:val="237"/>
        </w:trPr>
        <w:tc>
          <w:tcPr>
            <w:tcW w:w="283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Total vs Proximal</w:t>
            </w:r>
          </w:p>
        </w:tc>
        <w:tc>
          <w:tcPr>
            <w:tcW w:w="2410"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1.772 (1.279-2.456)</w:t>
            </w:r>
          </w:p>
        </w:tc>
        <w:tc>
          <w:tcPr>
            <w:tcW w:w="1299"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0.001</w:t>
            </w:r>
          </w:p>
        </w:tc>
        <w:tc>
          <w:tcPr>
            <w:tcW w:w="2268"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1.103 (0.773-1.578)</w:t>
            </w:r>
          </w:p>
        </w:tc>
        <w:tc>
          <w:tcPr>
            <w:tcW w:w="127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0.590</w:t>
            </w:r>
          </w:p>
        </w:tc>
      </w:tr>
      <w:tr w:rsidR="00AB21BD" w:rsidRPr="00ED7513" w:rsidTr="00FB1A6A">
        <w:trPr>
          <w:trHeight w:val="237"/>
        </w:trPr>
        <w:tc>
          <w:tcPr>
            <w:tcW w:w="10087" w:type="dxa"/>
            <w:gridSpan w:val="5"/>
          </w:tcPr>
          <w:p w:rsidR="00AB21BD" w:rsidRPr="00ED7513" w:rsidRDefault="00AB21BD"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Combined other organ resection</w:t>
            </w:r>
          </w:p>
        </w:tc>
      </w:tr>
      <w:tr w:rsidR="00921D66" w:rsidRPr="00ED7513" w:rsidTr="00FB1A6A">
        <w:trPr>
          <w:trHeight w:val="237"/>
        </w:trPr>
        <w:tc>
          <w:tcPr>
            <w:tcW w:w="2835" w:type="dxa"/>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Yes vs No</w:t>
            </w:r>
          </w:p>
        </w:tc>
        <w:tc>
          <w:tcPr>
            <w:tcW w:w="2410"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1.579 (1.109-2.248)</w:t>
            </w:r>
          </w:p>
        </w:tc>
        <w:tc>
          <w:tcPr>
            <w:tcW w:w="1299"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0.011</w:t>
            </w:r>
          </w:p>
        </w:tc>
        <w:tc>
          <w:tcPr>
            <w:tcW w:w="2268"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1.189 (0.812-1.740)</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0.374</w:t>
            </w:r>
          </w:p>
        </w:tc>
      </w:tr>
      <w:tr w:rsidR="00AB21BD" w:rsidRPr="00ED7513" w:rsidTr="00FB1A6A">
        <w:trPr>
          <w:trHeight w:val="236"/>
        </w:trPr>
        <w:tc>
          <w:tcPr>
            <w:tcW w:w="10087" w:type="dxa"/>
            <w:gridSpan w:val="5"/>
          </w:tcPr>
          <w:p w:rsidR="00AB21BD" w:rsidRPr="00ED7513" w:rsidRDefault="00AB21BD"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LBVI</w:t>
            </w:r>
          </w:p>
        </w:tc>
      </w:tr>
      <w:tr w:rsidR="00921D66" w:rsidRPr="00ED7513" w:rsidTr="00FB1A6A">
        <w:trPr>
          <w:trHeight w:val="236"/>
        </w:trPr>
        <w:tc>
          <w:tcPr>
            <w:tcW w:w="283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Positive vs Negative</w:t>
            </w:r>
          </w:p>
        </w:tc>
        <w:tc>
          <w:tcPr>
            <w:tcW w:w="2410"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1.750 (1.387-2.207)</w:t>
            </w:r>
          </w:p>
        </w:tc>
        <w:tc>
          <w:tcPr>
            <w:tcW w:w="1299"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0.000</w:t>
            </w:r>
          </w:p>
        </w:tc>
        <w:tc>
          <w:tcPr>
            <w:tcW w:w="2268"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1.200 (0.910-1.583)</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0.197</w:t>
            </w:r>
          </w:p>
        </w:tc>
      </w:tr>
      <w:tr w:rsidR="00921D66" w:rsidRPr="00ED7513" w:rsidTr="00FB1A6A">
        <w:trPr>
          <w:trHeight w:val="236"/>
        </w:trPr>
        <w:tc>
          <w:tcPr>
            <w:tcW w:w="2835" w:type="dxa"/>
            <w:vAlign w:val="center"/>
          </w:tcPr>
          <w:p w:rsidR="002E7863" w:rsidRPr="00ED7513" w:rsidRDefault="002E7863" w:rsidP="00ED7513">
            <w:pPr>
              <w:spacing w:line="360" w:lineRule="auto"/>
              <w:rPr>
                <w:rFonts w:ascii="Book Antiqua" w:hAnsi="Book Antiqua"/>
                <w:color w:val="000000" w:themeColor="text1"/>
                <w:sz w:val="24"/>
                <w:szCs w:val="24"/>
              </w:rPr>
            </w:pPr>
            <w:proofErr w:type="spellStart"/>
            <w:r w:rsidRPr="00ED7513">
              <w:rPr>
                <w:rFonts w:ascii="Book Antiqua" w:hAnsi="Book Antiqua"/>
                <w:color w:val="000000" w:themeColor="text1"/>
                <w:sz w:val="24"/>
                <w:szCs w:val="24"/>
              </w:rPr>
              <w:t>Borrmann</w:t>
            </w:r>
            <w:proofErr w:type="spellEnd"/>
            <w:r w:rsidRPr="00ED7513">
              <w:rPr>
                <w:rFonts w:ascii="Book Antiqua" w:hAnsi="Book Antiqua"/>
                <w:color w:val="000000" w:themeColor="text1"/>
                <w:sz w:val="24"/>
                <w:szCs w:val="24"/>
              </w:rPr>
              <w:t xml:space="preserve"> classification</w:t>
            </w:r>
          </w:p>
        </w:tc>
        <w:tc>
          <w:tcPr>
            <w:tcW w:w="2410" w:type="dxa"/>
          </w:tcPr>
          <w:p w:rsidR="002E7863" w:rsidRPr="00ED7513" w:rsidRDefault="002E7863" w:rsidP="00ED7513">
            <w:pPr>
              <w:spacing w:line="360" w:lineRule="auto"/>
              <w:rPr>
                <w:rFonts w:ascii="Book Antiqua" w:hAnsi="Book Antiqua"/>
                <w:color w:val="000000" w:themeColor="text1"/>
                <w:sz w:val="24"/>
                <w:szCs w:val="24"/>
              </w:rPr>
            </w:pPr>
          </w:p>
        </w:tc>
        <w:tc>
          <w:tcPr>
            <w:tcW w:w="1299" w:type="dxa"/>
          </w:tcPr>
          <w:p w:rsidR="002E7863" w:rsidRPr="00ED7513" w:rsidRDefault="002E7863" w:rsidP="00ED7513">
            <w:pPr>
              <w:spacing w:line="360" w:lineRule="auto"/>
              <w:rPr>
                <w:rFonts w:ascii="Book Antiqua" w:hAnsi="Book Antiqua"/>
                <w:color w:val="000000" w:themeColor="text1"/>
                <w:sz w:val="24"/>
                <w:szCs w:val="24"/>
              </w:rPr>
            </w:pPr>
          </w:p>
        </w:tc>
        <w:tc>
          <w:tcPr>
            <w:tcW w:w="2268" w:type="dxa"/>
          </w:tcPr>
          <w:p w:rsidR="002E7863" w:rsidRPr="00ED7513" w:rsidRDefault="002E7863" w:rsidP="00ED7513">
            <w:pPr>
              <w:spacing w:line="360" w:lineRule="auto"/>
              <w:rPr>
                <w:rFonts w:ascii="Book Antiqua" w:hAnsi="Book Antiqua"/>
                <w:color w:val="000000" w:themeColor="text1"/>
                <w:sz w:val="24"/>
                <w:szCs w:val="24"/>
              </w:rPr>
            </w:pP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0.019</w:t>
            </w:r>
          </w:p>
        </w:tc>
      </w:tr>
      <w:tr w:rsidR="00921D66" w:rsidRPr="00ED7513" w:rsidTr="00FB1A6A">
        <w:trPr>
          <w:trHeight w:val="236"/>
        </w:trPr>
        <w:tc>
          <w:tcPr>
            <w:tcW w:w="2835" w:type="dxa"/>
            <w:vAlign w:val="center"/>
          </w:tcPr>
          <w:p w:rsidR="002E7863" w:rsidRPr="00ED7513" w:rsidRDefault="002E7863" w:rsidP="00ED7513">
            <w:pPr>
              <w:spacing w:line="360" w:lineRule="auto"/>
              <w:rPr>
                <w:rFonts w:ascii="Book Antiqua" w:hAnsi="Book Antiqua"/>
                <w:color w:val="000000" w:themeColor="text1"/>
                <w:sz w:val="24"/>
                <w:szCs w:val="24"/>
              </w:rPr>
            </w:pPr>
            <w:proofErr w:type="spellStart"/>
            <w:r w:rsidRPr="00ED7513">
              <w:rPr>
                <w:rFonts w:ascii="Book Antiqua" w:hAnsi="Book Antiqua"/>
                <w:color w:val="000000" w:themeColor="text1"/>
                <w:sz w:val="24"/>
                <w:szCs w:val="24"/>
              </w:rPr>
              <w:t>Bor</w:t>
            </w:r>
            <w:proofErr w:type="spellEnd"/>
            <w:r w:rsidRPr="00ED7513">
              <w:rPr>
                <w:rFonts w:ascii="Book Antiqua" w:hAnsi="Book Antiqua"/>
                <w:color w:val="000000" w:themeColor="text1"/>
                <w:sz w:val="24"/>
                <w:szCs w:val="24"/>
              </w:rPr>
              <w:t xml:space="preserve"> III vs </w:t>
            </w:r>
            <w:proofErr w:type="spellStart"/>
            <w:r w:rsidRPr="00ED7513">
              <w:rPr>
                <w:rFonts w:ascii="Book Antiqua" w:hAnsi="Book Antiqua"/>
                <w:color w:val="000000" w:themeColor="text1"/>
                <w:sz w:val="24"/>
                <w:szCs w:val="24"/>
              </w:rPr>
              <w:t>Bor</w:t>
            </w:r>
            <w:proofErr w:type="spellEnd"/>
            <w:r w:rsidRPr="00ED7513">
              <w:rPr>
                <w:rFonts w:ascii="Book Antiqua" w:hAnsi="Book Antiqua"/>
                <w:color w:val="000000" w:themeColor="text1"/>
                <w:sz w:val="24"/>
                <w:szCs w:val="24"/>
              </w:rPr>
              <w:t xml:space="preserve"> I-II</w:t>
            </w:r>
          </w:p>
        </w:tc>
        <w:tc>
          <w:tcPr>
            <w:tcW w:w="2410"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2.016 (1.321-3.077)</w:t>
            </w:r>
          </w:p>
        </w:tc>
        <w:tc>
          <w:tcPr>
            <w:tcW w:w="1299"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0.001</w:t>
            </w:r>
          </w:p>
        </w:tc>
        <w:tc>
          <w:tcPr>
            <w:tcW w:w="2268"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1.273 (0.807-2.006)</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0.299</w:t>
            </w:r>
          </w:p>
        </w:tc>
      </w:tr>
      <w:tr w:rsidR="00921D66" w:rsidRPr="00ED7513" w:rsidTr="00FB1A6A">
        <w:trPr>
          <w:trHeight w:val="236"/>
        </w:trPr>
        <w:tc>
          <w:tcPr>
            <w:tcW w:w="2835" w:type="dxa"/>
            <w:vAlign w:val="center"/>
          </w:tcPr>
          <w:p w:rsidR="002E7863" w:rsidRPr="00ED7513" w:rsidRDefault="002E7863" w:rsidP="00ED7513">
            <w:pPr>
              <w:spacing w:line="360" w:lineRule="auto"/>
              <w:rPr>
                <w:rFonts w:ascii="Book Antiqua" w:hAnsi="Book Antiqua"/>
                <w:color w:val="000000" w:themeColor="text1"/>
                <w:sz w:val="24"/>
                <w:szCs w:val="24"/>
              </w:rPr>
            </w:pPr>
            <w:proofErr w:type="spellStart"/>
            <w:r w:rsidRPr="00ED7513">
              <w:rPr>
                <w:rFonts w:ascii="Book Antiqua" w:hAnsi="Book Antiqua"/>
                <w:color w:val="000000" w:themeColor="text1"/>
                <w:sz w:val="24"/>
                <w:szCs w:val="24"/>
              </w:rPr>
              <w:lastRenderedPageBreak/>
              <w:t>Bor</w:t>
            </w:r>
            <w:proofErr w:type="spellEnd"/>
            <w:r w:rsidRPr="00ED7513">
              <w:rPr>
                <w:rFonts w:ascii="Book Antiqua" w:hAnsi="Book Antiqua"/>
                <w:color w:val="000000" w:themeColor="text1"/>
                <w:sz w:val="24"/>
                <w:szCs w:val="24"/>
              </w:rPr>
              <w:t xml:space="preserve"> IV vs </w:t>
            </w:r>
            <w:proofErr w:type="spellStart"/>
            <w:r w:rsidRPr="00ED7513">
              <w:rPr>
                <w:rFonts w:ascii="Book Antiqua" w:hAnsi="Book Antiqua"/>
                <w:color w:val="000000" w:themeColor="text1"/>
                <w:sz w:val="24"/>
                <w:szCs w:val="24"/>
              </w:rPr>
              <w:t>Bor</w:t>
            </w:r>
            <w:proofErr w:type="spellEnd"/>
            <w:r w:rsidRPr="00ED7513">
              <w:rPr>
                <w:rFonts w:ascii="Book Antiqua" w:hAnsi="Book Antiqua"/>
                <w:color w:val="000000" w:themeColor="text1"/>
                <w:sz w:val="24"/>
                <w:szCs w:val="24"/>
              </w:rPr>
              <w:t xml:space="preserve"> I-II</w:t>
            </w:r>
          </w:p>
        </w:tc>
        <w:tc>
          <w:tcPr>
            <w:tcW w:w="2410"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3.686 (2.295-5.922)</w:t>
            </w:r>
          </w:p>
        </w:tc>
        <w:tc>
          <w:tcPr>
            <w:tcW w:w="1299"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0.000</w:t>
            </w:r>
          </w:p>
        </w:tc>
        <w:tc>
          <w:tcPr>
            <w:tcW w:w="2268"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1.935 (1.131-3.311)</w:t>
            </w:r>
          </w:p>
        </w:tc>
        <w:tc>
          <w:tcPr>
            <w:tcW w:w="1275" w:type="dxa"/>
            <w:vAlign w:val="center"/>
          </w:tcPr>
          <w:p w:rsidR="002E7863" w:rsidRPr="00ED7513" w:rsidRDefault="002E7863" w:rsidP="00ED7513">
            <w:pPr>
              <w:spacing w:line="360" w:lineRule="auto"/>
              <w:rPr>
                <w:rFonts w:ascii="Book Antiqua" w:hAnsi="Book Antiqua"/>
                <w:color w:val="000000" w:themeColor="text1"/>
                <w:sz w:val="24"/>
                <w:szCs w:val="24"/>
              </w:rPr>
            </w:pPr>
            <w:r w:rsidRPr="00ED7513">
              <w:rPr>
                <w:rFonts w:ascii="Book Antiqua" w:hAnsi="Book Antiqua"/>
                <w:color w:val="000000" w:themeColor="text1"/>
                <w:sz w:val="24"/>
                <w:szCs w:val="24"/>
              </w:rPr>
              <w:t>0.016</w:t>
            </w:r>
          </w:p>
        </w:tc>
      </w:tr>
    </w:tbl>
    <w:p w:rsidR="001F394D" w:rsidRPr="00ED7513" w:rsidRDefault="00AB21BD" w:rsidP="00ED7513">
      <w:pPr>
        <w:spacing w:line="360" w:lineRule="auto"/>
        <w:ind w:leftChars="-472" w:left="-989" w:hanging="2"/>
        <w:rPr>
          <w:rFonts w:ascii="Book Antiqua" w:hAnsi="Book Antiqua"/>
          <w:color w:val="000000" w:themeColor="text1"/>
          <w:sz w:val="24"/>
          <w:szCs w:val="24"/>
        </w:rPr>
      </w:pPr>
      <w:r w:rsidRPr="00ED7513">
        <w:rPr>
          <w:rFonts w:ascii="Book Antiqua" w:hAnsi="Book Antiqua"/>
          <w:color w:val="000000" w:themeColor="text1"/>
          <w:sz w:val="24"/>
          <w:szCs w:val="24"/>
          <w:vertAlign w:val="superscript"/>
        </w:rPr>
        <w:t>1</w:t>
      </w:r>
      <w:r w:rsidR="009E7910" w:rsidRPr="00ED7513">
        <w:rPr>
          <w:rFonts w:ascii="Book Antiqua" w:hAnsi="Book Antiqua"/>
          <w:color w:val="000000" w:themeColor="text1"/>
          <w:sz w:val="24"/>
          <w:szCs w:val="24"/>
        </w:rPr>
        <w:t>Adjacent organs invaded were diagnosed by the surgeon intraoperatively.</w:t>
      </w:r>
    </w:p>
    <w:p w:rsidR="00921D66" w:rsidRPr="00ED7513" w:rsidRDefault="00921D66" w:rsidP="00ED7513">
      <w:pPr>
        <w:spacing w:line="360" w:lineRule="auto"/>
        <w:ind w:leftChars="-472" w:left="-989" w:hanging="2"/>
        <w:rPr>
          <w:rFonts w:ascii="Book Antiqua" w:hAnsi="Book Antiqua"/>
          <w:color w:val="000000" w:themeColor="text1"/>
          <w:sz w:val="24"/>
          <w:szCs w:val="24"/>
        </w:rPr>
      </w:pPr>
    </w:p>
    <w:sectPr w:rsidR="00921D66" w:rsidRPr="00ED7513" w:rsidSect="009A5B43">
      <w:footerReference w:type="default" r:id="rId1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33C2" w:rsidRDefault="003533C2">
      <w:r>
        <w:separator/>
      </w:r>
    </w:p>
  </w:endnote>
  <w:endnote w:type="continuationSeparator" w:id="0">
    <w:p w:rsidR="003533C2" w:rsidRDefault="003533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lbertus">
    <w:altName w:val="宋体"/>
    <w:panose1 w:val="020E0702040304020204"/>
    <w:charset w:val="00"/>
    <w:family w:val="swiss"/>
    <w:pitch w:val="variable"/>
    <w:sig w:usb0="00000007" w:usb1="00000000" w:usb2="00000000" w:usb3="00000000" w:csb0="00000093"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幼圆">
    <w:panose1 w:val="02010509060101010101"/>
    <w:charset w:val="86"/>
    <w:family w:val="modern"/>
    <w:pitch w:val="fixed"/>
    <w:sig w:usb0="00000001" w:usb1="080E0000" w:usb2="00000010" w:usb3="00000000" w:csb0="00040000" w:csb1="00000000"/>
  </w:font>
  <w:font w:name="等线">
    <w:altName w:val="Arial Unicode MS"/>
    <w:panose1 w:val="02010600030101010101"/>
    <w:charset w:val="86"/>
    <w:family w:val="auto"/>
    <w:pitch w:val="variable"/>
    <w:sig w:usb0="A00002BF" w:usb1="38CF7CFA" w:usb2="00000016" w:usb3="00000000" w:csb0="0004000F"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188257"/>
      <w:docPartObj>
        <w:docPartGallery w:val="Page Numbers (Bottom of Page)"/>
        <w:docPartUnique/>
      </w:docPartObj>
    </w:sdtPr>
    <w:sdtEndPr/>
    <w:sdtContent>
      <w:p w:rsidR="002A1D71" w:rsidRPr="00DA32A2" w:rsidRDefault="002A1D71">
        <w:pPr>
          <w:pStyle w:val="a8"/>
          <w:jc w:val="right"/>
        </w:pPr>
        <w:r>
          <w:fldChar w:fldCharType="begin"/>
        </w:r>
        <w:r>
          <w:instrText xml:space="preserve"> PAGE   \* MERGEFORMAT </w:instrText>
        </w:r>
        <w:r>
          <w:fldChar w:fldCharType="separate"/>
        </w:r>
        <w:r w:rsidR="00835548">
          <w:rPr>
            <w:noProof/>
          </w:rPr>
          <w:t>3</w:t>
        </w:r>
        <w:r>
          <w:rPr>
            <w:noProof/>
          </w:rPr>
          <w:fldChar w:fldCharType="end"/>
        </w:r>
      </w:p>
    </w:sdtContent>
  </w:sdt>
  <w:p w:rsidR="002A1D71" w:rsidRPr="00DA32A2" w:rsidRDefault="002A1D71">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33C2" w:rsidRDefault="003533C2">
      <w:r>
        <w:separator/>
      </w:r>
    </w:p>
  </w:footnote>
  <w:footnote w:type="continuationSeparator" w:id="0">
    <w:p w:rsidR="003533C2" w:rsidRDefault="003533C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docVars>
    <w:docVar w:name="EN.InstantFormat" w:val="&lt;ENInstantFormat&gt;&lt;Enabled&gt;1&lt;/Enabled&gt;&lt;ScanUnformatted&gt;1&lt;/ScanUnformatted&gt;&lt;ScanChanges&gt;1&lt;/ScanChanges&gt;&lt;Suspended&gt;1&lt;/Suspended&gt;&lt;/ENInstantFormat&gt;"/>
  </w:docVars>
  <w:rsids>
    <w:rsidRoot w:val="00EA6291"/>
    <w:rsid w:val="00010250"/>
    <w:rsid w:val="0005062F"/>
    <w:rsid w:val="0006292C"/>
    <w:rsid w:val="001339DD"/>
    <w:rsid w:val="00163FA1"/>
    <w:rsid w:val="001848C6"/>
    <w:rsid w:val="001B5D93"/>
    <w:rsid w:val="001C3B25"/>
    <w:rsid w:val="001C4898"/>
    <w:rsid w:val="001E6EDF"/>
    <w:rsid w:val="001F3271"/>
    <w:rsid w:val="001F394D"/>
    <w:rsid w:val="00236108"/>
    <w:rsid w:val="0028465B"/>
    <w:rsid w:val="002917D4"/>
    <w:rsid w:val="00293EFA"/>
    <w:rsid w:val="002A1D71"/>
    <w:rsid w:val="002C2A1E"/>
    <w:rsid w:val="002C3BB4"/>
    <w:rsid w:val="002D3A34"/>
    <w:rsid w:val="002D6B1D"/>
    <w:rsid w:val="002E7863"/>
    <w:rsid w:val="003140C5"/>
    <w:rsid w:val="00351C33"/>
    <w:rsid w:val="00351CB9"/>
    <w:rsid w:val="003533C2"/>
    <w:rsid w:val="0038729E"/>
    <w:rsid w:val="00406EA2"/>
    <w:rsid w:val="004155B1"/>
    <w:rsid w:val="0041600C"/>
    <w:rsid w:val="00446EA2"/>
    <w:rsid w:val="00451856"/>
    <w:rsid w:val="004A7E8E"/>
    <w:rsid w:val="004C7E0E"/>
    <w:rsid w:val="004E405C"/>
    <w:rsid w:val="004F6B4A"/>
    <w:rsid w:val="005465E0"/>
    <w:rsid w:val="005658AE"/>
    <w:rsid w:val="00573B3B"/>
    <w:rsid w:val="00593B46"/>
    <w:rsid w:val="005B6FA8"/>
    <w:rsid w:val="006535D7"/>
    <w:rsid w:val="00692CF5"/>
    <w:rsid w:val="00692DA1"/>
    <w:rsid w:val="006A04DA"/>
    <w:rsid w:val="006A1D7A"/>
    <w:rsid w:val="006B325D"/>
    <w:rsid w:val="00703B9A"/>
    <w:rsid w:val="00721098"/>
    <w:rsid w:val="00765ABE"/>
    <w:rsid w:val="0077566B"/>
    <w:rsid w:val="007875C8"/>
    <w:rsid w:val="007966FC"/>
    <w:rsid w:val="007D2B37"/>
    <w:rsid w:val="007F4BC2"/>
    <w:rsid w:val="007F6BB2"/>
    <w:rsid w:val="007F6F3B"/>
    <w:rsid w:val="008235AF"/>
    <w:rsid w:val="00835548"/>
    <w:rsid w:val="00852639"/>
    <w:rsid w:val="009118F8"/>
    <w:rsid w:val="00921D66"/>
    <w:rsid w:val="00925829"/>
    <w:rsid w:val="00936C36"/>
    <w:rsid w:val="009562CC"/>
    <w:rsid w:val="009800D3"/>
    <w:rsid w:val="009A5B43"/>
    <w:rsid w:val="009E7910"/>
    <w:rsid w:val="00A0597E"/>
    <w:rsid w:val="00A33D70"/>
    <w:rsid w:val="00A60EDD"/>
    <w:rsid w:val="00AB21BD"/>
    <w:rsid w:val="00B51646"/>
    <w:rsid w:val="00B930D4"/>
    <w:rsid w:val="00B965AF"/>
    <w:rsid w:val="00BB0B47"/>
    <w:rsid w:val="00BB379B"/>
    <w:rsid w:val="00BC5298"/>
    <w:rsid w:val="00BF51A4"/>
    <w:rsid w:val="00C14319"/>
    <w:rsid w:val="00C178A4"/>
    <w:rsid w:val="00C34670"/>
    <w:rsid w:val="00CB3CC2"/>
    <w:rsid w:val="00D3055A"/>
    <w:rsid w:val="00D343D7"/>
    <w:rsid w:val="00D40ED5"/>
    <w:rsid w:val="00D47D0C"/>
    <w:rsid w:val="00D824E3"/>
    <w:rsid w:val="00D86BED"/>
    <w:rsid w:val="00DA0FE9"/>
    <w:rsid w:val="00DA7897"/>
    <w:rsid w:val="00DB6F1B"/>
    <w:rsid w:val="00DC36FF"/>
    <w:rsid w:val="00DE321E"/>
    <w:rsid w:val="00E335BA"/>
    <w:rsid w:val="00E47E67"/>
    <w:rsid w:val="00E53804"/>
    <w:rsid w:val="00E84295"/>
    <w:rsid w:val="00EA6291"/>
    <w:rsid w:val="00ED4C73"/>
    <w:rsid w:val="00ED68DD"/>
    <w:rsid w:val="00ED7513"/>
    <w:rsid w:val="00F1589C"/>
    <w:rsid w:val="00F234EF"/>
    <w:rsid w:val="00F24E3E"/>
    <w:rsid w:val="00F2571A"/>
    <w:rsid w:val="00FB1A6A"/>
    <w:rsid w:val="00FC446A"/>
    <w:rsid w:val="00FE0242"/>
    <w:rsid w:val="00FE4290"/>
    <w:rsid w:val="00FF5CC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73B3B"/>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EA6291"/>
    <w:rPr>
      <w:sz w:val="21"/>
      <w:szCs w:val="21"/>
    </w:rPr>
  </w:style>
  <w:style w:type="paragraph" w:styleId="a4">
    <w:name w:val="annotation text"/>
    <w:basedOn w:val="a"/>
    <w:link w:val="Char"/>
    <w:uiPriority w:val="99"/>
    <w:unhideWhenUsed/>
    <w:qFormat/>
    <w:rsid w:val="00EA6291"/>
    <w:pPr>
      <w:jc w:val="left"/>
    </w:pPr>
  </w:style>
  <w:style w:type="character" w:customStyle="1" w:styleId="Char">
    <w:name w:val="批注文字 Char"/>
    <w:basedOn w:val="a0"/>
    <w:link w:val="a4"/>
    <w:uiPriority w:val="99"/>
    <w:qFormat/>
    <w:rsid w:val="00EA6291"/>
  </w:style>
  <w:style w:type="paragraph" w:styleId="a5">
    <w:name w:val="annotation subject"/>
    <w:basedOn w:val="a4"/>
    <w:next w:val="a4"/>
    <w:link w:val="Char0"/>
    <w:uiPriority w:val="99"/>
    <w:semiHidden/>
    <w:unhideWhenUsed/>
    <w:rsid w:val="00EA6291"/>
    <w:rPr>
      <w:b/>
      <w:bCs/>
    </w:rPr>
  </w:style>
  <w:style w:type="character" w:customStyle="1" w:styleId="Char0">
    <w:name w:val="批注主题 Char"/>
    <w:basedOn w:val="Char"/>
    <w:link w:val="a5"/>
    <w:uiPriority w:val="99"/>
    <w:semiHidden/>
    <w:rsid w:val="00EA6291"/>
    <w:rPr>
      <w:b/>
      <w:bCs/>
    </w:rPr>
  </w:style>
  <w:style w:type="paragraph" w:styleId="a6">
    <w:name w:val="Balloon Text"/>
    <w:basedOn w:val="a"/>
    <w:link w:val="Char1"/>
    <w:uiPriority w:val="99"/>
    <w:semiHidden/>
    <w:unhideWhenUsed/>
    <w:rsid w:val="00EA6291"/>
    <w:rPr>
      <w:sz w:val="18"/>
      <w:szCs w:val="18"/>
    </w:rPr>
  </w:style>
  <w:style w:type="character" w:customStyle="1" w:styleId="Char1">
    <w:name w:val="批注框文本 Char"/>
    <w:basedOn w:val="a0"/>
    <w:link w:val="a6"/>
    <w:uiPriority w:val="99"/>
    <w:semiHidden/>
    <w:rsid w:val="00EA6291"/>
    <w:rPr>
      <w:sz w:val="18"/>
      <w:szCs w:val="18"/>
    </w:rPr>
  </w:style>
  <w:style w:type="paragraph" w:styleId="a7">
    <w:name w:val="header"/>
    <w:basedOn w:val="a"/>
    <w:link w:val="Char2"/>
    <w:uiPriority w:val="99"/>
    <w:unhideWhenUsed/>
    <w:rsid w:val="00EA6291"/>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7"/>
    <w:uiPriority w:val="99"/>
    <w:rsid w:val="00EA6291"/>
    <w:rPr>
      <w:sz w:val="18"/>
      <w:szCs w:val="18"/>
    </w:rPr>
  </w:style>
  <w:style w:type="paragraph" w:styleId="a8">
    <w:name w:val="footer"/>
    <w:basedOn w:val="a"/>
    <w:link w:val="Char3"/>
    <w:uiPriority w:val="99"/>
    <w:unhideWhenUsed/>
    <w:rsid w:val="00EA6291"/>
    <w:pPr>
      <w:tabs>
        <w:tab w:val="center" w:pos="4153"/>
        <w:tab w:val="right" w:pos="8306"/>
      </w:tabs>
      <w:snapToGrid w:val="0"/>
      <w:jc w:val="left"/>
    </w:pPr>
    <w:rPr>
      <w:sz w:val="18"/>
      <w:szCs w:val="18"/>
    </w:rPr>
  </w:style>
  <w:style w:type="character" w:customStyle="1" w:styleId="Char3">
    <w:name w:val="页脚 Char"/>
    <w:basedOn w:val="a0"/>
    <w:link w:val="a8"/>
    <w:uiPriority w:val="99"/>
    <w:rsid w:val="00EA6291"/>
    <w:rPr>
      <w:sz w:val="18"/>
      <w:szCs w:val="18"/>
    </w:rPr>
  </w:style>
  <w:style w:type="character" w:styleId="a9">
    <w:name w:val="line number"/>
    <w:basedOn w:val="a0"/>
    <w:uiPriority w:val="99"/>
    <w:semiHidden/>
    <w:unhideWhenUsed/>
    <w:rsid w:val="00EA6291"/>
  </w:style>
  <w:style w:type="paragraph" w:styleId="aa">
    <w:name w:val="Revision"/>
    <w:hidden/>
    <w:uiPriority w:val="99"/>
    <w:semiHidden/>
    <w:rsid w:val="00EA6291"/>
  </w:style>
  <w:style w:type="character" w:styleId="ab">
    <w:name w:val="Hyperlink"/>
    <w:basedOn w:val="a0"/>
    <w:uiPriority w:val="99"/>
    <w:unhideWhenUsed/>
    <w:rsid w:val="00EA6291"/>
    <w:rPr>
      <w:color w:val="0000FF" w:themeColor="hyperlink"/>
      <w:u w:val="single"/>
    </w:rPr>
  </w:style>
  <w:style w:type="paragraph" w:customStyle="1" w:styleId="TableParagraph">
    <w:name w:val="Table Paragraph"/>
    <w:basedOn w:val="a"/>
    <w:uiPriority w:val="1"/>
    <w:qFormat/>
    <w:rsid w:val="00EA6291"/>
    <w:pPr>
      <w:autoSpaceDE w:val="0"/>
      <w:autoSpaceDN w:val="0"/>
      <w:spacing w:before="29"/>
      <w:jc w:val="left"/>
    </w:pPr>
    <w:rPr>
      <w:rFonts w:ascii="Times New Roman" w:eastAsia="Times New Roman" w:hAnsi="Times New Roman" w:cs="Times New Roman"/>
      <w:kern w:val="0"/>
      <w:sz w:val="22"/>
      <w:lang w:eastAsia="en-US"/>
    </w:rPr>
  </w:style>
  <w:style w:type="paragraph" w:customStyle="1" w:styleId="Pa16">
    <w:name w:val="Pa16"/>
    <w:basedOn w:val="a"/>
    <w:next w:val="a"/>
    <w:uiPriority w:val="99"/>
    <w:rsid w:val="00EA6291"/>
    <w:pPr>
      <w:autoSpaceDE w:val="0"/>
      <w:autoSpaceDN w:val="0"/>
      <w:adjustRightInd w:val="0"/>
      <w:spacing w:line="141" w:lineRule="atLeast"/>
      <w:jc w:val="left"/>
    </w:pPr>
    <w:rPr>
      <w:rFonts w:ascii="Albertus" w:eastAsia="Albertus" w:hAnsi="Calibri" w:cs="Times New Roman"/>
      <w:kern w:val="0"/>
      <w:sz w:val="24"/>
      <w:szCs w:val="24"/>
      <w:lang w:eastAsia="en-US"/>
    </w:rPr>
  </w:style>
  <w:style w:type="paragraph" w:customStyle="1" w:styleId="Default">
    <w:name w:val="Default"/>
    <w:rsid w:val="0006292C"/>
    <w:pPr>
      <w:widowControl w:val="0"/>
      <w:autoSpaceDE w:val="0"/>
      <w:autoSpaceDN w:val="0"/>
      <w:adjustRightInd w:val="0"/>
    </w:pPr>
    <w:rPr>
      <w:rFonts w:ascii="Book Antiqua" w:hAnsi="Book Antiqua" w:cs="Book Antiqua"/>
      <w:color w:val="000000"/>
      <w:kern w:val="0"/>
      <w:sz w:val="24"/>
      <w:szCs w:val="24"/>
    </w:rPr>
  </w:style>
  <w:style w:type="paragraph" w:styleId="ac">
    <w:name w:val="Plain Text"/>
    <w:basedOn w:val="a"/>
    <w:link w:val="Char4"/>
    <w:unhideWhenUsed/>
    <w:rsid w:val="002A1D71"/>
    <w:rPr>
      <w:rFonts w:ascii="宋体" w:eastAsia="宋体" w:hAnsi="Courier New" w:cs="Courier New"/>
      <w:szCs w:val="21"/>
    </w:rPr>
  </w:style>
  <w:style w:type="character" w:customStyle="1" w:styleId="Char4">
    <w:name w:val="纯文本 Char"/>
    <w:basedOn w:val="a0"/>
    <w:link w:val="ac"/>
    <w:rsid w:val="002A1D71"/>
    <w:rPr>
      <w:rFonts w:ascii="宋体" w:eastAsia="宋体" w:hAnsi="Courier New" w:cs="Courier New"/>
      <w:szCs w:val="21"/>
    </w:rPr>
  </w:style>
  <w:style w:type="paragraph" w:styleId="ad">
    <w:name w:val="List Paragraph"/>
    <w:basedOn w:val="a"/>
    <w:uiPriority w:val="34"/>
    <w:qFormat/>
    <w:rsid w:val="00A33D70"/>
    <w:pPr>
      <w:ind w:firstLineChars="200" w:firstLine="4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EA6291"/>
    <w:rPr>
      <w:sz w:val="21"/>
      <w:szCs w:val="21"/>
    </w:rPr>
  </w:style>
  <w:style w:type="paragraph" w:styleId="a4">
    <w:name w:val="annotation text"/>
    <w:basedOn w:val="a"/>
    <w:link w:val="Char"/>
    <w:uiPriority w:val="99"/>
    <w:unhideWhenUsed/>
    <w:qFormat/>
    <w:rsid w:val="00EA6291"/>
    <w:pPr>
      <w:jc w:val="left"/>
    </w:pPr>
  </w:style>
  <w:style w:type="character" w:customStyle="1" w:styleId="Char">
    <w:name w:val="批注文字 Char"/>
    <w:basedOn w:val="a0"/>
    <w:link w:val="a4"/>
    <w:uiPriority w:val="99"/>
    <w:qFormat/>
    <w:rsid w:val="00EA6291"/>
  </w:style>
  <w:style w:type="paragraph" w:styleId="a5">
    <w:name w:val="annotation subject"/>
    <w:basedOn w:val="a4"/>
    <w:next w:val="a4"/>
    <w:link w:val="Char0"/>
    <w:uiPriority w:val="99"/>
    <w:semiHidden/>
    <w:unhideWhenUsed/>
    <w:rsid w:val="00EA6291"/>
    <w:rPr>
      <w:b/>
      <w:bCs/>
    </w:rPr>
  </w:style>
  <w:style w:type="character" w:customStyle="1" w:styleId="Char0">
    <w:name w:val="批注主题 Char"/>
    <w:basedOn w:val="Char"/>
    <w:link w:val="a5"/>
    <w:uiPriority w:val="99"/>
    <w:semiHidden/>
    <w:rsid w:val="00EA6291"/>
    <w:rPr>
      <w:b/>
      <w:bCs/>
    </w:rPr>
  </w:style>
  <w:style w:type="paragraph" w:styleId="a6">
    <w:name w:val="Balloon Text"/>
    <w:basedOn w:val="a"/>
    <w:link w:val="Char1"/>
    <w:uiPriority w:val="99"/>
    <w:semiHidden/>
    <w:unhideWhenUsed/>
    <w:rsid w:val="00EA6291"/>
    <w:rPr>
      <w:sz w:val="18"/>
      <w:szCs w:val="18"/>
    </w:rPr>
  </w:style>
  <w:style w:type="character" w:customStyle="1" w:styleId="Char1">
    <w:name w:val="批注框文本 Char"/>
    <w:basedOn w:val="a0"/>
    <w:link w:val="a6"/>
    <w:uiPriority w:val="99"/>
    <w:semiHidden/>
    <w:rsid w:val="00EA6291"/>
    <w:rPr>
      <w:sz w:val="18"/>
      <w:szCs w:val="18"/>
    </w:rPr>
  </w:style>
  <w:style w:type="paragraph" w:styleId="a7">
    <w:name w:val="header"/>
    <w:basedOn w:val="a"/>
    <w:link w:val="Char2"/>
    <w:uiPriority w:val="99"/>
    <w:unhideWhenUsed/>
    <w:rsid w:val="00EA6291"/>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7"/>
    <w:uiPriority w:val="99"/>
    <w:rsid w:val="00EA6291"/>
    <w:rPr>
      <w:sz w:val="18"/>
      <w:szCs w:val="18"/>
    </w:rPr>
  </w:style>
  <w:style w:type="paragraph" w:styleId="a8">
    <w:name w:val="footer"/>
    <w:basedOn w:val="a"/>
    <w:link w:val="Char3"/>
    <w:uiPriority w:val="99"/>
    <w:unhideWhenUsed/>
    <w:rsid w:val="00EA6291"/>
    <w:pPr>
      <w:tabs>
        <w:tab w:val="center" w:pos="4153"/>
        <w:tab w:val="right" w:pos="8306"/>
      </w:tabs>
      <w:snapToGrid w:val="0"/>
      <w:jc w:val="left"/>
    </w:pPr>
    <w:rPr>
      <w:sz w:val="18"/>
      <w:szCs w:val="18"/>
    </w:rPr>
  </w:style>
  <w:style w:type="character" w:customStyle="1" w:styleId="Char3">
    <w:name w:val="页脚 Char"/>
    <w:basedOn w:val="a0"/>
    <w:link w:val="a8"/>
    <w:uiPriority w:val="99"/>
    <w:rsid w:val="00EA6291"/>
    <w:rPr>
      <w:sz w:val="18"/>
      <w:szCs w:val="18"/>
    </w:rPr>
  </w:style>
  <w:style w:type="character" w:styleId="a9">
    <w:name w:val="line number"/>
    <w:basedOn w:val="a0"/>
    <w:uiPriority w:val="99"/>
    <w:semiHidden/>
    <w:unhideWhenUsed/>
    <w:rsid w:val="00EA6291"/>
  </w:style>
  <w:style w:type="paragraph" w:styleId="aa">
    <w:name w:val="Revision"/>
    <w:hidden/>
    <w:uiPriority w:val="99"/>
    <w:semiHidden/>
    <w:rsid w:val="00EA6291"/>
  </w:style>
  <w:style w:type="character" w:styleId="ab">
    <w:name w:val="Hyperlink"/>
    <w:basedOn w:val="a0"/>
    <w:uiPriority w:val="99"/>
    <w:unhideWhenUsed/>
    <w:rsid w:val="00EA6291"/>
    <w:rPr>
      <w:color w:val="0000FF" w:themeColor="hyperlink"/>
      <w:u w:val="single"/>
    </w:rPr>
  </w:style>
  <w:style w:type="paragraph" w:customStyle="1" w:styleId="TableParagraph">
    <w:name w:val="Table Paragraph"/>
    <w:basedOn w:val="a"/>
    <w:uiPriority w:val="1"/>
    <w:qFormat/>
    <w:rsid w:val="00EA6291"/>
    <w:pPr>
      <w:autoSpaceDE w:val="0"/>
      <w:autoSpaceDN w:val="0"/>
      <w:spacing w:before="29"/>
      <w:jc w:val="left"/>
    </w:pPr>
    <w:rPr>
      <w:rFonts w:ascii="Times New Roman" w:eastAsia="Times New Roman" w:hAnsi="Times New Roman" w:cs="Times New Roman"/>
      <w:kern w:val="0"/>
      <w:sz w:val="22"/>
      <w:lang w:eastAsia="en-US"/>
    </w:rPr>
  </w:style>
  <w:style w:type="paragraph" w:customStyle="1" w:styleId="Pa16">
    <w:name w:val="Pa16"/>
    <w:basedOn w:val="a"/>
    <w:next w:val="a"/>
    <w:uiPriority w:val="99"/>
    <w:rsid w:val="00EA6291"/>
    <w:pPr>
      <w:autoSpaceDE w:val="0"/>
      <w:autoSpaceDN w:val="0"/>
      <w:adjustRightInd w:val="0"/>
      <w:spacing w:line="141" w:lineRule="atLeast"/>
      <w:jc w:val="left"/>
    </w:pPr>
    <w:rPr>
      <w:rFonts w:ascii="Albertus" w:eastAsia="Albertus" w:hAnsi="Calibri" w:cs="Times New Roman"/>
      <w:kern w:val="0"/>
      <w:sz w:val="24"/>
      <w:szCs w:val="24"/>
      <w:lang w:eastAsia="en-US"/>
    </w:rPr>
  </w:style>
  <w:style w:type="paragraph" w:customStyle="1" w:styleId="Default">
    <w:name w:val="Default"/>
    <w:rsid w:val="0006292C"/>
    <w:pPr>
      <w:widowControl w:val="0"/>
      <w:autoSpaceDE w:val="0"/>
      <w:autoSpaceDN w:val="0"/>
      <w:adjustRightInd w:val="0"/>
    </w:pPr>
    <w:rPr>
      <w:rFonts w:ascii="Book Antiqua" w:hAnsi="Book Antiqua" w:cs="Book Antiqua"/>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69558">
      <w:bodyDiv w:val="1"/>
      <w:marLeft w:val="0"/>
      <w:marRight w:val="0"/>
      <w:marTop w:val="0"/>
      <w:marBottom w:val="0"/>
      <w:divBdr>
        <w:top w:val="none" w:sz="0" w:space="0" w:color="auto"/>
        <w:left w:val="none" w:sz="0" w:space="0" w:color="auto"/>
        <w:bottom w:val="none" w:sz="0" w:space="0" w:color="auto"/>
        <w:right w:val="none" w:sz="0" w:space="0" w:color="auto"/>
      </w:divBdr>
    </w:div>
    <w:div w:id="27267980">
      <w:bodyDiv w:val="1"/>
      <w:marLeft w:val="0"/>
      <w:marRight w:val="0"/>
      <w:marTop w:val="0"/>
      <w:marBottom w:val="0"/>
      <w:divBdr>
        <w:top w:val="none" w:sz="0" w:space="0" w:color="auto"/>
        <w:left w:val="none" w:sz="0" w:space="0" w:color="auto"/>
        <w:bottom w:val="none" w:sz="0" w:space="0" w:color="auto"/>
        <w:right w:val="none" w:sz="0" w:space="0" w:color="auto"/>
      </w:divBdr>
    </w:div>
    <w:div w:id="191260944">
      <w:bodyDiv w:val="1"/>
      <w:marLeft w:val="0"/>
      <w:marRight w:val="0"/>
      <w:marTop w:val="0"/>
      <w:marBottom w:val="0"/>
      <w:divBdr>
        <w:top w:val="none" w:sz="0" w:space="0" w:color="auto"/>
        <w:left w:val="none" w:sz="0" w:space="0" w:color="auto"/>
        <w:bottom w:val="none" w:sz="0" w:space="0" w:color="auto"/>
        <w:right w:val="none" w:sz="0" w:space="0" w:color="auto"/>
      </w:divBdr>
    </w:div>
    <w:div w:id="234971901">
      <w:bodyDiv w:val="1"/>
      <w:marLeft w:val="0"/>
      <w:marRight w:val="0"/>
      <w:marTop w:val="0"/>
      <w:marBottom w:val="0"/>
      <w:divBdr>
        <w:top w:val="none" w:sz="0" w:space="0" w:color="auto"/>
        <w:left w:val="none" w:sz="0" w:space="0" w:color="auto"/>
        <w:bottom w:val="none" w:sz="0" w:space="0" w:color="auto"/>
        <w:right w:val="none" w:sz="0" w:space="0" w:color="auto"/>
      </w:divBdr>
    </w:div>
    <w:div w:id="280379227">
      <w:bodyDiv w:val="1"/>
      <w:marLeft w:val="0"/>
      <w:marRight w:val="0"/>
      <w:marTop w:val="0"/>
      <w:marBottom w:val="0"/>
      <w:divBdr>
        <w:top w:val="none" w:sz="0" w:space="0" w:color="auto"/>
        <w:left w:val="none" w:sz="0" w:space="0" w:color="auto"/>
        <w:bottom w:val="none" w:sz="0" w:space="0" w:color="auto"/>
        <w:right w:val="none" w:sz="0" w:space="0" w:color="auto"/>
      </w:divBdr>
    </w:div>
    <w:div w:id="306520174">
      <w:bodyDiv w:val="1"/>
      <w:marLeft w:val="0"/>
      <w:marRight w:val="0"/>
      <w:marTop w:val="0"/>
      <w:marBottom w:val="0"/>
      <w:divBdr>
        <w:top w:val="none" w:sz="0" w:space="0" w:color="auto"/>
        <w:left w:val="none" w:sz="0" w:space="0" w:color="auto"/>
        <w:bottom w:val="none" w:sz="0" w:space="0" w:color="auto"/>
        <w:right w:val="none" w:sz="0" w:space="0" w:color="auto"/>
      </w:divBdr>
    </w:div>
    <w:div w:id="536897548">
      <w:bodyDiv w:val="1"/>
      <w:marLeft w:val="0"/>
      <w:marRight w:val="0"/>
      <w:marTop w:val="0"/>
      <w:marBottom w:val="0"/>
      <w:divBdr>
        <w:top w:val="none" w:sz="0" w:space="0" w:color="auto"/>
        <w:left w:val="none" w:sz="0" w:space="0" w:color="auto"/>
        <w:bottom w:val="none" w:sz="0" w:space="0" w:color="auto"/>
        <w:right w:val="none" w:sz="0" w:space="0" w:color="auto"/>
      </w:divBdr>
    </w:div>
    <w:div w:id="598761140">
      <w:bodyDiv w:val="1"/>
      <w:marLeft w:val="0"/>
      <w:marRight w:val="0"/>
      <w:marTop w:val="0"/>
      <w:marBottom w:val="0"/>
      <w:divBdr>
        <w:top w:val="none" w:sz="0" w:space="0" w:color="auto"/>
        <w:left w:val="none" w:sz="0" w:space="0" w:color="auto"/>
        <w:bottom w:val="none" w:sz="0" w:space="0" w:color="auto"/>
        <w:right w:val="none" w:sz="0" w:space="0" w:color="auto"/>
      </w:divBdr>
    </w:div>
    <w:div w:id="611089361">
      <w:bodyDiv w:val="1"/>
      <w:marLeft w:val="0"/>
      <w:marRight w:val="0"/>
      <w:marTop w:val="0"/>
      <w:marBottom w:val="0"/>
      <w:divBdr>
        <w:top w:val="none" w:sz="0" w:space="0" w:color="auto"/>
        <w:left w:val="none" w:sz="0" w:space="0" w:color="auto"/>
        <w:bottom w:val="none" w:sz="0" w:space="0" w:color="auto"/>
        <w:right w:val="none" w:sz="0" w:space="0" w:color="auto"/>
      </w:divBdr>
    </w:div>
    <w:div w:id="797718316">
      <w:bodyDiv w:val="1"/>
      <w:marLeft w:val="0"/>
      <w:marRight w:val="0"/>
      <w:marTop w:val="0"/>
      <w:marBottom w:val="0"/>
      <w:divBdr>
        <w:top w:val="none" w:sz="0" w:space="0" w:color="auto"/>
        <w:left w:val="none" w:sz="0" w:space="0" w:color="auto"/>
        <w:bottom w:val="none" w:sz="0" w:space="0" w:color="auto"/>
        <w:right w:val="none" w:sz="0" w:space="0" w:color="auto"/>
      </w:divBdr>
    </w:div>
    <w:div w:id="950667211">
      <w:bodyDiv w:val="1"/>
      <w:marLeft w:val="0"/>
      <w:marRight w:val="0"/>
      <w:marTop w:val="0"/>
      <w:marBottom w:val="0"/>
      <w:divBdr>
        <w:top w:val="none" w:sz="0" w:space="0" w:color="auto"/>
        <w:left w:val="none" w:sz="0" w:space="0" w:color="auto"/>
        <w:bottom w:val="none" w:sz="0" w:space="0" w:color="auto"/>
        <w:right w:val="none" w:sz="0" w:space="0" w:color="auto"/>
      </w:divBdr>
    </w:div>
    <w:div w:id="1138299138">
      <w:bodyDiv w:val="1"/>
      <w:marLeft w:val="0"/>
      <w:marRight w:val="0"/>
      <w:marTop w:val="0"/>
      <w:marBottom w:val="0"/>
      <w:divBdr>
        <w:top w:val="none" w:sz="0" w:space="0" w:color="auto"/>
        <w:left w:val="none" w:sz="0" w:space="0" w:color="auto"/>
        <w:bottom w:val="none" w:sz="0" w:space="0" w:color="auto"/>
        <w:right w:val="none" w:sz="0" w:space="0" w:color="auto"/>
      </w:divBdr>
    </w:div>
    <w:div w:id="1275558134">
      <w:bodyDiv w:val="1"/>
      <w:marLeft w:val="0"/>
      <w:marRight w:val="0"/>
      <w:marTop w:val="0"/>
      <w:marBottom w:val="0"/>
      <w:divBdr>
        <w:top w:val="none" w:sz="0" w:space="0" w:color="auto"/>
        <w:left w:val="none" w:sz="0" w:space="0" w:color="auto"/>
        <w:bottom w:val="none" w:sz="0" w:space="0" w:color="auto"/>
        <w:right w:val="none" w:sz="0" w:space="0" w:color="auto"/>
      </w:divBdr>
    </w:div>
    <w:div w:id="1276447476">
      <w:bodyDiv w:val="1"/>
      <w:marLeft w:val="0"/>
      <w:marRight w:val="0"/>
      <w:marTop w:val="0"/>
      <w:marBottom w:val="0"/>
      <w:divBdr>
        <w:top w:val="none" w:sz="0" w:space="0" w:color="auto"/>
        <w:left w:val="none" w:sz="0" w:space="0" w:color="auto"/>
        <w:bottom w:val="none" w:sz="0" w:space="0" w:color="auto"/>
        <w:right w:val="none" w:sz="0" w:space="0" w:color="auto"/>
      </w:divBdr>
    </w:div>
    <w:div w:id="1405105037">
      <w:bodyDiv w:val="1"/>
      <w:marLeft w:val="0"/>
      <w:marRight w:val="0"/>
      <w:marTop w:val="0"/>
      <w:marBottom w:val="0"/>
      <w:divBdr>
        <w:top w:val="none" w:sz="0" w:space="0" w:color="auto"/>
        <w:left w:val="none" w:sz="0" w:space="0" w:color="auto"/>
        <w:bottom w:val="none" w:sz="0" w:space="0" w:color="auto"/>
        <w:right w:val="none" w:sz="0" w:space="0" w:color="auto"/>
      </w:divBdr>
    </w:div>
    <w:div w:id="1500778228">
      <w:bodyDiv w:val="1"/>
      <w:marLeft w:val="0"/>
      <w:marRight w:val="0"/>
      <w:marTop w:val="0"/>
      <w:marBottom w:val="0"/>
      <w:divBdr>
        <w:top w:val="none" w:sz="0" w:space="0" w:color="auto"/>
        <w:left w:val="none" w:sz="0" w:space="0" w:color="auto"/>
        <w:bottom w:val="none" w:sz="0" w:space="0" w:color="auto"/>
        <w:right w:val="none" w:sz="0" w:space="0" w:color="auto"/>
      </w:divBdr>
    </w:div>
    <w:div w:id="1530413122">
      <w:bodyDiv w:val="1"/>
      <w:marLeft w:val="0"/>
      <w:marRight w:val="0"/>
      <w:marTop w:val="0"/>
      <w:marBottom w:val="0"/>
      <w:divBdr>
        <w:top w:val="none" w:sz="0" w:space="0" w:color="auto"/>
        <w:left w:val="none" w:sz="0" w:space="0" w:color="auto"/>
        <w:bottom w:val="none" w:sz="0" w:space="0" w:color="auto"/>
        <w:right w:val="none" w:sz="0" w:space="0" w:color="auto"/>
      </w:divBdr>
    </w:div>
    <w:div w:id="1753891342">
      <w:bodyDiv w:val="1"/>
      <w:marLeft w:val="0"/>
      <w:marRight w:val="0"/>
      <w:marTop w:val="0"/>
      <w:marBottom w:val="0"/>
      <w:divBdr>
        <w:top w:val="none" w:sz="0" w:space="0" w:color="auto"/>
        <w:left w:val="none" w:sz="0" w:space="0" w:color="auto"/>
        <w:bottom w:val="none" w:sz="0" w:space="0" w:color="auto"/>
        <w:right w:val="none" w:sz="0" w:space="0" w:color="auto"/>
      </w:divBdr>
    </w:div>
    <w:div w:id="1897814623">
      <w:bodyDiv w:val="1"/>
      <w:marLeft w:val="0"/>
      <w:marRight w:val="0"/>
      <w:marTop w:val="0"/>
      <w:marBottom w:val="0"/>
      <w:divBdr>
        <w:top w:val="none" w:sz="0" w:space="0" w:color="auto"/>
        <w:left w:val="none" w:sz="0" w:space="0" w:color="auto"/>
        <w:bottom w:val="none" w:sz="0" w:space="0" w:color="auto"/>
        <w:right w:val="none" w:sz="0" w:space="0" w:color="auto"/>
      </w:divBdr>
    </w:div>
    <w:div w:id="1911577512">
      <w:bodyDiv w:val="1"/>
      <w:marLeft w:val="0"/>
      <w:marRight w:val="0"/>
      <w:marTop w:val="0"/>
      <w:marBottom w:val="0"/>
      <w:divBdr>
        <w:top w:val="none" w:sz="0" w:space="0" w:color="auto"/>
        <w:left w:val="none" w:sz="0" w:space="0" w:color="auto"/>
        <w:bottom w:val="none" w:sz="0" w:space="0" w:color="auto"/>
        <w:right w:val="none" w:sz="0" w:space="0" w:color="auto"/>
      </w:divBdr>
    </w:div>
    <w:div w:id="1913539208">
      <w:bodyDiv w:val="1"/>
      <w:marLeft w:val="0"/>
      <w:marRight w:val="0"/>
      <w:marTop w:val="0"/>
      <w:marBottom w:val="0"/>
      <w:divBdr>
        <w:top w:val="none" w:sz="0" w:space="0" w:color="auto"/>
        <w:left w:val="none" w:sz="0" w:space="0" w:color="auto"/>
        <w:bottom w:val="none" w:sz="0" w:space="0" w:color="auto"/>
        <w:right w:val="none" w:sz="0" w:space="0" w:color="auto"/>
      </w:divBdr>
    </w:div>
    <w:div w:id="2079092719">
      <w:bodyDiv w:val="1"/>
      <w:marLeft w:val="0"/>
      <w:marRight w:val="0"/>
      <w:marTop w:val="0"/>
      <w:marBottom w:val="0"/>
      <w:divBdr>
        <w:top w:val="none" w:sz="0" w:space="0" w:color="auto"/>
        <w:left w:val="none" w:sz="0" w:space="0" w:color="auto"/>
        <w:bottom w:val="none" w:sz="0" w:space="0" w:color="auto"/>
        <w:right w:val="none" w:sz="0" w:space="0" w:color="auto"/>
      </w:divBdr>
    </w:div>
    <w:div w:id="2089842465">
      <w:bodyDiv w:val="1"/>
      <w:marLeft w:val="0"/>
      <w:marRight w:val="0"/>
      <w:marTop w:val="0"/>
      <w:marBottom w:val="0"/>
      <w:divBdr>
        <w:top w:val="none" w:sz="0" w:space="0" w:color="auto"/>
        <w:left w:val="none" w:sz="0" w:space="0" w:color="auto"/>
        <w:bottom w:val="none" w:sz="0" w:space="0" w:color="auto"/>
        <w:right w:val="none" w:sz="0" w:space="0" w:color="auto"/>
      </w:divBdr>
    </w:div>
    <w:div w:id="2130926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iuxf777@hotmail.com" TargetMode="External"/><Relationship Id="rId13"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4F9239-A566-4FA7-BC55-6030F5C599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25</Pages>
  <Words>4680</Words>
  <Characters>26676</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31294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Jin-Lei Wang</cp:lastModifiedBy>
  <cp:revision>19</cp:revision>
  <dcterms:created xsi:type="dcterms:W3CDTF">2019-07-18T01:53:00Z</dcterms:created>
  <dcterms:modified xsi:type="dcterms:W3CDTF">2019-08-03T04:17:00Z</dcterms:modified>
</cp:coreProperties>
</file>