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7C47F" w14:textId="77777777" w:rsidR="00EA037B" w:rsidRPr="00EA037B" w:rsidRDefault="00EA037B" w:rsidP="00EA037B">
      <w:pPr>
        <w:widowControl/>
        <w:wordWrap/>
        <w:autoSpaceDE/>
        <w:autoSpaceDN/>
        <w:spacing w:line="360" w:lineRule="auto"/>
        <w:rPr>
          <w:rFonts w:ascii="Book Antiqua" w:eastAsia="宋体" w:hAnsi="Book Antiqua" w:cs="Segoe UI"/>
          <w:b/>
          <w:bCs/>
          <w:i/>
          <w:color w:val="000000"/>
          <w:kern w:val="0"/>
          <w:sz w:val="36"/>
          <w:szCs w:val="36"/>
          <w:lang w:eastAsia="zh-CN"/>
        </w:rPr>
      </w:pPr>
      <w:r w:rsidRPr="00EA037B">
        <w:rPr>
          <w:rFonts w:ascii="Book Antiqua" w:eastAsia="宋体" w:hAnsi="Book Antiqua" w:cs="Tahoma"/>
          <w:b/>
          <w:color w:val="000000"/>
          <w:kern w:val="0"/>
          <w:sz w:val="24"/>
          <w:lang w:eastAsia="en-US"/>
        </w:rPr>
        <w:t xml:space="preserve">Name of Journal: </w:t>
      </w:r>
      <w:r w:rsidRPr="00EA037B">
        <w:rPr>
          <w:rFonts w:ascii="Book Antiqua" w:eastAsia="宋体" w:hAnsi="Book Antiqua" w:cs="Tahoma"/>
          <w:i/>
          <w:color w:val="000000"/>
          <w:kern w:val="0"/>
          <w:sz w:val="24"/>
          <w:lang w:eastAsia="en-US"/>
        </w:rPr>
        <w:t>World Journal of Gastroenterology</w:t>
      </w:r>
    </w:p>
    <w:p w14:paraId="365A0019" w14:textId="0BECF0FD" w:rsidR="00EA037B" w:rsidRPr="00EA037B" w:rsidRDefault="00EA037B" w:rsidP="00EA037B">
      <w:pPr>
        <w:widowControl/>
        <w:wordWrap/>
        <w:autoSpaceDE/>
        <w:autoSpaceDN/>
        <w:spacing w:line="360" w:lineRule="auto"/>
        <w:rPr>
          <w:rFonts w:ascii="Book Antiqua" w:eastAsia="宋体" w:hAnsi="Book Antiqua" w:cs="Tahoma"/>
          <w:b/>
          <w:color w:val="000000"/>
          <w:kern w:val="0"/>
          <w:sz w:val="24"/>
          <w:lang w:eastAsia="zh-CN"/>
        </w:rPr>
      </w:pPr>
      <w:r w:rsidRPr="00EA037B">
        <w:rPr>
          <w:rFonts w:ascii="Book Antiqua" w:eastAsia="宋体" w:hAnsi="Book Antiqua" w:cs="Tahoma"/>
          <w:b/>
          <w:color w:val="000000"/>
          <w:kern w:val="0"/>
          <w:sz w:val="24"/>
          <w:lang w:eastAsia="en-US"/>
        </w:rPr>
        <w:t xml:space="preserve">Manuscript NO: </w:t>
      </w:r>
      <w:r>
        <w:rPr>
          <w:rFonts w:ascii="Book Antiqua" w:eastAsia="宋体" w:hAnsi="Book Antiqua" w:cs="Tahoma"/>
          <w:color w:val="000000"/>
          <w:kern w:val="0"/>
          <w:sz w:val="24"/>
          <w:lang w:eastAsia="zh-CN"/>
        </w:rPr>
        <w:t>49363</w:t>
      </w:r>
    </w:p>
    <w:p w14:paraId="35C28F42" w14:textId="212ABFD0" w:rsidR="00EA037B" w:rsidRPr="00EA037B" w:rsidRDefault="00EA037B" w:rsidP="00EA037B">
      <w:pPr>
        <w:widowControl/>
        <w:wordWrap/>
        <w:autoSpaceDE/>
        <w:autoSpaceDN/>
        <w:spacing w:line="360" w:lineRule="auto"/>
        <w:rPr>
          <w:rFonts w:ascii="Book Antiqua" w:eastAsia="宋体" w:hAnsi="Book Antiqua" w:cs="Segoe UI"/>
          <w:b/>
          <w:bCs/>
          <w:i/>
          <w:color w:val="000000"/>
          <w:kern w:val="0"/>
          <w:sz w:val="24"/>
          <w:lang w:eastAsia="zh-CN"/>
        </w:rPr>
      </w:pPr>
      <w:bookmarkStart w:id="0" w:name="OLE_LINK3"/>
      <w:r w:rsidRPr="00EA037B">
        <w:rPr>
          <w:rFonts w:ascii="Book Antiqua" w:eastAsia="宋体" w:hAnsi="Book Antiqua"/>
          <w:b/>
          <w:color w:val="000000"/>
          <w:kern w:val="0"/>
          <w:sz w:val="24"/>
          <w:shd w:val="clear" w:color="auto" w:fill="FFFFFF"/>
          <w:lang w:val="fr-FR" w:eastAsia="en-US"/>
        </w:rPr>
        <w:t>Manuscript Type</w:t>
      </w:r>
      <w:r w:rsidRPr="00EA037B">
        <w:rPr>
          <w:rFonts w:ascii="Book Antiqua" w:eastAsia="宋体" w:hAnsi="Book Antiqua"/>
          <w:b/>
          <w:color w:val="000000"/>
          <w:kern w:val="0"/>
          <w:sz w:val="24"/>
          <w:lang w:val="fr-FR" w:eastAsia="en-US"/>
        </w:rPr>
        <w:t>:</w:t>
      </w:r>
      <w:bookmarkEnd w:id="0"/>
      <w:r w:rsidRPr="00EA037B">
        <w:rPr>
          <w:rFonts w:ascii="Book Antiqua" w:eastAsia="宋体" w:hAnsi="Book Antiqua" w:cs="Segoe UI"/>
          <w:b/>
          <w:bCs/>
          <w:i/>
          <w:color w:val="000000"/>
          <w:kern w:val="0"/>
          <w:sz w:val="24"/>
          <w:lang w:eastAsia="en-US"/>
        </w:rPr>
        <w:t xml:space="preserve"> </w:t>
      </w:r>
      <w:r w:rsidRPr="00EA037B">
        <w:rPr>
          <w:rFonts w:ascii="Book Antiqua" w:eastAsia="宋体" w:hAnsi="Book Antiqua" w:cs="Segoe UI"/>
          <w:iCs/>
          <w:color w:val="000000"/>
          <w:kern w:val="0"/>
          <w:sz w:val="24"/>
          <w:lang w:eastAsia="en-US"/>
        </w:rPr>
        <w:t>ORIGINAL ARTICLE</w:t>
      </w:r>
    </w:p>
    <w:p w14:paraId="7F086F03" w14:textId="77777777" w:rsidR="00EA037B" w:rsidRDefault="00EA037B" w:rsidP="00EA037B">
      <w:pPr>
        <w:wordWrap/>
        <w:spacing w:line="360" w:lineRule="auto"/>
        <w:rPr>
          <w:rFonts w:ascii="Book Antiqua" w:hAnsi="Book Antiqua"/>
          <w:b/>
          <w:color w:val="000000" w:themeColor="text1"/>
          <w:sz w:val="24"/>
        </w:rPr>
      </w:pPr>
    </w:p>
    <w:p w14:paraId="37F06165" w14:textId="54180658" w:rsidR="00182B6E" w:rsidRPr="00EA037B" w:rsidRDefault="00EA037B" w:rsidP="00EA037B">
      <w:pPr>
        <w:pStyle w:val="a4"/>
        <w:spacing w:after="0" w:line="360" w:lineRule="auto"/>
        <w:jc w:val="both"/>
        <w:rPr>
          <w:rFonts w:ascii="Book Antiqua" w:hAnsi="Book Antiqua" w:cs="Times New Roman"/>
          <w:b/>
          <w:i/>
          <w:iCs/>
          <w:color w:val="000000" w:themeColor="text1"/>
          <w:sz w:val="24"/>
          <w:szCs w:val="24"/>
          <w:lang w:eastAsia="ko-KR"/>
        </w:rPr>
      </w:pPr>
      <w:r w:rsidRPr="00EA037B">
        <w:rPr>
          <w:rFonts w:ascii="Book Antiqua" w:eastAsia="宋体" w:hAnsi="Book Antiqua" w:cs="Segoe UI"/>
          <w:b/>
          <w:i/>
          <w:iCs/>
          <w:sz w:val="24"/>
        </w:rPr>
        <w:t>Case Control Study</w:t>
      </w:r>
    </w:p>
    <w:p w14:paraId="1BD54020" w14:textId="10D13463" w:rsidR="00182B6E" w:rsidRPr="00EA037B" w:rsidRDefault="00182B6E" w:rsidP="00EA037B">
      <w:pPr>
        <w:pStyle w:val="a4"/>
        <w:spacing w:after="0" w:line="360" w:lineRule="auto"/>
        <w:jc w:val="both"/>
        <w:rPr>
          <w:rFonts w:ascii="Book Antiqua" w:eastAsia="Batang" w:hAnsi="Book Antiqua" w:cs="Times New Roman"/>
          <w:b/>
          <w:bCs/>
          <w:color w:val="000000" w:themeColor="text1"/>
          <w:sz w:val="24"/>
          <w:szCs w:val="24"/>
        </w:rPr>
      </w:pPr>
      <w:bookmarkStart w:id="1" w:name="OLE_LINK1099"/>
      <w:r w:rsidRPr="00EA037B">
        <w:rPr>
          <w:rFonts w:ascii="Book Antiqua" w:hAnsi="Book Antiqua" w:cs="Times New Roman"/>
          <w:b/>
          <w:color w:val="000000" w:themeColor="text1"/>
          <w:sz w:val="24"/>
          <w:szCs w:val="24"/>
          <w:lang w:eastAsia="ko-KR"/>
        </w:rPr>
        <w:t xml:space="preserve">Laparoscopy-assisted pylorus-preserving gastrectomy for early gastric cancer: </w:t>
      </w:r>
      <w:r w:rsidR="00EA037B" w:rsidRPr="00EA037B">
        <w:rPr>
          <w:rFonts w:ascii="Book Antiqua" w:hAnsi="Book Antiqua" w:cs="Times New Roman"/>
          <w:b/>
          <w:color w:val="000000" w:themeColor="text1"/>
          <w:sz w:val="24"/>
          <w:szCs w:val="24"/>
          <w:lang w:eastAsia="ko-KR"/>
        </w:rPr>
        <w:t>A</w:t>
      </w:r>
      <w:r w:rsidRPr="00EA037B">
        <w:rPr>
          <w:rFonts w:ascii="Book Antiqua" w:hAnsi="Book Antiqua" w:cs="Times New Roman"/>
          <w:b/>
          <w:color w:val="000000" w:themeColor="text1"/>
          <w:sz w:val="24"/>
          <w:szCs w:val="24"/>
          <w:lang w:eastAsia="ko-KR"/>
        </w:rPr>
        <w:t xml:space="preserve"> retrospective study of long-term functional outcomes and quality of life</w:t>
      </w:r>
    </w:p>
    <w:bookmarkEnd w:id="1"/>
    <w:p w14:paraId="00F478E1" w14:textId="77777777" w:rsidR="00EA037B" w:rsidRDefault="00EA037B" w:rsidP="00EA037B">
      <w:pPr>
        <w:pStyle w:val="a4"/>
        <w:spacing w:after="0" w:line="360" w:lineRule="auto"/>
        <w:jc w:val="both"/>
        <w:rPr>
          <w:rFonts w:ascii="Book Antiqua" w:eastAsia="Batang" w:hAnsi="Book Antiqua" w:cs="Times New Roman"/>
          <w:bCs/>
          <w:color w:val="000000" w:themeColor="text1"/>
          <w:sz w:val="24"/>
          <w:szCs w:val="24"/>
          <w:lang w:eastAsia="ko-KR"/>
        </w:rPr>
      </w:pPr>
    </w:p>
    <w:p w14:paraId="18648709" w14:textId="742EDA23" w:rsidR="00182B6E" w:rsidRPr="00EA037B" w:rsidRDefault="00182B6E" w:rsidP="00EA037B">
      <w:pPr>
        <w:pStyle w:val="a4"/>
        <w:spacing w:after="0" w:line="360" w:lineRule="auto"/>
        <w:jc w:val="both"/>
        <w:rPr>
          <w:rFonts w:ascii="Book Antiqua" w:hAnsi="Book Antiqua"/>
          <w:color w:val="000000" w:themeColor="text1"/>
          <w:sz w:val="24"/>
          <w:szCs w:val="24"/>
        </w:rPr>
      </w:pPr>
      <w:r w:rsidRPr="00EA037B">
        <w:rPr>
          <w:rFonts w:ascii="Book Antiqua" w:eastAsia="Batang" w:hAnsi="Book Antiqua" w:cs="Times New Roman"/>
          <w:bCs/>
          <w:color w:val="000000" w:themeColor="text1"/>
          <w:sz w:val="24"/>
          <w:szCs w:val="24"/>
          <w:lang w:eastAsia="ko-KR"/>
        </w:rPr>
        <w:t xml:space="preserve">Eom </w:t>
      </w:r>
      <w:r w:rsidR="00EA037B">
        <w:rPr>
          <w:rFonts w:ascii="Book Antiqua" w:eastAsia="Batang" w:hAnsi="Book Antiqua" w:cs="Times New Roman"/>
          <w:bCs/>
          <w:color w:val="000000" w:themeColor="text1"/>
          <w:sz w:val="24"/>
          <w:szCs w:val="24"/>
          <w:lang w:eastAsia="ko-KR"/>
        </w:rPr>
        <w:t xml:space="preserve">BW </w:t>
      </w:r>
      <w:r w:rsidRPr="00EA037B">
        <w:rPr>
          <w:rFonts w:ascii="Book Antiqua" w:eastAsia="Batang" w:hAnsi="Book Antiqua" w:cs="Times New Roman"/>
          <w:bCs/>
          <w:i/>
          <w:iCs/>
          <w:color w:val="000000" w:themeColor="text1"/>
          <w:sz w:val="24"/>
          <w:szCs w:val="24"/>
          <w:lang w:eastAsia="ko-KR"/>
        </w:rPr>
        <w:t>et al</w:t>
      </w:r>
      <w:r w:rsidRPr="00EA037B">
        <w:rPr>
          <w:rFonts w:ascii="Book Antiqua" w:eastAsia="Batang" w:hAnsi="Book Antiqua" w:cs="Times New Roman"/>
          <w:bCs/>
          <w:color w:val="000000" w:themeColor="text1"/>
          <w:sz w:val="24"/>
          <w:szCs w:val="24"/>
          <w:lang w:eastAsia="ko-KR"/>
        </w:rPr>
        <w:t xml:space="preserve">. </w:t>
      </w:r>
      <w:bookmarkStart w:id="2" w:name="OLE_LINK1100"/>
      <w:bookmarkStart w:id="3" w:name="OLE_LINK1101"/>
      <w:r w:rsidRPr="00EA037B">
        <w:rPr>
          <w:rFonts w:ascii="Book Antiqua" w:hAnsi="Book Antiqua"/>
          <w:color w:val="000000" w:themeColor="text1"/>
          <w:sz w:val="24"/>
          <w:szCs w:val="24"/>
        </w:rPr>
        <w:t>Long-term functional outcomes of LAPPG</w:t>
      </w:r>
      <w:bookmarkEnd w:id="2"/>
      <w:bookmarkEnd w:id="3"/>
    </w:p>
    <w:p w14:paraId="639D2D19" w14:textId="77777777" w:rsidR="00182B6E" w:rsidRPr="00EA037B" w:rsidRDefault="00182B6E" w:rsidP="00EA037B">
      <w:pPr>
        <w:pStyle w:val="a4"/>
        <w:spacing w:after="0" w:line="360" w:lineRule="auto"/>
        <w:jc w:val="both"/>
        <w:rPr>
          <w:rFonts w:ascii="Book Antiqua" w:eastAsia="Batang" w:hAnsi="Book Antiqua" w:cs="Times New Roman"/>
          <w:bCs/>
          <w:color w:val="000000" w:themeColor="text1"/>
          <w:sz w:val="24"/>
          <w:szCs w:val="24"/>
          <w:lang w:eastAsia="ko-KR"/>
        </w:rPr>
      </w:pPr>
    </w:p>
    <w:p w14:paraId="1FD80734" w14:textId="77777777" w:rsidR="00182B6E" w:rsidRPr="00EA037B" w:rsidRDefault="00182B6E" w:rsidP="00EA037B">
      <w:pPr>
        <w:pStyle w:val="a4"/>
        <w:spacing w:after="0" w:line="360" w:lineRule="auto"/>
        <w:jc w:val="both"/>
        <w:rPr>
          <w:rFonts w:ascii="Book Antiqua" w:eastAsia="Batang" w:hAnsi="Book Antiqua" w:cs="Times New Roman"/>
          <w:bCs/>
          <w:color w:val="000000" w:themeColor="text1"/>
          <w:sz w:val="24"/>
          <w:szCs w:val="24"/>
          <w:lang w:eastAsia="ko-KR"/>
        </w:rPr>
      </w:pPr>
      <w:r w:rsidRPr="00EA037B">
        <w:rPr>
          <w:rFonts w:ascii="Book Antiqua" w:eastAsia="Batang" w:hAnsi="Book Antiqua" w:cs="Times New Roman"/>
          <w:bCs/>
          <w:color w:val="000000" w:themeColor="text1"/>
          <w:sz w:val="24"/>
          <w:szCs w:val="24"/>
        </w:rPr>
        <w:t>B</w:t>
      </w:r>
      <w:r w:rsidRPr="00EA037B">
        <w:rPr>
          <w:rFonts w:ascii="Book Antiqua" w:eastAsia="Batang" w:hAnsi="Book Antiqua" w:cs="Times New Roman"/>
          <w:bCs/>
          <w:color w:val="000000" w:themeColor="text1"/>
          <w:sz w:val="24"/>
          <w:szCs w:val="24"/>
          <w:lang w:eastAsia="ko-KR"/>
        </w:rPr>
        <w:t xml:space="preserve">ang Wool </w:t>
      </w:r>
      <w:r w:rsidRPr="00EA037B">
        <w:rPr>
          <w:rFonts w:ascii="Book Antiqua" w:eastAsia="Batang" w:hAnsi="Book Antiqua" w:cs="Times New Roman"/>
          <w:bCs/>
          <w:color w:val="000000" w:themeColor="text1"/>
          <w:sz w:val="24"/>
          <w:szCs w:val="24"/>
        </w:rPr>
        <w:t>Eom</w:t>
      </w:r>
      <w:r w:rsidRPr="00EA037B">
        <w:rPr>
          <w:rFonts w:ascii="Book Antiqua" w:eastAsia="Batang" w:hAnsi="Book Antiqua" w:cs="Times New Roman"/>
          <w:bCs/>
          <w:color w:val="000000" w:themeColor="text1"/>
          <w:sz w:val="24"/>
          <w:szCs w:val="24"/>
          <w:lang w:eastAsia="ko-KR"/>
        </w:rPr>
        <w:t xml:space="preserve">, Boram Park, </w:t>
      </w:r>
      <w:r w:rsidRPr="00EA037B">
        <w:rPr>
          <w:rFonts w:ascii="Book Antiqua" w:eastAsia="Batang" w:hAnsi="Book Antiqua" w:cs="Times New Roman"/>
          <w:bCs/>
          <w:color w:val="000000" w:themeColor="text1"/>
          <w:sz w:val="24"/>
          <w:szCs w:val="24"/>
        </w:rPr>
        <w:t>H</w:t>
      </w:r>
      <w:r w:rsidRPr="00EA037B">
        <w:rPr>
          <w:rFonts w:ascii="Book Antiqua" w:eastAsia="Batang" w:hAnsi="Book Antiqua" w:cs="Times New Roman"/>
          <w:bCs/>
          <w:color w:val="000000" w:themeColor="text1"/>
          <w:sz w:val="24"/>
          <w:szCs w:val="24"/>
          <w:lang w:eastAsia="ko-KR"/>
        </w:rPr>
        <w:t>ong Man</w:t>
      </w:r>
      <w:r w:rsidRPr="00EA037B">
        <w:rPr>
          <w:rFonts w:ascii="Book Antiqua" w:eastAsia="Batang" w:hAnsi="Book Antiqua" w:cs="Times New Roman"/>
          <w:bCs/>
          <w:color w:val="000000" w:themeColor="text1"/>
          <w:sz w:val="24"/>
          <w:szCs w:val="24"/>
        </w:rPr>
        <w:t xml:space="preserve"> Yoon</w:t>
      </w:r>
      <w:r w:rsidRPr="00EA037B">
        <w:rPr>
          <w:rFonts w:ascii="Book Antiqua" w:eastAsia="Batang" w:hAnsi="Book Antiqua" w:cs="Times New Roman"/>
          <w:bCs/>
          <w:color w:val="000000" w:themeColor="text1"/>
          <w:sz w:val="24"/>
          <w:szCs w:val="24"/>
          <w:lang w:eastAsia="ko-KR"/>
        </w:rPr>
        <w:t xml:space="preserve">, </w:t>
      </w:r>
      <w:r w:rsidRPr="00EA037B">
        <w:rPr>
          <w:rFonts w:ascii="Book Antiqua" w:eastAsia="Batang" w:hAnsi="Book Antiqua" w:cs="Times New Roman"/>
          <w:bCs/>
          <w:color w:val="000000" w:themeColor="text1"/>
          <w:sz w:val="24"/>
          <w:szCs w:val="24"/>
        </w:rPr>
        <w:t>K</w:t>
      </w:r>
      <w:r w:rsidRPr="00EA037B">
        <w:rPr>
          <w:rFonts w:ascii="Book Antiqua" w:eastAsia="Batang" w:hAnsi="Book Antiqua" w:cs="Times New Roman"/>
          <w:bCs/>
          <w:color w:val="000000" w:themeColor="text1"/>
          <w:sz w:val="24"/>
          <w:szCs w:val="24"/>
          <w:lang w:eastAsia="ko-KR"/>
        </w:rPr>
        <w:t>eun</w:t>
      </w:r>
      <w:r w:rsidRPr="00EA037B">
        <w:rPr>
          <w:rFonts w:ascii="Book Antiqua" w:eastAsia="Batang" w:hAnsi="Book Antiqua" w:cs="Times New Roman"/>
          <w:bCs/>
          <w:color w:val="000000" w:themeColor="text1"/>
          <w:sz w:val="24"/>
          <w:szCs w:val="24"/>
        </w:rPr>
        <w:t xml:space="preserve"> W</w:t>
      </w:r>
      <w:r w:rsidRPr="00EA037B">
        <w:rPr>
          <w:rFonts w:ascii="Book Antiqua" w:eastAsia="Batang" w:hAnsi="Book Antiqua" w:cs="Times New Roman"/>
          <w:bCs/>
          <w:color w:val="000000" w:themeColor="text1"/>
          <w:sz w:val="24"/>
          <w:szCs w:val="24"/>
          <w:lang w:eastAsia="ko-KR"/>
        </w:rPr>
        <w:t>on</w:t>
      </w:r>
      <w:r w:rsidRPr="00EA037B">
        <w:rPr>
          <w:rFonts w:ascii="Book Antiqua" w:eastAsia="Batang" w:hAnsi="Book Antiqua" w:cs="Times New Roman"/>
          <w:bCs/>
          <w:color w:val="000000" w:themeColor="text1"/>
          <w:sz w:val="24"/>
          <w:szCs w:val="24"/>
        </w:rPr>
        <w:t xml:space="preserve"> Ryu</w:t>
      </w:r>
      <w:r w:rsidRPr="00EA037B">
        <w:rPr>
          <w:rFonts w:ascii="Book Antiqua" w:eastAsia="Batang" w:hAnsi="Book Antiqua" w:cs="Times New Roman"/>
          <w:bCs/>
          <w:color w:val="000000" w:themeColor="text1"/>
          <w:sz w:val="24"/>
          <w:szCs w:val="24"/>
          <w:lang w:eastAsia="ko-KR"/>
        </w:rPr>
        <w:t xml:space="preserve">, </w:t>
      </w:r>
      <w:r w:rsidRPr="00EA037B">
        <w:rPr>
          <w:rFonts w:ascii="Book Antiqua" w:eastAsia="Batang" w:hAnsi="Book Antiqua" w:cs="Times New Roman"/>
          <w:bCs/>
          <w:color w:val="000000" w:themeColor="text1"/>
          <w:sz w:val="24"/>
          <w:szCs w:val="24"/>
        </w:rPr>
        <w:t>Y</w:t>
      </w:r>
      <w:r w:rsidRPr="00EA037B">
        <w:rPr>
          <w:rFonts w:ascii="Book Antiqua" w:eastAsia="Batang" w:hAnsi="Book Antiqua" w:cs="Times New Roman"/>
          <w:bCs/>
          <w:color w:val="000000" w:themeColor="text1"/>
          <w:sz w:val="24"/>
          <w:szCs w:val="24"/>
          <w:lang w:eastAsia="ko-KR"/>
        </w:rPr>
        <w:t>oung</w:t>
      </w:r>
      <w:r w:rsidRPr="00EA037B">
        <w:rPr>
          <w:rFonts w:ascii="Book Antiqua" w:eastAsia="Batang" w:hAnsi="Book Antiqua" w:cs="Times New Roman"/>
          <w:bCs/>
          <w:color w:val="000000" w:themeColor="text1"/>
          <w:sz w:val="24"/>
          <w:szCs w:val="24"/>
        </w:rPr>
        <w:t>-W</w:t>
      </w:r>
      <w:r w:rsidRPr="00EA037B">
        <w:rPr>
          <w:rFonts w:ascii="Book Antiqua" w:eastAsia="Batang" w:hAnsi="Book Antiqua" w:cs="Times New Roman"/>
          <w:bCs/>
          <w:color w:val="000000" w:themeColor="text1"/>
          <w:sz w:val="24"/>
          <w:szCs w:val="24"/>
          <w:lang w:eastAsia="ko-KR"/>
        </w:rPr>
        <w:t>oo</w:t>
      </w:r>
      <w:r w:rsidRPr="00EA037B">
        <w:rPr>
          <w:rFonts w:ascii="Book Antiqua" w:eastAsia="Batang" w:hAnsi="Book Antiqua" w:cs="Times New Roman"/>
          <w:bCs/>
          <w:color w:val="000000" w:themeColor="text1"/>
          <w:sz w:val="24"/>
          <w:szCs w:val="24"/>
        </w:rPr>
        <w:t xml:space="preserve"> Kim</w:t>
      </w:r>
      <w:r w:rsidRPr="00EA037B">
        <w:rPr>
          <w:rFonts w:ascii="Book Antiqua" w:eastAsia="Batang" w:hAnsi="Book Antiqua" w:cs="Times New Roman"/>
          <w:bCs/>
          <w:color w:val="000000" w:themeColor="text1"/>
          <w:sz w:val="24"/>
          <w:szCs w:val="24"/>
          <w:lang w:eastAsia="ko-KR"/>
        </w:rPr>
        <w:t xml:space="preserve"> </w:t>
      </w:r>
    </w:p>
    <w:p w14:paraId="3D9917AE" w14:textId="77777777" w:rsidR="00182B6E" w:rsidRPr="00EA037B" w:rsidRDefault="00182B6E" w:rsidP="00EA037B">
      <w:pPr>
        <w:pStyle w:val="21"/>
        <w:spacing w:after="0" w:line="360" w:lineRule="auto"/>
        <w:jc w:val="both"/>
        <w:rPr>
          <w:rFonts w:ascii="Book Antiqua" w:hAnsi="Book Antiqua"/>
          <w:color w:val="000000" w:themeColor="text1"/>
          <w:sz w:val="24"/>
          <w:szCs w:val="24"/>
        </w:rPr>
      </w:pPr>
    </w:p>
    <w:p w14:paraId="352E341F" w14:textId="55D7C487" w:rsidR="00182B6E" w:rsidRDefault="00182B6E" w:rsidP="00EA037B">
      <w:pPr>
        <w:pStyle w:val="a4"/>
        <w:spacing w:after="0" w:line="360" w:lineRule="auto"/>
        <w:jc w:val="both"/>
        <w:rPr>
          <w:rFonts w:ascii="Book Antiqua" w:eastAsia="AdvTimes" w:hAnsi="Book Antiqua"/>
          <w:color w:val="000000" w:themeColor="text1"/>
          <w:sz w:val="24"/>
          <w:szCs w:val="24"/>
        </w:rPr>
      </w:pPr>
      <w:r w:rsidRPr="00EA037B">
        <w:rPr>
          <w:rFonts w:ascii="Book Antiqua" w:eastAsia="Batang" w:hAnsi="Book Antiqua" w:cs="Times New Roman"/>
          <w:b/>
          <w:bCs/>
          <w:color w:val="000000" w:themeColor="text1"/>
          <w:sz w:val="24"/>
          <w:szCs w:val="24"/>
        </w:rPr>
        <w:t>B</w:t>
      </w:r>
      <w:r w:rsidRPr="00EA037B">
        <w:rPr>
          <w:rFonts w:ascii="Book Antiqua" w:eastAsia="Batang" w:hAnsi="Book Antiqua" w:cs="Times New Roman"/>
          <w:b/>
          <w:bCs/>
          <w:color w:val="000000" w:themeColor="text1"/>
          <w:sz w:val="24"/>
          <w:szCs w:val="24"/>
          <w:lang w:eastAsia="ko-KR"/>
        </w:rPr>
        <w:t xml:space="preserve">ang Wool </w:t>
      </w:r>
      <w:r w:rsidRPr="00EA037B">
        <w:rPr>
          <w:rFonts w:ascii="Book Antiqua" w:eastAsia="Batang" w:hAnsi="Book Antiqua" w:cs="Times New Roman"/>
          <w:b/>
          <w:bCs/>
          <w:color w:val="000000" w:themeColor="text1"/>
          <w:sz w:val="24"/>
          <w:szCs w:val="24"/>
        </w:rPr>
        <w:t>Eom</w:t>
      </w:r>
      <w:r w:rsidRPr="00EA037B">
        <w:rPr>
          <w:rFonts w:ascii="Book Antiqua" w:eastAsia="Batang" w:hAnsi="Book Antiqua" w:cs="Times New Roman"/>
          <w:b/>
          <w:bCs/>
          <w:color w:val="000000" w:themeColor="text1"/>
          <w:sz w:val="24"/>
          <w:szCs w:val="24"/>
          <w:lang w:eastAsia="ko-KR"/>
        </w:rPr>
        <w:t xml:space="preserve">, </w:t>
      </w:r>
      <w:r w:rsidRPr="00EA037B">
        <w:rPr>
          <w:rFonts w:ascii="Book Antiqua" w:eastAsia="Batang" w:hAnsi="Book Antiqua" w:cs="Times New Roman"/>
          <w:b/>
          <w:bCs/>
          <w:color w:val="000000" w:themeColor="text1"/>
          <w:sz w:val="24"/>
          <w:szCs w:val="24"/>
        </w:rPr>
        <w:t>H</w:t>
      </w:r>
      <w:r w:rsidRPr="00EA037B">
        <w:rPr>
          <w:rFonts w:ascii="Book Antiqua" w:eastAsia="Batang" w:hAnsi="Book Antiqua" w:cs="Times New Roman"/>
          <w:b/>
          <w:bCs/>
          <w:color w:val="000000" w:themeColor="text1"/>
          <w:sz w:val="24"/>
          <w:szCs w:val="24"/>
          <w:lang w:eastAsia="ko-KR"/>
        </w:rPr>
        <w:t>ong Man</w:t>
      </w:r>
      <w:r w:rsidRPr="00EA037B">
        <w:rPr>
          <w:rFonts w:ascii="Book Antiqua" w:eastAsia="Batang" w:hAnsi="Book Antiqua" w:cs="Times New Roman"/>
          <w:b/>
          <w:bCs/>
          <w:color w:val="000000" w:themeColor="text1"/>
          <w:sz w:val="24"/>
          <w:szCs w:val="24"/>
        </w:rPr>
        <w:t xml:space="preserve"> Yoon</w:t>
      </w:r>
      <w:r w:rsidRPr="00EA037B">
        <w:rPr>
          <w:rFonts w:ascii="Book Antiqua" w:eastAsia="Batang" w:hAnsi="Book Antiqua" w:cs="Times New Roman"/>
          <w:b/>
          <w:bCs/>
          <w:color w:val="000000" w:themeColor="text1"/>
          <w:sz w:val="24"/>
          <w:szCs w:val="24"/>
          <w:lang w:eastAsia="ko-KR"/>
        </w:rPr>
        <w:t xml:space="preserve">, </w:t>
      </w:r>
      <w:r w:rsidRPr="00EA037B">
        <w:rPr>
          <w:rFonts w:ascii="Book Antiqua" w:eastAsia="Batang" w:hAnsi="Book Antiqua" w:cs="Times New Roman"/>
          <w:b/>
          <w:bCs/>
          <w:color w:val="000000" w:themeColor="text1"/>
          <w:sz w:val="24"/>
          <w:szCs w:val="24"/>
        </w:rPr>
        <w:t>K</w:t>
      </w:r>
      <w:r w:rsidRPr="00EA037B">
        <w:rPr>
          <w:rFonts w:ascii="Book Antiqua" w:eastAsia="Batang" w:hAnsi="Book Antiqua" w:cs="Times New Roman"/>
          <w:b/>
          <w:bCs/>
          <w:color w:val="000000" w:themeColor="text1"/>
          <w:sz w:val="24"/>
          <w:szCs w:val="24"/>
          <w:lang w:eastAsia="ko-KR"/>
        </w:rPr>
        <w:t>eun</w:t>
      </w:r>
      <w:r w:rsidRPr="00EA037B">
        <w:rPr>
          <w:rFonts w:ascii="Book Antiqua" w:eastAsia="Batang" w:hAnsi="Book Antiqua" w:cs="Times New Roman"/>
          <w:b/>
          <w:bCs/>
          <w:color w:val="000000" w:themeColor="text1"/>
          <w:sz w:val="24"/>
          <w:szCs w:val="24"/>
        </w:rPr>
        <w:t xml:space="preserve"> W</w:t>
      </w:r>
      <w:r w:rsidRPr="00EA037B">
        <w:rPr>
          <w:rFonts w:ascii="Book Antiqua" w:eastAsia="Batang" w:hAnsi="Book Antiqua" w:cs="Times New Roman"/>
          <w:b/>
          <w:bCs/>
          <w:color w:val="000000" w:themeColor="text1"/>
          <w:sz w:val="24"/>
          <w:szCs w:val="24"/>
          <w:lang w:eastAsia="ko-KR"/>
        </w:rPr>
        <w:t>on</w:t>
      </w:r>
      <w:r w:rsidRPr="00EA037B">
        <w:rPr>
          <w:rFonts w:ascii="Book Antiqua" w:eastAsia="Batang" w:hAnsi="Book Antiqua" w:cs="Times New Roman"/>
          <w:b/>
          <w:bCs/>
          <w:color w:val="000000" w:themeColor="text1"/>
          <w:sz w:val="24"/>
          <w:szCs w:val="24"/>
        </w:rPr>
        <w:t xml:space="preserve"> Ryu</w:t>
      </w:r>
      <w:r w:rsidRPr="00EA037B">
        <w:rPr>
          <w:rFonts w:ascii="Book Antiqua" w:eastAsia="Batang" w:hAnsi="Book Antiqua" w:cs="Times New Roman"/>
          <w:b/>
          <w:bCs/>
          <w:color w:val="000000" w:themeColor="text1"/>
          <w:sz w:val="24"/>
          <w:szCs w:val="24"/>
          <w:lang w:eastAsia="ko-KR"/>
        </w:rPr>
        <w:t xml:space="preserve">, </w:t>
      </w:r>
      <w:r w:rsidRPr="00EA037B">
        <w:rPr>
          <w:rFonts w:ascii="Book Antiqua" w:eastAsia="Batang" w:hAnsi="Book Antiqua" w:cs="Times New Roman"/>
          <w:b/>
          <w:bCs/>
          <w:color w:val="000000" w:themeColor="text1"/>
          <w:sz w:val="24"/>
          <w:szCs w:val="24"/>
        </w:rPr>
        <w:t>Y</w:t>
      </w:r>
      <w:r w:rsidRPr="00EA037B">
        <w:rPr>
          <w:rFonts w:ascii="Book Antiqua" w:eastAsia="Batang" w:hAnsi="Book Antiqua" w:cs="Times New Roman"/>
          <w:b/>
          <w:bCs/>
          <w:color w:val="000000" w:themeColor="text1"/>
          <w:sz w:val="24"/>
          <w:szCs w:val="24"/>
          <w:lang w:eastAsia="ko-KR"/>
        </w:rPr>
        <w:t>oung</w:t>
      </w:r>
      <w:r w:rsidRPr="00EA037B">
        <w:rPr>
          <w:rFonts w:ascii="Book Antiqua" w:eastAsia="Batang" w:hAnsi="Book Antiqua" w:cs="Times New Roman"/>
          <w:b/>
          <w:bCs/>
          <w:color w:val="000000" w:themeColor="text1"/>
          <w:sz w:val="24"/>
          <w:szCs w:val="24"/>
        </w:rPr>
        <w:t>-W</w:t>
      </w:r>
      <w:r w:rsidRPr="00EA037B">
        <w:rPr>
          <w:rFonts w:ascii="Book Antiqua" w:eastAsia="Batang" w:hAnsi="Book Antiqua" w:cs="Times New Roman"/>
          <w:b/>
          <w:bCs/>
          <w:color w:val="000000" w:themeColor="text1"/>
          <w:sz w:val="24"/>
          <w:szCs w:val="24"/>
          <w:lang w:eastAsia="ko-KR"/>
        </w:rPr>
        <w:t>oo</w:t>
      </w:r>
      <w:r w:rsidRPr="00EA037B">
        <w:rPr>
          <w:rFonts w:ascii="Book Antiqua" w:eastAsia="Batang" w:hAnsi="Book Antiqua" w:cs="Times New Roman"/>
          <w:b/>
          <w:bCs/>
          <w:color w:val="000000" w:themeColor="text1"/>
          <w:sz w:val="24"/>
          <w:szCs w:val="24"/>
        </w:rPr>
        <w:t xml:space="preserve"> Kim</w:t>
      </w:r>
      <w:r w:rsidRPr="00EA037B">
        <w:rPr>
          <w:rFonts w:ascii="Book Antiqua" w:eastAsia="Batang" w:hAnsi="Book Antiqua" w:cs="Times New Roman"/>
          <w:b/>
          <w:bCs/>
          <w:color w:val="000000" w:themeColor="text1"/>
          <w:kern w:val="2"/>
          <w:sz w:val="24"/>
          <w:szCs w:val="24"/>
          <w:lang w:eastAsia="ko-KR" w:bidi="ar-SA"/>
        </w:rPr>
        <w:t>,</w:t>
      </w:r>
      <w:r w:rsidRPr="00EA037B">
        <w:rPr>
          <w:rFonts w:ascii="Book Antiqua" w:eastAsia="Batang" w:hAnsi="Book Antiqua" w:cs="Times New Roman"/>
          <w:color w:val="000000" w:themeColor="text1"/>
          <w:kern w:val="2"/>
          <w:sz w:val="24"/>
          <w:szCs w:val="24"/>
          <w:lang w:eastAsia="ko-KR" w:bidi="ar-SA"/>
        </w:rPr>
        <w:t xml:space="preserve"> </w:t>
      </w:r>
      <w:r w:rsidRPr="00EA037B">
        <w:rPr>
          <w:rFonts w:ascii="Book Antiqua" w:hAnsi="Book Antiqua"/>
          <w:color w:val="000000" w:themeColor="text1"/>
          <w:sz w:val="24"/>
          <w:szCs w:val="24"/>
        </w:rPr>
        <w:t xml:space="preserve">Center for Gastric Cancer, </w:t>
      </w:r>
      <w:r w:rsidRPr="00EA037B">
        <w:rPr>
          <w:rFonts w:ascii="Book Antiqua" w:eastAsia="AdvTimes" w:hAnsi="Book Antiqua"/>
          <w:color w:val="000000" w:themeColor="text1"/>
          <w:sz w:val="24"/>
          <w:szCs w:val="24"/>
        </w:rPr>
        <w:t xml:space="preserve">National Cancer Center, Goyang 10408, </w:t>
      </w:r>
      <w:r w:rsidR="00EA037B">
        <w:rPr>
          <w:rFonts w:ascii="Book Antiqua" w:eastAsia="AdvTimes" w:hAnsi="Book Antiqua"/>
          <w:color w:val="000000" w:themeColor="text1"/>
          <w:sz w:val="24"/>
          <w:szCs w:val="24"/>
        </w:rPr>
        <w:t xml:space="preserve">South </w:t>
      </w:r>
      <w:r w:rsidRPr="00EA037B">
        <w:rPr>
          <w:rFonts w:ascii="Book Antiqua" w:eastAsia="AdvTimes" w:hAnsi="Book Antiqua"/>
          <w:color w:val="000000" w:themeColor="text1"/>
          <w:sz w:val="24"/>
          <w:szCs w:val="24"/>
        </w:rPr>
        <w:t>Korea</w:t>
      </w:r>
    </w:p>
    <w:p w14:paraId="01BA680B" w14:textId="77777777" w:rsidR="00EA037B" w:rsidRPr="00EA037B" w:rsidRDefault="00EA037B" w:rsidP="00EA037B">
      <w:pPr>
        <w:pStyle w:val="a4"/>
        <w:spacing w:after="0" w:line="360" w:lineRule="auto"/>
        <w:jc w:val="both"/>
        <w:rPr>
          <w:rFonts w:ascii="Book Antiqua" w:eastAsia="AdvTimes" w:hAnsi="Book Antiqua"/>
          <w:color w:val="000000" w:themeColor="text1"/>
          <w:sz w:val="24"/>
          <w:szCs w:val="24"/>
        </w:rPr>
      </w:pPr>
    </w:p>
    <w:p w14:paraId="48924ECC" w14:textId="44B7063E" w:rsidR="00182B6E" w:rsidRDefault="00182B6E" w:rsidP="00EA037B">
      <w:pPr>
        <w:pStyle w:val="a4"/>
        <w:spacing w:after="0" w:line="360" w:lineRule="auto"/>
        <w:jc w:val="both"/>
        <w:rPr>
          <w:rFonts w:ascii="Book Antiqua" w:eastAsia="AdvTimes" w:hAnsi="Book Antiqua"/>
          <w:color w:val="000000" w:themeColor="text1"/>
          <w:sz w:val="24"/>
          <w:szCs w:val="24"/>
        </w:rPr>
      </w:pPr>
      <w:r w:rsidRPr="00EA037B">
        <w:rPr>
          <w:rFonts w:ascii="Book Antiqua" w:eastAsia="AdvTimes" w:hAnsi="Book Antiqua"/>
          <w:b/>
          <w:color w:val="000000" w:themeColor="text1"/>
          <w:sz w:val="24"/>
          <w:szCs w:val="24"/>
          <w:lang w:eastAsia="ko-KR"/>
        </w:rPr>
        <w:t>Boram Park</w:t>
      </w:r>
      <w:r w:rsidRPr="00EA037B">
        <w:rPr>
          <w:rFonts w:ascii="Book Antiqua" w:eastAsia="AdvTimes" w:hAnsi="Book Antiqua"/>
          <w:b/>
          <w:bCs/>
          <w:color w:val="000000" w:themeColor="text1"/>
          <w:sz w:val="24"/>
          <w:szCs w:val="24"/>
          <w:lang w:eastAsia="ko-KR"/>
        </w:rPr>
        <w:t>,</w:t>
      </w:r>
      <w:r w:rsidRPr="00EA037B">
        <w:rPr>
          <w:rFonts w:ascii="Book Antiqua" w:eastAsia="AdvTimes" w:hAnsi="Book Antiqua"/>
          <w:color w:val="000000" w:themeColor="text1"/>
          <w:sz w:val="24"/>
          <w:szCs w:val="24"/>
          <w:lang w:eastAsia="ko-KR"/>
        </w:rPr>
        <w:t xml:space="preserve"> Biostatistics Collaboration Team, Research Core, Research institute, National Cancer Center, Goyang 10408, </w:t>
      </w:r>
      <w:r w:rsidR="00EA037B">
        <w:rPr>
          <w:rFonts w:ascii="Book Antiqua" w:eastAsia="AdvTimes" w:hAnsi="Book Antiqua"/>
          <w:color w:val="000000" w:themeColor="text1"/>
          <w:sz w:val="24"/>
          <w:szCs w:val="24"/>
        </w:rPr>
        <w:t xml:space="preserve">South </w:t>
      </w:r>
      <w:r w:rsidR="00EA037B" w:rsidRPr="00EA037B">
        <w:rPr>
          <w:rFonts w:ascii="Book Antiqua" w:eastAsia="AdvTimes" w:hAnsi="Book Antiqua"/>
          <w:color w:val="000000" w:themeColor="text1"/>
          <w:sz w:val="24"/>
          <w:szCs w:val="24"/>
        </w:rPr>
        <w:t>Korea</w:t>
      </w:r>
    </w:p>
    <w:p w14:paraId="3C7757C2" w14:textId="496E8225" w:rsidR="00EA037B" w:rsidRDefault="00EA037B" w:rsidP="00EA037B">
      <w:pPr>
        <w:pStyle w:val="a4"/>
        <w:spacing w:after="0" w:line="360" w:lineRule="auto"/>
        <w:jc w:val="both"/>
        <w:rPr>
          <w:rFonts w:ascii="Book Antiqua" w:eastAsia="AdvTimes" w:hAnsi="Book Antiqua"/>
          <w:color w:val="000000" w:themeColor="text1"/>
          <w:sz w:val="24"/>
          <w:szCs w:val="24"/>
        </w:rPr>
      </w:pPr>
    </w:p>
    <w:p w14:paraId="19CA75EC" w14:textId="3A0641F2" w:rsidR="00182B6E" w:rsidRDefault="00EA037B" w:rsidP="00EA037B">
      <w:pPr>
        <w:pStyle w:val="a4"/>
        <w:spacing w:after="0" w:line="360" w:lineRule="auto"/>
        <w:jc w:val="both"/>
        <w:rPr>
          <w:rFonts w:ascii="Book Antiqua" w:hAnsi="Book Antiqua"/>
          <w:bCs/>
          <w:color w:val="000000" w:themeColor="text1"/>
          <w:sz w:val="24"/>
          <w:szCs w:val="24"/>
        </w:rPr>
      </w:pPr>
      <w:r w:rsidRPr="00EA037B">
        <w:rPr>
          <w:rFonts w:ascii="Book Antiqua" w:eastAsia="Batang" w:hAnsi="Book Antiqua" w:cs="Times New Roman"/>
          <w:b/>
          <w:bCs/>
          <w:color w:val="000000" w:themeColor="text1"/>
          <w:kern w:val="2"/>
          <w:sz w:val="24"/>
          <w:szCs w:val="24"/>
          <w:lang w:val="fr-FR" w:eastAsia="ko-KR" w:bidi="ar-SA"/>
        </w:rPr>
        <w:t>ORCID number</w:t>
      </w:r>
      <w:r w:rsidRPr="00EA037B">
        <w:rPr>
          <w:rFonts w:ascii="Book Antiqua" w:eastAsia="Batang" w:hAnsi="Book Antiqua" w:cs="Times New Roman"/>
          <w:b/>
          <w:color w:val="000000" w:themeColor="text1"/>
          <w:kern w:val="2"/>
          <w:sz w:val="24"/>
          <w:szCs w:val="24"/>
          <w:lang w:val="en-GB" w:eastAsia="ko-KR" w:bidi="ar-SA"/>
        </w:rPr>
        <w:t>:</w:t>
      </w:r>
      <w:r>
        <w:rPr>
          <w:rFonts w:ascii="Book Antiqua" w:eastAsia="Batang" w:hAnsi="Book Antiqua" w:cs="Times New Roman"/>
          <w:b/>
          <w:color w:val="000000" w:themeColor="text1"/>
          <w:kern w:val="2"/>
          <w:sz w:val="24"/>
          <w:szCs w:val="24"/>
          <w:lang w:val="en-GB" w:eastAsia="ko-KR" w:bidi="ar-SA"/>
        </w:rPr>
        <w:t xml:space="preserve"> </w:t>
      </w:r>
      <w:r w:rsidR="00182B6E" w:rsidRPr="00EA037B">
        <w:rPr>
          <w:rFonts w:ascii="Book Antiqua" w:hAnsi="Book Antiqua"/>
          <w:bCs/>
          <w:color w:val="000000" w:themeColor="text1"/>
          <w:sz w:val="24"/>
          <w:szCs w:val="24"/>
        </w:rPr>
        <w:t>Bang Wool Eom (0000-0002-0332-2051); Boram Park (0000-0003-2683-8795)</w:t>
      </w:r>
      <w:r>
        <w:rPr>
          <w:rFonts w:ascii="Book Antiqua" w:hAnsi="Book Antiqua"/>
          <w:bCs/>
          <w:color w:val="000000" w:themeColor="text1"/>
          <w:sz w:val="24"/>
          <w:szCs w:val="24"/>
        </w:rPr>
        <w:t>;</w:t>
      </w:r>
      <w:r w:rsidR="00182B6E" w:rsidRPr="00EA037B">
        <w:rPr>
          <w:rFonts w:ascii="Book Antiqua" w:hAnsi="Book Antiqua"/>
          <w:bCs/>
          <w:color w:val="000000" w:themeColor="text1"/>
          <w:sz w:val="24"/>
          <w:szCs w:val="24"/>
        </w:rPr>
        <w:t xml:space="preserve"> Hong Man Yoon (0000-0002-6218-7080); Keun Won Ryu (0000-0002-5935-9777); Young-Woo Kim (0000-0002-1559-9672)</w:t>
      </w:r>
      <w:r>
        <w:rPr>
          <w:rFonts w:ascii="Book Antiqua" w:hAnsi="Book Antiqua"/>
          <w:bCs/>
          <w:color w:val="000000" w:themeColor="text1"/>
          <w:sz w:val="24"/>
          <w:szCs w:val="24"/>
        </w:rPr>
        <w:t>.</w:t>
      </w:r>
    </w:p>
    <w:p w14:paraId="1D1CBBE1" w14:textId="72606DD8" w:rsidR="00EA037B" w:rsidRDefault="00EA037B" w:rsidP="00EA037B">
      <w:pPr>
        <w:pStyle w:val="a4"/>
        <w:spacing w:after="0" w:line="360" w:lineRule="auto"/>
        <w:jc w:val="both"/>
        <w:rPr>
          <w:rFonts w:ascii="Book Antiqua" w:hAnsi="Book Antiqua"/>
          <w:bCs/>
          <w:color w:val="000000" w:themeColor="text1"/>
          <w:sz w:val="24"/>
          <w:szCs w:val="24"/>
        </w:rPr>
      </w:pPr>
    </w:p>
    <w:p w14:paraId="21B2AFEE" w14:textId="6FD42138" w:rsidR="00182B6E" w:rsidRPr="00EA037B" w:rsidRDefault="00EA037B" w:rsidP="00EA037B">
      <w:pPr>
        <w:pStyle w:val="a4"/>
        <w:spacing w:after="0" w:line="360" w:lineRule="auto"/>
        <w:jc w:val="both"/>
        <w:rPr>
          <w:rFonts w:ascii="Book Antiqua" w:eastAsia="Batang" w:hAnsi="Book Antiqua" w:cs="Times New Roman"/>
          <w:color w:val="000000" w:themeColor="text1"/>
          <w:kern w:val="2"/>
          <w:sz w:val="24"/>
          <w:szCs w:val="24"/>
          <w:lang w:eastAsia="ko-KR" w:bidi="ar-SA"/>
        </w:rPr>
      </w:pPr>
      <w:r w:rsidRPr="00EA037B">
        <w:rPr>
          <w:rFonts w:ascii="Book Antiqua" w:eastAsia="Batang" w:hAnsi="Book Antiqua" w:cs="Times New Roman"/>
          <w:b/>
          <w:color w:val="000000" w:themeColor="text1"/>
          <w:kern w:val="2"/>
          <w:sz w:val="24"/>
          <w:szCs w:val="24"/>
          <w:lang w:eastAsia="ko-KR" w:bidi="ar-SA"/>
        </w:rPr>
        <w:t>Author contributions:</w:t>
      </w:r>
      <w:r>
        <w:rPr>
          <w:rFonts w:ascii="Book Antiqua" w:eastAsia="Batang" w:hAnsi="Book Antiqua" w:cs="Times New Roman"/>
          <w:b/>
          <w:color w:val="000000" w:themeColor="text1"/>
          <w:kern w:val="2"/>
          <w:sz w:val="24"/>
          <w:szCs w:val="24"/>
          <w:lang w:eastAsia="ko-KR" w:bidi="ar-SA"/>
        </w:rPr>
        <w:t xml:space="preserve"> </w:t>
      </w:r>
      <w:r w:rsidR="00182B6E" w:rsidRPr="00EA037B">
        <w:rPr>
          <w:rFonts w:ascii="Book Antiqua" w:hAnsi="Book Antiqua"/>
          <w:color w:val="000000" w:themeColor="text1"/>
          <w:sz w:val="24"/>
          <w:szCs w:val="24"/>
        </w:rPr>
        <w:t>Eom BW and Kim YW designed the study; Eom BW, Yoon HM, Ryu KW, and Kim YW treated patients and collected material and clinical data from the patients; Eom BW, Park B analyzed data; Eom BW wrote the paper; Yoon HM, Ryu KW, and Kim YW reviewed and finally approved the manuscript.</w:t>
      </w:r>
    </w:p>
    <w:p w14:paraId="5F13F86E" w14:textId="77777777" w:rsidR="00182B6E" w:rsidRPr="00EA037B" w:rsidRDefault="00182B6E" w:rsidP="00EA037B">
      <w:pPr>
        <w:wordWrap/>
        <w:spacing w:line="360" w:lineRule="auto"/>
        <w:rPr>
          <w:rFonts w:ascii="Book Antiqua" w:hAnsi="Book Antiqua"/>
          <w:color w:val="000000" w:themeColor="text1"/>
          <w:sz w:val="24"/>
        </w:rPr>
      </w:pPr>
    </w:p>
    <w:p w14:paraId="1C2E6BEE" w14:textId="607870AE" w:rsidR="00182B6E" w:rsidRDefault="00EA037B" w:rsidP="00EA037B">
      <w:pPr>
        <w:wordWrap/>
        <w:spacing w:line="360" w:lineRule="auto"/>
        <w:rPr>
          <w:rFonts w:ascii="Book Antiqua" w:hAnsi="Book Antiqua"/>
          <w:color w:val="000000" w:themeColor="text1"/>
          <w:sz w:val="24"/>
        </w:rPr>
      </w:pPr>
      <w:r w:rsidRPr="00EA037B">
        <w:rPr>
          <w:rFonts w:ascii="Book Antiqua" w:hAnsi="Book Antiqua"/>
          <w:b/>
          <w:bCs/>
          <w:color w:val="000000" w:themeColor="text1"/>
          <w:sz w:val="24"/>
        </w:rPr>
        <w:t>S</w:t>
      </w:r>
      <w:r w:rsidR="00182B6E" w:rsidRPr="00EA037B">
        <w:rPr>
          <w:rFonts w:ascii="Book Antiqua" w:hAnsi="Book Antiqua"/>
          <w:b/>
          <w:bCs/>
          <w:color w:val="000000" w:themeColor="text1"/>
          <w:sz w:val="24"/>
        </w:rPr>
        <w:t>upported by</w:t>
      </w:r>
      <w:r w:rsidR="00182B6E" w:rsidRPr="00EA037B">
        <w:rPr>
          <w:rFonts w:ascii="Book Antiqua" w:hAnsi="Book Antiqua"/>
          <w:color w:val="000000" w:themeColor="text1"/>
          <w:sz w:val="24"/>
        </w:rPr>
        <w:t xml:space="preserve"> </w:t>
      </w:r>
      <w:r w:rsidR="00B33468">
        <w:rPr>
          <w:rFonts w:ascii="Book Antiqua" w:hAnsi="Book Antiqua"/>
          <w:color w:val="000000" w:themeColor="text1"/>
          <w:sz w:val="24"/>
        </w:rPr>
        <w:t xml:space="preserve">the </w:t>
      </w:r>
      <w:r w:rsidR="00182B6E" w:rsidRPr="00EA037B">
        <w:rPr>
          <w:rFonts w:ascii="Book Antiqua" w:hAnsi="Book Antiqua"/>
          <w:color w:val="000000" w:themeColor="text1"/>
          <w:sz w:val="24"/>
        </w:rPr>
        <w:t>National Cancer Center</w:t>
      </w:r>
      <w:r w:rsidR="00564527">
        <w:rPr>
          <w:rFonts w:ascii="Book Antiqua" w:hAnsi="Book Antiqua"/>
          <w:color w:val="000000" w:themeColor="text1"/>
          <w:sz w:val="24"/>
        </w:rPr>
        <w:t xml:space="preserve">, </w:t>
      </w:r>
      <w:r w:rsidR="00182B6E" w:rsidRPr="00EA037B">
        <w:rPr>
          <w:rFonts w:ascii="Book Antiqua" w:hAnsi="Book Antiqua"/>
          <w:color w:val="000000" w:themeColor="text1"/>
          <w:sz w:val="24"/>
        </w:rPr>
        <w:t>No. NCC-1810304-1</w:t>
      </w:r>
      <w:r w:rsidR="00564527">
        <w:rPr>
          <w:rFonts w:ascii="Book Antiqua" w:hAnsi="Book Antiqua"/>
          <w:color w:val="000000" w:themeColor="text1"/>
          <w:sz w:val="24"/>
        </w:rPr>
        <w:t xml:space="preserve"> </w:t>
      </w:r>
      <w:r w:rsidR="00182B6E" w:rsidRPr="00EA037B">
        <w:rPr>
          <w:rFonts w:ascii="Book Antiqua" w:hAnsi="Book Antiqua"/>
          <w:color w:val="000000" w:themeColor="text1"/>
          <w:sz w:val="24"/>
        </w:rPr>
        <w:t xml:space="preserve">and </w:t>
      </w:r>
      <w:r w:rsidR="00564527" w:rsidRPr="00EA037B">
        <w:rPr>
          <w:rFonts w:ascii="Book Antiqua" w:hAnsi="Book Antiqua"/>
          <w:color w:val="000000" w:themeColor="text1"/>
          <w:sz w:val="24"/>
        </w:rPr>
        <w:t>No.</w:t>
      </w:r>
      <w:r w:rsidR="00564527">
        <w:rPr>
          <w:rFonts w:ascii="Book Antiqua" w:hAnsi="Book Antiqua"/>
          <w:color w:val="000000" w:themeColor="text1"/>
          <w:sz w:val="24"/>
        </w:rPr>
        <w:t xml:space="preserve"> </w:t>
      </w:r>
      <w:r w:rsidR="00182B6E" w:rsidRPr="00EA037B">
        <w:rPr>
          <w:rFonts w:ascii="Book Antiqua" w:hAnsi="Book Antiqua"/>
          <w:color w:val="000000" w:themeColor="text1"/>
          <w:sz w:val="24"/>
        </w:rPr>
        <w:t>1710120-</w:t>
      </w:r>
      <w:r w:rsidR="00182B6E" w:rsidRPr="00EA037B">
        <w:rPr>
          <w:rFonts w:ascii="Book Antiqua" w:hAnsi="Book Antiqua"/>
          <w:color w:val="000000" w:themeColor="text1"/>
          <w:sz w:val="24"/>
        </w:rPr>
        <w:lastRenderedPageBreak/>
        <w:t>1</w:t>
      </w:r>
      <w:r>
        <w:rPr>
          <w:rFonts w:ascii="Book Antiqua" w:hAnsi="Book Antiqua"/>
          <w:color w:val="000000" w:themeColor="text1"/>
          <w:sz w:val="24"/>
        </w:rPr>
        <w:t>.</w:t>
      </w:r>
    </w:p>
    <w:p w14:paraId="199696EF" w14:textId="4129084B" w:rsidR="00EA037B" w:rsidRDefault="00EA037B" w:rsidP="00EA037B">
      <w:pPr>
        <w:wordWrap/>
        <w:spacing w:line="360" w:lineRule="auto"/>
        <w:rPr>
          <w:rFonts w:ascii="Book Antiqua" w:hAnsi="Book Antiqua"/>
          <w:color w:val="000000" w:themeColor="text1"/>
          <w:sz w:val="24"/>
        </w:rPr>
      </w:pPr>
    </w:p>
    <w:p w14:paraId="7260B388" w14:textId="2F53D844" w:rsidR="00001452" w:rsidRDefault="00EA037B" w:rsidP="00EA037B">
      <w:pPr>
        <w:wordWrap/>
        <w:spacing w:line="360" w:lineRule="auto"/>
        <w:rPr>
          <w:rFonts w:ascii="Book Antiqua" w:hAnsi="Book Antiqua"/>
          <w:color w:val="000000" w:themeColor="text1"/>
          <w:sz w:val="24"/>
        </w:rPr>
      </w:pPr>
      <w:r w:rsidRPr="00EA037B">
        <w:rPr>
          <w:rFonts w:ascii="Book Antiqua" w:hAnsi="Book Antiqua"/>
          <w:b/>
          <w:color w:val="000000" w:themeColor="text1"/>
          <w:sz w:val="24"/>
          <w:lang w:val="fr-FR"/>
        </w:rPr>
        <w:t>Institutional review board statement</w:t>
      </w:r>
      <w:r w:rsidRPr="00EA037B">
        <w:rPr>
          <w:rFonts w:ascii="Book Antiqua" w:hAnsi="Book Antiqua"/>
          <w:b/>
          <w:bCs/>
          <w:iCs/>
          <w:color w:val="000000" w:themeColor="text1"/>
          <w:sz w:val="24"/>
        </w:rPr>
        <w:t>:</w:t>
      </w:r>
      <w:r>
        <w:rPr>
          <w:rFonts w:ascii="Book Antiqua" w:hAnsi="Book Antiqua"/>
          <w:color w:val="000000" w:themeColor="text1"/>
          <w:sz w:val="24"/>
        </w:rPr>
        <w:t xml:space="preserve"> </w:t>
      </w:r>
      <w:r w:rsidR="00001452" w:rsidRPr="00EA037B">
        <w:rPr>
          <w:rFonts w:ascii="Book Antiqua" w:hAnsi="Book Antiqua"/>
          <w:color w:val="000000" w:themeColor="text1"/>
          <w:sz w:val="24"/>
        </w:rPr>
        <w:t>The study was approved by the institutional review board of the Korean National Cancer Center</w:t>
      </w:r>
      <w:r w:rsidR="0032407D">
        <w:rPr>
          <w:rFonts w:ascii="Book Antiqua" w:hAnsi="Book Antiqua"/>
          <w:color w:val="000000" w:themeColor="text1"/>
          <w:sz w:val="24"/>
        </w:rPr>
        <w:t xml:space="preserve"> </w:t>
      </w:r>
      <w:r w:rsidR="00001452" w:rsidRPr="00EA037B">
        <w:rPr>
          <w:rFonts w:ascii="Book Antiqua" w:hAnsi="Book Antiqua"/>
          <w:color w:val="000000" w:themeColor="text1"/>
          <w:sz w:val="24"/>
        </w:rPr>
        <w:t>(No. NCC2017-0183)</w:t>
      </w:r>
      <w:r>
        <w:rPr>
          <w:rFonts w:ascii="Book Antiqua" w:hAnsi="Book Antiqua"/>
          <w:color w:val="000000" w:themeColor="text1"/>
          <w:sz w:val="24"/>
        </w:rPr>
        <w:t>.</w:t>
      </w:r>
    </w:p>
    <w:p w14:paraId="3D57E4BB" w14:textId="6FEE9C64" w:rsidR="00EA037B" w:rsidRDefault="00EA037B" w:rsidP="00EA037B">
      <w:pPr>
        <w:wordWrap/>
        <w:spacing w:line="360" w:lineRule="auto"/>
        <w:rPr>
          <w:rFonts w:ascii="Book Antiqua" w:hAnsi="Book Antiqua"/>
          <w:color w:val="000000" w:themeColor="text1"/>
          <w:sz w:val="24"/>
        </w:rPr>
      </w:pPr>
    </w:p>
    <w:p w14:paraId="29539F48" w14:textId="12E40D8E" w:rsidR="00001452" w:rsidRDefault="00EA037B" w:rsidP="00EA037B">
      <w:pPr>
        <w:wordWrap/>
        <w:spacing w:line="360" w:lineRule="auto"/>
        <w:rPr>
          <w:rFonts w:ascii="Book Antiqua" w:hAnsi="Book Antiqua"/>
          <w:color w:val="000000" w:themeColor="text1"/>
          <w:sz w:val="24"/>
        </w:rPr>
      </w:pPr>
      <w:r w:rsidRPr="00EA037B">
        <w:rPr>
          <w:rFonts w:ascii="Book Antiqua" w:hAnsi="Book Antiqua"/>
          <w:b/>
          <w:color w:val="000000" w:themeColor="text1"/>
          <w:sz w:val="24"/>
          <w:lang w:val="fr-FR"/>
        </w:rPr>
        <w:t>Informed consent statement</w:t>
      </w:r>
      <w:r w:rsidRPr="00EA037B">
        <w:rPr>
          <w:rFonts w:ascii="Book Antiqua" w:hAnsi="Book Antiqua"/>
          <w:b/>
          <w:bCs/>
          <w:iCs/>
          <w:color w:val="000000" w:themeColor="text1"/>
          <w:sz w:val="24"/>
        </w:rPr>
        <w:t xml:space="preserve">: </w:t>
      </w:r>
      <w:r w:rsidR="00001452" w:rsidRPr="00EA037B">
        <w:rPr>
          <w:rFonts w:ascii="Book Antiqua" w:hAnsi="Book Antiqua"/>
          <w:color w:val="000000" w:themeColor="text1"/>
          <w:sz w:val="24"/>
        </w:rPr>
        <w:t xml:space="preserve">The institutional review board of the Korean National Cancer Center waived the requirement to obtain informed consents from patients. </w:t>
      </w:r>
    </w:p>
    <w:p w14:paraId="51E8BE40" w14:textId="68D789E5" w:rsidR="00EA037B" w:rsidRDefault="00EA037B" w:rsidP="00EA037B">
      <w:pPr>
        <w:wordWrap/>
        <w:spacing w:line="360" w:lineRule="auto"/>
        <w:rPr>
          <w:rFonts w:ascii="Book Antiqua" w:hAnsi="Book Antiqua"/>
          <w:color w:val="000000" w:themeColor="text1"/>
          <w:sz w:val="24"/>
        </w:rPr>
      </w:pPr>
    </w:p>
    <w:p w14:paraId="412679EE" w14:textId="179B7EDD" w:rsidR="00001452" w:rsidRDefault="00EA037B" w:rsidP="00EA037B">
      <w:pPr>
        <w:wordWrap/>
        <w:spacing w:line="360" w:lineRule="auto"/>
        <w:rPr>
          <w:rFonts w:ascii="Book Antiqua" w:hAnsi="Book Antiqua"/>
          <w:color w:val="000000" w:themeColor="text1"/>
          <w:sz w:val="24"/>
        </w:rPr>
      </w:pPr>
      <w:r w:rsidRPr="00EA037B">
        <w:rPr>
          <w:rFonts w:ascii="Book Antiqua" w:hAnsi="Book Antiqua"/>
          <w:b/>
          <w:color w:val="000000" w:themeColor="text1"/>
          <w:sz w:val="24"/>
          <w:lang w:val="fr-FR"/>
        </w:rPr>
        <w:t>Conflict-of-interest statement</w:t>
      </w:r>
      <w:r w:rsidRPr="00EA037B">
        <w:rPr>
          <w:rFonts w:ascii="Book Antiqua" w:hAnsi="Book Antiqua"/>
          <w:b/>
          <w:bCs/>
          <w:iCs/>
          <w:color w:val="000000" w:themeColor="text1"/>
          <w:sz w:val="24"/>
        </w:rPr>
        <w:t>:</w:t>
      </w:r>
      <w:r>
        <w:rPr>
          <w:rFonts w:ascii="Book Antiqua" w:eastAsia="宋体" w:hAnsi="Book Antiqua" w:hint="eastAsia"/>
          <w:color w:val="000000" w:themeColor="text1"/>
          <w:sz w:val="24"/>
          <w:lang w:eastAsia="zh-CN"/>
        </w:rPr>
        <w:t xml:space="preserve"> </w:t>
      </w:r>
      <w:r w:rsidR="00001452" w:rsidRPr="00EA037B">
        <w:rPr>
          <w:rFonts w:ascii="Book Antiqua" w:hAnsi="Book Antiqua"/>
          <w:color w:val="000000" w:themeColor="text1"/>
          <w:sz w:val="24"/>
        </w:rPr>
        <w:t>The authors have no conflict of interest to disclose.</w:t>
      </w:r>
    </w:p>
    <w:p w14:paraId="435EAD69" w14:textId="222F66A6" w:rsidR="00EA037B" w:rsidRDefault="00EA037B" w:rsidP="00EA037B">
      <w:pPr>
        <w:wordWrap/>
        <w:spacing w:line="360" w:lineRule="auto"/>
        <w:rPr>
          <w:rFonts w:ascii="Book Antiqua" w:hAnsi="Book Antiqua"/>
          <w:color w:val="000000" w:themeColor="text1"/>
          <w:sz w:val="24"/>
        </w:rPr>
      </w:pPr>
    </w:p>
    <w:p w14:paraId="03C65D10" w14:textId="6C476A9C" w:rsidR="00001452" w:rsidRDefault="00EA037B" w:rsidP="00EA037B">
      <w:pPr>
        <w:wordWrap/>
        <w:spacing w:line="360" w:lineRule="auto"/>
        <w:rPr>
          <w:rFonts w:ascii="Book Antiqua" w:hAnsi="Book Antiqua"/>
          <w:color w:val="000000" w:themeColor="text1"/>
          <w:sz w:val="24"/>
        </w:rPr>
      </w:pPr>
      <w:r w:rsidRPr="00EA037B">
        <w:rPr>
          <w:rFonts w:ascii="Book Antiqua" w:hAnsi="Book Antiqua"/>
          <w:b/>
          <w:color w:val="000000" w:themeColor="text1"/>
          <w:sz w:val="24"/>
        </w:rPr>
        <w:t>STROBE statement</w:t>
      </w:r>
      <w:r w:rsidRPr="00EA037B">
        <w:rPr>
          <w:rFonts w:ascii="Book Antiqua" w:hAnsi="Book Antiqua" w:hint="eastAsia"/>
          <w:b/>
          <w:color w:val="000000" w:themeColor="text1"/>
          <w:sz w:val="24"/>
        </w:rPr>
        <w:t>:</w:t>
      </w:r>
      <w:r>
        <w:rPr>
          <w:rFonts w:ascii="Book Antiqua" w:eastAsia="宋体" w:hAnsi="Book Antiqua" w:hint="eastAsia"/>
          <w:b/>
          <w:color w:val="000000" w:themeColor="text1"/>
          <w:sz w:val="24"/>
          <w:lang w:eastAsia="zh-CN"/>
        </w:rPr>
        <w:t xml:space="preserve"> </w:t>
      </w:r>
      <w:r w:rsidR="00001452" w:rsidRPr="00EA037B">
        <w:rPr>
          <w:rFonts w:ascii="Book Antiqua" w:hAnsi="Book Antiqua"/>
          <w:color w:val="000000" w:themeColor="text1"/>
          <w:sz w:val="24"/>
        </w:rPr>
        <w:t>This study adopted the guidelines of the STROBE Statement.</w:t>
      </w:r>
    </w:p>
    <w:p w14:paraId="0AD1D1A5" w14:textId="2E645ADE" w:rsidR="00EA037B" w:rsidRDefault="00EA037B" w:rsidP="00EA037B">
      <w:pPr>
        <w:wordWrap/>
        <w:spacing w:line="360" w:lineRule="auto"/>
        <w:rPr>
          <w:rFonts w:ascii="Book Antiqua" w:hAnsi="Book Antiqua"/>
          <w:color w:val="000000" w:themeColor="text1"/>
          <w:sz w:val="24"/>
        </w:rPr>
      </w:pPr>
    </w:p>
    <w:p w14:paraId="42C178E8" w14:textId="77777777" w:rsidR="00EA037B" w:rsidRPr="00EA037B" w:rsidRDefault="00EA037B" w:rsidP="00EA037B">
      <w:pPr>
        <w:widowControl/>
        <w:wordWrap/>
        <w:autoSpaceDE/>
        <w:autoSpaceDN/>
        <w:spacing w:line="360" w:lineRule="auto"/>
        <w:rPr>
          <w:rFonts w:ascii="Book Antiqua" w:eastAsia="宋体" w:hAnsi="Book Antiqua"/>
          <w:kern w:val="0"/>
          <w:sz w:val="24"/>
          <w:lang w:eastAsia="zh-CN"/>
        </w:rPr>
      </w:pPr>
      <w:r w:rsidRPr="00EA037B">
        <w:rPr>
          <w:rFonts w:ascii="Book Antiqua" w:eastAsia="宋体" w:hAnsi="Book Antiqua"/>
          <w:b/>
          <w:kern w:val="0"/>
          <w:sz w:val="24"/>
          <w:lang w:eastAsia="en-US"/>
        </w:rPr>
        <w:t xml:space="preserve">Open-Access: </w:t>
      </w:r>
      <w:r w:rsidRPr="00EA037B">
        <w:rPr>
          <w:rFonts w:ascii="Book Antiqua" w:eastAsia="宋体" w:hAnsi="Book Antiqua"/>
          <w:kern w:val="0"/>
          <w:sz w:val="24"/>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A037B">
          <w:rPr>
            <w:rFonts w:ascii="Book Antiqua" w:eastAsia="宋体" w:hAnsi="Book Antiqua"/>
            <w:kern w:val="0"/>
            <w:sz w:val="24"/>
            <w:lang w:eastAsia="en-US"/>
          </w:rPr>
          <w:t>http://creativecommons.org/licenses/by-nc/4.0/</w:t>
        </w:r>
      </w:hyperlink>
    </w:p>
    <w:p w14:paraId="5AFECBC4" w14:textId="39B72167" w:rsidR="00EA037B" w:rsidRDefault="00EA037B" w:rsidP="00EA037B">
      <w:pPr>
        <w:wordWrap/>
        <w:spacing w:line="360" w:lineRule="auto"/>
        <w:rPr>
          <w:rFonts w:ascii="Book Antiqua" w:hAnsi="Book Antiqua"/>
          <w:b/>
          <w:color w:val="000000" w:themeColor="text1"/>
          <w:sz w:val="24"/>
        </w:rPr>
      </w:pPr>
    </w:p>
    <w:p w14:paraId="41894B21" w14:textId="5DF2ECE9" w:rsidR="00EA037B" w:rsidRPr="00EA037B" w:rsidRDefault="00EA037B" w:rsidP="00EA037B">
      <w:pPr>
        <w:wordWrap/>
        <w:spacing w:line="360" w:lineRule="auto"/>
        <w:rPr>
          <w:rFonts w:ascii="Book Antiqua" w:eastAsia="宋体" w:hAnsi="Book Antiqua"/>
          <w:b/>
          <w:color w:val="000000" w:themeColor="text1"/>
          <w:sz w:val="24"/>
          <w:lang w:eastAsia="zh-CN"/>
        </w:rPr>
      </w:pPr>
      <w:r>
        <w:rPr>
          <w:rFonts w:ascii="Book Antiqua" w:eastAsia="宋体" w:hAnsi="Book Antiqua"/>
          <w:b/>
          <w:color w:val="000000" w:themeColor="text1"/>
          <w:sz w:val="24"/>
          <w:lang w:eastAsia="zh-CN"/>
        </w:rPr>
        <w:t xml:space="preserve">Manuscript source: </w:t>
      </w:r>
      <w:r w:rsidRPr="00EA037B">
        <w:rPr>
          <w:rFonts w:ascii="Book Antiqua" w:eastAsia="宋体" w:hAnsi="Book Antiqua"/>
          <w:bCs/>
          <w:color w:val="000000" w:themeColor="text1"/>
          <w:sz w:val="24"/>
          <w:lang w:eastAsia="zh-CN"/>
        </w:rPr>
        <w:t>Unsolicited manuscript</w:t>
      </w:r>
    </w:p>
    <w:p w14:paraId="6BECEDFA" w14:textId="44381352" w:rsidR="00182B6E" w:rsidRDefault="00182B6E" w:rsidP="00EA037B">
      <w:pPr>
        <w:wordWrap/>
        <w:spacing w:line="360" w:lineRule="auto"/>
        <w:rPr>
          <w:rFonts w:ascii="Book Antiqua" w:hAnsi="Book Antiqua"/>
          <w:color w:val="000000" w:themeColor="text1"/>
          <w:sz w:val="24"/>
        </w:rPr>
      </w:pPr>
    </w:p>
    <w:p w14:paraId="68CA8E64" w14:textId="73D51135" w:rsidR="00EA037B" w:rsidRDefault="00EA037B" w:rsidP="00EA037B">
      <w:pPr>
        <w:pStyle w:val="a4"/>
        <w:spacing w:after="0" w:line="360" w:lineRule="auto"/>
        <w:jc w:val="both"/>
        <w:rPr>
          <w:rFonts w:ascii="Book Antiqua" w:eastAsia="AdvTimes" w:hAnsi="Book Antiqua"/>
          <w:color w:val="000000" w:themeColor="text1"/>
          <w:sz w:val="24"/>
          <w:szCs w:val="24"/>
        </w:rPr>
      </w:pPr>
      <w:bookmarkStart w:id="4" w:name="OLE_LINK535"/>
      <w:bookmarkStart w:id="5" w:name="OLE_LINK536"/>
      <w:r w:rsidRPr="00EA037B">
        <w:rPr>
          <w:rFonts w:ascii="Book Antiqua" w:hAnsi="Book Antiqua"/>
          <w:b/>
          <w:color w:val="000000" w:themeColor="text1"/>
          <w:sz w:val="24"/>
        </w:rPr>
        <w:t>Corresponding author:</w:t>
      </w:r>
      <w:bookmarkEnd w:id="4"/>
      <w:bookmarkEnd w:id="5"/>
      <w:r>
        <w:rPr>
          <w:rFonts w:ascii="Book Antiqua" w:eastAsia="宋体" w:hAnsi="Book Antiqua" w:hint="eastAsia"/>
          <w:color w:val="000000" w:themeColor="text1"/>
          <w:sz w:val="24"/>
          <w:lang w:eastAsia="zh-CN"/>
        </w:rPr>
        <w:t xml:space="preserve"> </w:t>
      </w:r>
      <w:r w:rsidR="00182B6E" w:rsidRPr="00EA037B">
        <w:rPr>
          <w:rFonts w:ascii="Book Antiqua" w:hAnsi="Book Antiqua"/>
          <w:b/>
          <w:bCs/>
          <w:color w:val="000000" w:themeColor="text1"/>
          <w:sz w:val="24"/>
          <w:szCs w:val="24"/>
        </w:rPr>
        <w:t>Young-Woo Kim</w:t>
      </w:r>
      <w:r w:rsidR="00182B6E" w:rsidRPr="00EA037B">
        <w:rPr>
          <w:rFonts w:ascii="Book Antiqua" w:hAnsi="Book Antiqua"/>
          <w:b/>
          <w:color w:val="000000" w:themeColor="text1"/>
          <w:sz w:val="24"/>
          <w:szCs w:val="24"/>
        </w:rPr>
        <w:t xml:space="preserve">, </w:t>
      </w:r>
      <w:r w:rsidRPr="00EA037B">
        <w:rPr>
          <w:rFonts w:ascii="Book Antiqua" w:hAnsi="Book Antiqua"/>
          <w:b/>
          <w:color w:val="000000" w:themeColor="text1"/>
          <w:sz w:val="24"/>
        </w:rPr>
        <w:t>MD, PhD, Professor, Surgeon,</w:t>
      </w:r>
      <w:r>
        <w:rPr>
          <w:rFonts w:ascii="Book Antiqua" w:eastAsia="宋体" w:hAnsi="Book Antiqua" w:hint="eastAsia"/>
          <w:color w:val="000000" w:themeColor="text1"/>
          <w:sz w:val="24"/>
          <w:lang w:eastAsia="zh-CN"/>
        </w:rPr>
        <w:t xml:space="preserve"> </w:t>
      </w:r>
      <w:bookmarkStart w:id="6" w:name="OLE_LINK1109"/>
      <w:bookmarkStart w:id="7" w:name="OLE_LINK1110"/>
      <w:r w:rsidRPr="00EA037B">
        <w:rPr>
          <w:rFonts w:ascii="Book Antiqua" w:hAnsi="Book Antiqua"/>
          <w:color w:val="000000" w:themeColor="text1"/>
          <w:sz w:val="24"/>
          <w:szCs w:val="24"/>
        </w:rPr>
        <w:t>Center for Gastric Cancer</w:t>
      </w:r>
      <w:bookmarkEnd w:id="6"/>
      <w:bookmarkEnd w:id="7"/>
      <w:r w:rsidRPr="00EA037B">
        <w:rPr>
          <w:rFonts w:ascii="Book Antiqua" w:hAnsi="Book Antiqua"/>
          <w:color w:val="000000" w:themeColor="text1"/>
          <w:sz w:val="24"/>
          <w:szCs w:val="24"/>
        </w:rPr>
        <w:t xml:space="preserve">, </w:t>
      </w:r>
      <w:bookmarkStart w:id="8" w:name="OLE_LINK1111"/>
      <w:bookmarkStart w:id="9" w:name="OLE_LINK1112"/>
      <w:r w:rsidRPr="00EA037B">
        <w:rPr>
          <w:rFonts w:ascii="Book Antiqua" w:eastAsia="AdvTimes" w:hAnsi="Book Antiqua"/>
          <w:color w:val="000000" w:themeColor="text1"/>
          <w:sz w:val="24"/>
          <w:szCs w:val="24"/>
        </w:rPr>
        <w:t>National Cancer Center</w:t>
      </w:r>
      <w:bookmarkEnd w:id="8"/>
      <w:bookmarkEnd w:id="9"/>
      <w:r w:rsidRPr="00EA037B">
        <w:rPr>
          <w:rFonts w:ascii="Book Antiqua" w:eastAsia="AdvTimes" w:hAnsi="Book Antiqua"/>
          <w:color w:val="000000" w:themeColor="text1"/>
          <w:sz w:val="24"/>
          <w:szCs w:val="24"/>
        </w:rPr>
        <w:t xml:space="preserve">, </w:t>
      </w:r>
      <w:bookmarkStart w:id="10" w:name="OLE_LINK1113"/>
      <w:bookmarkStart w:id="11" w:name="OLE_LINK1114"/>
      <w:r w:rsidRPr="00EA037B">
        <w:rPr>
          <w:rFonts w:ascii="Book Antiqua" w:hAnsi="Book Antiqua"/>
          <w:color w:val="000000" w:themeColor="text1"/>
          <w:sz w:val="24"/>
          <w:szCs w:val="24"/>
        </w:rPr>
        <w:t>Ilsan-ro 323</w:t>
      </w:r>
      <w:r w:rsidRPr="00EA037B">
        <w:rPr>
          <w:rFonts w:ascii="Book Antiqua" w:eastAsia="AdvTimes" w:hAnsi="Book Antiqua"/>
          <w:color w:val="000000" w:themeColor="text1"/>
          <w:sz w:val="24"/>
          <w:szCs w:val="24"/>
        </w:rPr>
        <w:t xml:space="preserve">, Ilsandong-gu, </w:t>
      </w:r>
      <w:r w:rsidRPr="00EA037B">
        <w:rPr>
          <w:rFonts w:ascii="Book Antiqua" w:hAnsi="Book Antiqua"/>
          <w:color w:val="000000" w:themeColor="text1"/>
          <w:sz w:val="24"/>
          <w:szCs w:val="24"/>
        </w:rPr>
        <w:t>Goyang-si</w:t>
      </w:r>
      <w:bookmarkEnd w:id="10"/>
      <w:bookmarkEnd w:id="11"/>
      <w:r w:rsidRPr="00EA037B">
        <w:rPr>
          <w:rFonts w:ascii="Book Antiqua" w:hAnsi="Book Antiqua"/>
          <w:color w:val="000000" w:themeColor="text1"/>
          <w:sz w:val="24"/>
          <w:szCs w:val="24"/>
        </w:rPr>
        <w:t xml:space="preserve">, </w:t>
      </w:r>
      <w:bookmarkStart w:id="12" w:name="OLE_LINK1115"/>
      <w:bookmarkStart w:id="13" w:name="OLE_LINK1116"/>
      <w:r w:rsidRPr="00EA037B">
        <w:rPr>
          <w:rFonts w:ascii="Book Antiqua" w:eastAsia="AdvTimes" w:hAnsi="Book Antiqua"/>
          <w:color w:val="000000" w:themeColor="text1"/>
          <w:sz w:val="24"/>
          <w:szCs w:val="24"/>
        </w:rPr>
        <w:t>Goyang</w:t>
      </w:r>
      <w:bookmarkEnd w:id="12"/>
      <w:bookmarkEnd w:id="13"/>
      <w:r w:rsidRPr="00EA037B">
        <w:rPr>
          <w:rFonts w:ascii="Book Antiqua" w:eastAsia="AdvTimes" w:hAnsi="Book Antiqua"/>
          <w:color w:val="000000" w:themeColor="text1"/>
          <w:sz w:val="24"/>
          <w:szCs w:val="24"/>
        </w:rPr>
        <w:t xml:space="preserve"> 10408, </w:t>
      </w:r>
      <w:r>
        <w:rPr>
          <w:rFonts w:ascii="Book Antiqua" w:eastAsia="AdvTimes" w:hAnsi="Book Antiqua"/>
          <w:color w:val="000000" w:themeColor="text1"/>
          <w:sz w:val="24"/>
          <w:szCs w:val="24"/>
        </w:rPr>
        <w:t xml:space="preserve">South </w:t>
      </w:r>
      <w:r w:rsidRPr="00EA037B">
        <w:rPr>
          <w:rFonts w:ascii="Book Antiqua" w:eastAsia="AdvTimes" w:hAnsi="Book Antiqua"/>
          <w:color w:val="000000" w:themeColor="text1"/>
          <w:sz w:val="24"/>
          <w:szCs w:val="24"/>
        </w:rPr>
        <w:t>Korea</w:t>
      </w:r>
      <w:r>
        <w:rPr>
          <w:rFonts w:ascii="Book Antiqua" w:eastAsia="AdvTimes" w:hAnsi="Book Antiqua"/>
          <w:color w:val="000000" w:themeColor="text1"/>
          <w:sz w:val="24"/>
          <w:szCs w:val="24"/>
        </w:rPr>
        <w:t xml:space="preserve">. </w:t>
      </w:r>
      <w:r w:rsidRPr="00EA037B">
        <w:rPr>
          <w:rFonts w:ascii="Book Antiqua" w:hAnsi="Book Antiqua"/>
          <w:color w:val="000000" w:themeColor="text1"/>
          <w:sz w:val="24"/>
          <w:szCs w:val="24"/>
        </w:rPr>
        <w:t>gskim@ncc.re.kr</w:t>
      </w:r>
    </w:p>
    <w:p w14:paraId="001C167F" w14:textId="230BCB42" w:rsidR="00182B6E" w:rsidRPr="00EA037B" w:rsidRDefault="00EA037B" w:rsidP="00EA037B">
      <w:pPr>
        <w:wordWrap/>
        <w:spacing w:line="360" w:lineRule="auto"/>
        <w:rPr>
          <w:rFonts w:ascii="Book Antiqua" w:hAnsi="Book Antiqua"/>
          <w:color w:val="000000" w:themeColor="text1"/>
          <w:sz w:val="24"/>
        </w:rPr>
      </w:pPr>
      <w:r w:rsidRPr="00EA037B">
        <w:rPr>
          <w:rFonts w:ascii="Book Antiqua" w:eastAsia="宋体" w:hAnsi="Book Antiqua"/>
          <w:b/>
          <w:kern w:val="0"/>
          <w:sz w:val="24"/>
          <w:lang w:eastAsia="fr-FR"/>
        </w:rPr>
        <w:lastRenderedPageBreak/>
        <w:t>Tel</w:t>
      </w:r>
      <w:r w:rsidRPr="00EA037B">
        <w:rPr>
          <w:rFonts w:ascii="Book Antiqua" w:eastAsia="宋体" w:hAnsi="Book Antiqua"/>
          <w:b/>
          <w:kern w:val="0"/>
          <w:sz w:val="24"/>
          <w:lang w:eastAsia="zh-CN"/>
        </w:rPr>
        <w:t>ephone</w:t>
      </w:r>
      <w:r w:rsidRPr="00EA037B">
        <w:rPr>
          <w:rFonts w:ascii="Book Antiqua" w:eastAsia="宋体" w:hAnsi="Book Antiqua"/>
          <w:b/>
          <w:kern w:val="0"/>
          <w:sz w:val="24"/>
          <w:lang w:eastAsia="fr-FR"/>
        </w:rPr>
        <w:t>:</w:t>
      </w:r>
      <w:r w:rsidRPr="00EA037B">
        <w:rPr>
          <w:rFonts w:ascii="Book Antiqua" w:eastAsia="宋体" w:hAnsi="Book Antiqua"/>
          <w:kern w:val="0"/>
          <w:sz w:val="24"/>
          <w:lang w:eastAsia="fr-FR"/>
        </w:rPr>
        <w:t xml:space="preserve"> </w:t>
      </w:r>
      <w:r w:rsidR="00182B6E" w:rsidRPr="00EA037B">
        <w:rPr>
          <w:rFonts w:ascii="Book Antiqua" w:hAnsi="Book Antiqua"/>
          <w:color w:val="000000" w:themeColor="text1"/>
          <w:sz w:val="24"/>
        </w:rPr>
        <w:t>+82-31-9201635</w:t>
      </w:r>
    </w:p>
    <w:p w14:paraId="5097C467" w14:textId="16816092" w:rsidR="00182B6E" w:rsidRPr="00EA037B" w:rsidRDefault="00182B6E" w:rsidP="00EA037B">
      <w:pPr>
        <w:wordWrap/>
        <w:spacing w:line="360" w:lineRule="auto"/>
        <w:ind w:left="907" w:hangingChars="360" w:hanging="907"/>
        <w:rPr>
          <w:rFonts w:ascii="Book Antiqua" w:hAnsi="Book Antiqua"/>
          <w:color w:val="000000" w:themeColor="text1"/>
          <w:sz w:val="24"/>
        </w:rPr>
      </w:pPr>
      <w:r w:rsidRPr="00EA037B">
        <w:rPr>
          <w:rFonts w:ascii="Book Antiqua" w:hAnsi="Book Antiqua"/>
          <w:b/>
          <w:bCs/>
          <w:color w:val="000000" w:themeColor="text1"/>
          <w:sz w:val="24"/>
        </w:rPr>
        <w:t>Fax:</w:t>
      </w:r>
      <w:r w:rsidRPr="00EA037B">
        <w:rPr>
          <w:rFonts w:ascii="Book Antiqua" w:hAnsi="Book Antiqua"/>
          <w:color w:val="000000" w:themeColor="text1"/>
          <w:sz w:val="24"/>
        </w:rPr>
        <w:t xml:space="preserve"> +82-31-9200696</w:t>
      </w:r>
    </w:p>
    <w:p w14:paraId="69567B15" w14:textId="2F701D92" w:rsidR="00182B6E" w:rsidRDefault="00182B6E" w:rsidP="00EA037B">
      <w:pPr>
        <w:wordWrap/>
        <w:spacing w:line="360" w:lineRule="auto"/>
        <w:ind w:left="907" w:hangingChars="360" w:hanging="907"/>
        <w:rPr>
          <w:rFonts w:ascii="Book Antiqua" w:hAnsi="Book Antiqua"/>
          <w:color w:val="000000" w:themeColor="text1"/>
          <w:sz w:val="24"/>
        </w:rPr>
      </w:pPr>
    </w:p>
    <w:p w14:paraId="36C58257" w14:textId="5003F915" w:rsidR="00AF70FB" w:rsidRPr="00AF70FB" w:rsidRDefault="00AF70FB" w:rsidP="00AF70FB">
      <w:pPr>
        <w:wordWrap/>
        <w:autoSpaceDE/>
        <w:autoSpaceDN/>
        <w:spacing w:line="360" w:lineRule="auto"/>
        <w:rPr>
          <w:rFonts w:ascii="Book Antiqua" w:eastAsia="宋体" w:hAnsi="Book Antiqua"/>
          <w:b/>
          <w:sz w:val="24"/>
          <w:lang w:eastAsia="zh-CN"/>
        </w:rPr>
      </w:pPr>
      <w:bookmarkStart w:id="14" w:name="OLE_LINK75"/>
      <w:bookmarkStart w:id="15" w:name="OLE_LINK76"/>
      <w:bookmarkStart w:id="16" w:name="OLE_LINK269"/>
      <w:bookmarkStart w:id="17" w:name="OLE_LINK239"/>
      <w:r w:rsidRPr="00AF70FB">
        <w:rPr>
          <w:rFonts w:ascii="Book Antiqua" w:eastAsia="宋体" w:hAnsi="Book Antiqua"/>
          <w:b/>
          <w:sz w:val="24"/>
          <w:lang w:eastAsia="zh-CN"/>
        </w:rPr>
        <w:t xml:space="preserve">Received: </w:t>
      </w:r>
      <w:r>
        <w:rPr>
          <w:rFonts w:ascii="Book Antiqua" w:eastAsia="宋体" w:hAnsi="Book Antiqua"/>
          <w:sz w:val="24"/>
          <w:lang w:eastAsia="zh-CN"/>
        </w:rPr>
        <w:t>May</w:t>
      </w:r>
      <w:r w:rsidRPr="00AF70FB">
        <w:rPr>
          <w:rFonts w:ascii="Book Antiqua" w:eastAsia="宋体" w:hAnsi="Book Antiqua"/>
          <w:sz w:val="24"/>
          <w:lang w:eastAsia="zh-CN"/>
        </w:rPr>
        <w:t xml:space="preserve"> </w:t>
      </w:r>
      <w:r>
        <w:rPr>
          <w:rFonts w:ascii="Book Antiqua" w:eastAsia="宋体" w:hAnsi="Book Antiqua"/>
          <w:sz w:val="24"/>
          <w:lang w:eastAsia="zh-CN"/>
        </w:rPr>
        <w:t>31</w:t>
      </w:r>
      <w:r w:rsidRPr="00AF70FB">
        <w:rPr>
          <w:rFonts w:ascii="Book Antiqua" w:eastAsia="宋体" w:hAnsi="Book Antiqua"/>
          <w:sz w:val="24"/>
          <w:lang w:eastAsia="zh-CN"/>
        </w:rPr>
        <w:t>, 2019</w:t>
      </w:r>
    </w:p>
    <w:p w14:paraId="522617E6" w14:textId="19914DC5" w:rsidR="00AF70FB" w:rsidRPr="00AF70FB" w:rsidRDefault="00AF70FB" w:rsidP="00AF70FB">
      <w:pPr>
        <w:wordWrap/>
        <w:autoSpaceDE/>
        <w:autoSpaceDN/>
        <w:spacing w:line="360" w:lineRule="auto"/>
        <w:rPr>
          <w:rFonts w:ascii="Book Antiqua" w:eastAsia="宋体" w:hAnsi="Book Antiqua"/>
          <w:b/>
          <w:sz w:val="24"/>
          <w:lang w:eastAsia="zh-CN"/>
        </w:rPr>
      </w:pPr>
      <w:r w:rsidRPr="00AF70FB">
        <w:rPr>
          <w:rFonts w:ascii="Book Antiqua" w:eastAsia="宋体" w:hAnsi="Book Antiqua"/>
          <w:b/>
          <w:sz w:val="24"/>
          <w:lang w:eastAsia="zh-CN"/>
        </w:rPr>
        <w:t xml:space="preserve">Peer-review started: </w:t>
      </w:r>
      <w:r>
        <w:rPr>
          <w:rFonts w:ascii="Book Antiqua" w:eastAsia="宋体" w:hAnsi="Book Antiqua"/>
          <w:sz w:val="24"/>
          <w:lang w:eastAsia="zh-CN"/>
        </w:rPr>
        <w:t>May</w:t>
      </w:r>
      <w:r w:rsidRPr="00AF70FB">
        <w:rPr>
          <w:rFonts w:ascii="Book Antiqua" w:eastAsia="宋体" w:hAnsi="Book Antiqua"/>
          <w:sz w:val="24"/>
          <w:lang w:eastAsia="zh-CN"/>
        </w:rPr>
        <w:t xml:space="preserve"> </w:t>
      </w:r>
      <w:r>
        <w:rPr>
          <w:rFonts w:ascii="Book Antiqua" w:eastAsia="宋体" w:hAnsi="Book Antiqua"/>
          <w:sz w:val="24"/>
          <w:lang w:eastAsia="zh-CN"/>
        </w:rPr>
        <w:t>31</w:t>
      </w:r>
      <w:r w:rsidRPr="00AF70FB">
        <w:rPr>
          <w:rFonts w:ascii="Book Antiqua" w:eastAsia="宋体" w:hAnsi="Book Antiqua"/>
          <w:sz w:val="24"/>
          <w:lang w:eastAsia="zh-CN"/>
        </w:rPr>
        <w:t>, 2019</w:t>
      </w:r>
    </w:p>
    <w:p w14:paraId="1A6FB9A9" w14:textId="35B29943" w:rsidR="00AF70FB" w:rsidRPr="00AF70FB" w:rsidRDefault="00AF70FB" w:rsidP="00AF70FB">
      <w:pPr>
        <w:wordWrap/>
        <w:autoSpaceDE/>
        <w:autoSpaceDN/>
        <w:spacing w:line="360" w:lineRule="auto"/>
        <w:rPr>
          <w:rFonts w:ascii="Book Antiqua" w:eastAsia="宋体" w:hAnsi="Book Antiqua"/>
          <w:b/>
          <w:sz w:val="24"/>
          <w:lang w:eastAsia="zh-CN"/>
        </w:rPr>
      </w:pPr>
      <w:r w:rsidRPr="00AF70FB">
        <w:rPr>
          <w:rFonts w:ascii="Book Antiqua" w:eastAsia="宋体" w:hAnsi="Book Antiqua"/>
          <w:b/>
          <w:sz w:val="24"/>
          <w:lang w:eastAsia="zh-CN"/>
        </w:rPr>
        <w:t xml:space="preserve">First decision: </w:t>
      </w:r>
      <w:r>
        <w:rPr>
          <w:rFonts w:ascii="Book Antiqua" w:eastAsia="宋体" w:hAnsi="Book Antiqua"/>
          <w:sz w:val="24"/>
          <w:lang w:eastAsia="zh-CN"/>
        </w:rPr>
        <w:t>July</w:t>
      </w:r>
      <w:r w:rsidRPr="00AF70FB">
        <w:rPr>
          <w:rFonts w:ascii="Book Antiqua" w:eastAsia="宋体" w:hAnsi="Book Antiqua"/>
          <w:sz w:val="24"/>
          <w:lang w:eastAsia="zh-CN"/>
        </w:rPr>
        <w:t xml:space="preserve"> </w:t>
      </w:r>
      <w:r>
        <w:rPr>
          <w:rFonts w:ascii="Book Antiqua" w:eastAsia="宋体" w:hAnsi="Book Antiqua"/>
          <w:sz w:val="24"/>
          <w:lang w:eastAsia="zh-CN"/>
        </w:rPr>
        <w:t>21</w:t>
      </w:r>
      <w:r w:rsidRPr="00AF70FB">
        <w:rPr>
          <w:rFonts w:ascii="Book Antiqua" w:eastAsia="宋体" w:hAnsi="Book Antiqua"/>
          <w:sz w:val="24"/>
          <w:lang w:eastAsia="zh-CN"/>
        </w:rPr>
        <w:t>, 2019</w:t>
      </w:r>
    </w:p>
    <w:p w14:paraId="4B323979" w14:textId="22AD2314" w:rsidR="00AF70FB" w:rsidRPr="00AF70FB" w:rsidRDefault="00AF70FB" w:rsidP="00AF70FB">
      <w:pPr>
        <w:wordWrap/>
        <w:autoSpaceDE/>
        <w:autoSpaceDN/>
        <w:spacing w:line="360" w:lineRule="auto"/>
        <w:rPr>
          <w:rFonts w:ascii="Book Antiqua" w:eastAsia="宋体" w:hAnsi="Book Antiqua"/>
          <w:b/>
          <w:sz w:val="24"/>
          <w:lang w:eastAsia="zh-CN"/>
        </w:rPr>
      </w:pPr>
      <w:r w:rsidRPr="00AF70FB">
        <w:rPr>
          <w:rFonts w:ascii="Book Antiqua" w:eastAsia="宋体" w:hAnsi="Book Antiqua"/>
          <w:b/>
          <w:sz w:val="24"/>
          <w:lang w:eastAsia="zh-CN"/>
        </w:rPr>
        <w:t xml:space="preserve">Revised: </w:t>
      </w:r>
      <w:r>
        <w:rPr>
          <w:rFonts w:ascii="Book Antiqua" w:eastAsia="宋体" w:hAnsi="Book Antiqua"/>
          <w:sz w:val="24"/>
          <w:lang w:eastAsia="zh-CN"/>
        </w:rPr>
        <w:t>August</w:t>
      </w:r>
      <w:r w:rsidRPr="00AF70FB">
        <w:rPr>
          <w:rFonts w:ascii="Book Antiqua" w:eastAsia="宋体" w:hAnsi="Book Antiqua"/>
          <w:sz w:val="24"/>
          <w:lang w:eastAsia="zh-CN"/>
        </w:rPr>
        <w:t xml:space="preserve"> </w:t>
      </w:r>
      <w:r>
        <w:rPr>
          <w:rFonts w:ascii="Book Antiqua" w:eastAsia="宋体" w:hAnsi="Book Antiqua"/>
          <w:sz w:val="24"/>
          <w:lang w:eastAsia="zh-CN"/>
        </w:rPr>
        <w:t>8</w:t>
      </w:r>
      <w:r w:rsidRPr="00AF70FB">
        <w:rPr>
          <w:rFonts w:ascii="Book Antiqua" w:eastAsia="宋体" w:hAnsi="Book Antiqua"/>
          <w:sz w:val="24"/>
          <w:lang w:eastAsia="zh-CN"/>
        </w:rPr>
        <w:t>, 2019</w:t>
      </w:r>
    </w:p>
    <w:p w14:paraId="60D3AFD2" w14:textId="121A1D37" w:rsidR="00AF70FB" w:rsidRPr="00AF70FB" w:rsidRDefault="00AF70FB" w:rsidP="00AF70FB">
      <w:pPr>
        <w:wordWrap/>
        <w:autoSpaceDE/>
        <w:autoSpaceDN/>
        <w:spacing w:line="360" w:lineRule="auto"/>
        <w:rPr>
          <w:rFonts w:ascii="Book Antiqua" w:eastAsia="宋体" w:hAnsi="Book Antiqua"/>
          <w:color w:val="000000"/>
          <w:sz w:val="24"/>
          <w:lang w:eastAsia="zh-CN"/>
        </w:rPr>
      </w:pPr>
      <w:r w:rsidRPr="00AF70FB">
        <w:rPr>
          <w:rFonts w:ascii="Book Antiqua" w:eastAsia="宋体" w:hAnsi="Book Antiqua"/>
          <w:b/>
          <w:sz w:val="24"/>
          <w:lang w:eastAsia="zh-CN"/>
        </w:rPr>
        <w:t>Accepted:</w:t>
      </w:r>
      <w:r w:rsidR="00820F3C" w:rsidRPr="00820F3C">
        <w:t xml:space="preserve"> </w:t>
      </w:r>
      <w:r w:rsidR="00820F3C" w:rsidRPr="00820F3C">
        <w:rPr>
          <w:rFonts w:ascii="Book Antiqua" w:eastAsia="宋体" w:hAnsi="Book Antiqua"/>
          <w:sz w:val="24"/>
          <w:lang w:eastAsia="zh-CN"/>
        </w:rPr>
        <w:t>September 11, 2019</w:t>
      </w:r>
      <w:r w:rsidRPr="00820F3C">
        <w:rPr>
          <w:rFonts w:ascii="Book Antiqua" w:eastAsia="宋体" w:hAnsi="Book Antiqua"/>
          <w:sz w:val="24"/>
          <w:lang w:eastAsia="zh-CN"/>
        </w:rPr>
        <w:t xml:space="preserve"> </w:t>
      </w:r>
    </w:p>
    <w:p w14:paraId="340CF577" w14:textId="77777777" w:rsidR="00AF70FB" w:rsidRPr="00AF70FB" w:rsidRDefault="00AF70FB" w:rsidP="00AF70FB">
      <w:pPr>
        <w:wordWrap/>
        <w:autoSpaceDE/>
        <w:autoSpaceDN/>
        <w:spacing w:line="360" w:lineRule="auto"/>
        <w:rPr>
          <w:rFonts w:ascii="Book Antiqua" w:eastAsia="宋体" w:hAnsi="Book Antiqua"/>
          <w:b/>
          <w:sz w:val="24"/>
          <w:lang w:eastAsia="zh-CN"/>
        </w:rPr>
      </w:pPr>
      <w:r w:rsidRPr="00AF70FB">
        <w:rPr>
          <w:rFonts w:ascii="Book Antiqua" w:eastAsia="宋体" w:hAnsi="Book Antiqua"/>
          <w:b/>
          <w:sz w:val="24"/>
          <w:lang w:eastAsia="zh-CN"/>
        </w:rPr>
        <w:t>Article in press:</w:t>
      </w:r>
    </w:p>
    <w:p w14:paraId="70319877" w14:textId="77777777" w:rsidR="00AF70FB" w:rsidRPr="00AF70FB" w:rsidRDefault="00AF70FB" w:rsidP="00AF70FB">
      <w:pPr>
        <w:wordWrap/>
        <w:autoSpaceDE/>
        <w:autoSpaceDN/>
        <w:spacing w:line="360" w:lineRule="auto"/>
        <w:rPr>
          <w:rFonts w:ascii="Book Antiqua" w:eastAsia="宋体" w:hAnsi="Book Antiqua"/>
          <w:b/>
          <w:sz w:val="24"/>
          <w:lang w:eastAsia="zh-CN"/>
        </w:rPr>
      </w:pPr>
      <w:r w:rsidRPr="00AF70FB">
        <w:rPr>
          <w:rFonts w:ascii="Book Antiqua" w:eastAsia="宋体" w:hAnsi="Book Antiqua"/>
          <w:b/>
          <w:sz w:val="24"/>
          <w:lang w:eastAsia="zh-CN"/>
        </w:rPr>
        <w:t>Published online:</w:t>
      </w:r>
    </w:p>
    <w:bookmarkEnd w:id="14"/>
    <w:bookmarkEnd w:id="15"/>
    <w:bookmarkEnd w:id="16"/>
    <w:bookmarkEnd w:id="17"/>
    <w:p w14:paraId="7B2B3E8E" w14:textId="77777777" w:rsidR="00EA037B" w:rsidRPr="00AF70FB" w:rsidRDefault="00EA037B" w:rsidP="00EA037B">
      <w:pPr>
        <w:wordWrap/>
        <w:spacing w:line="360" w:lineRule="auto"/>
        <w:ind w:left="907" w:hangingChars="360" w:hanging="907"/>
        <w:rPr>
          <w:rFonts w:ascii="Book Antiqua" w:hAnsi="Book Antiqua"/>
          <w:color w:val="000000" w:themeColor="text1"/>
          <w:sz w:val="24"/>
        </w:rPr>
      </w:pPr>
    </w:p>
    <w:p w14:paraId="35BCD0C9" w14:textId="77777777" w:rsidR="00182B6E" w:rsidRPr="00EA037B" w:rsidRDefault="00182B6E" w:rsidP="00EA037B">
      <w:pPr>
        <w:widowControl/>
        <w:wordWrap/>
        <w:autoSpaceDE/>
        <w:autoSpaceDN/>
        <w:spacing w:line="360" w:lineRule="auto"/>
        <w:rPr>
          <w:rFonts w:ascii="Book Antiqua" w:hAnsi="Book Antiqua"/>
          <w:color w:val="000000" w:themeColor="text1"/>
          <w:sz w:val="24"/>
        </w:rPr>
      </w:pPr>
      <w:r w:rsidRPr="00EA037B">
        <w:rPr>
          <w:rFonts w:ascii="Book Antiqua" w:hAnsi="Book Antiqua"/>
          <w:color w:val="000000" w:themeColor="text1"/>
          <w:sz w:val="24"/>
        </w:rPr>
        <w:br w:type="page"/>
      </w:r>
    </w:p>
    <w:p w14:paraId="21499305" w14:textId="09E05216" w:rsidR="00001452" w:rsidRPr="001343C1" w:rsidRDefault="001343C1" w:rsidP="00EA037B">
      <w:pPr>
        <w:wordWrap/>
        <w:spacing w:line="360" w:lineRule="auto"/>
        <w:rPr>
          <w:rFonts w:ascii="Book Antiqua" w:hAnsi="Book Antiqua"/>
          <w:bCs/>
          <w:color w:val="000000" w:themeColor="text1"/>
          <w:sz w:val="24"/>
        </w:rPr>
      </w:pPr>
      <w:r w:rsidRPr="00EA037B">
        <w:rPr>
          <w:rFonts w:ascii="Book Antiqua" w:hAnsi="Book Antiqua"/>
          <w:b/>
          <w:bCs/>
          <w:color w:val="000000" w:themeColor="text1"/>
          <w:sz w:val="24"/>
        </w:rPr>
        <w:lastRenderedPageBreak/>
        <w:t>Abstract</w:t>
      </w:r>
    </w:p>
    <w:p w14:paraId="1E99E0D0" w14:textId="5DE29633" w:rsidR="00001452" w:rsidRPr="001343C1" w:rsidRDefault="001343C1" w:rsidP="00EA037B">
      <w:pPr>
        <w:wordWrap/>
        <w:spacing w:line="360" w:lineRule="auto"/>
        <w:rPr>
          <w:rFonts w:ascii="Book Antiqua" w:hAnsi="Book Antiqua"/>
          <w:b/>
          <w:bCs/>
          <w:i/>
          <w:iCs/>
          <w:color w:val="000000" w:themeColor="text1"/>
          <w:sz w:val="24"/>
        </w:rPr>
      </w:pPr>
      <w:r w:rsidRPr="001343C1">
        <w:rPr>
          <w:rFonts w:ascii="Book Antiqua" w:hAnsi="Book Antiqua"/>
          <w:b/>
          <w:bCs/>
          <w:i/>
          <w:iCs/>
          <w:color w:val="000000" w:themeColor="text1"/>
          <w:sz w:val="24"/>
        </w:rPr>
        <w:t>BACKGROUND</w:t>
      </w:r>
    </w:p>
    <w:p w14:paraId="105255AB" w14:textId="57FF67BF" w:rsidR="00001452" w:rsidRDefault="00001452" w:rsidP="00EA037B">
      <w:pPr>
        <w:wordWrap/>
        <w:spacing w:line="360" w:lineRule="auto"/>
        <w:rPr>
          <w:rFonts w:ascii="Book Antiqua" w:hAnsi="Book Antiqua"/>
          <w:color w:val="000000" w:themeColor="text1"/>
          <w:sz w:val="24"/>
        </w:rPr>
      </w:pPr>
      <w:r w:rsidRPr="00EA037B">
        <w:rPr>
          <w:rFonts w:ascii="Book Antiqua" w:hAnsi="Book Antiqua"/>
          <w:color w:val="000000" w:themeColor="text1"/>
          <w:sz w:val="24"/>
        </w:rPr>
        <w:t xml:space="preserve">Laparoscopy-assisted pylorus-preserving gastrectomy (LAPPG) was known to have benefits of function-preserving surgery compared to laparoscopy-assisted distal gastrectomy (LADG). However, in clinical settings, delayed gastric emptying and esophageal reflux following LAPPG can be serious issues, making surgeons reluctant to perform LAPPG. It is unclear </w:t>
      </w:r>
      <w:r w:rsidR="007B78DF" w:rsidRPr="00EA037B">
        <w:rPr>
          <w:rFonts w:ascii="Book Antiqua" w:hAnsi="Book Antiqua"/>
          <w:color w:val="000000" w:themeColor="text1"/>
          <w:sz w:val="24"/>
        </w:rPr>
        <w:t>that</w:t>
      </w:r>
      <w:r w:rsidRPr="00EA037B">
        <w:rPr>
          <w:rFonts w:ascii="Book Antiqua" w:hAnsi="Book Antiqua"/>
          <w:color w:val="000000" w:themeColor="text1"/>
          <w:sz w:val="24"/>
        </w:rPr>
        <w:t xml:space="preserve"> LAPPG had better long-term functional outcomes and quality of life compared to LADG. </w:t>
      </w:r>
    </w:p>
    <w:p w14:paraId="7C3BDFF4" w14:textId="77777777" w:rsidR="00C84E0F" w:rsidRPr="00EA037B" w:rsidRDefault="00C84E0F" w:rsidP="00EA037B">
      <w:pPr>
        <w:wordWrap/>
        <w:spacing w:line="360" w:lineRule="auto"/>
        <w:rPr>
          <w:rFonts w:ascii="Book Antiqua" w:hAnsi="Book Antiqua"/>
          <w:b/>
          <w:bCs/>
          <w:color w:val="000000" w:themeColor="text1"/>
          <w:sz w:val="24"/>
        </w:rPr>
      </w:pPr>
    </w:p>
    <w:p w14:paraId="41AD4D40" w14:textId="77777777" w:rsidR="00182B6E" w:rsidRPr="00C84E0F" w:rsidRDefault="00182B6E" w:rsidP="00EA037B">
      <w:pPr>
        <w:wordWrap/>
        <w:spacing w:line="360" w:lineRule="auto"/>
        <w:rPr>
          <w:rFonts w:ascii="Book Antiqua" w:hAnsi="Book Antiqua"/>
          <w:b/>
          <w:bCs/>
          <w:i/>
          <w:iCs/>
          <w:color w:val="000000" w:themeColor="text1"/>
          <w:sz w:val="24"/>
        </w:rPr>
      </w:pPr>
      <w:r w:rsidRPr="00C84E0F">
        <w:rPr>
          <w:rFonts w:ascii="Book Antiqua" w:hAnsi="Book Antiqua"/>
          <w:b/>
          <w:bCs/>
          <w:i/>
          <w:iCs/>
          <w:color w:val="000000" w:themeColor="text1"/>
          <w:sz w:val="24"/>
        </w:rPr>
        <w:t>AIM</w:t>
      </w:r>
    </w:p>
    <w:p w14:paraId="307958B5" w14:textId="200B7E1E" w:rsidR="00182B6E" w:rsidRDefault="00D85C5A" w:rsidP="00EA037B">
      <w:pPr>
        <w:wordWrap/>
        <w:spacing w:line="360" w:lineRule="auto"/>
        <w:rPr>
          <w:rFonts w:ascii="Book Antiqua" w:hAnsi="Book Antiqua"/>
          <w:bCs/>
          <w:color w:val="000000" w:themeColor="text1"/>
          <w:sz w:val="24"/>
        </w:rPr>
      </w:pPr>
      <w:bookmarkStart w:id="18" w:name="_Hlk9599712"/>
      <w:r w:rsidRPr="00EA037B">
        <w:rPr>
          <w:rFonts w:ascii="Book Antiqua" w:hAnsi="Book Antiqua"/>
          <w:bCs/>
          <w:color w:val="000000" w:themeColor="text1"/>
          <w:sz w:val="24"/>
        </w:rPr>
        <w:t>T</w:t>
      </w:r>
      <w:r w:rsidR="00182B6E" w:rsidRPr="00EA037B">
        <w:rPr>
          <w:rFonts w:ascii="Book Antiqua" w:hAnsi="Book Antiqua"/>
          <w:bCs/>
          <w:color w:val="000000" w:themeColor="text1"/>
          <w:sz w:val="24"/>
        </w:rPr>
        <w:t xml:space="preserve">o evaluate the long-term functional outcomes and </w:t>
      </w:r>
      <w:r w:rsidRPr="00EA037B">
        <w:rPr>
          <w:rFonts w:ascii="Book Antiqua" w:hAnsi="Book Antiqua"/>
          <w:bCs/>
          <w:color w:val="000000" w:themeColor="text1"/>
          <w:sz w:val="24"/>
        </w:rPr>
        <w:t xml:space="preserve">patient-reported </w:t>
      </w:r>
      <w:r w:rsidR="00182B6E" w:rsidRPr="00EA037B">
        <w:rPr>
          <w:rFonts w:ascii="Book Antiqua" w:hAnsi="Book Antiqua"/>
          <w:bCs/>
          <w:color w:val="000000" w:themeColor="text1"/>
          <w:sz w:val="24"/>
        </w:rPr>
        <w:t xml:space="preserve">quality of life of </w:t>
      </w:r>
      <w:r w:rsidR="00001452" w:rsidRPr="00EA037B">
        <w:rPr>
          <w:rFonts w:ascii="Book Antiqua" w:hAnsi="Book Antiqua"/>
          <w:bCs/>
          <w:color w:val="000000" w:themeColor="text1"/>
          <w:sz w:val="24"/>
        </w:rPr>
        <w:t>LAPPG</w:t>
      </w:r>
      <w:r w:rsidR="00182B6E" w:rsidRPr="00EA037B">
        <w:rPr>
          <w:rFonts w:ascii="Book Antiqua" w:hAnsi="Book Antiqua"/>
          <w:bCs/>
          <w:color w:val="000000" w:themeColor="text1"/>
          <w:sz w:val="24"/>
        </w:rPr>
        <w:t xml:space="preserve"> compared to those of LADG</w:t>
      </w:r>
      <w:bookmarkEnd w:id="18"/>
      <w:r w:rsidR="00182B6E" w:rsidRPr="00EA037B">
        <w:rPr>
          <w:rFonts w:ascii="Book Antiqua" w:hAnsi="Book Antiqua"/>
          <w:bCs/>
          <w:color w:val="000000" w:themeColor="text1"/>
          <w:sz w:val="24"/>
        </w:rPr>
        <w:t>.</w:t>
      </w:r>
    </w:p>
    <w:p w14:paraId="73F1FCB8" w14:textId="77777777" w:rsidR="00C84E0F" w:rsidRPr="00EA037B" w:rsidRDefault="00C84E0F" w:rsidP="00EA037B">
      <w:pPr>
        <w:wordWrap/>
        <w:spacing w:line="360" w:lineRule="auto"/>
        <w:rPr>
          <w:rFonts w:ascii="Book Antiqua" w:hAnsi="Book Antiqua"/>
          <w:bCs/>
          <w:color w:val="000000" w:themeColor="text1"/>
          <w:sz w:val="24"/>
        </w:rPr>
      </w:pPr>
    </w:p>
    <w:p w14:paraId="3A4CE408" w14:textId="1A5C413D" w:rsidR="00182B6E" w:rsidRPr="00C84E0F" w:rsidRDefault="00182B6E" w:rsidP="00EA037B">
      <w:pPr>
        <w:wordWrap/>
        <w:spacing w:line="360" w:lineRule="auto"/>
        <w:rPr>
          <w:rFonts w:ascii="Book Antiqua" w:hAnsi="Book Antiqua"/>
          <w:bCs/>
          <w:i/>
          <w:iCs/>
          <w:color w:val="000000" w:themeColor="text1"/>
          <w:sz w:val="24"/>
        </w:rPr>
      </w:pPr>
      <w:r w:rsidRPr="00C84E0F">
        <w:rPr>
          <w:rFonts w:ascii="Book Antiqua" w:hAnsi="Book Antiqua"/>
          <w:b/>
          <w:bCs/>
          <w:i/>
          <w:iCs/>
          <w:color w:val="000000" w:themeColor="text1"/>
          <w:sz w:val="24"/>
        </w:rPr>
        <w:t>METHODS</w:t>
      </w:r>
    </w:p>
    <w:p w14:paraId="32D4DD4D" w14:textId="77B97C7E" w:rsidR="00182B6E" w:rsidRDefault="00182B6E" w:rsidP="00EA037B">
      <w:pPr>
        <w:wordWrap/>
        <w:spacing w:line="360" w:lineRule="auto"/>
        <w:rPr>
          <w:rFonts w:ascii="Book Antiqua" w:hAnsi="Book Antiqua"/>
          <w:bCs/>
          <w:color w:val="000000" w:themeColor="text1"/>
          <w:sz w:val="24"/>
        </w:rPr>
      </w:pPr>
      <w:r w:rsidRPr="00EA037B">
        <w:rPr>
          <w:rFonts w:ascii="Book Antiqua" w:hAnsi="Book Antiqua"/>
          <w:bCs/>
          <w:color w:val="000000" w:themeColor="text1"/>
          <w:sz w:val="24"/>
        </w:rPr>
        <w:t xml:space="preserve">We reviewed the clinicopathological data of 195 patients who underwent LADG with Billroth II anastomosis </w:t>
      </w:r>
      <w:r w:rsidRPr="00EA037B">
        <w:rPr>
          <w:rFonts w:ascii="Book Antiqua" w:hAnsi="Book Antiqua"/>
          <w:color w:val="000000" w:themeColor="text1"/>
          <w:sz w:val="24"/>
        </w:rPr>
        <w:t xml:space="preserve">and </w:t>
      </w:r>
      <w:r w:rsidRPr="00EA037B">
        <w:rPr>
          <w:rFonts w:ascii="Book Antiqua" w:hAnsi="Book Antiqua"/>
          <w:bCs/>
          <w:color w:val="000000" w:themeColor="text1"/>
          <w:sz w:val="24"/>
        </w:rPr>
        <w:t xml:space="preserve">101 patients who underwent LAPPG for cT1N0 gastric cancer in the middle third of the stomach between 2012 and 2015. Postoperative complications, nutritional parameters, and survey results of the </w:t>
      </w:r>
      <w:r w:rsidR="000600CD" w:rsidRPr="00EA037B">
        <w:rPr>
          <w:rFonts w:ascii="Book Antiqua" w:hAnsi="Book Antiqua"/>
          <w:color w:val="000000" w:themeColor="text1"/>
          <w:sz w:val="24"/>
        </w:rPr>
        <w:t>European Organization for Research and Treatment of Cancer</w:t>
      </w:r>
      <w:r w:rsidRPr="00EA037B">
        <w:rPr>
          <w:rFonts w:ascii="Book Antiqua" w:hAnsi="Book Antiqua"/>
          <w:bCs/>
          <w:color w:val="000000" w:themeColor="text1"/>
          <w:sz w:val="24"/>
        </w:rPr>
        <w:t xml:space="preserve"> </w:t>
      </w:r>
      <w:r w:rsidR="009F2CFE" w:rsidRPr="00EA037B">
        <w:rPr>
          <w:rFonts w:ascii="Book Antiqua" w:hAnsi="Book Antiqua"/>
          <w:color w:val="000000" w:themeColor="text1"/>
          <w:sz w:val="24"/>
        </w:rPr>
        <w:t>Questionnaire</w:t>
      </w:r>
      <w:r w:rsidRPr="00EA037B">
        <w:rPr>
          <w:rFonts w:ascii="Book Antiqua" w:hAnsi="Book Antiqua"/>
          <w:bCs/>
          <w:color w:val="000000" w:themeColor="text1"/>
          <w:sz w:val="24"/>
        </w:rPr>
        <w:t xml:space="preserve"> C30 and STO22 questionnaire were compared between the two groups.</w:t>
      </w:r>
    </w:p>
    <w:p w14:paraId="7F308E73" w14:textId="77777777" w:rsidR="00C84E0F" w:rsidRPr="00EA037B" w:rsidRDefault="00C84E0F" w:rsidP="00EA037B">
      <w:pPr>
        <w:wordWrap/>
        <w:spacing w:line="360" w:lineRule="auto"/>
        <w:rPr>
          <w:rFonts w:ascii="Book Antiqua" w:hAnsi="Book Antiqua"/>
          <w:bCs/>
          <w:color w:val="000000" w:themeColor="text1"/>
          <w:sz w:val="24"/>
        </w:rPr>
      </w:pPr>
    </w:p>
    <w:p w14:paraId="2B3A9702" w14:textId="77777777" w:rsidR="00182B6E" w:rsidRPr="00C84E0F" w:rsidRDefault="00182B6E" w:rsidP="00EA037B">
      <w:pPr>
        <w:wordWrap/>
        <w:spacing w:line="360" w:lineRule="auto"/>
        <w:rPr>
          <w:rFonts w:ascii="Book Antiqua" w:hAnsi="Book Antiqua"/>
          <w:bCs/>
          <w:i/>
          <w:iCs/>
          <w:color w:val="000000" w:themeColor="text1"/>
          <w:sz w:val="24"/>
        </w:rPr>
      </w:pPr>
      <w:r w:rsidRPr="00C84E0F">
        <w:rPr>
          <w:rFonts w:ascii="Book Antiqua" w:hAnsi="Book Antiqua"/>
          <w:b/>
          <w:bCs/>
          <w:i/>
          <w:iCs/>
          <w:color w:val="000000" w:themeColor="text1"/>
          <w:sz w:val="24"/>
        </w:rPr>
        <w:t>RESULTS</w:t>
      </w:r>
      <w:r w:rsidRPr="00C84E0F">
        <w:rPr>
          <w:rFonts w:ascii="Book Antiqua" w:hAnsi="Book Antiqua"/>
          <w:bCs/>
          <w:i/>
          <w:iCs/>
          <w:color w:val="000000" w:themeColor="text1"/>
          <w:sz w:val="24"/>
        </w:rPr>
        <w:t xml:space="preserve"> </w:t>
      </w:r>
    </w:p>
    <w:p w14:paraId="01BFFEDF" w14:textId="167DC15E" w:rsidR="00182B6E" w:rsidRDefault="00182B6E" w:rsidP="00EA037B">
      <w:pPr>
        <w:wordWrap/>
        <w:spacing w:line="360" w:lineRule="auto"/>
        <w:rPr>
          <w:rFonts w:ascii="Book Antiqua" w:hAnsi="Book Antiqua"/>
          <w:bCs/>
          <w:color w:val="000000" w:themeColor="text1"/>
          <w:sz w:val="24"/>
        </w:rPr>
      </w:pPr>
      <w:r w:rsidRPr="00EA037B">
        <w:rPr>
          <w:rFonts w:ascii="Book Antiqua" w:hAnsi="Book Antiqua"/>
          <w:bCs/>
          <w:color w:val="000000" w:themeColor="text1"/>
          <w:sz w:val="24"/>
        </w:rPr>
        <w:t>The serum hemoglobin level was significantly higher in the LAPPG group than in the LADG group (</w:t>
      </w:r>
      <w:r w:rsidR="00D614D7" w:rsidRPr="00D614D7">
        <w:rPr>
          <w:rFonts w:ascii="Book Antiqua" w:hAnsi="Book Antiqua"/>
          <w:bCs/>
          <w:i/>
          <w:iCs/>
          <w:color w:val="000000" w:themeColor="text1"/>
          <w:sz w:val="24"/>
        </w:rPr>
        <w:t>P</w:t>
      </w:r>
      <w:r w:rsidR="00D614D7">
        <w:rPr>
          <w:rFonts w:ascii="Book Antiqua" w:hAnsi="Book Antiqua"/>
          <w:bCs/>
          <w:color w:val="000000" w:themeColor="text1"/>
          <w:sz w:val="24"/>
        </w:rPr>
        <w:t xml:space="preserve"> </w:t>
      </w:r>
      <w:r w:rsidRPr="00EA037B">
        <w:rPr>
          <w:rFonts w:ascii="Book Antiqua" w:hAnsi="Book Antiqua"/>
          <w:bCs/>
          <w:color w:val="000000" w:themeColor="text1"/>
          <w:sz w:val="24"/>
        </w:rPr>
        <w:t>&lt;</w:t>
      </w:r>
      <w:r w:rsidR="00D614D7">
        <w:rPr>
          <w:rFonts w:ascii="Book Antiqua" w:hAnsi="Book Antiqua"/>
          <w:bCs/>
          <w:color w:val="000000" w:themeColor="text1"/>
          <w:sz w:val="24"/>
        </w:rPr>
        <w:t xml:space="preserve"> </w:t>
      </w:r>
      <w:r w:rsidRPr="00EA037B">
        <w:rPr>
          <w:rFonts w:ascii="Book Antiqua" w:hAnsi="Book Antiqua"/>
          <w:bCs/>
          <w:color w:val="000000" w:themeColor="text1"/>
          <w:sz w:val="24"/>
        </w:rPr>
        <w:t>0.001). In the endoscopic findings, incidence of bile reflux was lower (</w:t>
      </w:r>
      <w:r w:rsidR="00D614D7" w:rsidRPr="00D614D7">
        <w:rPr>
          <w:rFonts w:ascii="Book Antiqua" w:hAnsi="Book Antiqua"/>
          <w:bCs/>
          <w:i/>
          <w:iCs/>
          <w:color w:val="000000" w:themeColor="text1"/>
          <w:sz w:val="24"/>
        </w:rPr>
        <w:t>P</w:t>
      </w:r>
      <w:r w:rsidR="00D614D7">
        <w:rPr>
          <w:rFonts w:ascii="Book Antiqua" w:hAnsi="Book Antiqua"/>
          <w:bCs/>
          <w:color w:val="000000" w:themeColor="text1"/>
          <w:sz w:val="24"/>
        </w:rPr>
        <w:t xml:space="preserve"> </w:t>
      </w:r>
      <w:r w:rsidRPr="00EA037B">
        <w:rPr>
          <w:rFonts w:ascii="Book Antiqua" w:hAnsi="Book Antiqua"/>
          <w:bCs/>
          <w:color w:val="000000" w:themeColor="text1"/>
          <w:sz w:val="24"/>
        </w:rPr>
        <w:t>&lt;</w:t>
      </w:r>
      <w:r w:rsidR="00D614D7">
        <w:rPr>
          <w:rFonts w:ascii="Book Antiqua" w:hAnsi="Book Antiqua"/>
          <w:bCs/>
          <w:color w:val="000000" w:themeColor="text1"/>
          <w:sz w:val="24"/>
        </w:rPr>
        <w:t xml:space="preserve"> </w:t>
      </w:r>
      <w:r w:rsidRPr="00EA037B">
        <w:rPr>
          <w:rFonts w:ascii="Book Antiqua" w:hAnsi="Book Antiqua"/>
          <w:bCs/>
          <w:color w:val="000000" w:themeColor="text1"/>
          <w:sz w:val="24"/>
        </w:rPr>
        <w:t>0.001); however, the incidence of residual food was higher in the LAPPG group than in the LADG group (</w:t>
      </w:r>
      <w:r w:rsidR="00D614D7" w:rsidRPr="00D614D7">
        <w:rPr>
          <w:rFonts w:ascii="Book Antiqua" w:hAnsi="Book Antiqua"/>
          <w:bCs/>
          <w:i/>
          <w:iCs/>
          <w:color w:val="000000" w:themeColor="text1"/>
          <w:sz w:val="24"/>
        </w:rPr>
        <w:t>P</w:t>
      </w:r>
      <w:r w:rsidR="00D614D7" w:rsidRPr="00EA037B">
        <w:rPr>
          <w:rFonts w:ascii="Book Antiqua" w:hAnsi="Book Antiqua"/>
          <w:bCs/>
          <w:color w:val="000000" w:themeColor="text1"/>
          <w:sz w:val="24"/>
        </w:rPr>
        <w:t xml:space="preserve"> </w:t>
      </w:r>
      <w:r w:rsidRPr="00EA037B">
        <w:rPr>
          <w:rFonts w:ascii="Book Antiqua" w:hAnsi="Book Antiqua"/>
          <w:bCs/>
          <w:color w:val="000000" w:themeColor="text1"/>
          <w:sz w:val="24"/>
        </w:rPr>
        <w:t>&lt;</w:t>
      </w:r>
      <w:r w:rsidR="00D614D7">
        <w:rPr>
          <w:rFonts w:ascii="Book Antiqua" w:hAnsi="Book Antiqua"/>
          <w:bCs/>
          <w:color w:val="000000" w:themeColor="text1"/>
          <w:sz w:val="24"/>
        </w:rPr>
        <w:t xml:space="preserve"> </w:t>
      </w:r>
      <w:r w:rsidRPr="00EA037B">
        <w:rPr>
          <w:rFonts w:ascii="Book Antiqua" w:hAnsi="Book Antiqua"/>
          <w:bCs/>
          <w:color w:val="000000" w:themeColor="text1"/>
          <w:sz w:val="24"/>
        </w:rPr>
        <w:t xml:space="preserve">0.001). Regarding the quality of life score, the LAPPG group had a better physical functioning score (86.7 </w:t>
      </w:r>
      <w:r w:rsidRPr="00D614D7">
        <w:rPr>
          <w:rFonts w:ascii="Book Antiqua" w:hAnsi="Book Antiqua"/>
          <w:bCs/>
          <w:i/>
          <w:iCs/>
          <w:color w:val="000000" w:themeColor="text1"/>
          <w:sz w:val="24"/>
        </w:rPr>
        <w:t>vs</w:t>
      </w:r>
      <w:r w:rsidRPr="00EA037B">
        <w:rPr>
          <w:rFonts w:ascii="Book Antiqua" w:hAnsi="Book Antiqua"/>
          <w:bCs/>
          <w:color w:val="000000" w:themeColor="text1"/>
          <w:sz w:val="24"/>
        </w:rPr>
        <w:t xml:space="preserve"> 90.0</w:t>
      </w:r>
      <w:r w:rsidR="00D614D7">
        <w:rPr>
          <w:rFonts w:ascii="Book Antiqua" w:hAnsi="Book Antiqua"/>
          <w:bCs/>
          <w:color w:val="000000" w:themeColor="text1"/>
          <w:sz w:val="24"/>
        </w:rPr>
        <w:t>,</w:t>
      </w:r>
      <w:r w:rsidRPr="00EA037B">
        <w:rPr>
          <w:rFonts w:ascii="Book Antiqua" w:hAnsi="Book Antiqua"/>
          <w:bCs/>
          <w:color w:val="000000" w:themeColor="text1"/>
          <w:sz w:val="24"/>
        </w:rPr>
        <w:t xml:space="preserve"> </w:t>
      </w:r>
      <w:r w:rsidR="00D614D7" w:rsidRPr="00D614D7">
        <w:rPr>
          <w:rFonts w:ascii="Book Antiqua" w:hAnsi="Book Antiqua"/>
          <w:bCs/>
          <w:i/>
          <w:iCs/>
          <w:color w:val="000000" w:themeColor="text1"/>
          <w:sz w:val="24"/>
        </w:rPr>
        <w:t>P</w:t>
      </w:r>
      <w:r w:rsidRPr="00EA037B">
        <w:rPr>
          <w:rFonts w:ascii="Book Antiqua" w:hAnsi="Book Antiqua"/>
          <w:bCs/>
          <w:color w:val="000000" w:themeColor="text1"/>
          <w:sz w:val="24"/>
        </w:rPr>
        <w:t xml:space="preserve"> = 0.032) but also greater pain and reflux when compared to the LADG group </w:t>
      </w:r>
      <w:r w:rsidR="00D614D7">
        <w:rPr>
          <w:rFonts w:ascii="Book Antiqua" w:hAnsi="Book Antiqua"/>
          <w:bCs/>
          <w:color w:val="000000" w:themeColor="text1"/>
          <w:sz w:val="24"/>
        </w:rPr>
        <w:t>[</w:t>
      </w:r>
      <w:r w:rsidRPr="00EA037B">
        <w:rPr>
          <w:rFonts w:ascii="Book Antiqua" w:hAnsi="Book Antiqua"/>
          <w:bCs/>
          <w:color w:val="000000" w:themeColor="text1"/>
          <w:sz w:val="24"/>
        </w:rPr>
        <w:t xml:space="preserve">8.3 </w:t>
      </w:r>
      <w:r w:rsidRPr="00D614D7">
        <w:rPr>
          <w:rFonts w:ascii="Book Antiqua" w:hAnsi="Book Antiqua"/>
          <w:bCs/>
          <w:i/>
          <w:iCs/>
          <w:color w:val="000000" w:themeColor="text1"/>
          <w:sz w:val="24"/>
        </w:rPr>
        <w:lastRenderedPageBreak/>
        <w:t>vs</w:t>
      </w:r>
      <w:r w:rsidRPr="00EA037B">
        <w:rPr>
          <w:rFonts w:ascii="Book Antiqua" w:hAnsi="Book Antiqua"/>
          <w:bCs/>
          <w:color w:val="000000" w:themeColor="text1"/>
          <w:sz w:val="24"/>
        </w:rPr>
        <w:t xml:space="preserve"> 16.7 in pain, 11.1 </w:t>
      </w:r>
      <w:r w:rsidR="00D614D7">
        <w:rPr>
          <w:rFonts w:ascii="Book Antiqua" w:hAnsi="Book Antiqua"/>
          <w:bCs/>
          <w:color w:val="000000" w:themeColor="text1"/>
          <w:sz w:val="24"/>
        </w:rPr>
        <w:t>(</w:t>
      </w:r>
      <w:r w:rsidRPr="00EA037B">
        <w:rPr>
          <w:rFonts w:ascii="Book Antiqua" w:hAnsi="Book Antiqua"/>
          <w:bCs/>
          <w:color w:val="000000" w:themeColor="text1"/>
          <w:sz w:val="24"/>
        </w:rPr>
        <w:t xml:space="preserve">interquartile range, 0, 22.2) </w:t>
      </w:r>
      <w:r w:rsidRPr="00D614D7">
        <w:rPr>
          <w:rFonts w:ascii="Book Antiqua" w:hAnsi="Book Antiqua"/>
          <w:bCs/>
          <w:i/>
          <w:iCs/>
          <w:color w:val="000000" w:themeColor="text1"/>
          <w:sz w:val="24"/>
        </w:rPr>
        <w:t>vs</w:t>
      </w:r>
      <w:r w:rsidRPr="00EA037B">
        <w:rPr>
          <w:rFonts w:ascii="Book Antiqua" w:hAnsi="Book Antiqua"/>
          <w:bCs/>
          <w:color w:val="000000" w:themeColor="text1"/>
          <w:sz w:val="24"/>
        </w:rPr>
        <w:t xml:space="preserve"> 11.1 (interquartile range, 11.1, 33.3) in reflux</w:t>
      </w:r>
      <w:r w:rsidR="00D614D7">
        <w:rPr>
          <w:rFonts w:ascii="Book Antiqua" w:hAnsi="Book Antiqua"/>
          <w:bCs/>
          <w:color w:val="000000" w:themeColor="text1"/>
          <w:sz w:val="24"/>
        </w:rPr>
        <w:t>,</w:t>
      </w:r>
      <w:r w:rsidRPr="00EA037B">
        <w:rPr>
          <w:rFonts w:ascii="Book Antiqua" w:hAnsi="Book Antiqua"/>
          <w:bCs/>
          <w:color w:val="000000" w:themeColor="text1"/>
          <w:sz w:val="24"/>
        </w:rPr>
        <w:t xml:space="preserve"> </w:t>
      </w:r>
      <w:r w:rsidR="00D614D7" w:rsidRPr="00D614D7">
        <w:rPr>
          <w:rFonts w:ascii="Book Antiqua" w:hAnsi="Book Antiqua"/>
          <w:bCs/>
          <w:i/>
          <w:iCs/>
          <w:color w:val="000000" w:themeColor="text1"/>
          <w:sz w:val="24"/>
        </w:rPr>
        <w:t>P</w:t>
      </w:r>
      <w:r w:rsidRPr="00EA037B">
        <w:rPr>
          <w:rFonts w:ascii="Book Antiqua" w:hAnsi="Book Antiqua"/>
          <w:bCs/>
          <w:color w:val="000000" w:themeColor="text1"/>
          <w:sz w:val="24"/>
        </w:rPr>
        <w:t xml:space="preserve"> = 0.034 and 0.001, respectively</w:t>
      </w:r>
      <w:r w:rsidR="00D614D7">
        <w:rPr>
          <w:rFonts w:ascii="Book Antiqua" w:hAnsi="Book Antiqua"/>
          <w:bCs/>
          <w:color w:val="000000" w:themeColor="text1"/>
          <w:sz w:val="24"/>
        </w:rPr>
        <w:t>]</w:t>
      </w:r>
      <w:r w:rsidRPr="00EA037B">
        <w:rPr>
          <w:rFonts w:ascii="Book Antiqua" w:hAnsi="Book Antiqua"/>
          <w:bCs/>
          <w:color w:val="000000" w:themeColor="text1"/>
          <w:sz w:val="24"/>
        </w:rPr>
        <w:t>.</w:t>
      </w:r>
    </w:p>
    <w:p w14:paraId="716FF443" w14:textId="77777777" w:rsidR="00D614D7" w:rsidRPr="00EA037B" w:rsidRDefault="00D614D7" w:rsidP="00EA037B">
      <w:pPr>
        <w:wordWrap/>
        <w:spacing w:line="360" w:lineRule="auto"/>
        <w:rPr>
          <w:rFonts w:ascii="Book Antiqua" w:hAnsi="Book Antiqua"/>
          <w:bCs/>
          <w:color w:val="000000" w:themeColor="text1"/>
          <w:sz w:val="24"/>
        </w:rPr>
      </w:pPr>
    </w:p>
    <w:p w14:paraId="3DA16E01" w14:textId="77777777" w:rsidR="00182B6E" w:rsidRPr="00D614D7" w:rsidRDefault="00182B6E" w:rsidP="00EA037B">
      <w:pPr>
        <w:wordWrap/>
        <w:spacing w:line="360" w:lineRule="auto"/>
        <w:rPr>
          <w:rFonts w:ascii="Book Antiqua" w:hAnsi="Book Antiqua"/>
          <w:b/>
          <w:bCs/>
          <w:i/>
          <w:iCs/>
          <w:color w:val="000000" w:themeColor="text1"/>
          <w:sz w:val="24"/>
        </w:rPr>
      </w:pPr>
      <w:r w:rsidRPr="00D614D7">
        <w:rPr>
          <w:rFonts w:ascii="Book Antiqua" w:hAnsi="Book Antiqua"/>
          <w:b/>
          <w:bCs/>
          <w:i/>
          <w:iCs/>
          <w:color w:val="000000" w:themeColor="text1"/>
          <w:sz w:val="24"/>
        </w:rPr>
        <w:t>CONCLUSION</w:t>
      </w:r>
    </w:p>
    <w:p w14:paraId="7505F0A8" w14:textId="1ED680F9" w:rsidR="00182B6E" w:rsidRDefault="00182B6E" w:rsidP="00EA037B">
      <w:pPr>
        <w:wordWrap/>
        <w:spacing w:line="360" w:lineRule="auto"/>
        <w:rPr>
          <w:rFonts w:ascii="Book Antiqua" w:hAnsi="Book Antiqua"/>
          <w:bCs/>
          <w:color w:val="000000" w:themeColor="text1"/>
          <w:sz w:val="24"/>
        </w:rPr>
      </w:pPr>
      <w:bookmarkStart w:id="19" w:name="_Hlk9599782"/>
      <w:r w:rsidRPr="00EA037B">
        <w:rPr>
          <w:rFonts w:ascii="Book Antiqua" w:hAnsi="Book Antiqua"/>
          <w:bCs/>
          <w:color w:val="000000" w:themeColor="text1"/>
          <w:sz w:val="24"/>
        </w:rPr>
        <w:t>LAPPG is beneficial to recovery of anemia and to bile reflux, however, it might be unfavorable in terms of pain and reflux symptoms compared to LADG with Billroth II anastomosis.</w:t>
      </w:r>
      <w:bookmarkEnd w:id="19"/>
    </w:p>
    <w:p w14:paraId="261E9E02" w14:textId="59928DE8" w:rsidR="00D614D7" w:rsidRDefault="00D614D7" w:rsidP="00EA037B">
      <w:pPr>
        <w:wordWrap/>
        <w:spacing w:line="360" w:lineRule="auto"/>
        <w:rPr>
          <w:rFonts w:ascii="Book Antiqua" w:hAnsi="Book Antiqua"/>
          <w:bCs/>
          <w:color w:val="000000" w:themeColor="text1"/>
          <w:sz w:val="24"/>
        </w:rPr>
      </w:pPr>
    </w:p>
    <w:p w14:paraId="762B1C29" w14:textId="7D2B613D" w:rsidR="00182B6E" w:rsidRDefault="00D614D7" w:rsidP="00EA037B">
      <w:pPr>
        <w:wordWrap/>
        <w:spacing w:line="360" w:lineRule="auto"/>
        <w:rPr>
          <w:rFonts w:ascii="Book Antiqua" w:hAnsi="Book Antiqua"/>
          <w:color w:val="000000" w:themeColor="text1"/>
          <w:sz w:val="24"/>
        </w:rPr>
      </w:pPr>
      <w:r w:rsidRPr="00D614D7">
        <w:rPr>
          <w:rFonts w:ascii="Book Antiqua" w:hAnsi="Book Antiqua"/>
          <w:b/>
          <w:bCs/>
          <w:color w:val="000000" w:themeColor="text1"/>
          <w:sz w:val="24"/>
          <w:lang w:val="fr-FR"/>
        </w:rPr>
        <w:t>Key words:</w:t>
      </w:r>
      <w:r>
        <w:rPr>
          <w:rFonts w:ascii="Book Antiqua" w:eastAsia="宋体" w:hAnsi="Book Antiqua" w:hint="eastAsia"/>
          <w:bCs/>
          <w:color w:val="000000" w:themeColor="text1"/>
          <w:sz w:val="24"/>
          <w:lang w:eastAsia="zh-CN"/>
        </w:rPr>
        <w:t xml:space="preserve"> </w:t>
      </w:r>
      <w:bookmarkStart w:id="20" w:name="OLE_LINK1102"/>
      <w:bookmarkStart w:id="21" w:name="OLE_LINK1103"/>
      <w:r w:rsidRPr="00EA037B">
        <w:rPr>
          <w:rFonts w:ascii="Book Antiqua" w:hAnsi="Book Antiqua"/>
          <w:color w:val="000000" w:themeColor="text1"/>
          <w:sz w:val="24"/>
        </w:rPr>
        <w:t>G</w:t>
      </w:r>
      <w:r w:rsidR="00182B6E" w:rsidRPr="00EA037B">
        <w:rPr>
          <w:rFonts w:ascii="Book Antiqua" w:hAnsi="Book Antiqua"/>
          <w:color w:val="000000" w:themeColor="text1"/>
          <w:sz w:val="24"/>
        </w:rPr>
        <w:t>astric cancer</w:t>
      </w:r>
      <w:bookmarkEnd w:id="20"/>
      <w:bookmarkEnd w:id="21"/>
      <w:r>
        <w:rPr>
          <w:rFonts w:ascii="Book Antiqua" w:hAnsi="Book Antiqua"/>
          <w:color w:val="000000" w:themeColor="text1"/>
          <w:sz w:val="24"/>
        </w:rPr>
        <w:t>;</w:t>
      </w:r>
      <w:r w:rsidR="00182B6E" w:rsidRPr="00EA037B">
        <w:rPr>
          <w:rFonts w:ascii="Book Antiqua" w:hAnsi="Book Antiqua"/>
          <w:color w:val="000000" w:themeColor="text1"/>
          <w:sz w:val="24"/>
        </w:rPr>
        <w:t xml:space="preserve"> </w:t>
      </w:r>
      <w:bookmarkStart w:id="22" w:name="OLE_LINK1104"/>
      <w:bookmarkStart w:id="23" w:name="OLE_LINK1105"/>
      <w:r w:rsidRPr="00EA037B">
        <w:rPr>
          <w:rFonts w:ascii="Book Antiqua" w:hAnsi="Book Antiqua"/>
          <w:color w:val="000000" w:themeColor="text1"/>
          <w:sz w:val="24"/>
        </w:rPr>
        <w:t>P</w:t>
      </w:r>
      <w:r w:rsidR="00182B6E" w:rsidRPr="00EA037B">
        <w:rPr>
          <w:rFonts w:ascii="Book Antiqua" w:hAnsi="Book Antiqua"/>
          <w:color w:val="000000" w:themeColor="text1"/>
          <w:sz w:val="24"/>
        </w:rPr>
        <w:t>ylorus-preserving gastrectomy</w:t>
      </w:r>
      <w:bookmarkEnd w:id="22"/>
      <w:bookmarkEnd w:id="23"/>
      <w:r>
        <w:rPr>
          <w:rFonts w:ascii="Book Antiqua" w:hAnsi="Book Antiqua"/>
          <w:color w:val="000000" w:themeColor="text1"/>
          <w:sz w:val="24"/>
        </w:rPr>
        <w:t>;</w:t>
      </w:r>
      <w:r w:rsidR="00182B6E" w:rsidRPr="00EA037B">
        <w:rPr>
          <w:rFonts w:ascii="Book Antiqua" w:hAnsi="Book Antiqua"/>
          <w:color w:val="000000" w:themeColor="text1"/>
          <w:sz w:val="24"/>
        </w:rPr>
        <w:t xml:space="preserve"> </w:t>
      </w:r>
      <w:bookmarkStart w:id="24" w:name="OLE_LINK1106"/>
      <w:bookmarkStart w:id="25" w:name="OLE_LINK1107"/>
      <w:r w:rsidRPr="00EA037B">
        <w:rPr>
          <w:rFonts w:ascii="Book Antiqua" w:hAnsi="Book Antiqua"/>
          <w:color w:val="000000" w:themeColor="text1"/>
          <w:sz w:val="24"/>
        </w:rPr>
        <w:t>F</w:t>
      </w:r>
      <w:r w:rsidR="00182B6E" w:rsidRPr="00EA037B">
        <w:rPr>
          <w:rFonts w:ascii="Book Antiqua" w:hAnsi="Book Antiqua"/>
          <w:color w:val="000000" w:themeColor="text1"/>
          <w:sz w:val="24"/>
        </w:rPr>
        <w:t>unction</w:t>
      </w:r>
      <w:bookmarkEnd w:id="24"/>
      <w:bookmarkEnd w:id="25"/>
      <w:r>
        <w:rPr>
          <w:rFonts w:ascii="Book Antiqua" w:hAnsi="Book Antiqua"/>
          <w:color w:val="000000" w:themeColor="text1"/>
          <w:sz w:val="24"/>
        </w:rPr>
        <w:t>;</w:t>
      </w:r>
      <w:r w:rsidR="00182B6E" w:rsidRPr="00EA037B">
        <w:rPr>
          <w:rFonts w:ascii="Book Antiqua" w:hAnsi="Book Antiqua"/>
          <w:color w:val="000000" w:themeColor="text1"/>
          <w:sz w:val="24"/>
        </w:rPr>
        <w:t xml:space="preserve"> </w:t>
      </w:r>
      <w:r w:rsidRPr="00EA037B">
        <w:rPr>
          <w:rFonts w:ascii="Book Antiqua" w:hAnsi="Book Antiqua"/>
          <w:color w:val="000000" w:themeColor="text1"/>
          <w:sz w:val="24"/>
        </w:rPr>
        <w:t>Q</w:t>
      </w:r>
      <w:r w:rsidR="00182B6E" w:rsidRPr="00EA037B">
        <w:rPr>
          <w:rFonts w:ascii="Book Antiqua" w:hAnsi="Book Antiqua"/>
          <w:color w:val="000000" w:themeColor="text1"/>
          <w:sz w:val="24"/>
        </w:rPr>
        <w:t>uality of life</w:t>
      </w:r>
    </w:p>
    <w:p w14:paraId="043E5D8C" w14:textId="6797650D" w:rsidR="00D614D7" w:rsidRDefault="00D614D7" w:rsidP="00EA037B">
      <w:pPr>
        <w:wordWrap/>
        <w:spacing w:line="360" w:lineRule="auto"/>
        <w:rPr>
          <w:rFonts w:ascii="Book Antiqua" w:hAnsi="Book Antiqua"/>
          <w:color w:val="000000" w:themeColor="text1"/>
          <w:sz w:val="24"/>
        </w:rPr>
      </w:pPr>
    </w:p>
    <w:p w14:paraId="78730FDF" w14:textId="1FE449C6" w:rsidR="00D614D7" w:rsidRPr="00D614D7" w:rsidRDefault="00D614D7" w:rsidP="00D614D7">
      <w:pPr>
        <w:widowControl/>
        <w:wordWrap/>
        <w:autoSpaceDE/>
        <w:autoSpaceDN/>
        <w:spacing w:line="360" w:lineRule="auto"/>
        <w:rPr>
          <w:rFonts w:ascii="Book Antiqua" w:eastAsia="宋体" w:hAnsi="Book Antiqua" w:cs="Arial"/>
          <w:kern w:val="0"/>
          <w:sz w:val="24"/>
          <w:lang w:eastAsia="en-US"/>
        </w:rPr>
      </w:pPr>
      <w:bookmarkStart w:id="26" w:name="OLE_LINK1108"/>
      <w:r w:rsidRPr="00D614D7">
        <w:rPr>
          <w:rFonts w:ascii="Book Antiqua" w:eastAsia="宋体" w:hAnsi="Book Antiqua"/>
          <w:b/>
          <w:kern w:val="0"/>
          <w:sz w:val="24"/>
          <w:lang w:eastAsia="en-US"/>
        </w:rPr>
        <w:t xml:space="preserve">© </w:t>
      </w:r>
      <w:r w:rsidRPr="00D614D7">
        <w:rPr>
          <w:rFonts w:ascii="Book Antiqua" w:eastAsia="宋体" w:hAnsi="Book Antiqua" w:cs="Arial"/>
          <w:b/>
          <w:kern w:val="0"/>
          <w:sz w:val="24"/>
          <w:lang w:eastAsia="en-US"/>
        </w:rPr>
        <w:t>The Author(s) 201</w:t>
      </w:r>
      <w:r w:rsidR="00FE0D62">
        <w:rPr>
          <w:rFonts w:ascii="Book Antiqua" w:eastAsia="宋体" w:hAnsi="Book Antiqua" w:cs="Arial"/>
          <w:b/>
          <w:kern w:val="0"/>
          <w:sz w:val="24"/>
          <w:lang w:eastAsia="en-US"/>
        </w:rPr>
        <w:t>9</w:t>
      </w:r>
      <w:r w:rsidRPr="00D614D7">
        <w:rPr>
          <w:rFonts w:ascii="Book Antiqua" w:eastAsia="宋体" w:hAnsi="Book Antiqua" w:cs="Arial"/>
          <w:b/>
          <w:kern w:val="0"/>
          <w:sz w:val="24"/>
          <w:lang w:eastAsia="en-US"/>
        </w:rPr>
        <w:t xml:space="preserve">. </w:t>
      </w:r>
      <w:r w:rsidRPr="00D614D7">
        <w:rPr>
          <w:rFonts w:ascii="Book Antiqua" w:eastAsia="宋体" w:hAnsi="Book Antiqua" w:cs="Arial"/>
          <w:kern w:val="0"/>
          <w:sz w:val="24"/>
          <w:lang w:eastAsia="en-US"/>
        </w:rPr>
        <w:t>Published by Baishideng Publishing Group Inc. All rights reserved.</w:t>
      </w:r>
    </w:p>
    <w:bookmarkEnd w:id="26"/>
    <w:p w14:paraId="491071EE" w14:textId="77777777" w:rsidR="00182B6E" w:rsidRPr="00EA037B" w:rsidRDefault="00182B6E" w:rsidP="00EA037B">
      <w:pPr>
        <w:wordWrap/>
        <w:spacing w:line="360" w:lineRule="auto"/>
        <w:rPr>
          <w:rFonts w:ascii="Book Antiqua" w:hAnsi="Book Antiqua"/>
          <w:color w:val="000000" w:themeColor="text1"/>
          <w:sz w:val="24"/>
        </w:rPr>
      </w:pPr>
    </w:p>
    <w:p w14:paraId="16EF9C64" w14:textId="59DD5FCD" w:rsidR="00C61D12" w:rsidRPr="00EA037B" w:rsidRDefault="00182B6E" w:rsidP="00EA037B">
      <w:pPr>
        <w:wordWrap/>
        <w:spacing w:line="360" w:lineRule="auto"/>
        <w:rPr>
          <w:rFonts w:ascii="Book Antiqua" w:hAnsi="Book Antiqua"/>
          <w:color w:val="000000" w:themeColor="text1"/>
          <w:sz w:val="24"/>
        </w:rPr>
      </w:pPr>
      <w:r w:rsidRPr="00EA037B">
        <w:rPr>
          <w:rFonts w:ascii="Book Antiqua" w:hAnsi="Book Antiqua"/>
          <w:b/>
          <w:color w:val="000000" w:themeColor="text1"/>
          <w:sz w:val="24"/>
        </w:rPr>
        <w:t>Core tip:</w:t>
      </w:r>
      <w:r w:rsidRPr="00EA037B">
        <w:rPr>
          <w:rFonts w:ascii="Book Antiqua" w:hAnsi="Book Antiqua"/>
          <w:color w:val="000000" w:themeColor="text1"/>
          <w:sz w:val="24"/>
        </w:rPr>
        <w:t xml:space="preserve"> </w:t>
      </w:r>
      <w:r w:rsidR="00F33B2A" w:rsidRPr="00EA037B">
        <w:rPr>
          <w:rFonts w:ascii="Book Antiqua" w:hAnsi="Book Antiqua"/>
          <w:color w:val="000000" w:themeColor="text1"/>
          <w:sz w:val="24"/>
        </w:rPr>
        <w:t xml:space="preserve">Laparoscopy-assisted pylorus-preserving gastrectomy (LAPPG) was known to have benefits of function-preserving surgery compared to laparoscopy-assisted distal gastrectomy (LADG). However, in clinical settings, delayed gastric emptying and esophageal reflux following LAPPG can be serious issues, making surgeons reluctant to perform LAPPG. In this study, we evaluated long-term quality of life and functional outcomes of LAPPG compared to those of LADG with Billroth II anastomosis. LAPPG is beneficial to recovery of postoperative anemia and bile reflux, however, it might be unfavorable in terms of long-term pain and reflux symptoms compared to LADG with Billroth II anastomosis. </w:t>
      </w:r>
    </w:p>
    <w:p w14:paraId="014F7582" w14:textId="77777777" w:rsidR="00C61D12" w:rsidRPr="00EA037B" w:rsidRDefault="00C61D12" w:rsidP="00EA037B">
      <w:pPr>
        <w:wordWrap/>
        <w:spacing w:line="360" w:lineRule="auto"/>
        <w:rPr>
          <w:rFonts w:ascii="Book Antiqua" w:hAnsi="Book Antiqua"/>
          <w:color w:val="000000" w:themeColor="text1"/>
          <w:sz w:val="24"/>
        </w:rPr>
      </w:pPr>
    </w:p>
    <w:p w14:paraId="7757842B" w14:textId="53854E14" w:rsidR="00D614D7" w:rsidRPr="00FE0D62" w:rsidRDefault="00FE0D62" w:rsidP="00FE0D62">
      <w:pPr>
        <w:pStyle w:val="a4"/>
        <w:spacing w:after="0" w:line="360" w:lineRule="auto"/>
        <w:jc w:val="both"/>
        <w:rPr>
          <w:rFonts w:ascii="Book Antiqua" w:eastAsia="Batang" w:hAnsi="Book Antiqua" w:cs="Times New Roman"/>
          <w:bCs/>
          <w:iCs/>
          <w:color w:val="000000" w:themeColor="text1"/>
          <w:sz w:val="24"/>
          <w:szCs w:val="24"/>
        </w:rPr>
      </w:pPr>
      <w:r w:rsidRPr="00EA037B">
        <w:rPr>
          <w:rFonts w:ascii="Book Antiqua" w:eastAsia="Batang" w:hAnsi="Book Antiqua" w:cs="Times New Roman"/>
          <w:bCs/>
          <w:color w:val="000000" w:themeColor="text1"/>
          <w:sz w:val="24"/>
          <w:szCs w:val="24"/>
          <w:lang w:eastAsia="ko-KR"/>
        </w:rPr>
        <w:t xml:space="preserve">Eom </w:t>
      </w:r>
      <w:r>
        <w:rPr>
          <w:rFonts w:ascii="Book Antiqua" w:eastAsia="Batang" w:hAnsi="Book Antiqua" w:cs="Times New Roman"/>
          <w:bCs/>
          <w:color w:val="000000" w:themeColor="text1"/>
          <w:sz w:val="24"/>
          <w:szCs w:val="24"/>
          <w:lang w:eastAsia="ko-KR"/>
        </w:rPr>
        <w:t xml:space="preserve">BW, </w:t>
      </w:r>
      <w:r w:rsidRPr="00EA037B">
        <w:rPr>
          <w:rFonts w:ascii="Book Antiqua" w:eastAsia="Batang" w:hAnsi="Book Antiqua" w:cs="Times New Roman"/>
          <w:bCs/>
          <w:color w:val="000000" w:themeColor="text1"/>
          <w:sz w:val="24"/>
          <w:szCs w:val="24"/>
          <w:lang w:eastAsia="ko-KR"/>
        </w:rPr>
        <w:t>Park</w:t>
      </w:r>
      <w:r w:rsidRPr="00FE0D62">
        <w:rPr>
          <w:rFonts w:ascii="Book Antiqua" w:hAnsi="Book Antiqua" w:cs="Times New Roman"/>
          <w:bCs/>
          <w:color w:val="000000" w:themeColor="text1"/>
          <w:sz w:val="24"/>
          <w:szCs w:val="24"/>
          <w:lang w:eastAsia="ko-KR"/>
        </w:rPr>
        <w:t xml:space="preserve"> </w:t>
      </w:r>
      <w:r>
        <w:rPr>
          <w:rFonts w:ascii="Book Antiqua" w:hAnsi="Book Antiqua" w:cs="Times New Roman"/>
          <w:bCs/>
          <w:color w:val="000000" w:themeColor="text1"/>
          <w:sz w:val="24"/>
          <w:szCs w:val="24"/>
          <w:lang w:eastAsia="ko-KR"/>
        </w:rPr>
        <w:t xml:space="preserve">B, </w:t>
      </w:r>
      <w:r w:rsidRPr="00EA037B">
        <w:rPr>
          <w:rFonts w:ascii="Book Antiqua" w:eastAsia="Batang" w:hAnsi="Book Antiqua" w:cs="Times New Roman"/>
          <w:bCs/>
          <w:color w:val="000000" w:themeColor="text1"/>
          <w:sz w:val="24"/>
          <w:szCs w:val="24"/>
        </w:rPr>
        <w:t>Yoon</w:t>
      </w:r>
      <w:r w:rsidRPr="00FE0D62">
        <w:rPr>
          <w:rFonts w:ascii="Book Antiqua" w:hAnsi="Book Antiqua" w:cs="Times New Roman"/>
          <w:bCs/>
          <w:color w:val="000000" w:themeColor="text1"/>
          <w:sz w:val="24"/>
          <w:szCs w:val="24"/>
          <w:lang w:eastAsia="ko-KR"/>
        </w:rPr>
        <w:t xml:space="preserve"> </w:t>
      </w:r>
      <w:r>
        <w:rPr>
          <w:rFonts w:ascii="Book Antiqua" w:hAnsi="Book Antiqua" w:cs="Times New Roman"/>
          <w:bCs/>
          <w:color w:val="000000" w:themeColor="text1"/>
          <w:sz w:val="24"/>
          <w:szCs w:val="24"/>
          <w:lang w:eastAsia="ko-KR"/>
        </w:rPr>
        <w:t xml:space="preserve">HM, </w:t>
      </w:r>
      <w:r w:rsidRPr="00EA037B">
        <w:rPr>
          <w:rFonts w:ascii="Book Antiqua" w:eastAsia="Batang" w:hAnsi="Book Antiqua" w:cs="Times New Roman"/>
          <w:bCs/>
          <w:color w:val="000000" w:themeColor="text1"/>
          <w:sz w:val="24"/>
          <w:szCs w:val="24"/>
        </w:rPr>
        <w:t>Ryu</w:t>
      </w:r>
      <w:r w:rsidRPr="00FE0D62">
        <w:rPr>
          <w:rFonts w:ascii="Book Antiqua" w:hAnsi="Book Antiqua" w:cs="Times New Roman"/>
          <w:bCs/>
          <w:color w:val="000000" w:themeColor="text1"/>
          <w:sz w:val="24"/>
          <w:szCs w:val="24"/>
          <w:lang w:eastAsia="ko-KR"/>
        </w:rPr>
        <w:t xml:space="preserve"> </w:t>
      </w:r>
      <w:r>
        <w:rPr>
          <w:rFonts w:ascii="Book Antiqua" w:hAnsi="Book Antiqua" w:cs="Times New Roman"/>
          <w:bCs/>
          <w:color w:val="000000" w:themeColor="text1"/>
          <w:sz w:val="24"/>
          <w:szCs w:val="24"/>
          <w:lang w:eastAsia="ko-KR"/>
        </w:rPr>
        <w:t xml:space="preserve">KW, </w:t>
      </w:r>
      <w:r w:rsidRPr="00EA037B">
        <w:rPr>
          <w:rFonts w:ascii="Book Antiqua" w:eastAsia="Batang" w:hAnsi="Book Antiqua" w:cs="Times New Roman"/>
          <w:bCs/>
          <w:color w:val="000000" w:themeColor="text1"/>
          <w:sz w:val="24"/>
          <w:szCs w:val="24"/>
        </w:rPr>
        <w:t>Kim</w:t>
      </w:r>
      <w:r w:rsidRPr="00FE0D62">
        <w:rPr>
          <w:rFonts w:ascii="Book Antiqua" w:hAnsi="Book Antiqua" w:cs="Times New Roman"/>
          <w:bCs/>
          <w:color w:val="000000" w:themeColor="text1"/>
          <w:sz w:val="24"/>
          <w:szCs w:val="24"/>
          <w:lang w:eastAsia="ko-KR"/>
        </w:rPr>
        <w:t xml:space="preserve"> </w:t>
      </w:r>
      <w:r>
        <w:rPr>
          <w:rFonts w:ascii="Book Antiqua" w:hAnsi="Book Antiqua" w:cs="Times New Roman"/>
          <w:bCs/>
          <w:color w:val="000000" w:themeColor="text1"/>
          <w:sz w:val="24"/>
          <w:szCs w:val="24"/>
          <w:lang w:eastAsia="ko-KR"/>
        </w:rPr>
        <w:t xml:space="preserve">YW. </w:t>
      </w:r>
      <w:r w:rsidRPr="00FE0D62">
        <w:rPr>
          <w:rFonts w:ascii="Book Antiqua" w:hAnsi="Book Antiqua" w:cs="Times New Roman"/>
          <w:bCs/>
          <w:color w:val="000000" w:themeColor="text1"/>
          <w:sz w:val="24"/>
          <w:szCs w:val="24"/>
          <w:lang w:eastAsia="ko-KR"/>
        </w:rPr>
        <w:t>Laparoscopy-assisted pylorus-preserving gastrectomy for early gastric cancer: A retrospective study of long-term functional outcomes and quality of life</w:t>
      </w:r>
      <w:r>
        <w:rPr>
          <w:rFonts w:ascii="Book Antiqua" w:hAnsi="Book Antiqua" w:cs="Times New Roman"/>
          <w:bCs/>
          <w:color w:val="000000" w:themeColor="text1"/>
          <w:sz w:val="24"/>
          <w:szCs w:val="24"/>
          <w:lang w:eastAsia="ko-KR"/>
        </w:rPr>
        <w:t xml:space="preserve">. </w:t>
      </w:r>
      <w:r w:rsidRPr="00EA037B">
        <w:rPr>
          <w:rFonts w:ascii="Book Antiqua" w:eastAsia="宋体" w:hAnsi="Book Antiqua"/>
          <w:i/>
          <w:sz w:val="24"/>
        </w:rPr>
        <w:t>World J Gastroenterol</w:t>
      </w:r>
      <w:r>
        <w:rPr>
          <w:rFonts w:ascii="Book Antiqua" w:eastAsia="宋体" w:hAnsi="Book Antiqua"/>
          <w:i/>
          <w:sz w:val="24"/>
        </w:rPr>
        <w:t xml:space="preserve"> </w:t>
      </w:r>
      <w:r>
        <w:rPr>
          <w:rFonts w:ascii="Book Antiqua" w:eastAsia="宋体" w:hAnsi="Book Antiqua"/>
          <w:iCs/>
          <w:sz w:val="24"/>
        </w:rPr>
        <w:t>2019; In press</w:t>
      </w:r>
    </w:p>
    <w:p w14:paraId="605BB326" w14:textId="40C0A388" w:rsidR="00182B6E" w:rsidRPr="00EA037B" w:rsidRDefault="00182B6E" w:rsidP="00EA037B">
      <w:pPr>
        <w:wordWrap/>
        <w:spacing w:line="360" w:lineRule="auto"/>
        <w:rPr>
          <w:rFonts w:ascii="Book Antiqua" w:hAnsi="Book Antiqua"/>
          <w:bCs/>
          <w:color w:val="000000" w:themeColor="text1"/>
          <w:sz w:val="24"/>
        </w:rPr>
      </w:pPr>
      <w:r w:rsidRPr="00EA037B">
        <w:rPr>
          <w:rFonts w:ascii="Book Antiqua" w:hAnsi="Book Antiqua"/>
          <w:color w:val="000000" w:themeColor="text1"/>
          <w:sz w:val="24"/>
        </w:rPr>
        <w:br w:type="page"/>
      </w:r>
      <w:r w:rsidRPr="00EA037B">
        <w:rPr>
          <w:rFonts w:ascii="Book Antiqua" w:hAnsi="Book Antiqua"/>
          <w:b/>
          <w:bCs/>
          <w:color w:val="000000" w:themeColor="text1"/>
          <w:sz w:val="24"/>
        </w:rPr>
        <w:lastRenderedPageBreak/>
        <w:t>INTRODUCTION</w:t>
      </w:r>
    </w:p>
    <w:p w14:paraId="38F4981E" w14:textId="40DBFA50" w:rsidR="00182B6E" w:rsidRPr="00EA037B" w:rsidRDefault="00182B6E" w:rsidP="00D37644">
      <w:pPr>
        <w:wordWrap/>
        <w:spacing w:line="360" w:lineRule="auto"/>
        <w:rPr>
          <w:rFonts w:ascii="Book Antiqua" w:hAnsi="Book Antiqua"/>
          <w:bCs/>
          <w:color w:val="000000" w:themeColor="text1"/>
          <w:sz w:val="24"/>
        </w:rPr>
      </w:pPr>
      <w:r w:rsidRPr="00EA037B">
        <w:rPr>
          <w:rFonts w:ascii="Book Antiqua" w:hAnsi="Book Antiqua"/>
          <w:bCs/>
          <w:color w:val="000000" w:themeColor="text1"/>
          <w:sz w:val="24"/>
        </w:rPr>
        <w:t xml:space="preserve">Pylorus-preserving gastrectomy (PPG) was first proposed by Maki </w:t>
      </w:r>
      <w:r w:rsidRPr="002B0C34">
        <w:rPr>
          <w:rFonts w:ascii="Book Antiqua" w:hAnsi="Book Antiqua"/>
          <w:bCs/>
          <w:i/>
          <w:iCs/>
          <w:color w:val="000000" w:themeColor="text1"/>
          <w:sz w:val="24"/>
        </w:rPr>
        <w:t>et al</w:t>
      </w:r>
      <w:r w:rsidR="002B0C34" w:rsidRPr="00EA037B">
        <w:rPr>
          <w:rFonts w:ascii="Book Antiqua" w:hAnsi="Book Antiqua"/>
          <w:bCs/>
          <w:noProof/>
          <w:color w:val="000000" w:themeColor="text1"/>
          <w:sz w:val="24"/>
          <w:vertAlign w:val="superscript"/>
        </w:rPr>
        <w:t>[1]</w:t>
      </w:r>
      <w:r w:rsidRPr="00EA037B">
        <w:rPr>
          <w:rFonts w:ascii="Book Antiqua" w:hAnsi="Book Antiqua"/>
          <w:bCs/>
          <w:color w:val="000000" w:themeColor="text1"/>
          <w:sz w:val="24"/>
        </w:rPr>
        <w:t xml:space="preserve"> in 1967 to treat peptic ulcers, and its use was expanded to include middle-third early gastric cancer in 1991</w:t>
      </w:r>
      <w:r w:rsidRPr="00EA037B">
        <w:rPr>
          <w:rFonts w:ascii="Book Antiqua" w:hAnsi="Book Antiqua"/>
          <w:bCs/>
          <w:noProof/>
          <w:color w:val="000000" w:themeColor="text1"/>
          <w:sz w:val="24"/>
          <w:vertAlign w:val="superscript"/>
        </w:rPr>
        <w:t>[1,2]</w:t>
      </w:r>
      <w:r w:rsidR="007E1679" w:rsidRPr="00EA037B">
        <w:rPr>
          <w:rFonts w:ascii="Book Antiqua" w:hAnsi="Book Antiqua"/>
          <w:bCs/>
          <w:noProof/>
          <w:color w:val="000000" w:themeColor="text1"/>
          <w:sz w:val="24"/>
        </w:rPr>
        <w:t>.</w:t>
      </w:r>
      <w:r w:rsidRPr="00EA037B">
        <w:rPr>
          <w:rFonts w:ascii="Book Antiqua" w:hAnsi="Book Antiqua"/>
          <w:bCs/>
          <w:color w:val="000000" w:themeColor="text1"/>
          <w:sz w:val="24"/>
        </w:rPr>
        <w:t xml:space="preserve"> By preserving the pyloric ring and its functionality, PPG was expected to reduce the risk of postgastrectomy syndrome while improving quality of life</w:t>
      </w:r>
      <w:r w:rsidR="002B0C34">
        <w:rPr>
          <w:rFonts w:ascii="Book Antiqua" w:hAnsi="Book Antiqua"/>
          <w:bCs/>
          <w:color w:val="000000" w:themeColor="text1"/>
          <w:sz w:val="24"/>
        </w:rPr>
        <w:t xml:space="preserve"> (QOL)</w:t>
      </w:r>
      <w:r w:rsidRPr="00EA037B">
        <w:rPr>
          <w:rFonts w:ascii="Book Antiqua" w:hAnsi="Book Antiqua"/>
          <w:bCs/>
          <w:color w:val="000000" w:themeColor="text1"/>
          <w:sz w:val="24"/>
        </w:rPr>
        <w:t>. According to recent meta-analyses, the advantages of PPG include lower incidence rates of dumping syndrome, remnant gastritis, and bile reflux in addition to a better postoperative nutritional status when compared to distal gastrectomy</w:t>
      </w:r>
      <w:r w:rsidRPr="00EA037B">
        <w:rPr>
          <w:rFonts w:ascii="Book Antiqua" w:hAnsi="Book Antiqua"/>
          <w:bCs/>
          <w:noProof/>
          <w:color w:val="000000" w:themeColor="text1"/>
          <w:sz w:val="24"/>
          <w:vertAlign w:val="superscript"/>
        </w:rPr>
        <w:t>[3,4]</w:t>
      </w:r>
      <w:r w:rsidR="007E1679" w:rsidRPr="00EA037B">
        <w:rPr>
          <w:rFonts w:ascii="Book Antiqua" w:hAnsi="Book Antiqua"/>
          <w:bCs/>
          <w:noProof/>
          <w:color w:val="000000" w:themeColor="text1"/>
          <w:sz w:val="24"/>
        </w:rPr>
        <w:t>.</w:t>
      </w:r>
      <w:r w:rsidRPr="00EA037B">
        <w:rPr>
          <w:rFonts w:ascii="Book Antiqua" w:hAnsi="Book Antiqua"/>
          <w:bCs/>
          <w:color w:val="000000" w:themeColor="text1"/>
          <w:sz w:val="24"/>
        </w:rPr>
        <w:t xml:space="preserve"> However, the incidence of delayed gastric emptying was higher with PPG.</w:t>
      </w:r>
    </w:p>
    <w:p w14:paraId="1A7C77A4" w14:textId="77A11BD4" w:rsidR="00182B6E" w:rsidRPr="00EA037B" w:rsidRDefault="00182B6E" w:rsidP="002B0C34">
      <w:pPr>
        <w:wordWrap/>
        <w:spacing w:line="360" w:lineRule="auto"/>
        <w:ind w:firstLineChars="100" w:firstLine="252"/>
        <w:rPr>
          <w:rFonts w:ascii="Book Antiqua" w:hAnsi="Book Antiqua"/>
          <w:bCs/>
          <w:color w:val="000000" w:themeColor="text1"/>
          <w:sz w:val="24"/>
        </w:rPr>
      </w:pPr>
      <w:r w:rsidRPr="00EA037B">
        <w:rPr>
          <w:rFonts w:ascii="Book Antiqua" w:hAnsi="Book Antiqua"/>
          <w:bCs/>
          <w:color w:val="000000" w:themeColor="text1"/>
          <w:sz w:val="24"/>
        </w:rPr>
        <w:t xml:space="preserve">In the 2000s, the feasibility and safety of minimally invasive approaches were widely evaluated, and the </w:t>
      </w:r>
      <w:bookmarkStart w:id="27" w:name="_Hlk9599475"/>
      <w:r w:rsidRPr="00EA037B">
        <w:rPr>
          <w:rFonts w:ascii="Book Antiqua" w:hAnsi="Book Antiqua"/>
          <w:bCs/>
          <w:color w:val="000000" w:themeColor="text1"/>
          <w:sz w:val="24"/>
        </w:rPr>
        <w:t xml:space="preserve">laparoscopy-assisted </w:t>
      </w:r>
      <w:r w:rsidR="002B0C34">
        <w:rPr>
          <w:rFonts w:ascii="Book Antiqua" w:hAnsi="Book Antiqua"/>
          <w:bCs/>
          <w:color w:val="000000" w:themeColor="text1"/>
          <w:sz w:val="24"/>
        </w:rPr>
        <w:t>PPG</w:t>
      </w:r>
      <w:r w:rsidRPr="00EA037B">
        <w:rPr>
          <w:rFonts w:ascii="Book Antiqua" w:hAnsi="Book Antiqua"/>
          <w:bCs/>
          <w:color w:val="000000" w:themeColor="text1"/>
          <w:sz w:val="24"/>
        </w:rPr>
        <w:t xml:space="preserve"> (LAPPG) was also introduced and evaluated during this time</w:t>
      </w:r>
      <w:r w:rsidRPr="00EA037B">
        <w:rPr>
          <w:rFonts w:ascii="Book Antiqua" w:hAnsi="Book Antiqua"/>
          <w:bCs/>
          <w:noProof/>
          <w:color w:val="000000" w:themeColor="text1"/>
          <w:sz w:val="24"/>
          <w:vertAlign w:val="superscript"/>
        </w:rPr>
        <w:t>[5-8]</w:t>
      </w:r>
      <w:r w:rsidR="007E1679" w:rsidRPr="00EA037B">
        <w:rPr>
          <w:rFonts w:ascii="Book Antiqua" w:hAnsi="Book Antiqua"/>
          <w:bCs/>
          <w:noProof/>
          <w:color w:val="000000" w:themeColor="text1"/>
          <w:sz w:val="24"/>
        </w:rPr>
        <w:t>.</w:t>
      </w:r>
      <w:r w:rsidRPr="00EA037B">
        <w:rPr>
          <w:rFonts w:ascii="Book Antiqua" w:hAnsi="Book Antiqua"/>
          <w:bCs/>
          <w:color w:val="000000" w:themeColor="text1"/>
          <w:sz w:val="24"/>
        </w:rPr>
        <w:t xml:space="preserve"> When compared to conventional PPG, LAPPG had several benefits of a minimally invasive approach, including less blood loss, less postoperative pain, and a faster recovery of bowel function</w:t>
      </w:r>
      <w:r w:rsidRPr="00EA037B">
        <w:rPr>
          <w:rFonts w:ascii="Book Antiqua" w:hAnsi="Book Antiqua"/>
          <w:bCs/>
          <w:noProof/>
          <w:color w:val="000000" w:themeColor="text1"/>
          <w:sz w:val="24"/>
          <w:vertAlign w:val="superscript"/>
        </w:rPr>
        <w:t>[9-11]</w:t>
      </w:r>
      <w:r w:rsidR="007E1679" w:rsidRPr="00EA037B">
        <w:rPr>
          <w:rFonts w:ascii="Book Antiqua" w:hAnsi="Book Antiqua"/>
          <w:bCs/>
          <w:noProof/>
          <w:color w:val="000000" w:themeColor="text1"/>
          <w:sz w:val="24"/>
        </w:rPr>
        <w:t>.</w:t>
      </w:r>
      <w:r w:rsidRPr="00EA037B">
        <w:rPr>
          <w:rFonts w:ascii="Book Antiqua" w:hAnsi="Book Antiqua"/>
          <w:bCs/>
          <w:color w:val="000000" w:themeColor="text1"/>
          <w:sz w:val="24"/>
        </w:rPr>
        <w:t xml:space="preserve"> Moreover, LAPPG resulted in a lower risk of postgastrectomy syndrome and better nutritional outcomes when compared to laparoscopy-assisted distal gastrectomy (LADG)</w:t>
      </w:r>
      <w:r w:rsidRPr="00EA037B">
        <w:rPr>
          <w:rFonts w:ascii="Book Antiqua" w:hAnsi="Book Antiqua"/>
          <w:bCs/>
          <w:noProof/>
          <w:color w:val="000000" w:themeColor="text1"/>
          <w:sz w:val="24"/>
          <w:vertAlign w:val="superscript"/>
        </w:rPr>
        <w:t>[12-14]</w:t>
      </w:r>
      <w:r w:rsidR="007E1679" w:rsidRPr="00EA037B">
        <w:rPr>
          <w:rFonts w:ascii="Book Antiqua" w:hAnsi="Book Antiqua"/>
          <w:bCs/>
          <w:noProof/>
          <w:color w:val="000000" w:themeColor="text1"/>
          <w:sz w:val="24"/>
        </w:rPr>
        <w:t>.</w:t>
      </w:r>
      <w:r w:rsidRPr="00EA037B">
        <w:rPr>
          <w:rFonts w:ascii="Book Antiqua" w:hAnsi="Book Antiqua"/>
          <w:bCs/>
          <w:color w:val="000000" w:themeColor="text1"/>
          <w:sz w:val="24"/>
        </w:rPr>
        <w:t xml:space="preserve"> Because of this combination of advantages of a minimally invasive approach and a function-preserving surgery, LAPPG is considered to be an excellent option for middle-third early gastric cancer. </w:t>
      </w:r>
    </w:p>
    <w:bookmarkEnd w:id="27"/>
    <w:p w14:paraId="785C28E5" w14:textId="5FE7E290" w:rsidR="00182B6E" w:rsidRPr="002B0C34" w:rsidRDefault="00182B6E" w:rsidP="002B0C34">
      <w:pPr>
        <w:wordWrap/>
        <w:spacing w:line="360" w:lineRule="auto"/>
        <w:ind w:firstLineChars="100" w:firstLine="252"/>
        <w:rPr>
          <w:rFonts w:ascii="Book Antiqua" w:hAnsi="Book Antiqua"/>
          <w:bCs/>
          <w:color w:val="000000" w:themeColor="text1"/>
          <w:sz w:val="24"/>
        </w:rPr>
      </w:pPr>
      <w:r w:rsidRPr="00EA037B">
        <w:rPr>
          <w:rFonts w:ascii="Book Antiqua" w:hAnsi="Book Antiqua"/>
          <w:bCs/>
          <w:color w:val="000000" w:themeColor="text1"/>
          <w:sz w:val="24"/>
        </w:rPr>
        <w:t xml:space="preserve">However, </w:t>
      </w:r>
      <w:bookmarkStart w:id="28" w:name="_Hlk9599547"/>
      <w:r w:rsidRPr="00EA037B">
        <w:rPr>
          <w:rFonts w:ascii="Book Antiqua" w:hAnsi="Book Antiqua"/>
          <w:bCs/>
          <w:color w:val="000000" w:themeColor="text1"/>
          <w:sz w:val="24"/>
        </w:rPr>
        <w:t xml:space="preserve">in clinical settings, instances of delayed gastric emptying and esophageal reflux following LAPPG can be serious issues, making surgeons reluctant to perform LAPPG. </w:t>
      </w:r>
      <w:bookmarkEnd w:id="28"/>
      <w:r w:rsidRPr="00EA037B">
        <w:rPr>
          <w:rFonts w:ascii="Book Antiqua" w:hAnsi="Book Antiqua"/>
          <w:bCs/>
          <w:color w:val="000000" w:themeColor="text1"/>
          <w:sz w:val="24"/>
        </w:rPr>
        <w:t xml:space="preserve">While postgastrectomy syndrome is transient and does not require hospitalization or medication in most cases, delayed gastric emptying increases the length of the hospital stay, and reflux symptoms requires medication, such as proton pump inhibitors. Moreover, only a few previous studies have evaluated the </w:t>
      </w:r>
      <w:r w:rsidR="002B0C34" w:rsidRPr="00EA037B">
        <w:rPr>
          <w:rFonts w:ascii="Book Antiqua" w:hAnsi="Book Antiqua"/>
          <w:bCs/>
          <w:color w:val="000000" w:themeColor="text1"/>
          <w:sz w:val="24"/>
        </w:rPr>
        <w:t xml:space="preserve">QOL </w:t>
      </w:r>
      <w:r w:rsidRPr="00EA037B">
        <w:rPr>
          <w:rFonts w:ascii="Book Antiqua" w:hAnsi="Book Antiqua"/>
          <w:bCs/>
          <w:color w:val="000000" w:themeColor="text1"/>
          <w:sz w:val="24"/>
        </w:rPr>
        <w:t>after LAPPG, and these studies only included a small number of patients</w:t>
      </w:r>
      <w:r w:rsidRPr="00EA037B">
        <w:rPr>
          <w:rFonts w:ascii="Book Antiqua" w:hAnsi="Book Antiqua"/>
          <w:bCs/>
          <w:noProof/>
          <w:color w:val="000000" w:themeColor="text1"/>
          <w:sz w:val="24"/>
          <w:vertAlign w:val="superscript"/>
        </w:rPr>
        <w:t>[13,14]</w:t>
      </w:r>
      <w:r w:rsidR="007E1679" w:rsidRPr="00EA037B">
        <w:rPr>
          <w:rFonts w:ascii="Book Antiqua" w:hAnsi="Book Antiqua"/>
          <w:bCs/>
          <w:noProof/>
          <w:color w:val="000000" w:themeColor="text1"/>
          <w:sz w:val="24"/>
        </w:rPr>
        <w:t>.</w:t>
      </w:r>
      <w:r w:rsidRPr="00EA037B">
        <w:rPr>
          <w:rFonts w:ascii="Book Antiqua" w:hAnsi="Book Antiqua"/>
          <w:bCs/>
          <w:color w:val="000000" w:themeColor="text1"/>
          <w:sz w:val="24"/>
        </w:rPr>
        <w:t xml:space="preserve"> Therefore, it remains unclear whether LAPPG is </w:t>
      </w:r>
      <w:r w:rsidRPr="00EA037B">
        <w:rPr>
          <w:rFonts w:ascii="Book Antiqua" w:hAnsi="Book Antiqua"/>
          <w:bCs/>
          <w:color w:val="000000" w:themeColor="text1"/>
          <w:sz w:val="24"/>
        </w:rPr>
        <w:lastRenderedPageBreak/>
        <w:t xml:space="preserve">superior to LADG in terms of functional outcomes, including QOL. The aim of this study is to evaluate the long-term functional outcomes and QOL of LAPPG when compared to those of LADG with Billroth II anastomosis. </w:t>
      </w:r>
    </w:p>
    <w:p w14:paraId="0299C35E" w14:textId="5DEB90C4" w:rsidR="00182B6E" w:rsidRPr="00EA037B" w:rsidRDefault="00182B6E" w:rsidP="002B0C34">
      <w:pPr>
        <w:wordWrap/>
        <w:spacing w:line="360" w:lineRule="auto"/>
        <w:rPr>
          <w:rFonts w:ascii="Book Antiqua" w:hAnsi="Book Antiqua"/>
          <w:color w:val="000000" w:themeColor="text1"/>
          <w:sz w:val="24"/>
        </w:rPr>
      </w:pPr>
    </w:p>
    <w:p w14:paraId="5FE8AF75" w14:textId="77777777" w:rsidR="00182B6E" w:rsidRPr="00EA037B" w:rsidRDefault="00182B6E" w:rsidP="00EA037B">
      <w:pPr>
        <w:wordWrap/>
        <w:spacing w:line="360" w:lineRule="auto"/>
        <w:rPr>
          <w:rFonts w:ascii="Book Antiqua" w:hAnsi="Book Antiqua"/>
          <w:b/>
          <w:color w:val="000000" w:themeColor="text1"/>
          <w:sz w:val="24"/>
        </w:rPr>
      </w:pPr>
      <w:r w:rsidRPr="00EA037B">
        <w:rPr>
          <w:rFonts w:ascii="Book Antiqua" w:hAnsi="Book Antiqua"/>
          <w:b/>
          <w:color w:val="000000" w:themeColor="text1"/>
          <w:sz w:val="24"/>
        </w:rPr>
        <w:t xml:space="preserve">MATERIALS AND </w:t>
      </w:r>
      <w:r w:rsidRPr="00EA037B">
        <w:rPr>
          <w:rFonts w:ascii="Book Antiqua" w:hAnsi="Book Antiqua"/>
          <w:b/>
          <w:bCs/>
          <w:color w:val="000000" w:themeColor="text1"/>
          <w:sz w:val="24"/>
        </w:rPr>
        <w:t>METHODS</w:t>
      </w:r>
    </w:p>
    <w:p w14:paraId="7CA01230" w14:textId="77777777" w:rsidR="00182B6E" w:rsidRPr="00EA037B" w:rsidRDefault="00182B6E" w:rsidP="00EA037B">
      <w:pPr>
        <w:wordWrap/>
        <w:spacing w:line="360" w:lineRule="auto"/>
        <w:rPr>
          <w:rFonts w:ascii="Book Antiqua" w:hAnsi="Book Antiqua"/>
          <w:color w:val="000000" w:themeColor="text1"/>
          <w:sz w:val="24"/>
        </w:rPr>
      </w:pPr>
      <w:r w:rsidRPr="00EA037B">
        <w:rPr>
          <w:rFonts w:ascii="Book Antiqua" w:hAnsi="Book Antiqua"/>
          <w:color w:val="000000" w:themeColor="text1"/>
          <w:sz w:val="24"/>
        </w:rPr>
        <w:t xml:space="preserve">This study was conducted in accordance with the principles of the Declaration of Helsinki, and was approved by the Institutional Review Board of the National Cancer Center (No. NCC 2017-0183). </w:t>
      </w:r>
    </w:p>
    <w:p w14:paraId="23E6C7DB" w14:textId="77777777" w:rsidR="00182B6E" w:rsidRPr="00EA037B" w:rsidRDefault="00182B6E" w:rsidP="00EA037B">
      <w:pPr>
        <w:wordWrap/>
        <w:spacing w:line="360" w:lineRule="auto"/>
        <w:rPr>
          <w:rFonts w:ascii="Book Antiqua" w:hAnsi="Book Antiqua"/>
          <w:b/>
          <w:color w:val="000000" w:themeColor="text1"/>
          <w:sz w:val="24"/>
        </w:rPr>
      </w:pPr>
    </w:p>
    <w:p w14:paraId="678DDF51" w14:textId="77777777" w:rsidR="00182B6E" w:rsidRPr="002B0C34" w:rsidRDefault="00182B6E" w:rsidP="00EA037B">
      <w:pPr>
        <w:wordWrap/>
        <w:spacing w:line="360" w:lineRule="auto"/>
        <w:rPr>
          <w:rFonts w:ascii="Book Antiqua" w:hAnsi="Book Antiqua"/>
          <w:b/>
          <w:i/>
          <w:iCs/>
          <w:color w:val="000000" w:themeColor="text1"/>
          <w:sz w:val="24"/>
        </w:rPr>
      </w:pPr>
      <w:r w:rsidRPr="002B0C34">
        <w:rPr>
          <w:rFonts w:ascii="Book Antiqua" w:hAnsi="Book Antiqua"/>
          <w:b/>
          <w:i/>
          <w:iCs/>
          <w:color w:val="000000" w:themeColor="text1"/>
          <w:sz w:val="24"/>
        </w:rPr>
        <w:t>Patients</w:t>
      </w:r>
    </w:p>
    <w:p w14:paraId="48BD208F" w14:textId="77777777" w:rsidR="00182B6E" w:rsidRPr="00EA037B" w:rsidRDefault="00182B6E" w:rsidP="002B0C34">
      <w:pPr>
        <w:wordWrap/>
        <w:spacing w:line="360" w:lineRule="auto"/>
        <w:rPr>
          <w:rFonts w:ascii="Book Antiqua" w:hAnsi="Book Antiqua"/>
          <w:color w:val="000000" w:themeColor="text1"/>
          <w:sz w:val="24"/>
        </w:rPr>
      </w:pPr>
      <w:r w:rsidRPr="00EA037B">
        <w:rPr>
          <w:rFonts w:ascii="Book Antiqua" w:hAnsi="Book Antiqua"/>
          <w:color w:val="000000" w:themeColor="text1"/>
          <w:sz w:val="24"/>
        </w:rPr>
        <w:t xml:space="preserve">From January 2012 to December 2015, 720 patients underwent LADG with Billroth II anastosmosis or LAPPG for cT1N0 gastric cancer in the National Cancer Center, Korea. Among these patients, the following were excluded in the analysis; 309 patients whose primary tumor was located less than 5 cm from the pylorus, 9 patients who had multiple gastric cancers, 92 patients who received adjuvant chemotherapy because their postoperative pathological stages were stage II or III; 13 patients who had some other history of cancer before and after the gastrectomy; and 1 patient due to follow-up loss. </w:t>
      </w:r>
    </w:p>
    <w:p w14:paraId="1A96EAA3" w14:textId="77777777" w:rsidR="00182B6E" w:rsidRPr="00EA037B" w:rsidRDefault="00182B6E" w:rsidP="00EA037B">
      <w:pPr>
        <w:wordWrap/>
        <w:spacing w:line="360" w:lineRule="auto"/>
        <w:rPr>
          <w:rFonts w:ascii="Book Antiqua" w:hAnsi="Book Antiqua"/>
          <w:color w:val="000000" w:themeColor="text1"/>
          <w:sz w:val="24"/>
        </w:rPr>
      </w:pPr>
    </w:p>
    <w:p w14:paraId="2AB43D24" w14:textId="77777777" w:rsidR="00182B6E" w:rsidRPr="002B0C34" w:rsidRDefault="00182B6E" w:rsidP="00EA037B">
      <w:pPr>
        <w:wordWrap/>
        <w:spacing w:line="360" w:lineRule="auto"/>
        <w:rPr>
          <w:rFonts w:ascii="Book Antiqua" w:hAnsi="Book Antiqua"/>
          <w:b/>
          <w:i/>
          <w:iCs/>
          <w:color w:val="000000" w:themeColor="text1"/>
          <w:sz w:val="24"/>
        </w:rPr>
      </w:pPr>
      <w:r w:rsidRPr="002B0C34">
        <w:rPr>
          <w:rFonts w:ascii="Book Antiqua" w:hAnsi="Book Antiqua"/>
          <w:b/>
          <w:i/>
          <w:iCs/>
          <w:color w:val="000000" w:themeColor="text1"/>
          <w:sz w:val="24"/>
        </w:rPr>
        <w:t>Operation procedures</w:t>
      </w:r>
    </w:p>
    <w:p w14:paraId="5F9A6452" w14:textId="311DA2F8" w:rsidR="00182B6E" w:rsidRPr="00EA037B" w:rsidRDefault="00182B6E" w:rsidP="00EA037B">
      <w:pPr>
        <w:wordWrap/>
        <w:spacing w:line="360" w:lineRule="auto"/>
        <w:rPr>
          <w:rFonts w:ascii="Book Antiqua" w:hAnsi="Book Antiqua"/>
          <w:color w:val="000000" w:themeColor="text1"/>
          <w:sz w:val="24"/>
        </w:rPr>
      </w:pPr>
      <w:r w:rsidRPr="00EA037B">
        <w:rPr>
          <w:rFonts w:ascii="Book Antiqua" w:hAnsi="Book Antiqua"/>
          <w:color w:val="000000" w:themeColor="text1"/>
          <w:sz w:val="24"/>
        </w:rPr>
        <w:t>LAPPG was performed by four surgeons that were experienced in LADG (EBW, YHM, RKW, and KYW). Infrapyloric vessels were routinely preserved to maintain blood supply to the pyloric cuff, and the right gastric artery with lymph node station No. 5 was also preserved and dissected distally to the first branch of the right gastric artery. The hepatic and pyloric branches of the vagus nerves were preserved, while the celiac branch was generally not preserved. The extent of lymph node dissection was D1+ or more according to the treatment guidelines of the Japanese Gastric Cancer Association</w:t>
      </w:r>
      <w:r w:rsidRPr="00EA037B">
        <w:rPr>
          <w:rFonts w:ascii="Book Antiqua" w:hAnsi="Book Antiqua"/>
          <w:noProof/>
          <w:color w:val="000000" w:themeColor="text1"/>
          <w:sz w:val="24"/>
          <w:vertAlign w:val="superscript"/>
        </w:rPr>
        <w:t>[15]</w:t>
      </w:r>
      <w:r w:rsidR="007E1679" w:rsidRPr="00EA037B">
        <w:rPr>
          <w:rFonts w:ascii="Book Antiqua" w:hAnsi="Book Antiqua"/>
          <w:bCs/>
          <w:noProof/>
          <w:color w:val="000000" w:themeColor="text1"/>
          <w:sz w:val="24"/>
        </w:rPr>
        <w:t>.</w:t>
      </w:r>
      <w:r w:rsidRPr="00EA037B">
        <w:rPr>
          <w:rFonts w:ascii="Book Antiqua" w:hAnsi="Book Antiqua"/>
          <w:color w:val="000000" w:themeColor="text1"/>
          <w:sz w:val="24"/>
        </w:rPr>
        <w:t xml:space="preserve"> D1+ in the context of </w:t>
      </w:r>
      <w:r w:rsidR="002B0C34">
        <w:rPr>
          <w:rFonts w:ascii="Book Antiqua" w:hAnsi="Book Antiqua"/>
          <w:color w:val="000000" w:themeColor="text1"/>
          <w:sz w:val="24"/>
        </w:rPr>
        <w:t>PPG</w:t>
      </w:r>
      <w:r w:rsidRPr="00EA037B">
        <w:rPr>
          <w:rFonts w:ascii="Book Antiqua" w:hAnsi="Book Antiqua"/>
          <w:color w:val="000000" w:themeColor="text1"/>
          <w:sz w:val="24"/>
        </w:rPr>
        <w:t xml:space="preserve"> indicates </w:t>
      </w:r>
      <w:r w:rsidRPr="00EA037B">
        <w:rPr>
          <w:rFonts w:ascii="Book Antiqua" w:hAnsi="Book Antiqua"/>
          <w:color w:val="000000" w:themeColor="text1"/>
          <w:sz w:val="24"/>
        </w:rPr>
        <w:lastRenderedPageBreak/>
        <w:t xml:space="preserve">the lymph node station numbers 1, 3, 4sb, 4d, 6, 7, 8a, and 9. </w:t>
      </w:r>
    </w:p>
    <w:p w14:paraId="56E9C8A2" w14:textId="359263AE" w:rsidR="00182B6E" w:rsidRPr="00EA037B" w:rsidRDefault="00182B6E" w:rsidP="002B0C34">
      <w:pPr>
        <w:wordWrap/>
        <w:spacing w:line="360" w:lineRule="auto"/>
        <w:ind w:firstLineChars="100" w:firstLine="252"/>
        <w:rPr>
          <w:rFonts w:ascii="Book Antiqua" w:hAnsi="Book Antiqua"/>
          <w:color w:val="000000" w:themeColor="text1"/>
          <w:sz w:val="24"/>
        </w:rPr>
      </w:pPr>
      <w:r w:rsidRPr="00EA037B">
        <w:rPr>
          <w:rFonts w:ascii="Book Antiqua" w:hAnsi="Book Antiqua"/>
          <w:color w:val="000000" w:themeColor="text1"/>
          <w:sz w:val="24"/>
        </w:rPr>
        <w:t>After resection was completed, a short 4- to 5-cm midline incision was made, and the tumor location was checked by palpation of the proximal and distal clips. A 3- to 5-cm pyloric cuff remained after the resection of the distal portion, and the gastrogastrostomy was performed by a hand-sewn suture.</w:t>
      </w:r>
      <w:r w:rsidR="002B0C34">
        <w:rPr>
          <w:rFonts w:ascii="Book Antiqua" w:eastAsia="宋体" w:hAnsi="Book Antiqua" w:hint="eastAsia"/>
          <w:color w:val="000000" w:themeColor="text1"/>
          <w:sz w:val="24"/>
          <w:lang w:eastAsia="zh-CN"/>
        </w:rPr>
        <w:t xml:space="preserve"> </w:t>
      </w:r>
      <w:r w:rsidRPr="00EA037B">
        <w:rPr>
          <w:rFonts w:ascii="Book Antiqua" w:hAnsi="Book Antiqua"/>
          <w:color w:val="000000" w:themeColor="text1"/>
          <w:sz w:val="24"/>
        </w:rPr>
        <w:t xml:space="preserve">In LADG, the laparoscopic procedures were performed the same as those used in LAPPG, except for the dissection of the No. 5 and 6 lymph nodes and the vagus nerve. After the procedures, a gastrojejunal anastomosis (Billroth II) was performed extracorporeally through the same incision that was used for LAPPG. </w:t>
      </w:r>
    </w:p>
    <w:p w14:paraId="61C2D175" w14:textId="77777777" w:rsidR="00182B6E" w:rsidRPr="00EA037B" w:rsidRDefault="00182B6E" w:rsidP="00EA037B">
      <w:pPr>
        <w:wordWrap/>
        <w:spacing w:line="360" w:lineRule="auto"/>
        <w:rPr>
          <w:rFonts w:ascii="Book Antiqua" w:hAnsi="Book Antiqua"/>
          <w:color w:val="000000" w:themeColor="text1"/>
          <w:sz w:val="24"/>
        </w:rPr>
      </w:pPr>
    </w:p>
    <w:p w14:paraId="09EA50D8" w14:textId="77777777" w:rsidR="00182B6E" w:rsidRPr="002B0C34" w:rsidRDefault="00182B6E" w:rsidP="00EA037B">
      <w:pPr>
        <w:wordWrap/>
        <w:spacing w:line="360" w:lineRule="auto"/>
        <w:rPr>
          <w:rFonts w:ascii="Book Antiqua" w:hAnsi="Book Antiqua"/>
          <w:b/>
          <w:i/>
          <w:iCs/>
          <w:color w:val="000000" w:themeColor="text1"/>
          <w:sz w:val="24"/>
        </w:rPr>
      </w:pPr>
      <w:r w:rsidRPr="002B0C34">
        <w:rPr>
          <w:rFonts w:ascii="Book Antiqua" w:hAnsi="Book Antiqua"/>
          <w:b/>
          <w:i/>
          <w:iCs/>
          <w:color w:val="000000" w:themeColor="text1"/>
          <w:sz w:val="24"/>
        </w:rPr>
        <w:t>Outcome assessments</w:t>
      </w:r>
    </w:p>
    <w:p w14:paraId="7D2C320D" w14:textId="295FDE18" w:rsidR="00182B6E" w:rsidRPr="00EA037B" w:rsidRDefault="00182B6E" w:rsidP="002B0C34">
      <w:pPr>
        <w:wordWrap/>
        <w:spacing w:line="360" w:lineRule="auto"/>
        <w:rPr>
          <w:rFonts w:ascii="Book Antiqua" w:hAnsi="Book Antiqua"/>
          <w:color w:val="000000" w:themeColor="text1"/>
          <w:sz w:val="24"/>
        </w:rPr>
      </w:pPr>
      <w:r w:rsidRPr="00EA037B">
        <w:rPr>
          <w:rFonts w:ascii="Book Antiqua" w:hAnsi="Book Antiqua"/>
          <w:color w:val="000000" w:themeColor="text1"/>
          <w:sz w:val="24"/>
        </w:rPr>
        <w:t xml:space="preserve">Comorbidity was evaluated using the American Society of Anesthesiologists </w:t>
      </w:r>
      <w:r w:rsidR="00EC7849">
        <w:rPr>
          <w:rFonts w:ascii="Book Antiqua" w:hAnsi="Book Antiqua"/>
          <w:color w:val="000000" w:themeColor="text1"/>
          <w:sz w:val="24"/>
        </w:rPr>
        <w:t xml:space="preserve">(ASA) </w:t>
      </w:r>
      <w:r w:rsidRPr="00EA037B">
        <w:rPr>
          <w:rFonts w:ascii="Book Antiqua" w:hAnsi="Book Antiqua"/>
          <w:color w:val="000000" w:themeColor="text1"/>
          <w:sz w:val="24"/>
        </w:rPr>
        <w:t>physical status classification system</w:t>
      </w:r>
      <w:r w:rsidRPr="00EA037B">
        <w:rPr>
          <w:rFonts w:ascii="Book Antiqua" w:hAnsi="Book Antiqua"/>
          <w:noProof/>
          <w:color w:val="000000" w:themeColor="text1"/>
          <w:sz w:val="24"/>
          <w:vertAlign w:val="superscript"/>
        </w:rPr>
        <w:t>[16]</w:t>
      </w:r>
      <w:r w:rsidR="007E1679" w:rsidRPr="00EA037B">
        <w:rPr>
          <w:rFonts w:ascii="Book Antiqua" w:hAnsi="Book Antiqua"/>
          <w:bCs/>
          <w:noProof/>
          <w:color w:val="000000" w:themeColor="text1"/>
          <w:sz w:val="24"/>
        </w:rPr>
        <w:t>.</w:t>
      </w:r>
      <w:r w:rsidRPr="00EA037B">
        <w:rPr>
          <w:rFonts w:ascii="Book Antiqua" w:hAnsi="Book Antiqua"/>
          <w:color w:val="000000" w:themeColor="text1"/>
          <w:sz w:val="24"/>
        </w:rPr>
        <w:t xml:space="preserve"> Histological types were classified according to the 2010 World Health Organization classification</w:t>
      </w:r>
      <w:r w:rsidRPr="00EA037B">
        <w:rPr>
          <w:rFonts w:ascii="Book Antiqua" w:hAnsi="Book Antiqua"/>
          <w:noProof/>
          <w:color w:val="000000" w:themeColor="text1"/>
          <w:sz w:val="24"/>
          <w:vertAlign w:val="superscript"/>
        </w:rPr>
        <w:t>[17]</w:t>
      </w:r>
      <w:r w:rsidR="007E1679" w:rsidRPr="00EA037B">
        <w:rPr>
          <w:rFonts w:ascii="Book Antiqua" w:hAnsi="Book Antiqua"/>
          <w:bCs/>
          <w:noProof/>
          <w:color w:val="000000" w:themeColor="text1"/>
          <w:sz w:val="24"/>
        </w:rPr>
        <w:t>.</w:t>
      </w:r>
      <w:r w:rsidRPr="00EA037B">
        <w:rPr>
          <w:rFonts w:ascii="Book Antiqua" w:hAnsi="Book Antiqua"/>
          <w:color w:val="000000" w:themeColor="text1"/>
          <w:sz w:val="24"/>
        </w:rPr>
        <w:t xml:space="preserve"> When a tumor consisted of components of two or more histological types, the quantitative predominance was recorded as the histological type. The pathological stage was categorized according to the 8</w:t>
      </w:r>
      <w:r w:rsidRPr="00EA037B">
        <w:rPr>
          <w:rFonts w:ascii="Book Antiqua" w:hAnsi="Book Antiqua"/>
          <w:color w:val="000000" w:themeColor="text1"/>
          <w:sz w:val="24"/>
          <w:vertAlign w:val="superscript"/>
        </w:rPr>
        <w:t>th</w:t>
      </w:r>
      <w:r w:rsidRPr="00EA037B">
        <w:rPr>
          <w:rFonts w:ascii="Book Antiqua" w:hAnsi="Book Antiqua"/>
          <w:color w:val="000000" w:themeColor="text1"/>
          <w:sz w:val="24"/>
        </w:rPr>
        <w:t xml:space="preserve"> American Joint Committee on Tumor-Node-Metastasis classification system</w:t>
      </w:r>
      <w:r w:rsidRPr="00EA037B">
        <w:rPr>
          <w:rFonts w:ascii="Book Antiqua" w:hAnsi="Book Antiqua"/>
          <w:noProof/>
          <w:color w:val="000000" w:themeColor="text1"/>
          <w:sz w:val="24"/>
          <w:vertAlign w:val="superscript"/>
        </w:rPr>
        <w:t>[18]</w:t>
      </w:r>
      <w:r w:rsidR="007E1679" w:rsidRPr="00EA037B">
        <w:rPr>
          <w:rFonts w:ascii="Book Antiqua" w:hAnsi="Book Antiqua"/>
          <w:bCs/>
          <w:noProof/>
          <w:color w:val="000000" w:themeColor="text1"/>
          <w:sz w:val="24"/>
        </w:rPr>
        <w:t>.</w:t>
      </w:r>
      <w:r w:rsidRPr="00EA037B">
        <w:rPr>
          <w:rFonts w:ascii="Book Antiqua" w:hAnsi="Book Antiqua"/>
          <w:color w:val="000000" w:themeColor="text1"/>
          <w:sz w:val="24"/>
        </w:rPr>
        <w:t xml:space="preserve"> Postoperative symptom complications were evaluated using the Clavien-Dindo classification system within 1 month after surgery</w:t>
      </w:r>
      <w:r w:rsidRPr="00EA037B">
        <w:rPr>
          <w:rFonts w:ascii="Book Antiqua" w:hAnsi="Book Antiqua"/>
          <w:noProof/>
          <w:color w:val="000000" w:themeColor="text1"/>
          <w:sz w:val="24"/>
          <w:vertAlign w:val="superscript"/>
        </w:rPr>
        <w:t>[19]</w:t>
      </w:r>
      <w:r w:rsidR="007E1679" w:rsidRPr="00EA037B">
        <w:rPr>
          <w:rFonts w:ascii="Book Antiqua" w:hAnsi="Book Antiqua"/>
          <w:bCs/>
          <w:noProof/>
          <w:color w:val="000000" w:themeColor="text1"/>
          <w:sz w:val="24"/>
        </w:rPr>
        <w:t>.</w:t>
      </w:r>
      <w:r w:rsidRPr="00EA037B">
        <w:rPr>
          <w:rFonts w:ascii="Book Antiqua" w:hAnsi="Book Antiqua"/>
          <w:color w:val="000000" w:themeColor="text1"/>
          <w:sz w:val="24"/>
        </w:rPr>
        <w:t xml:space="preserve"> </w:t>
      </w:r>
    </w:p>
    <w:p w14:paraId="238916C8" w14:textId="63D4F215" w:rsidR="00182B6E" w:rsidRPr="00EA037B" w:rsidRDefault="00182B6E" w:rsidP="009F2CFE">
      <w:pPr>
        <w:wordWrap/>
        <w:spacing w:line="360" w:lineRule="auto"/>
        <w:ind w:firstLineChars="100" w:firstLine="252"/>
        <w:rPr>
          <w:rFonts w:ascii="Book Antiqua" w:hAnsi="Book Antiqua"/>
          <w:color w:val="000000" w:themeColor="text1"/>
          <w:sz w:val="24"/>
        </w:rPr>
      </w:pPr>
      <w:r w:rsidRPr="00EA037B">
        <w:rPr>
          <w:rFonts w:ascii="Book Antiqua" w:hAnsi="Book Antiqua"/>
          <w:color w:val="000000" w:themeColor="text1"/>
          <w:sz w:val="24"/>
        </w:rPr>
        <w:t xml:space="preserve">After surgery, the patients visited the outpatient clinic every 6 mo. Body weight, serum hemoglobin, protein, and albumin were checked during this visit and analyzed as nutritional outcomes. Patients with anemia were provided with iron supplementation at the outpatient clinic depending on patient symptoms, hemoglobin levels, and the discretion of the physician. In general, oral iron was administered by 80 mg of ferrous sulfate once or twice per day for a period of 3 or 6 mo. Intravenous iron was typically administered as a single dose of ferric carboxymaltose (500 mg). An esophagogastroduodenoscopy was performed </w:t>
      </w:r>
      <w:r w:rsidRPr="00EA037B">
        <w:rPr>
          <w:rFonts w:ascii="Book Antiqua" w:hAnsi="Book Antiqua"/>
          <w:color w:val="000000" w:themeColor="text1"/>
          <w:sz w:val="24"/>
        </w:rPr>
        <w:lastRenderedPageBreak/>
        <w:t xml:space="preserve">annually, and the patient was evaluated for the presence of bile reflux and the grade of residual food according to the following criteria; no food residue, liquid only, soft diet residue, and nearly normal diet residue. </w:t>
      </w:r>
    </w:p>
    <w:p w14:paraId="5D3BCC73" w14:textId="36D0AE36" w:rsidR="00182B6E" w:rsidRPr="00EA037B" w:rsidRDefault="00182B6E" w:rsidP="009F2CFE">
      <w:pPr>
        <w:wordWrap/>
        <w:spacing w:line="360" w:lineRule="auto"/>
        <w:ind w:firstLineChars="100" w:firstLine="252"/>
        <w:rPr>
          <w:rFonts w:ascii="Book Antiqua" w:hAnsi="Book Antiqua"/>
          <w:color w:val="000000" w:themeColor="text1"/>
          <w:sz w:val="24"/>
        </w:rPr>
      </w:pPr>
      <w:r w:rsidRPr="00EA037B">
        <w:rPr>
          <w:rFonts w:ascii="Book Antiqua" w:hAnsi="Book Antiqua"/>
          <w:color w:val="000000" w:themeColor="text1"/>
          <w:sz w:val="24"/>
        </w:rPr>
        <w:t>Postoperative QOL was estimated using the European Organization for Research and Treatment of Cancer (EORTC) QOL Questionnaire (QLQ) -C30 and the gastric cancer-specific module, STO22</w:t>
      </w:r>
      <w:r w:rsidRPr="00EA037B">
        <w:rPr>
          <w:rFonts w:ascii="Book Antiqua" w:hAnsi="Book Antiqua"/>
          <w:noProof/>
          <w:color w:val="000000" w:themeColor="text1"/>
          <w:sz w:val="24"/>
          <w:vertAlign w:val="superscript"/>
        </w:rPr>
        <w:t>[20]</w:t>
      </w:r>
      <w:r w:rsidR="007E1679" w:rsidRPr="00EA037B">
        <w:rPr>
          <w:rFonts w:ascii="Book Antiqua" w:hAnsi="Book Antiqua"/>
          <w:bCs/>
          <w:noProof/>
          <w:color w:val="000000" w:themeColor="text1"/>
          <w:sz w:val="24"/>
        </w:rPr>
        <w:t>.</w:t>
      </w:r>
      <w:r w:rsidRPr="00EA037B">
        <w:rPr>
          <w:rFonts w:ascii="Book Antiqua" w:hAnsi="Book Antiqua"/>
          <w:color w:val="000000" w:themeColor="text1"/>
          <w:sz w:val="24"/>
        </w:rPr>
        <w:t xml:space="preserve"> The EORTC QLQ-C30 is composed of a global health status/QOL scale, 5 functional scales and 9 symptom scales. The EORTC QLQ-STO22 is composed of 9 symptom scales. Each scale is represented by a score ranging from 0 to 100. A higher score indicates a better QOL as defined by the global health status and functional scales of the EORTC QLQ-C30, while a higher score indicates a poorer QOL on the symptom scale of the EORTC QLQ-C30 and STO22</w:t>
      </w:r>
      <w:r w:rsidRPr="00EA037B">
        <w:rPr>
          <w:rFonts w:ascii="Book Antiqua" w:hAnsi="Book Antiqua"/>
          <w:noProof/>
          <w:color w:val="000000" w:themeColor="text1"/>
          <w:sz w:val="24"/>
          <w:vertAlign w:val="superscript"/>
        </w:rPr>
        <w:t>[21]</w:t>
      </w:r>
      <w:r w:rsidR="007E1679" w:rsidRPr="00EA037B">
        <w:rPr>
          <w:rFonts w:ascii="Book Antiqua" w:hAnsi="Book Antiqua"/>
          <w:bCs/>
          <w:noProof/>
          <w:color w:val="000000" w:themeColor="text1"/>
          <w:sz w:val="24"/>
        </w:rPr>
        <w:t>.</w:t>
      </w:r>
      <w:r w:rsidRPr="00EA037B">
        <w:rPr>
          <w:rFonts w:ascii="Book Antiqua" w:hAnsi="Book Antiqua"/>
          <w:color w:val="000000" w:themeColor="text1"/>
          <w:sz w:val="24"/>
        </w:rPr>
        <w:t xml:space="preserve"> </w:t>
      </w:r>
    </w:p>
    <w:p w14:paraId="5A1F30CA" w14:textId="77777777" w:rsidR="00182B6E" w:rsidRPr="00EA037B" w:rsidRDefault="00182B6E" w:rsidP="00EA037B">
      <w:pPr>
        <w:wordWrap/>
        <w:spacing w:line="360" w:lineRule="auto"/>
        <w:ind w:firstLineChars="50" w:firstLine="126"/>
        <w:rPr>
          <w:rFonts w:ascii="Book Antiqua" w:hAnsi="Book Antiqua"/>
          <w:color w:val="000000" w:themeColor="text1"/>
          <w:sz w:val="24"/>
        </w:rPr>
      </w:pPr>
      <w:r w:rsidRPr="00EA037B">
        <w:rPr>
          <w:rFonts w:ascii="Book Antiqua" w:hAnsi="Book Antiqua"/>
          <w:color w:val="000000" w:themeColor="text1"/>
          <w:sz w:val="24"/>
        </w:rPr>
        <w:t>The QOL survey was performed between October 2016 and December 2018 for patients who underwent surgeries at least 2 years prior and visited the outpatient clinic. The period between surgery and the day that the questionnaire was administered varied, ranging from 2 to 5 years postoperatively.</w:t>
      </w:r>
    </w:p>
    <w:p w14:paraId="799FAD7D" w14:textId="77777777" w:rsidR="00182B6E" w:rsidRPr="00EA037B" w:rsidRDefault="00182B6E" w:rsidP="00EA037B">
      <w:pPr>
        <w:wordWrap/>
        <w:spacing w:line="360" w:lineRule="auto"/>
        <w:rPr>
          <w:rFonts w:ascii="Book Antiqua" w:hAnsi="Book Antiqua"/>
          <w:color w:val="000000" w:themeColor="text1"/>
          <w:sz w:val="24"/>
        </w:rPr>
      </w:pPr>
    </w:p>
    <w:p w14:paraId="7DCF9B21" w14:textId="79334C28" w:rsidR="00182B6E" w:rsidRPr="009F2CFE" w:rsidRDefault="00182B6E" w:rsidP="00EA037B">
      <w:pPr>
        <w:wordWrap/>
        <w:spacing w:line="360" w:lineRule="auto"/>
        <w:rPr>
          <w:rFonts w:ascii="Book Antiqua" w:hAnsi="Book Antiqua"/>
          <w:b/>
          <w:i/>
          <w:iCs/>
          <w:color w:val="000000" w:themeColor="text1"/>
          <w:sz w:val="24"/>
        </w:rPr>
      </w:pPr>
      <w:r w:rsidRPr="009F2CFE">
        <w:rPr>
          <w:rFonts w:ascii="Book Antiqua" w:hAnsi="Book Antiqua"/>
          <w:b/>
          <w:i/>
          <w:iCs/>
          <w:color w:val="000000" w:themeColor="text1"/>
          <w:sz w:val="24"/>
        </w:rPr>
        <w:t>Statistical analysis</w:t>
      </w:r>
    </w:p>
    <w:p w14:paraId="4C3BBFF5" w14:textId="02B86B1E" w:rsidR="00182B6E" w:rsidRPr="009F2CFE" w:rsidRDefault="00182B6E" w:rsidP="009F2CFE">
      <w:pPr>
        <w:wordWrap/>
        <w:spacing w:line="360" w:lineRule="auto"/>
        <w:rPr>
          <w:rFonts w:ascii="Book Antiqua" w:hAnsi="Book Antiqua"/>
          <w:color w:val="000000" w:themeColor="text1"/>
          <w:sz w:val="24"/>
        </w:rPr>
      </w:pPr>
      <w:r w:rsidRPr="00EA037B">
        <w:rPr>
          <w:rFonts w:ascii="Book Antiqua" w:hAnsi="Book Antiqua"/>
          <w:color w:val="000000" w:themeColor="text1"/>
          <w:sz w:val="24"/>
        </w:rPr>
        <w:t>The continuous variables are shown as the means ± standard deviations or the medians with interquartile ranges, and the categorical variables are presented as proportions. Differences between these groups were tested using a t-test or the Wilcoxon rank-sum test for continuous variables and the chi –square test or Fisher’s exact test for categorical variables. A mixed effect model was performed to analyze changes of the nutritional outcomes between the two groups. In the QOL analysis, each subscale or item is presented as the median and the interquartile range. The distribution of QOL scores did not follow a normal distribution. Therefore, nonparametric statistics (</w:t>
      </w:r>
      <w:r w:rsidRPr="009F2CFE">
        <w:rPr>
          <w:rFonts w:ascii="Book Antiqua" w:hAnsi="Book Antiqua"/>
          <w:i/>
          <w:iCs/>
          <w:color w:val="000000" w:themeColor="text1"/>
          <w:sz w:val="24"/>
        </w:rPr>
        <w:t>i.e</w:t>
      </w:r>
      <w:r w:rsidRPr="00EA037B">
        <w:rPr>
          <w:rFonts w:ascii="Book Antiqua" w:hAnsi="Book Antiqua"/>
          <w:color w:val="000000" w:themeColor="text1"/>
          <w:sz w:val="24"/>
        </w:rPr>
        <w:t>., the Willcoxon rank-sum test) were used to evaluate their statistical significance.</w:t>
      </w:r>
      <w:r w:rsidR="009F2CFE">
        <w:rPr>
          <w:rFonts w:ascii="Book Antiqua" w:eastAsia="宋体" w:hAnsi="Book Antiqua" w:hint="eastAsia"/>
          <w:color w:val="000000" w:themeColor="text1"/>
          <w:sz w:val="24"/>
          <w:lang w:eastAsia="zh-CN"/>
        </w:rPr>
        <w:t xml:space="preserve"> </w:t>
      </w:r>
      <w:r w:rsidRPr="00EA037B">
        <w:rPr>
          <w:rFonts w:ascii="Book Antiqua" w:hAnsi="Book Antiqua"/>
          <w:color w:val="000000" w:themeColor="text1"/>
          <w:sz w:val="24"/>
        </w:rPr>
        <w:t xml:space="preserve">Data analyses were conducted </w:t>
      </w:r>
      <w:r w:rsidRPr="00EA037B">
        <w:rPr>
          <w:rFonts w:ascii="Book Antiqua" w:hAnsi="Book Antiqua"/>
          <w:color w:val="000000" w:themeColor="text1"/>
          <w:sz w:val="24"/>
        </w:rPr>
        <w:lastRenderedPageBreak/>
        <w:t>using SAS version 9.4 (SAS Institute Inc., Cary, NC</w:t>
      </w:r>
      <w:r w:rsidR="009F2CFE">
        <w:rPr>
          <w:rFonts w:ascii="Book Antiqua" w:hAnsi="Book Antiqua"/>
          <w:color w:val="000000" w:themeColor="text1"/>
          <w:sz w:val="24"/>
        </w:rPr>
        <w:t>, United States</w:t>
      </w:r>
      <w:r w:rsidRPr="00EA037B">
        <w:rPr>
          <w:rFonts w:ascii="Book Antiqua" w:hAnsi="Book Antiqua"/>
          <w:color w:val="000000" w:themeColor="text1"/>
          <w:sz w:val="24"/>
        </w:rPr>
        <w:t xml:space="preserve">). </w:t>
      </w:r>
      <w:r w:rsidRPr="009F2CFE">
        <w:rPr>
          <w:rFonts w:ascii="Book Antiqua" w:hAnsi="Book Antiqua"/>
          <w:i/>
          <w:iCs/>
          <w:color w:val="000000" w:themeColor="text1"/>
          <w:sz w:val="24"/>
        </w:rPr>
        <w:t>P</w:t>
      </w:r>
      <w:r w:rsidRPr="00EA037B">
        <w:rPr>
          <w:rFonts w:ascii="Book Antiqua" w:hAnsi="Book Antiqua"/>
          <w:color w:val="000000" w:themeColor="text1"/>
          <w:sz w:val="24"/>
        </w:rPr>
        <w:t xml:space="preserve"> values less than 0.05 were considered significant.</w:t>
      </w:r>
    </w:p>
    <w:p w14:paraId="2B400946" w14:textId="0F39B750" w:rsidR="00182B6E" w:rsidRPr="00EA037B" w:rsidRDefault="00182B6E" w:rsidP="00EA037B">
      <w:pPr>
        <w:widowControl/>
        <w:wordWrap/>
        <w:autoSpaceDE/>
        <w:autoSpaceDN/>
        <w:spacing w:line="360" w:lineRule="auto"/>
        <w:rPr>
          <w:rFonts w:ascii="Book Antiqua" w:hAnsi="Book Antiqua"/>
          <w:b/>
          <w:color w:val="000000" w:themeColor="text1"/>
          <w:sz w:val="24"/>
        </w:rPr>
      </w:pPr>
    </w:p>
    <w:p w14:paraId="5AE3C632" w14:textId="77F205FB" w:rsidR="00182B6E" w:rsidRPr="009F2CFE" w:rsidRDefault="00182B6E" w:rsidP="00EA037B">
      <w:pPr>
        <w:wordWrap/>
        <w:spacing w:line="360" w:lineRule="auto"/>
        <w:rPr>
          <w:rFonts w:ascii="Book Antiqua" w:hAnsi="Book Antiqua"/>
          <w:b/>
          <w:bCs/>
          <w:i/>
          <w:iCs/>
          <w:caps/>
          <w:color w:val="000000" w:themeColor="text1"/>
          <w:sz w:val="24"/>
        </w:rPr>
      </w:pPr>
      <w:r w:rsidRPr="009F2CFE">
        <w:rPr>
          <w:rFonts w:ascii="Book Antiqua" w:hAnsi="Book Antiqua"/>
          <w:b/>
          <w:bCs/>
          <w:i/>
          <w:iCs/>
          <w:color w:val="000000" w:themeColor="text1"/>
          <w:sz w:val="24"/>
        </w:rPr>
        <w:t>RESULTS</w:t>
      </w:r>
    </w:p>
    <w:p w14:paraId="6F3758CF" w14:textId="77777777" w:rsidR="00182B6E" w:rsidRPr="009F2CFE" w:rsidRDefault="00182B6E" w:rsidP="00EA037B">
      <w:pPr>
        <w:wordWrap/>
        <w:spacing w:line="360" w:lineRule="auto"/>
        <w:rPr>
          <w:rFonts w:ascii="Book Antiqua" w:hAnsi="Book Antiqua"/>
          <w:b/>
          <w:i/>
          <w:iCs/>
          <w:color w:val="000000" w:themeColor="text1"/>
          <w:sz w:val="24"/>
        </w:rPr>
      </w:pPr>
      <w:r w:rsidRPr="009F2CFE">
        <w:rPr>
          <w:rFonts w:ascii="Book Antiqua" w:hAnsi="Book Antiqua"/>
          <w:b/>
          <w:i/>
          <w:iCs/>
          <w:color w:val="000000" w:themeColor="text1"/>
          <w:sz w:val="24"/>
        </w:rPr>
        <w:t>Clinicopathological characteristics and hospital course</w:t>
      </w:r>
    </w:p>
    <w:p w14:paraId="3956E593" w14:textId="1D2B2CF0" w:rsidR="00182B6E" w:rsidRPr="00EA037B" w:rsidRDefault="00182B6E" w:rsidP="009F2CFE">
      <w:pPr>
        <w:wordWrap/>
        <w:spacing w:line="360" w:lineRule="auto"/>
        <w:rPr>
          <w:rFonts w:ascii="Book Antiqua" w:hAnsi="Book Antiqua"/>
          <w:color w:val="000000" w:themeColor="text1"/>
          <w:sz w:val="24"/>
        </w:rPr>
      </w:pPr>
      <w:r w:rsidRPr="00EA037B">
        <w:rPr>
          <w:rFonts w:ascii="Book Antiqua" w:hAnsi="Book Antiqua"/>
          <w:color w:val="000000" w:themeColor="text1"/>
          <w:sz w:val="24"/>
        </w:rPr>
        <w:t>Among the 720 patients, 195 patients with LADG and 101 patients with LAPPG were ultimately included in this study (Fig</w:t>
      </w:r>
      <w:r w:rsidR="009F2CFE">
        <w:rPr>
          <w:rFonts w:ascii="Book Antiqua" w:hAnsi="Book Antiqua"/>
          <w:color w:val="000000" w:themeColor="text1"/>
          <w:sz w:val="24"/>
        </w:rPr>
        <w:t xml:space="preserve">ure </w:t>
      </w:r>
      <w:r w:rsidRPr="00EA037B">
        <w:rPr>
          <w:rFonts w:ascii="Book Antiqua" w:hAnsi="Book Antiqua"/>
          <w:color w:val="000000" w:themeColor="text1"/>
          <w:sz w:val="24"/>
        </w:rPr>
        <w:t xml:space="preserve">1). There were no significant differences in baseline demographics, including age, sex, </w:t>
      </w:r>
      <w:r w:rsidR="001D780A">
        <w:rPr>
          <w:rFonts w:ascii="Book Antiqua" w:hAnsi="Book Antiqua"/>
          <w:color w:val="000000" w:themeColor="text1"/>
          <w:sz w:val="24"/>
        </w:rPr>
        <w:t>body mass index</w:t>
      </w:r>
      <w:r w:rsidRPr="00EA037B">
        <w:rPr>
          <w:rFonts w:ascii="Book Antiqua" w:hAnsi="Book Antiqua"/>
          <w:color w:val="000000" w:themeColor="text1"/>
          <w:sz w:val="24"/>
        </w:rPr>
        <w:t>, and ASA classification (Table 1). The pathological results showed that the distal margin was shorter, and there were less harvested lymph nodes in the LAPPG group when compared to the LADG groups (</w:t>
      </w:r>
      <w:r w:rsidR="00EC7849" w:rsidRPr="00EC7849">
        <w:rPr>
          <w:rFonts w:ascii="Book Antiqua" w:hAnsi="Book Antiqua"/>
          <w:i/>
          <w:iCs/>
          <w:color w:val="000000" w:themeColor="text1"/>
          <w:sz w:val="24"/>
        </w:rPr>
        <w:t>P</w:t>
      </w:r>
      <w:r w:rsidRPr="00EA037B">
        <w:rPr>
          <w:rFonts w:ascii="Book Antiqua" w:hAnsi="Book Antiqua"/>
          <w:color w:val="000000" w:themeColor="text1"/>
          <w:sz w:val="24"/>
        </w:rPr>
        <w:t xml:space="preserve"> &lt; 0.001 and</w:t>
      </w:r>
      <w:r w:rsidR="00EC7849" w:rsidRPr="00EC7849">
        <w:rPr>
          <w:rFonts w:ascii="Book Antiqua" w:hAnsi="Book Antiqua"/>
          <w:i/>
          <w:iCs/>
          <w:color w:val="000000" w:themeColor="text1"/>
          <w:sz w:val="24"/>
        </w:rPr>
        <w:t xml:space="preserve"> P</w:t>
      </w:r>
      <w:r w:rsidR="00EC7849" w:rsidRPr="00EA037B">
        <w:rPr>
          <w:rFonts w:ascii="Book Antiqua" w:hAnsi="Book Antiqua"/>
          <w:color w:val="000000" w:themeColor="text1"/>
          <w:sz w:val="24"/>
        </w:rPr>
        <w:t xml:space="preserve"> </w:t>
      </w:r>
      <w:r w:rsidRPr="00EA037B">
        <w:rPr>
          <w:rFonts w:ascii="Book Antiqua" w:hAnsi="Book Antiqua"/>
          <w:color w:val="000000" w:themeColor="text1"/>
          <w:sz w:val="24"/>
        </w:rPr>
        <w:t xml:space="preserve">= 0.046, respectively). The operative time was longer in the LAPPG group (median, 150 min </w:t>
      </w:r>
      <w:r w:rsidRPr="00EC7849">
        <w:rPr>
          <w:rFonts w:ascii="Book Antiqua" w:hAnsi="Book Antiqua"/>
          <w:i/>
          <w:iCs/>
          <w:color w:val="000000" w:themeColor="text1"/>
          <w:sz w:val="24"/>
        </w:rPr>
        <w:t>vs</w:t>
      </w:r>
      <w:r w:rsidRPr="00EA037B">
        <w:rPr>
          <w:rFonts w:ascii="Book Antiqua" w:hAnsi="Book Antiqua"/>
          <w:color w:val="000000" w:themeColor="text1"/>
          <w:sz w:val="24"/>
        </w:rPr>
        <w:t xml:space="preserve"> 210 min</w:t>
      </w:r>
      <w:r w:rsidR="00EC7849">
        <w:rPr>
          <w:rFonts w:ascii="Book Antiqua" w:hAnsi="Book Antiqua"/>
          <w:color w:val="000000" w:themeColor="text1"/>
          <w:sz w:val="24"/>
        </w:rPr>
        <w:t>,</w:t>
      </w:r>
      <w:r w:rsidRPr="00EA037B">
        <w:rPr>
          <w:rFonts w:ascii="Book Antiqua" w:hAnsi="Book Antiqua"/>
          <w:color w:val="000000" w:themeColor="text1"/>
          <w:sz w:val="24"/>
        </w:rPr>
        <w:t xml:space="preserve"> </w:t>
      </w:r>
      <w:r w:rsidR="00EC7849" w:rsidRPr="00EC7849">
        <w:rPr>
          <w:rFonts w:ascii="Book Antiqua" w:hAnsi="Book Antiqua"/>
          <w:i/>
          <w:iCs/>
          <w:color w:val="000000" w:themeColor="text1"/>
          <w:sz w:val="24"/>
        </w:rPr>
        <w:t>P</w:t>
      </w:r>
      <w:r w:rsidRPr="00EA037B">
        <w:rPr>
          <w:rFonts w:ascii="Book Antiqua" w:hAnsi="Book Antiqua"/>
          <w:color w:val="000000" w:themeColor="text1"/>
          <w:sz w:val="24"/>
        </w:rPr>
        <w:t xml:space="preserve"> &lt; 0.001), while the estimated blood loss and the length of hospital stay were not significantly different between the two groups. </w:t>
      </w:r>
    </w:p>
    <w:p w14:paraId="55B2134A" w14:textId="77777777" w:rsidR="00182B6E" w:rsidRPr="00EA037B" w:rsidRDefault="00182B6E" w:rsidP="00EA037B">
      <w:pPr>
        <w:wordWrap/>
        <w:spacing w:line="360" w:lineRule="auto"/>
        <w:rPr>
          <w:rFonts w:ascii="Book Antiqua" w:hAnsi="Book Antiqua"/>
          <w:color w:val="000000" w:themeColor="text1"/>
          <w:sz w:val="24"/>
        </w:rPr>
      </w:pPr>
    </w:p>
    <w:p w14:paraId="2B9AE463" w14:textId="77777777" w:rsidR="00182B6E" w:rsidRPr="00EC7849" w:rsidRDefault="00182B6E" w:rsidP="00EA037B">
      <w:pPr>
        <w:wordWrap/>
        <w:spacing w:line="360" w:lineRule="auto"/>
        <w:rPr>
          <w:rFonts w:ascii="Book Antiqua" w:hAnsi="Book Antiqua"/>
          <w:b/>
          <w:i/>
          <w:iCs/>
          <w:color w:val="000000" w:themeColor="text1"/>
          <w:sz w:val="24"/>
        </w:rPr>
      </w:pPr>
      <w:r w:rsidRPr="00EC7849">
        <w:rPr>
          <w:rFonts w:ascii="Book Antiqua" w:hAnsi="Book Antiqua"/>
          <w:b/>
          <w:i/>
          <w:iCs/>
          <w:color w:val="000000" w:themeColor="text1"/>
          <w:sz w:val="24"/>
        </w:rPr>
        <w:t>Postoperative complications</w:t>
      </w:r>
    </w:p>
    <w:p w14:paraId="70387005" w14:textId="2B49D4C7" w:rsidR="00182B6E" w:rsidRPr="00EA037B" w:rsidRDefault="00182B6E" w:rsidP="00EC7849">
      <w:pPr>
        <w:wordWrap/>
        <w:spacing w:line="360" w:lineRule="auto"/>
        <w:rPr>
          <w:rFonts w:ascii="Book Antiqua" w:hAnsi="Book Antiqua"/>
          <w:color w:val="000000" w:themeColor="text1"/>
          <w:sz w:val="24"/>
        </w:rPr>
      </w:pPr>
      <w:r w:rsidRPr="00EA037B">
        <w:rPr>
          <w:rFonts w:ascii="Book Antiqua" w:hAnsi="Book Antiqua"/>
          <w:color w:val="000000" w:themeColor="text1"/>
          <w:sz w:val="24"/>
        </w:rPr>
        <w:t>The incidence of overall early complications was not significantly different between the LADG and LAPPG groups (Table 2). There were also no significant differences in any of the severity grades of the Clavien-Dindo classification. However, the incidence of delayed gastric emptying was higher in the LAPPG group (</w:t>
      </w:r>
      <w:r w:rsidR="00EC7849" w:rsidRPr="00EC7849">
        <w:rPr>
          <w:rFonts w:ascii="Book Antiqua" w:hAnsi="Book Antiqua"/>
          <w:i/>
          <w:iCs/>
          <w:color w:val="000000" w:themeColor="text1"/>
          <w:sz w:val="24"/>
        </w:rPr>
        <w:t>P</w:t>
      </w:r>
      <w:r w:rsidRPr="00EA037B">
        <w:rPr>
          <w:rFonts w:ascii="Book Antiqua" w:hAnsi="Book Antiqua"/>
          <w:color w:val="000000" w:themeColor="text1"/>
          <w:sz w:val="24"/>
        </w:rPr>
        <w:t xml:space="preserve"> = 0.001). Four patients with grade III delayed gastric emptying were treated with endoscopic Botox injections, after which they improved</w:t>
      </w:r>
      <w:r w:rsidRPr="00EA037B">
        <w:rPr>
          <w:rFonts w:ascii="Book Antiqua" w:hAnsi="Book Antiqua"/>
          <w:noProof/>
          <w:color w:val="000000" w:themeColor="text1"/>
          <w:sz w:val="24"/>
          <w:vertAlign w:val="superscript"/>
        </w:rPr>
        <w:t>[22]</w:t>
      </w:r>
      <w:r w:rsidR="007E1679" w:rsidRPr="00EA037B">
        <w:rPr>
          <w:rFonts w:ascii="Book Antiqua" w:hAnsi="Book Antiqua"/>
          <w:bCs/>
          <w:noProof/>
          <w:color w:val="000000" w:themeColor="text1"/>
          <w:sz w:val="24"/>
        </w:rPr>
        <w:t>.</w:t>
      </w:r>
      <w:r w:rsidRPr="00EA037B">
        <w:rPr>
          <w:rFonts w:ascii="Book Antiqua" w:hAnsi="Book Antiqua"/>
          <w:color w:val="000000" w:themeColor="text1"/>
          <w:sz w:val="24"/>
        </w:rPr>
        <w:t xml:space="preserve"> </w:t>
      </w:r>
    </w:p>
    <w:p w14:paraId="402E69A6" w14:textId="77777777" w:rsidR="00182B6E" w:rsidRPr="00EA037B" w:rsidRDefault="00182B6E" w:rsidP="00EA037B">
      <w:pPr>
        <w:wordWrap/>
        <w:spacing w:line="360" w:lineRule="auto"/>
        <w:rPr>
          <w:rFonts w:ascii="Book Antiqua" w:hAnsi="Book Antiqua"/>
          <w:color w:val="000000" w:themeColor="text1"/>
          <w:sz w:val="24"/>
        </w:rPr>
      </w:pPr>
    </w:p>
    <w:p w14:paraId="4F97ECA1" w14:textId="77777777" w:rsidR="00182B6E" w:rsidRPr="00EC7849" w:rsidRDefault="00182B6E" w:rsidP="00EC7849">
      <w:pPr>
        <w:wordWrap/>
        <w:spacing w:line="360" w:lineRule="auto"/>
        <w:rPr>
          <w:rFonts w:ascii="Book Antiqua" w:hAnsi="Book Antiqua"/>
          <w:b/>
          <w:i/>
          <w:iCs/>
          <w:color w:val="000000" w:themeColor="text1"/>
          <w:sz w:val="24"/>
        </w:rPr>
      </w:pPr>
      <w:r w:rsidRPr="00EC7849">
        <w:rPr>
          <w:rFonts w:ascii="Book Antiqua" w:hAnsi="Book Antiqua"/>
          <w:b/>
          <w:i/>
          <w:iCs/>
          <w:color w:val="000000" w:themeColor="text1"/>
          <w:sz w:val="24"/>
        </w:rPr>
        <w:t>Nutritional outcomes</w:t>
      </w:r>
    </w:p>
    <w:p w14:paraId="125DC8D6" w14:textId="13CF1494" w:rsidR="00182B6E" w:rsidRPr="00EA037B" w:rsidRDefault="00182B6E" w:rsidP="00EC7849">
      <w:pPr>
        <w:wordWrap/>
        <w:spacing w:line="360" w:lineRule="auto"/>
        <w:rPr>
          <w:rFonts w:ascii="Book Antiqua" w:hAnsi="Book Antiqua"/>
          <w:color w:val="000000" w:themeColor="text1"/>
          <w:sz w:val="24"/>
        </w:rPr>
      </w:pPr>
      <w:r w:rsidRPr="00EA037B">
        <w:rPr>
          <w:rFonts w:ascii="Book Antiqua" w:hAnsi="Book Antiqua"/>
          <w:color w:val="000000" w:themeColor="text1"/>
          <w:sz w:val="24"/>
        </w:rPr>
        <w:t>Fig</w:t>
      </w:r>
      <w:r w:rsidR="00EC7849">
        <w:rPr>
          <w:rFonts w:ascii="Book Antiqua" w:hAnsi="Book Antiqua"/>
          <w:color w:val="000000" w:themeColor="text1"/>
          <w:sz w:val="24"/>
        </w:rPr>
        <w:t>ure</w:t>
      </w:r>
      <w:r w:rsidRPr="00EA037B">
        <w:rPr>
          <w:rFonts w:ascii="Book Antiqua" w:hAnsi="Book Antiqua"/>
          <w:color w:val="000000" w:themeColor="text1"/>
          <w:sz w:val="24"/>
        </w:rPr>
        <w:t xml:space="preserve"> 1 shows the comparison of long-term nutritional outcomes between the LADG and LAPPG groups. In the LAPPG group, hemoglobin levels gradually increased and had almost recovered by postoperative year 5. However, decreased hemoglobin levels persisted in the LADG group. Hemoglobin levels </w:t>
      </w:r>
      <w:r w:rsidRPr="00EA037B">
        <w:rPr>
          <w:rFonts w:ascii="Book Antiqua" w:hAnsi="Book Antiqua"/>
          <w:color w:val="000000" w:themeColor="text1"/>
          <w:sz w:val="24"/>
        </w:rPr>
        <w:lastRenderedPageBreak/>
        <w:t>were significantly higher in the LAPPG group than in the LADG group (</w:t>
      </w:r>
      <w:r w:rsidR="002128D6" w:rsidRPr="002128D6">
        <w:rPr>
          <w:rFonts w:ascii="Book Antiqua" w:hAnsi="Book Antiqua"/>
          <w:i/>
          <w:iCs/>
          <w:color w:val="000000" w:themeColor="text1"/>
          <w:sz w:val="24"/>
        </w:rPr>
        <w:t>P</w:t>
      </w:r>
      <w:r w:rsidR="002128D6">
        <w:rPr>
          <w:rFonts w:ascii="Book Antiqua" w:hAnsi="Book Antiqua"/>
          <w:color w:val="000000" w:themeColor="text1"/>
          <w:sz w:val="24"/>
        </w:rPr>
        <w:t xml:space="preserve"> </w:t>
      </w:r>
      <w:r w:rsidRPr="00EA037B">
        <w:rPr>
          <w:rFonts w:ascii="Book Antiqua" w:hAnsi="Book Antiqua"/>
          <w:color w:val="000000" w:themeColor="text1"/>
          <w:sz w:val="24"/>
        </w:rPr>
        <w:t>&lt;</w:t>
      </w:r>
      <w:r w:rsidR="002128D6">
        <w:rPr>
          <w:rFonts w:ascii="Book Antiqua" w:hAnsi="Book Antiqua"/>
          <w:color w:val="000000" w:themeColor="text1"/>
          <w:sz w:val="24"/>
        </w:rPr>
        <w:t xml:space="preserve"> </w:t>
      </w:r>
      <w:r w:rsidRPr="00EA037B">
        <w:rPr>
          <w:rFonts w:ascii="Book Antiqua" w:hAnsi="Book Antiqua"/>
          <w:color w:val="000000" w:themeColor="text1"/>
          <w:sz w:val="24"/>
        </w:rPr>
        <w:t>0.001). Iron supplementation in the outpatient clinic was also evaluated; the proportions of patients who were administered any iron supplement were similar between the two groups (22.1</w:t>
      </w:r>
      <w:r w:rsidR="001D1ECB" w:rsidRPr="00EA037B">
        <w:rPr>
          <w:rFonts w:ascii="Book Antiqua" w:hAnsi="Book Antiqua"/>
          <w:color w:val="000000" w:themeColor="text1"/>
          <w:sz w:val="24"/>
        </w:rPr>
        <w:t xml:space="preserve">% </w:t>
      </w:r>
      <w:r w:rsidR="001D1ECB" w:rsidRPr="002128D6">
        <w:rPr>
          <w:rFonts w:ascii="Book Antiqua" w:hAnsi="Book Antiqua"/>
          <w:i/>
          <w:iCs/>
          <w:color w:val="000000" w:themeColor="text1"/>
          <w:sz w:val="24"/>
        </w:rPr>
        <w:t>vs</w:t>
      </w:r>
      <w:r w:rsidR="001D1ECB" w:rsidRPr="00EA037B">
        <w:rPr>
          <w:rFonts w:ascii="Book Antiqua" w:hAnsi="Book Antiqua"/>
          <w:color w:val="000000" w:themeColor="text1"/>
          <w:sz w:val="24"/>
        </w:rPr>
        <w:t xml:space="preserve"> 19.8%, </w:t>
      </w:r>
      <w:r w:rsidR="002128D6" w:rsidRPr="002128D6">
        <w:rPr>
          <w:rFonts w:ascii="Book Antiqua" w:hAnsi="Book Antiqua"/>
          <w:i/>
          <w:iCs/>
          <w:color w:val="000000" w:themeColor="text1"/>
          <w:sz w:val="24"/>
        </w:rPr>
        <w:t>P</w:t>
      </w:r>
      <w:r w:rsidR="001D1ECB" w:rsidRPr="00EA037B">
        <w:rPr>
          <w:rFonts w:ascii="Book Antiqua" w:hAnsi="Book Antiqua"/>
          <w:color w:val="000000" w:themeColor="text1"/>
          <w:sz w:val="24"/>
        </w:rPr>
        <w:t xml:space="preserve"> = 0.765) (Table S</w:t>
      </w:r>
      <w:r w:rsidRPr="00EA037B">
        <w:rPr>
          <w:rFonts w:ascii="Book Antiqua" w:hAnsi="Book Antiqua"/>
          <w:color w:val="000000" w:themeColor="text1"/>
          <w:sz w:val="24"/>
        </w:rPr>
        <w:t xml:space="preserve">1). </w:t>
      </w:r>
    </w:p>
    <w:p w14:paraId="03A0E3D3" w14:textId="1BCAE2B7" w:rsidR="00182B6E" w:rsidRPr="00EA037B" w:rsidRDefault="00182B6E" w:rsidP="002128D6">
      <w:pPr>
        <w:wordWrap/>
        <w:spacing w:line="360" w:lineRule="auto"/>
        <w:ind w:firstLineChars="100" w:firstLine="252"/>
        <w:rPr>
          <w:rFonts w:ascii="Book Antiqua" w:hAnsi="Book Antiqua"/>
          <w:color w:val="000000" w:themeColor="text1"/>
          <w:sz w:val="24"/>
        </w:rPr>
      </w:pPr>
      <w:r w:rsidRPr="00EA037B">
        <w:rPr>
          <w:rFonts w:ascii="Book Antiqua" w:hAnsi="Book Antiqua"/>
          <w:color w:val="000000" w:themeColor="text1"/>
          <w:sz w:val="24"/>
        </w:rPr>
        <w:t>Serum protein decreased after surgery but increased after 1</w:t>
      </w:r>
      <w:r w:rsidR="002128D6">
        <w:rPr>
          <w:rFonts w:ascii="Book Antiqua" w:hAnsi="Book Antiqua"/>
          <w:color w:val="000000" w:themeColor="text1"/>
          <w:sz w:val="24"/>
        </w:rPr>
        <w:t>-</w:t>
      </w:r>
      <w:r w:rsidRPr="00EA037B">
        <w:rPr>
          <w:rFonts w:ascii="Book Antiqua" w:hAnsi="Book Antiqua"/>
          <w:color w:val="000000" w:themeColor="text1"/>
          <w:sz w:val="24"/>
        </w:rPr>
        <w:t>2 years postoperatively in both groups. Serum albumin continuously decreased after surgery. There were no significant differences in the changes of serum protein and albumin level between the two groups (</w:t>
      </w:r>
      <w:r w:rsidR="002128D6" w:rsidRPr="002128D6">
        <w:rPr>
          <w:rFonts w:ascii="Book Antiqua" w:hAnsi="Book Antiqua"/>
          <w:i/>
          <w:iCs/>
          <w:color w:val="000000" w:themeColor="text1"/>
          <w:sz w:val="24"/>
        </w:rPr>
        <w:t>P</w:t>
      </w:r>
      <w:r w:rsidR="002128D6">
        <w:rPr>
          <w:rFonts w:ascii="Book Antiqua" w:hAnsi="Book Antiqua"/>
          <w:color w:val="000000" w:themeColor="text1"/>
          <w:sz w:val="24"/>
        </w:rPr>
        <w:t xml:space="preserve"> </w:t>
      </w:r>
      <w:r w:rsidRPr="00EA037B">
        <w:rPr>
          <w:rFonts w:ascii="Book Antiqua" w:hAnsi="Book Antiqua"/>
          <w:color w:val="000000" w:themeColor="text1"/>
          <w:sz w:val="24"/>
        </w:rPr>
        <w:t>=</w:t>
      </w:r>
      <w:r w:rsidR="002128D6">
        <w:rPr>
          <w:rFonts w:ascii="Book Antiqua" w:hAnsi="Book Antiqua"/>
          <w:color w:val="000000" w:themeColor="text1"/>
          <w:sz w:val="24"/>
        </w:rPr>
        <w:t xml:space="preserve"> </w:t>
      </w:r>
      <w:r w:rsidRPr="00EA037B">
        <w:rPr>
          <w:rFonts w:ascii="Book Antiqua" w:hAnsi="Book Antiqua"/>
          <w:color w:val="000000" w:themeColor="text1"/>
          <w:sz w:val="24"/>
        </w:rPr>
        <w:t>0.083 and 0.304, respectively). After surgery, a loss of body weight of approximately 5</w:t>
      </w:r>
      <w:r w:rsidR="002128D6">
        <w:rPr>
          <w:rFonts w:ascii="Book Antiqua" w:hAnsi="Book Antiqua"/>
          <w:color w:val="000000" w:themeColor="text1"/>
          <w:sz w:val="24"/>
        </w:rPr>
        <w:t>-</w:t>
      </w:r>
      <w:r w:rsidRPr="00EA037B">
        <w:rPr>
          <w:rFonts w:ascii="Book Antiqua" w:hAnsi="Book Antiqua"/>
          <w:color w:val="000000" w:themeColor="text1"/>
          <w:sz w:val="24"/>
        </w:rPr>
        <w:t>6 kg was observed in both groups, and the decreased body weight persisted in the follow-up period. There were no significant differences in the changes in body weight between the two groups (</w:t>
      </w:r>
      <w:r w:rsidR="002128D6" w:rsidRPr="002128D6">
        <w:rPr>
          <w:rFonts w:ascii="Book Antiqua" w:hAnsi="Book Antiqua"/>
          <w:i/>
          <w:iCs/>
          <w:color w:val="000000" w:themeColor="text1"/>
          <w:sz w:val="24"/>
        </w:rPr>
        <w:t>P</w:t>
      </w:r>
      <w:r w:rsidR="002128D6">
        <w:rPr>
          <w:rFonts w:ascii="Book Antiqua" w:hAnsi="Book Antiqua"/>
          <w:color w:val="000000" w:themeColor="text1"/>
          <w:sz w:val="24"/>
        </w:rPr>
        <w:t xml:space="preserve"> </w:t>
      </w:r>
      <w:r w:rsidRPr="00EA037B">
        <w:rPr>
          <w:rFonts w:ascii="Book Antiqua" w:hAnsi="Book Antiqua"/>
          <w:color w:val="000000" w:themeColor="text1"/>
          <w:sz w:val="24"/>
        </w:rPr>
        <w:t>=</w:t>
      </w:r>
      <w:r w:rsidR="002128D6">
        <w:rPr>
          <w:rFonts w:ascii="Book Antiqua" w:hAnsi="Book Antiqua"/>
          <w:color w:val="000000" w:themeColor="text1"/>
          <w:sz w:val="24"/>
        </w:rPr>
        <w:t xml:space="preserve"> </w:t>
      </w:r>
      <w:r w:rsidRPr="00EA037B">
        <w:rPr>
          <w:rFonts w:ascii="Book Antiqua" w:hAnsi="Book Antiqua"/>
          <w:color w:val="000000" w:themeColor="text1"/>
          <w:sz w:val="24"/>
        </w:rPr>
        <w:t>0.092).</w:t>
      </w:r>
    </w:p>
    <w:p w14:paraId="4E50CD53" w14:textId="77777777" w:rsidR="00182B6E" w:rsidRPr="00EA037B" w:rsidRDefault="00182B6E" w:rsidP="00EA037B">
      <w:pPr>
        <w:wordWrap/>
        <w:spacing w:line="360" w:lineRule="auto"/>
        <w:ind w:firstLineChars="50" w:firstLine="126"/>
        <w:rPr>
          <w:rFonts w:ascii="Book Antiqua" w:hAnsi="Book Antiqua"/>
          <w:color w:val="000000" w:themeColor="text1"/>
          <w:sz w:val="24"/>
        </w:rPr>
      </w:pPr>
    </w:p>
    <w:p w14:paraId="0CE1C16C" w14:textId="77777777" w:rsidR="00182B6E" w:rsidRPr="002128D6" w:rsidRDefault="00182B6E" w:rsidP="002128D6">
      <w:pPr>
        <w:wordWrap/>
        <w:spacing w:line="360" w:lineRule="auto"/>
        <w:rPr>
          <w:rFonts w:ascii="Book Antiqua" w:hAnsi="Book Antiqua"/>
          <w:b/>
          <w:i/>
          <w:iCs/>
          <w:color w:val="000000" w:themeColor="text1"/>
          <w:sz w:val="24"/>
        </w:rPr>
      </w:pPr>
      <w:r w:rsidRPr="002128D6">
        <w:rPr>
          <w:rFonts w:ascii="Book Antiqua" w:hAnsi="Book Antiqua"/>
          <w:b/>
          <w:i/>
          <w:iCs/>
          <w:color w:val="000000" w:themeColor="text1"/>
          <w:sz w:val="24"/>
        </w:rPr>
        <w:t>Endoscopic findings</w:t>
      </w:r>
    </w:p>
    <w:p w14:paraId="4BC5FEA9" w14:textId="18141C1F" w:rsidR="00182B6E" w:rsidRPr="00EA037B" w:rsidRDefault="00182B6E" w:rsidP="002128D6">
      <w:pPr>
        <w:wordWrap/>
        <w:spacing w:line="360" w:lineRule="auto"/>
        <w:rPr>
          <w:rFonts w:ascii="Book Antiqua" w:hAnsi="Book Antiqua"/>
          <w:color w:val="000000" w:themeColor="text1"/>
          <w:sz w:val="24"/>
        </w:rPr>
      </w:pPr>
      <w:r w:rsidRPr="00EA037B">
        <w:rPr>
          <w:rFonts w:ascii="Book Antiqua" w:hAnsi="Book Antiqua"/>
          <w:color w:val="000000" w:themeColor="text1"/>
          <w:sz w:val="24"/>
        </w:rPr>
        <w:t>Fig</w:t>
      </w:r>
      <w:r w:rsidR="002128D6">
        <w:rPr>
          <w:rFonts w:ascii="Book Antiqua" w:hAnsi="Book Antiqua"/>
          <w:color w:val="000000" w:themeColor="text1"/>
          <w:sz w:val="24"/>
        </w:rPr>
        <w:t>ure</w:t>
      </w:r>
      <w:r w:rsidRPr="00EA037B">
        <w:rPr>
          <w:rFonts w:ascii="Book Antiqua" w:hAnsi="Book Antiqua"/>
          <w:color w:val="000000" w:themeColor="text1"/>
          <w:sz w:val="24"/>
        </w:rPr>
        <w:t xml:space="preserve"> 2 shows the proportions of the presence of bile reflux and residual food. After surgery, bile reflux was observed in 30</w:t>
      </w:r>
      <w:r w:rsidR="00EB10DB">
        <w:rPr>
          <w:rFonts w:ascii="Book Antiqua" w:hAnsi="Book Antiqua"/>
          <w:color w:val="000000" w:themeColor="text1"/>
          <w:sz w:val="24"/>
        </w:rPr>
        <w:t>%-</w:t>
      </w:r>
      <w:r w:rsidRPr="00EA037B">
        <w:rPr>
          <w:rFonts w:ascii="Book Antiqua" w:hAnsi="Book Antiqua"/>
          <w:color w:val="000000" w:themeColor="text1"/>
          <w:sz w:val="24"/>
        </w:rPr>
        <w:t>60% of the LADG group, and in less than 10% of the LAPPG group (</w:t>
      </w:r>
      <w:r w:rsidR="00EB10DB" w:rsidRPr="00EB10DB">
        <w:rPr>
          <w:rFonts w:ascii="Book Antiqua" w:hAnsi="Book Antiqua"/>
          <w:i/>
          <w:iCs/>
          <w:color w:val="000000" w:themeColor="text1"/>
          <w:sz w:val="24"/>
        </w:rPr>
        <w:t>P</w:t>
      </w:r>
      <w:r w:rsidR="00EB10DB">
        <w:rPr>
          <w:rFonts w:ascii="Book Antiqua" w:hAnsi="Book Antiqua"/>
          <w:color w:val="000000" w:themeColor="text1"/>
          <w:sz w:val="24"/>
        </w:rPr>
        <w:t xml:space="preserve"> </w:t>
      </w:r>
      <w:r w:rsidRPr="00EA037B">
        <w:rPr>
          <w:rFonts w:ascii="Book Antiqua" w:hAnsi="Book Antiqua"/>
          <w:color w:val="000000" w:themeColor="text1"/>
          <w:sz w:val="24"/>
        </w:rPr>
        <w:t>&lt;</w:t>
      </w:r>
      <w:r w:rsidR="00EB10DB">
        <w:rPr>
          <w:rFonts w:ascii="Book Antiqua" w:hAnsi="Book Antiqua"/>
          <w:color w:val="000000" w:themeColor="text1"/>
          <w:sz w:val="24"/>
        </w:rPr>
        <w:t xml:space="preserve"> </w:t>
      </w:r>
      <w:r w:rsidRPr="00EA037B">
        <w:rPr>
          <w:rFonts w:ascii="Book Antiqua" w:hAnsi="Book Antiqua"/>
          <w:color w:val="000000" w:themeColor="text1"/>
          <w:sz w:val="24"/>
        </w:rPr>
        <w:t>0.001 at every time point). In the LAPPG group, 65% of patients had a nearly normal diet residue at 1 year postoperatively, and the proportion decreased slightly to 45% at 5 years postoperatively. In contrast, less than 10% of the LADG group had a nearly normal diet residue postoperatively. The proportions of residual food were significantly different between the two groups at every time point (</w:t>
      </w:r>
      <w:r w:rsidR="00EB10DB" w:rsidRPr="00EB10DB">
        <w:rPr>
          <w:rFonts w:ascii="Book Antiqua" w:hAnsi="Book Antiqua"/>
          <w:i/>
          <w:iCs/>
          <w:color w:val="000000" w:themeColor="text1"/>
          <w:sz w:val="24"/>
        </w:rPr>
        <w:t>P</w:t>
      </w:r>
      <w:r w:rsidR="00EB10DB">
        <w:rPr>
          <w:rFonts w:ascii="Book Antiqua" w:hAnsi="Book Antiqua"/>
          <w:color w:val="000000" w:themeColor="text1"/>
          <w:sz w:val="24"/>
        </w:rPr>
        <w:t xml:space="preserve"> </w:t>
      </w:r>
      <w:r w:rsidRPr="00EA037B">
        <w:rPr>
          <w:rFonts w:ascii="Book Antiqua" w:hAnsi="Book Antiqua"/>
          <w:color w:val="000000" w:themeColor="text1"/>
          <w:sz w:val="24"/>
        </w:rPr>
        <w:t>&lt;</w:t>
      </w:r>
      <w:r w:rsidR="00EB10DB">
        <w:rPr>
          <w:rFonts w:ascii="Book Antiqua" w:hAnsi="Book Antiqua"/>
          <w:color w:val="000000" w:themeColor="text1"/>
          <w:sz w:val="24"/>
        </w:rPr>
        <w:t xml:space="preserve"> </w:t>
      </w:r>
      <w:r w:rsidRPr="00EA037B">
        <w:rPr>
          <w:rFonts w:ascii="Book Antiqua" w:hAnsi="Book Antiqua"/>
          <w:color w:val="000000" w:themeColor="text1"/>
          <w:sz w:val="24"/>
        </w:rPr>
        <w:t>0.001).</w:t>
      </w:r>
    </w:p>
    <w:p w14:paraId="05C77C9A" w14:textId="77777777" w:rsidR="00182B6E" w:rsidRPr="00EA037B" w:rsidRDefault="00182B6E" w:rsidP="00C751EA">
      <w:pPr>
        <w:wordWrap/>
        <w:spacing w:line="360" w:lineRule="auto"/>
        <w:rPr>
          <w:rFonts w:ascii="Book Antiqua" w:hAnsi="Book Antiqua"/>
          <w:color w:val="000000" w:themeColor="text1"/>
          <w:sz w:val="24"/>
        </w:rPr>
      </w:pPr>
    </w:p>
    <w:p w14:paraId="5103E64D" w14:textId="77777777" w:rsidR="00182B6E" w:rsidRPr="00C751EA" w:rsidRDefault="00182B6E" w:rsidP="00C751EA">
      <w:pPr>
        <w:wordWrap/>
        <w:spacing w:line="360" w:lineRule="auto"/>
        <w:rPr>
          <w:rFonts w:ascii="Book Antiqua" w:hAnsi="Book Antiqua"/>
          <w:b/>
          <w:i/>
          <w:iCs/>
          <w:color w:val="000000" w:themeColor="text1"/>
          <w:sz w:val="24"/>
        </w:rPr>
      </w:pPr>
      <w:r w:rsidRPr="00C751EA">
        <w:rPr>
          <w:rFonts w:ascii="Book Antiqua" w:hAnsi="Book Antiqua"/>
          <w:b/>
          <w:i/>
          <w:iCs/>
          <w:color w:val="000000" w:themeColor="text1"/>
          <w:sz w:val="24"/>
        </w:rPr>
        <w:t xml:space="preserve">Outcomes of QOL </w:t>
      </w:r>
    </w:p>
    <w:p w14:paraId="2BD0851F" w14:textId="372018B7" w:rsidR="00182B6E" w:rsidRPr="00EA037B" w:rsidRDefault="00182B6E" w:rsidP="001B6CB3">
      <w:pPr>
        <w:wordWrap/>
        <w:spacing w:line="360" w:lineRule="auto"/>
        <w:rPr>
          <w:rFonts w:ascii="Book Antiqua" w:hAnsi="Book Antiqua"/>
          <w:color w:val="000000" w:themeColor="text1"/>
          <w:sz w:val="24"/>
        </w:rPr>
      </w:pPr>
      <w:r w:rsidRPr="00EA037B">
        <w:rPr>
          <w:rFonts w:ascii="Book Antiqua" w:hAnsi="Book Antiqua"/>
          <w:color w:val="000000" w:themeColor="text1"/>
          <w:sz w:val="24"/>
        </w:rPr>
        <w:t xml:space="preserve">A total of 108 (55.3%) and 61 (60.4%) patients in the LADG and LAPPG groups answered the QOL questionnaire, respectively, and the time points for the responses to the QOL questionnaire ranged from 2 years to 5 years (Table </w:t>
      </w:r>
      <w:r w:rsidR="001D1ECB" w:rsidRPr="00EA037B">
        <w:rPr>
          <w:rFonts w:ascii="Book Antiqua" w:hAnsi="Book Antiqua"/>
          <w:color w:val="000000" w:themeColor="text1"/>
          <w:sz w:val="24"/>
        </w:rPr>
        <w:t>S</w:t>
      </w:r>
      <w:r w:rsidRPr="00EA037B">
        <w:rPr>
          <w:rFonts w:ascii="Book Antiqua" w:hAnsi="Book Antiqua"/>
          <w:color w:val="000000" w:themeColor="text1"/>
          <w:sz w:val="24"/>
        </w:rPr>
        <w:t xml:space="preserve">2). For the EORTC QLQ-C30, the LAPPG group had better physical function when </w:t>
      </w:r>
      <w:r w:rsidRPr="00EA037B">
        <w:rPr>
          <w:rFonts w:ascii="Book Antiqua" w:hAnsi="Book Antiqua"/>
          <w:color w:val="000000" w:themeColor="text1"/>
          <w:sz w:val="24"/>
        </w:rPr>
        <w:lastRenderedPageBreak/>
        <w:t>compared to the LADG group (</w:t>
      </w:r>
      <w:r w:rsidRPr="00EA037B">
        <w:rPr>
          <w:rFonts w:ascii="Book Antiqua" w:hAnsi="Book Antiqua"/>
          <w:bCs/>
          <w:color w:val="000000" w:themeColor="text1"/>
          <w:sz w:val="24"/>
        </w:rPr>
        <w:t xml:space="preserve">86.7 </w:t>
      </w:r>
      <w:r w:rsidRPr="001B6CB3">
        <w:rPr>
          <w:rFonts w:ascii="Book Antiqua" w:hAnsi="Book Antiqua"/>
          <w:bCs/>
          <w:i/>
          <w:iCs/>
          <w:color w:val="000000" w:themeColor="text1"/>
          <w:sz w:val="24"/>
        </w:rPr>
        <w:t>vs</w:t>
      </w:r>
      <w:r w:rsidRPr="00EA037B">
        <w:rPr>
          <w:rFonts w:ascii="Book Antiqua" w:hAnsi="Book Antiqua"/>
          <w:bCs/>
          <w:color w:val="000000" w:themeColor="text1"/>
          <w:sz w:val="24"/>
        </w:rPr>
        <w:t xml:space="preserve"> 90.0</w:t>
      </w:r>
      <w:r w:rsidR="001B6CB3">
        <w:rPr>
          <w:rFonts w:ascii="Book Antiqua" w:hAnsi="Book Antiqua"/>
          <w:bCs/>
          <w:color w:val="000000" w:themeColor="text1"/>
          <w:sz w:val="24"/>
        </w:rPr>
        <w:t>,</w:t>
      </w:r>
      <w:r w:rsidRPr="00EA037B">
        <w:rPr>
          <w:rFonts w:ascii="Book Antiqua" w:hAnsi="Book Antiqua"/>
          <w:bCs/>
          <w:color w:val="000000" w:themeColor="text1"/>
          <w:sz w:val="24"/>
        </w:rPr>
        <w:t xml:space="preserve"> </w:t>
      </w:r>
      <w:r w:rsidR="001B6CB3" w:rsidRPr="001B6CB3">
        <w:rPr>
          <w:rFonts w:ascii="Book Antiqua" w:hAnsi="Book Antiqua"/>
          <w:i/>
          <w:iCs/>
          <w:color w:val="000000" w:themeColor="text1"/>
          <w:sz w:val="24"/>
        </w:rPr>
        <w:t>P</w:t>
      </w:r>
      <w:r w:rsidR="001B6CB3">
        <w:rPr>
          <w:rFonts w:ascii="Book Antiqua" w:hAnsi="Book Antiqua"/>
          <w:color w:val="000000" w:themeColor="text1"/>
          <w:sz w:val="24"/>
        </w:rPr>
        <w:t xml:space="preserve"> </w:t>
      </w:r>
      <w:r w:rsidRPr="00EA037B">
        <w:rPr>
          <w:rFonts w:ascii="Book Antiqua" w:hAnsi="Book Antiqua"/>
          <w:color w:val="000000" w:themeColor="text1"/>
          <w:sz w:val="24"/>
        </w:rPr>
        <w:t>=</w:t>
      </w:r>
      <w:r w:rsidR="001B6CB3">
        <w:rPr>
          <w:rFonts w:ascii="Book Antiqua" w:hAnsi="Book Antiqua"/>
          <w:color w:val="000000" w:themeColor="text1"/>
          <w:sz w:val="24"/>
        </w:rPr>
        <w:t xml:space="preserve"> </w:t>
      </w:r>
      <w:r w:rsidRPr="00EA037B">
        <w:rPr>
          <w:rFonts w:ascii="Book Antiqua" w:hAnsi="Book Antiqua"/>
          <w:color w:val="000000" w:themeColor="text1"/>
          <w:sz w:val="24"/>
        </w:rPr>
        <w:t>0.032) (Table 3). For the EORTC QLQ-STO22, the pain and reflux score were significantly higher in the LAPPG group than in the LADG group (</w:t>
      </w:r>
      <w:r w:rsidRPr="00EA037B">
        <w:rPr>
          <w:rFonts w:ascii="Book Antiqua" w:hAnsi="Book Antiqua"/>
          <w:bCs/>
          <w:color w:val="000000" w:themeColor="text1"/>
          <w:sz w:val="24"/>
        </w:rPr>
        <w:t xml:space="preserve">8.3 </w:t>
      </w:r>
      <w:r w:rsidRPr="001B6CB3">
        <w:rPr>
          <w:rFonts w:ascii="Book Antiqua" w:hAnsi="Book Antiqua"/>
          <w:bCs/>
          <w:i/>
          <w:iCs/>
          <w:color w:val="000000" w:themeColor="text1"/>
          <w:sz w:val="24"/>
        </w:rPr>
        <w:t>vs</w:t>
      </w:r>
      <w:r w:rsidRPr="00EA037B">
        <w:rPr>
          <w:rFonts w:ascii="Book Antiqua" w:hAnsi="Book Antiqua"/>
          <w:bCs/>
          <w:color w:val="000000" w:themeColor="text1"/>
          <w:sz w:val="24"/>
        </w:rPr>
        <w:t xml:space="preserve"> 16.7 in pain, 11.1 (interquartile range, 0, 22.2) </w:t>
      </w:r>
      <w:r w:rsidRPr="001B6CB3">
        <w:rPr>
          <w:rFonts w:ascii="Book Antiqua" w:hAnsi="Book Antiqua"/>
          <w:bCs/>
          <w:i/>
          <w:iCs/>
          <w:color w:val="000000" w:themeColor="text1"/>
          <w:sz w:val="24"/>
        </w:rPr>
        <w:t>vs</w:t>
      </w:r>
      <w:r w:rsidRPr="00EA037B">
        <w:rPr>
          <w:rFonts w:ascii="Book Antiqua" w:hAnsi="Book Antiqua"/>
          <w:bCs/>
          <w:color w:val="000000" w:themeColor="text1"/>
          <w:sz w:val="24"/>
        </w:rPr>
        <w:t xml:space="preserve"> 11.1 (interquartile range, 11.1, 33.3) in reflux</w:t>
      </w:r>
      <w:r w:rsidR="001B6CB3">
        <w:rPr>
          <w:rFonts w:ascii="Book Antiqua" w:hAnsi="Book Antiqua"/>
          <w:bCs/>
          <w:color w:val="000000" w:themeColor="text1"/>
          <w:sz w:val="24"/>
        </w:rPr>
        <w:t>,</w:t>
      </w:r>
      <w:r w:rsidRPr="00EA037B">
        <w:rPr>
          <w:rFonts w:ascii="Book Antiqua" w:hAnsi="Book Antiqua"/>
          <w:bCs/>
          <w:color w:val="000000" w:themeColor="text1"/>
          <w:sz w:val="24"/>
        </w:rPr>
        <w:t xml:space="preserve"> </w:t>
      </w:r>
      <w:r w:rsidR="001B6CB3" w:rsidRPr="001B6CB3">
        <w:rPr>
          <w:rFonts w:ascii="Book Antiqua" w:hAnsi="Book Antiqua"/>
          <w:bCs/>
          <w:i/>
          <w:iCs/>
          <w:color w:val="000000" w:themeColor="text1"/>
          <w:sz w:val="24"/>
        </w:rPr>
        <w:t>P</w:t>
      </w:r>
      <w:r w:rsidRPr="00EA037B">
        <w:rPr>
          <w:rFonts w:ascii="Book Antiqua" w:hAnsi="Book Antiqua"/>
          <w:bCs/>
          <w:color w:val="000000" w:themeColor="text1"/>
          <w:sz w:val="24"/>
        </w:rPr>
        <w:t xml:space="preserve"> = 0.034 and 0.001, respectively</w:t>
      </w:r>
      <w:r w:rsidRPr="00EA037B">
        <w:rPr>
          <w:rFonts w:ascii="Book Antiqua" w:hAnsi="Book Antiqua"/>
          <w:color w:val="000000" w:themeColor="text1"/>
          <w:sz w:val="24"/>
        </w:rPr>
        <w:t xml:space="preserve">). Other functional and symptom scales/items did not show any differences.  </w:t>
      </w:r>
    </w:p>
    <w:p w14:paraId="18585EDC" w14:textId="6560EBE3" w:rsidR="00182B6E" w:rsidRPr="00EA037B" w:rsidRDefault="00182B6E" w:rsidP="00EA037B">
      <w:pPr>
        <w:widowControl/>
        <w:wordWrap/>
        <w:autoSpaceDE/>
        <w:autoSpaceDN/>
        <w:spacing w:line="360" w:lineRule="auto"/>
        <w:rPr>
          <w:rFonts w:ascii="Book Antiqua" w:hAnsi="Book Antiqua"/>
          <w:color w:val="000000" w:themeColor="text1"/>
          <w:sz w:val="24"/>
        </w:rPr>
      </w:pPr>
    </w:p>
    <w:p w14:paraId="113BDC7D" w14:textId="77777777" w:rsidR="00182B6E" w:rsidRPr="00EA037B" w:rsidRDefault="00182B6E" w:rsidP="00EA037B">
      <w:pPr>
        <w:wordWrap/>
        <w:spacing w:line="360" w:lineRule="auto"/>
        <w:rPr>
          <w:rFonts w:ascii="Book Antiqua" w:hAnsi="Book Antiqua"/>
          <w:b/>
          <w:bCs/>
          <w:caps/>
          <w:color w:val="000000" w:themeColor="text1"/>
          <w:sz w:val="24"/>
        </w:rPr>
      </w:pPr>
      <w:r w:rsidRPr="00EA037B">
        <w:rPr>
          <w:rFonts w:ascii="Book Antiqua" w:hAnsi="Book Antiqua"/>
          <w:b/>
          <w:bCs/>
          <w:color w:val="000000" w:themeColor="text1"/>
          <w:sz w:val="24"/>
        </w:rPr>
        <w:t>DISCUSSION</w:t>
      </w:r>
    </w:p>
    <w:p w14:paraId="40867496" w14:textId="77777777" w:rsidR="00182B6E" w:rsidRPr="00EA037B" w:rsidRDefault="00182B6E" w:rsidP="00E56E6E">
      <w:pPr>
        <w:wordWrap/>
        <w:spacing w:line="360" w:lineRule="auto"/>
        <w:rPr>
          <w:rFonts w:ascii="Book Antiqua" w:hAnsi="Book Antiqua"/>
          <w:bCs/>
          <w:color w:val="000000" w:themeColor="text1"/>
          <w:sz w:val="24"/>
        </w:rPr>
      </w:pPr>
      <w:r w:rsidRPr="00EA037B">
        <w:rPr>
          <w:rFonts w:ascii="Book Antiqua" w:hAnsi="Book Antiqua"/>
          <w:bCs/>
          <w:color w:val="000000" w:themeColor="text1"/>
          <w:sz w:val="24"/>
        </w:rPr>
        <w:t xml:space="preserve">In this study, we evaluated the long-term functional outcomes and the QOL of patients who underwent LAPPG for early gastric cancers that were located in the middle third of the stomach. When compared to the LADG group, the LAPPG group had the advantage of long-term hemoglobin recovery and physical function. However, the LAPPG group also experienced delayed gastric emptying at a higher frequency and a higher reflux and pain scores on the EORTC QLQ-STO22 questionnaire. </w:t>
      </w:r>
    </w:p>
    <w:p w14:paraId="01337BC8" w14:textId="354A0FC1" w:rsidR="00182B6E" w:rsidRPr="00EA037B" w:rsidRDefault="00182B6E" w:rsidP="0001799B">
      <w:pPr>
        <w:wordWrap/>
        <w:spacing w:line="360" w:lineRule="auto"/>
        <w:ind w:firstLineChars="100" w:firstLine="252"/>
        <w:rPr>
          <w:rFonts w:ascii="Book Antiqua" w:hAnsi="Book Antiqua"/>
          <w:bCs/>
          <w:color w:val="000000" w:themeColor="text1"/>
          <w:sz w:val="24"/>
        </w:rPr>
      </w:pPr>
      <w:r w:rsidRPr="00EA037B">
        <w:rPr>
          <w:rFonts w:ascii="Book Antiqua" w:hAnsi="Book Antiqua"/>
          <w:bCs/>
          <w:color w:val="000000" w:themeColor="text1"/>
          <w:sz w:val="24"/>
        </w:rPr>
        <w:t>To date, only a few studies have evaluated the functional outcomes following LAPPG</w:t>
      </w:r>
      <w:r w:rsidRPr="00EA037B">
        <w:rPr>
          <w:rFonts w:ascii="Book Antiqua" w:hAnsi="Book Antiqua"/>
          <w:bCs/>
          <w:noProof/>
          <w:color w:val="000000" w:themeColor="text1"/>
          <w:sz w:val="24"/>
          <w:vertAlign w:val="superscript"/>
        </w:rPr>
        <w:t>[12-14,23]</w:t>
      </w:r>
      <w:r w:rsidR="007E1679" w:rsidRPr="00EA037B">
        <w:rPr>
          <w:rFonts w:ascii="Book Antiqua" w:hAnsi="Book Antiqua"/>
          <w:bCs/>
          <w:noProof/>
          <w:color w:val="000000" w:themeColor="text1"/>
          <w:sz w:val="24"/>
        </w:rPr>
        <w:t>.</w:t>
      </w:r>
      <w:r w:rsidRPr="00EA037B">
        <w:rPr>
          <w:rFonts w:ascii="Book Antiqua" w:hAnsi="Book Antiqua"/>
          <w:bCs/>
          <w:color w:val="000000" w:themeColor="text1"/>
          <w:sz w:val="24"/>
        </w:rPr>
        <w:t xml:space="preserve"> One of these reports utilized a single-arm study design that could not determine the functional superiority of LAPPG to LADG</w:t>
      </w:r>
      <w:r w:rsidR="007E1679" w:rsidRPr="00EA037B">
        <w:rPr>
          <w:rFonts w:ascii="Book Antiqua" w:hAnsi="Book Antiqua"/>
          <w:bCs/>
          <w:noProof/>
          <w:color w:val="000000" w:themeColor="text1"/>
          <w:sz w:val="24"/>
          <w:vertAlign w:val="superscript"/>
        </w:rPr>
        <w:t>[23]</w:t>
      </w:r>
      <w:r w:rsidRPr="00EA037B">
        <w:rPr>
          <w:rFonts w:ascii="Book Antiqua" w:hAnsi="Book Antiqua"/>
          <w:bCs/>
          <w:color w:val="000000" w:themeColor="text1"/>
          <w:sz w:val="24"/>
        </w:rPr>
        <w:t>.</w:t>
      </w:r>
      <w:r w:rsidRPr="00EA037B">
        <w:rPr>
          <w:rFonts w:ascii="Book Antiqua" w:hAnsi="Book Antiqua"/>
          <w:bCs/>
          <w:color w:val="000000" w:themeColor="text1"/>
          <w:sz w:val="24"/>
          <w:vertAlign w:val="superscript"/>
        </w:rPr>
        <w:t xml:space="preserve"> </w:t>
      </w:r>
      <w:r w:rsidRPr="00EA037B">
        <w:rPr>
          <w:rFonts w:ascii="Book Antiqua" w:hAnsi="Book Antiqua"/>
          <w:bCs/>
          <w:color w:val="000000" w:themeColor="text1"/>
          <w:sz w:val="24"/>
        </w:rPr>
        <w:t>The other study demonstrated the nutritional advantages of LAPPG when compared to LADG, but only short-term outcomes (within 1 postoperative year) were described</w:t>
      </w:r>
      <w:r w:rsidRPr="00EA037B">
        <w:rPr>
          <w:rFonts w:ascii="Book Antiqua" w:hAnsi="Book Antiqua"/>
          <w:bCs/>
          <w:noProof/>
          <w:color w:val="000000" w:themeColor="text1"/>
          <w:sz w:val="24"/>
          <w:vertAlign w:val="superscript"/>
        </w:rPr>
        <w:t>[12]</w:t>
      </w:r>
      <w:r w:rsidR="007E1679" w:rsidRPr="00EA037B">
        <w:rPr>
          <w:rFonts w:ascii="Book Antiqua" w:hAnsi="Book Antiqua"/>
          <w:bCs/>
          <w:noProof/>
          <w:color w:val="000000" w:themeColor="text1"/>
          <w:sz w:val="24"/>
        </w:rPr>
        <w:t>.</w:t>
      </w:r>
      <w:r w:rsidRPr="00EA037B">
        <w:rPr>
          <w:rFonts w:ascii="Book Antiqua" w:hAnsi="Book Antiqua"/>
          <w:bCs/>
          <w:color w:val="000000" w:themeColor="text1"/>
          <w:sz w:val="24"/>
        </w:rPr>
        <w:t xml:space="preserve"> Two studies reported QOL outcomes but encountered issues with either very small numbers of participants employing questionnaires that were not validated in other ethnic populations</w:t>
      </w:r>
      <w:r w:rsidRPr="00EA037B">
        <w:rPr>
          <w:rFonts w:ascii="Book Antiqua" w:hAnsi="Book Antiqua"/>
          <w:bCs/>
          <w:noProof/>
          <w:color w:val="000000" w:themeColor="text1"/>
          <w:sz w:val="24"/>
          <w:vertAlign w:val="superscript"/>
        </w:rPr>
        <w:t>[13,14]</w:t>
      </w:r>
      <w:r w:rsidR="007E1679" w:rsidRPr="00EA037B">
        <w:rPr>
          <w:rFonts w:ascii="Book Antiqua" w:hAnsi="Book Antiqua"/>
          <w:bCs/>
          <w:noProof/>
          <w:color w:val="000000" w:themeColor="text1"/>
          <w:sz w:val="24"/>
        </w:rPr>
        <w:t>.</w:t>
      </w:r>
      <w:r w:rsidRPr="00EA037B">
        <w:rPr>
          <w:rFonts w:ascii="Book Antiqua" w:hAnsi="Book Antiqua"/>
          <w:bCs/>
          <w:color w:val="000000" w:themeColor="text1"/>
          <w:sz w:val="24"/>
        </w:rPr>
        <w:t xml:space="preserve"> Therefore, further studies that would evaluate long-term functional results including QOL are required. </w:t>
      </w:r>
    </w:p>
    <w:p w14:paraId="2F20609A" w14:textId="708499F6" w:rsidR="00182B6E" w:rsidRPr="00EA037B" w:rsidRDefault="00182B6E" w:rsidP="0001799B">
      <w:pPr>
        <w:wordWrap/>
        <w:spacing w:line="360" w:lineRule="auto"/>
        <w:ind w:firstLineChars="100" w:firstLine="252"/>
        <w:rPr>
          <w:rFonts w:ascii="Book Antiqua" w:hAnsi="Book Antiqua"/>
          <w:bCs/>
          <w:color w:val="000000" w:themeColor="text1"/>
          <w:sz w:val="24"/>
        </w:rPr>
      </w:pPr>
      <w:r w:rsidRPr="00EA037B">
        <w:rPr>
          <w:rFonts w:ascii="Book Antiqua" w:hAnsi="Book Antiqua"/>
          <w:bCs/>
          <w:color w:val="000000" w:themeColor="text1"/>
          <w:sz w:val="24"/>
        </w:rPr>
        <w:t>In the present study, (1) a moderate number of patients (approximately 300) were included</w:t>
      </w:r>
      <w:r w:rsidR="0001799B">
        <w:rPr>
          <w:rFonts w:ascii="Book Antiqua" w:hAnsi="Book Antiqua"/>
          <w:bCs/>
          <w:color w:val="000000" w:themeColor="text1"/>
          <w:sz w:val="24"/>
        </w:rPr>
        <w:t>;</w:t>
      </w:r>
      <w:r w:rsidRPr="00EA037B">
        <w:rPr>
          <w:rFonts w:ascii="Book Antiqua" w:hAnsi="Book Antiqua"/>
          <w:bCs/>
          <w:color w:val="000000" w:themeColor="text1"/>
          <w:sz w:val="24"/>
        </w:rPr>
        <w:t xml:space="preserve"> (2) all patients were followed-up on for more than 3 year after surgery</w:t>
      </w:r>
      <w:r w:rsidR="0001799B">
        <w:rPr>
          <w:rFonts w:ascii="Book Antiqua" w:hAnsi="Book Antiqua"/>
          <w:bCs/>
          <w:color w:val="000000" w:themeColor="text1"/>
          <w:sz w:val="24"/>
        </w:rPr>
        <w:t>;</w:t>
      </w:r>
      <w:r w:rsidRPr="00EA037B">
        <w:rPr>
          <w:rFonts w:ascii="Book Antiqua" w:hAnsi="Book Antiqua"/>
          <w:bCs/>
          <w:color w:val="000000" w:themeColor="text1"/>
          <w:sz w:val="24"/>
        </w:rPr>
        <w:t xml:space="preserve"> (3) both functional and QOL outcomes were reported</w:t>
      </w:r>
      <w:r w:rsidR="0001799B">
        <w:rPr>
          <w:rFonts w:ascii="Book Antiqua" w:hAnsi="Book Antiqua"/>
          <w:bCs/>
          <w:color w:val="000000" w:themeColor="text1"/>
          <w:sz w:val="24"/>
        </w:rPr>
        <w:t>;</w:t>
      </w:r>
      <w:r w:rsidRPr="00EA037B">
        <w:rPr>
          <w:rFonts w:ascii="Book Antiqua" w:hAnsi="Book Antiqua"/>
          <w:bCs/>
          <w:color w:val="000000" w:themeColor="text1"/>
          <w:sz w:val="24"/>
        </w:rPr>
        <w:t xml:space="preserve"> and (4) QOL was assessed using a validated questionnaire (the EORTC QLQ C-30 and the STO-22). </w:t>
      </w:r>
      <w:r w:rsidRPr="00EA037B">
        <w:rPr>
          <w:rFonts w:ascii="Book Antiqua" w:hAnsi="Book Antiqua"/>
          <w:bCs/>
          <w:color w:val="000000" w:themeColor="text1"/>
          <w:sz w:val="24"/>
        </w:rPr>
        <w:lastRenderedPageBreak/>
        <w:t xml:space="preserve">Based on these points, this study aims to provide a more comprehensive and reliable understanding of patients who undergo LAPPG. </w:t>
      </w:r>
    </w:p>
    <w:p w14:paraId="0826CF96" w14:textId="62B4CB53" w:rsidR="00182B6E" w:rsidRPr="00EA037B" w:rsidRDefault="00182B6E" w:rsidP="0001799B">
      <w:pPr>
        <w:wordWrap/>
        <w:spacing w:line="360" w:lineRule="auto"/>
        <w:ind w:firstLineChars="100" w:firstLine="252"/>
        <w:rPr>
          <w:rFonts w:ascii="Book Antiqua" w:hAnsi="Book Antiqua"/>
          <w:bCs/>
          <w:color w:val="000000" w:themeColor="text1"/>
          <w:sz w:val="24"/>
        </w:rPr>
      </w:pPr>
      <w:r w:rsidRPr="00EA037B">
        <w:rPr>
          <w:rFonts w:ascii="Book Antiqua" w:hAnsi="Book Antiqua"/>
          <w:bCs/>
          <w:color w:val="000000" w:themeColor="text1"/>
          <w:sz w:val="24"/>
        </w:rPr>
        <w:t>In this study, hemoglobin recovery was better in the LAPPG group than in the LADG group. Iron is mainly absorbed in the duodenum, and gastric acidity promotes the intestinal absorption of nonheme iron. After LAPPG, food passes through the duodenum and gastric acid secretion is less decreased due to postoperatively enhanced G cell function along with a smaller decrease in gastrin levels</w:t>
      </w:r>
      <w:r w:rsidRPr="00EA037B">
        <w:rPr>
          <w:rFonts w:ascii="Book Antiqua" w:hAnsi="Book Antiqua"/>
          <w:bCs/>
          <w:noProof/>
          <w:color w:val="000000" w:themeColor="text1"/>
          <w:sz w:val="24"/>
          <w:vertAlign w:val="superscript"/>
        </w:rPr>
        <w:t>[24,25]</w:t>
      </w:r>
      <w:r w:rsidR="007E1679" w:rsidRPr="00EA037B">
        <w:rPr>
          <w:rFonts w:ascii="Book Antiqua" w:hAnsi="Book Antiqua"/>
          <w:bCs/>
          <w:noProof/>
          <w:color w:val="000000" w:themeColor="text1"/>
          <w:sz w:val="24"/>
        </w:rPr>
        <w:t>.</w:t>
      </w:r>
      <w:r w:rsidRPr="00EA037B">
        <w:rPr>
          <w:rFonts w:ascii="Book Antiqua" w:hAnsi="Book Antiqua"/>
          <w:bCs/>
          <w:color w:val="000000" w:themeColor="text1"/>
          <w:sz w:val="24"/>
        </w:rPr>
        <w:t xml:space="preserve"> In contrast, there were considerable reductions in the secretion of gastrin and acid, and the absorption of dietary iron is limited when food bypasses the duodenum after LADG with Billroth II anastomosis. For these reasons, there is a greater potential for improvements in postoperative anemia after LAPPG when compared to LADG with Billroth II anastomosis</w:t>
      </w:r>
      <w:r w:rsidRPr="00EA037B">
        <w:rPr>
          <w:rFonts w:ascii="Book Antiqua" w:hAnsi="Book Antiqua"/>
          <w:bCs/>
          <w:noProof/>
          <w:color w:val="000000" w:themeColor="text1"/>
          <w:sz w:val="24"/>
          <w:vertAlign w:val="superscript"/>
        </w:rPr>
        <w:t>[26]</w:t>
      </w:r>
      <w:r w:rsidRPr="00EA037B">
        <w:rPr>
          <w:rFonts w:ascii="Book Antiqua" w:hAnsi="Book Antiqua"/>
          <w:bCs/>
          <w:color w:val="000000" w:themeColor="text1"/>
          <w:sz w:val="24"/>
        </w:rPr>
        <w:t>. In our study, physical and role functions were significantly or marginally worse in the LADG group (</w:t>
      </w:r>
      <w:r w:rsidR="0001799B" w:rsidRPr="0001799B">
        <w:rPr>
          <w:rFonts w:ascii="Book Antiqua" w:hAnsi="Book Antiqua"/>
          <w:bCs/>
          <w:i/>
          <w:iCs/>
          <w:color w:val="000000" w:themeColor="text1"/>
          <w:sz w:val="24"/>
        </w:rPr>
        <w:t>P</w:t>
      </w:r>
      <w:r w:rsidR="0001799B">
        <w:rPr>
          <w:rFonts w:ascii="Book Antiqua" w:hAnsi="Book Antiqua"/>
          <w:bCs/>
          <w:color w:val="000000" w:themeColor="text1"/>
          <w:sz w:val="24"/>
        </w:rPr>
        <w:t xml:space="preserve"> </w:t>
      </w:r>
      <w:r w:rsidRPr="00EA037B">
        <w:rPr>
          <w:rFonts w:ascii="Book Antiqua" w:hAnsi="Book Antiqua"/>
          <w:bCs/>
          <w:color w:val="000000" w:themeColor="text1"/>
          <w:sz w:val="24"/>
        </w:rPr>
        <w:t>=</w:t>
      </w:r>
      <w:r w:rsidR="0001799B">
        <w:rPr>
          <w:rFonts w:ascii="Book Antiqua" w:hAnsi="Book Antiqua"/>
          <w:bCs/>
          <w:color w:val="000000" w:themeColor="text1"/>
          <w:sz w:val="24"/>
        </w:rPr>
        <w:t xml:space="preserve"> </w:t>
      </w:r>
      <w:r w:rsidRPr="00EA037B">
        <w:rPr>
          <w:rFonts w:ascii="Book Antiqua" w:hAnsi="Book Antiqua"/>
          <w:bCs/>
          <w:color w:val="000000" w:themeColor="text1"/>
          <w:sz w:val="24"/>
        </w:rPr>
        <w:t xml:space="preserve">0.032, 0.07), and </w:t>
      </w:r>
      <w:r w:rsidRPr="00EA037B">
        <w:rPr>
          <w:rFonts w:ascii="Book Antiqua" w:eastAsia="Gulim" w:hAnsi="Book Antiqua"/>
          <w:color w:val="000000" w:themeColor="text1"/>
          <w:kern w:val="0"/>
          <w:sz w:val="24"/>
        </w:rPr>
        <w:t>the lower functional scores might be associated with the lower hemoglobin levels.</w:t>
      </w:r>
      <w:r w:rsidRPr="00EA037B">
        <w:rPr>
          <w:rFonts w:ascii="Book Antiqua" w:hAnsi="Book Antiqua"/>
          <w:bCs/>
          <w:color w:val="000000" w:themeColor="text1"/>
          <w:sz w:val="24"/>
        </w:rPr>
        <w:t xml:space="preserve"> </w:t>
      </w:r>
    </w:p>
    <w:p w14:paraId="53F67217" w14:textId="0EE95868" w:rsidR="00182B6E" w:rsidRPr="00EA037B" w:rsidRDefault="00182B6E" w:rsidP="0001799B">
      <w:pPr>
        <w:wordWrap/>
        <w:spacing w:line="360" w:lineRule="auto"/>
        <w:ind w:firstLineChars="100" w:firstLine="252"/>
        <w:rPr>
          <w:rFonts w:ascii="Book Antiqua" w:hAnsi="Book Antiqua"/>
          <w:bCs/>
          <w:color w:val="000000" w:themeColor="text1"/>
          <w:sz w:val="24"/>
        </w:rPr>
      </w:pPr>
      <w:r w:rsidRPr="00EA037B">
        <w:rPr>
          <w:rFonts w:ascii="Book Antiqua" w:hAnsi="Book Antiqua"/>
          <w:bCs/>
          <w:color w:val="000000" w:themeColor="text1"/>
          <w:sz w:val="24"/>
        </w:rPr>
        <w:t>Regarding endoscopic findings, less than 10% of the patients experienced bile reflux, and more than half of the patients experienced food residue after LAPPG. The low proportion of bile reflux and the high proportion of food residue after LAPPG that were shown in this study were also observed in a previous study that reported proportions of approximately 1% bile reflux and 48% residual food, as shown by endoscopic evaluations performed 12 months after LAPPG</w:t>
      </w:r>
      <w:r w:rsidRPr="00EA037B">
        <w:rPr>
          <w:rFonts w:ascii="Book Antiqua" w:hAnsi="Book Antiqua"/>
          <w:bCs/>
          <w:noProof/>
          <w:color w:val="000000" w:themeColor="text1"/>
          <w:sz w:val="24"/>
          <w:vertAlign w:val="superscript"/>
        </w:rPr>
        <w:t>[27]</w:t>
      </w:r>
      <w:r w:rsidR="007E1679" w:rsidRPr="00EA037B">
        <w:rPr>
          <w:rFonts w:ascii="Book Antiqua" w:hAnsi="Book Antiqua"/>
          <w:bCs/>
          <w:color w:val="000000" w:themeColor="text1"/>
          <w:sz w:val="24"/>
        </w:rPr>
        <w:t>.</w:t>
      </w:r>
      <w:r w:rsidRPr="00EA037B">
        <w:rPr>
          <w:rFonts w:ascii="Book Antiqua" w:hAnsi="Book Antiqua"/>
          <w:bCs/>
          <w:noProof/>
          <w:color w:val="000000" w:themeColor="text1"/>
          <w:sz w:val="24"/>
        </w:rPr>
        <w:t xml:space="preserve"> </w:t>
      </w:r>
    </w:p>
    <w:p w14:paraId="3083AE37" w14:textId="77777777" w:rsidR="00182B6E" w:rsidRPr="00EA037B" w:rsidRDefault="00182B6E" w:rsidP="0001799B">
      <w:pPr>
        <w:wordWrap/>
        <w:spacing w:line="360" w:lineRule="auto"/>
        <w:ind w:firstLineChars="100" w:firstLine="252"/>
        <w:rPr>
          <w:rFonts w:ascii="Book Antiqua" w:hAnsi="Book Antiqua"/>
          <w:bCs/>
          <w:color w:val="000000" w:themeColor="text1"/>
          <w:sz w:val="24"/>
        </w:rPr>
      </w:pPr>
      <w:r w:rsidRPr="00EA037B">
        <w:rPr>
          <w:rFonts w:ascii="Book Antiqua" w:hAnsi="Book Antiqua"/>
          <w:bCs/>
          <w:color w:val="000000" w:themeColor="text1"/>
          <w:sz w:val="24"/>
        </w:rPr>
        <w:t xml:space="preserve">The QOL results showed that abdominal pain and reflux symptom scores were significantly higher in the LAPPG than in the LADG group, which might be related to gastric stasis. Patients with a high degree of residual food are more likely to experience gastric fullness and reflux. The pain scores of the EORTC QLQ STO-22 indicate high levels of discomfort when eating, severe pain in the stomach area, and a bloated feeling in the abdomen (Q34-37), and all of these symptoms could result from gastric stasis. </w:t>
      </w:r>
    </w:p>
    <w:p w14:paraId="46BF4BA6" w14:textId="77777777" w:rsidR="00182B6E" w:rsidRPr="00EA037B" w:rsidRDefault="00182B6E" w:rsidP="0001799B">
      <w:pPr>
        <w:wordWrap/>
        <w:spacing w:line="360" w:lineRule="auto"/>
        <w:ind w:firstLineChars="100" w:firstLine="252"/>
        <w:rPr>
          <w:rFonts w:ascii="Book Antiqua" w:hAnsi="Book Antiqua"/>
          <w:bCs/>
          <w:color w:val="000000" w:themeColor="text1"/>
          <w:sz w:val="24"/>
        </w:rPr>
      </w:pPr>
      <w:r w:rsidRPr="00EA037B">
        <w:rPr>
          <w:rFonts w:ascii="Book Antiqua" w:hAnsi="Book Antiqua"/>
          <w:bCs/>
          <w:color w:val="000000" w:themeColor="text1"/>
          <w:sz w:val="24"/>
        </w:rPr>
        <w:lastRenderedPageBreak/>
        <w:t xml:space="preserve">The QOL data were collected from patients who visited the outpatient clinic no earlier than October 2016, and the time points for answering the questionnaire varied between patients. To reduce this time point variability, we excluded the QOL data of patients who underwent surgery within 2 years because the early portion of the QOL data displayed a wide range of fluctuation. The long-term QOL data (two years or more after the operation) are expected to be stable for patients and show little differences between time points. Thus, comparing the QOL data between the LAPPG and LADG groups might be clinically acceptable despite of the variation in time. </w:t>
      </w:r>
    </w:p>
    <w:p w14:paraId="33C5E6B6" w14:textId="77777777" w:rsidR="00182B6E" w:rsidRPr="00EA037B" w:rsidRDefault="00182B6E" w:rsidP="0001799B">
      <w:pPr>
        <w:wordWrap/>
        <w:spacing w:line="360" w:lineRule="auto"/>
        <w:ind w:firstLineChars="100" w:firstLine="252"/>
        <w:rPr>
          <w:rFonts w:ascii="Book Antiqua" w:hAnsi="Book Antiqua"/>
          <w:bCs/>
          <w:color w:val="000000" w:themeColor="text1"/>
          <w:sz w:val="24"/>
        </w:rPr>
      </w:pPr>
      <w:r w:rsidRPr="00EA037B">
        <w:rPr>
          <w:rFonts w:ascii="Book Antiqua" w:hAnsi="Book Antiqua"/>
          <w:bCs/>
          <w:color w:val="000000" w:themeColor="text1"/>
          <w:sz w:val="24"/>
        </w:rPr>
        <w:t xml:space="preserve">Another limitation of this study is that we could not collect all patients’ QOL data, which can result in selection bias. This study was retrospectively performed, and complete QOL data collection was impossible due to the limited number of interviewers and interview time. Therefore, future studies with complete QOL datasets are required to reach more reliable conclusions. </w:t>
      </w:r>
    </w:p>
    <w:p w14:paraId="6DD9EF71" w14:textId="403BFBF0" w:rsidR="00C61D12" w:rsidRDefault="00182B6E" w:rsidP="0001799B">
      <w:pPr>
        <w:wordWrap/>
        <w:spacing w:line="360" w:lineRule="auto"/>
        <w:ind w:firstLineChars="100" w:firstLine="252"/>
        <w:rPr>
          <w:rFonts w:ascii="Book Antiqua" w:hAnsi="Book Antiqua"/>
          <w:bCs/>
          <w:color w:val="000000" w:themeColor="text1"/>
          <w:sz w:val="24"/>
        </w:rPr>
      </w:pPr>
      <w:r w:rsidRPr="00EA037B">
        <w:rPr>
          <w:rFonts w:ascii="Book Antiqua" w:hAnsi="Book Antiqua"/>
          <w:bCs/>
          <w:color w:val="000000" w:themeColor="text1"/>
          <w:sz w:val="24"/>
        </w:rPr>
        <w:t>In conclusion, LAPPG was beneficial to the recovery of postoperative anemia and bile reflux, however, it might be unfavorable in terms of long-term pain and reflux symptoms compared to LADG with Billroth II anastomosis. When a physician informs all possible advantages and disadvantages to a patient, and the patient wants to undergo LAPPG, LAPPG could be a treatment option for middle third early gastric cancer.</w:t>
      </w:r>
    </w:p>
    <w:p w14:paraId="5CC3A421" w14:textId="4CE90A1D" w:rsidR="0013664D" w:rsidRPr="00EA037B" w:rsidRDefault="0013664D" w:rsidP="00EA037B">
      <w:pPr>
        <w:widowControl/>
        <w:wordWrap/>
        <w:autoSpaceDE/>
        <w:autoSpaceDN/>
        <w:spacing w:line="360" w:lineRule="auto"/>
        <w:rPr>
          <w:rFonts w:ascii="Book Antiqua" w:hAnsi="Book Antiqua"/>
          <w:b/>
          <w:bCs/>
          <w:color w:val="000000" w:themeColor="text1"/>
          <w:sz w:val="24"/>
        </w:rPr>
      </w:pPr>
    </w:p>
    <w:p w14:paraId="587C7D59" w14:textId="77777777" w:rsidR="00C61D12" w:rsidRPr="00EA037B" w:rsidRDefault="0013664D" w:rsidP="00EA037B">
      <w:pPr>
        <w:wordWrap/>
        <w:spacing w:line="360" w:lineRule="auto"/>
        <w:rPr>
          <w:rFonts w:ascii="Book Antiqua" w:hAnsi="Book Antiqua"/>
          <w:b/>
          <w:bCs/>
          <w:color w:val="000000" w:themeColor="text1"/>
          <w:sz w:val="24"/>
        </w:rPr>
      </w:pPr>
      <w:r w:rsidRPr="00EA037B">
        <w:rPr>
          <w:rFonts w:ascii="Book Antiqua" w:hAnsi="Book Antiqua"/>
          <w:b/>
          <w:bCs/>
          <w:color w:val="000000" w:themeColor="text1"/>
          <w:sz w:val="24"/>
        </w:rPr>
        <w:t>ARTICLE HIGHLIGHTS</w:t>
      </w:r>
    </w:p>
    <w:p w14:paraId="3AE1A6BC" w14:textId="77777777" w:rsidR="00260C14" w:rsidRPr="0058097E" w:rsidRDefault="00260C14" w:rsidP="00EA037B">
      <w:pPr>
        <w:wordWrap/>
        <w:adjustRightInd w:val="0"/>
        <w:spacing w:line="360" w:lineRule="auto"/>
        <w:rPr>
          <w:rFonts w:ascii="Book Antiqua" w:eastAsia="ArialNarrow-BoldItalic" w:hAnsi="Book Antiqua"/>
          <w:b/>
          <w:bCs/>
          <w:i/>
          <w:color w:val="000000" w:themeColor="text1"/>
          <w:kern w:val="0"/>
          <w:sz w:val="24"/>
        </w:rPr>
      </w:pPr>
      <w:r w:rsidRPr="0058097E">
        <w:rPr>
          <w:rFonts w:ascii="Book Antiqua" w:eastAsia="ArialNarrow-BoldItalic" w:hAnsi="Book Antiqua"/>
          <w:b/>
          <w:bCs/>
          <w:i/>
          <w:color w:val="000000" w:themeColor="text1"/>
          <w:kern w:val="0"/>
          <w:sz w:val="24"/>
        </w:rPr>
        <w:t>Research background</w:t>
      </w:r>
    </w:p>
    <w:p w14:paraId="7DC6473F" w14:textId="661256A9" w:rsidR="0013664D" w:rsidRDefault="0013664D" w:rsidP="00EA037B">
      <w:pPr>
        <w:wordWrap/>
        <w:adjustRightInd w:val="0"/>
        <w:spacing w:line="360" w:lineRule="auto"/>
        <w:rPr>
          <w:rFonts w:ascii="Book Antiqua" w:hAnsi="Book Antiqua"/>
          <w:color w:val="000000" w:themeColor="text1"/>
          <w:sz w:val="24"/>
        </w:rPr>
      </w:pPr>
      <w:r w:rsidRPr="00EA037B">
        <w:rPr>
          <w:rFonts w:ascii="Book Antiqua" w:hAnsi="Book Antiqua"/>
          <w:color w:val="000000" w:themeColor="text1"/>
          <w:sz w:val="24"/>
        </w:rPr>
        <w:t>Laparoscopy-assisted pylorus-preserving gastrectomy (LAPPG) was known to have benefits of function-preserving surgery compared to laparoscopy-assisted distal gastrectomy (LADG). However, in clinical settings, delayed gastric emptying and esophageal reflux following LAPPG can be serious issues, making surgeons reluctant to perform LAPPG.</w:t>
      </w:r>
    </w:p>
    <w:p w14:paraId="68938B9A" w14:textId="77777777" w:rsidR="0058097E" w:rsidRPr="00EA037B" w:rsidRDefault="0058097E" w:rsidP="00EA037B">
      <w:pPr>
        <w:wordWrap/>
        <w:adjustRightInd w:val="0"/>
        <w:spacing w:line="360" w:lineRule="auto"/>
        <w:rPr>
          <w:rFonts w:ascii="Book Antiqua" w:hAnsi="Book Antiqua"/>
          <w:color w:val="000000" w:themeColor="text1"/>
          <w:sz w:val="24"/>
        </w:rPr>
      </w:pPr>
    </w:p>
    <w:p w14:paraId="3AA82AA2" w14:textId="77777777" w:rsidR="00260C14" w:rsidRPr="0058097E" w:rsidRDefault="00260C14" w:rsidP="00EA037B">
      <w:pPr>
        <w:wordWrap/>
        <w:adjustRightInd w:val="0"/>
        <w:spacing w:line="360" w:lineRule="auto"/>
        <w:rPr>
          <w:rFonts w:ascii="Book Antiqua" w:eastAsia="ArialNarrow-BoldItalic" w:hAnsi="Book Antiqua"/>
          <w:b/>
          <w:bCs/>
          <w:i/>
          <w:color w:val="000000" w:themeColor="text1"/>
          <w:kern w:val="0"/>
          <w:sz w:val="24"/>
        </w:rPr>
      </w:pPr>
      <w:r w:rsidRPr="0058097E">
        <w:rPr>
          <w:rFonts w:ascii="Book Antiqua" w:eastAsia="ArialNarrow-BoldItalic" w:hAnsi="Book Antiqua"/>
          <w:b/>
          <w:bCs/>
          <w:i/>
          <w:color w:val="000000" w:themeColor="text1"/>
          <w:kern w:val="0"/>
          <w:sz w:val="24"/>
        </w:rPr>
        <w:t>Research motivation</w:t>
      </w:r>
    </w:p>
    <w:p w14:paraId="0C55BBC1" w14:textId="77777777" w:rsidR="0058097E" w:rsidRDefault="0013664D" w:rsidP="00EA037B">
      <w:pPr>
        <w:wordWrap/>
        <w:spacing w:line="360" w:lineRule="auto"/>
        <w:rPr>
          <w:rFonts w:ascii="Book Antiqua" w:hAnsi="Book Antiqua"/>
          <w:color w:val="000000" w:themeColor="text1"/>
          <w:sz w:val="24"/>
        </w:rPr>
      </w:pPr>
      <w:r w:rsidRPr="00EA037B">
        <w:rPr>
          <w:rFonts w:ascii="Book Antiqua" w:hAnsi="Book Antiqua"/>
          <w:color w:val="000000" w:themeColor="text1"/>
          <w:sz w:val="24"/>
        </w:rPr>
        <w:t xml:space="preserve">It is unclear </w:t>
      </w:r>
      <w:r w:rsidR="007B78DF" w:rsidRPr="00EA037B">
        <w:rPr>
          <w:rFonts w:ascii="Book Antiqua" w:hAnsi="Book Antiqua"/>
          <w:color w:val="000000" w:themeColor="text1"/>
          <w:sz w:val="24"/>
        </w:rPr>
        <w:t>that</w:t>
      </w:r>
      <w:r w:rsidRPr="00EA037B">
        <w:rPr>
          <w:rFonts w:ascii="Book Antiqua" w:hAnsi="Book Antiqua"/>
          <w:color w:val="000000" w:themeColor="text1"/>
          <w:sz w:val="24"/>
        </w:rPr>
        <w:t xml:space="preserve"> LAPPG had better long-term functional outcomes and quality of life compared to LADG.</w:t>
      </w:r>
    </w:p>
    <w:p w14:paraId="60784E4F" w14:textId="7F5F7699" w:rsidR="0013664D" w:rsidRPr="00EA037B" w:rsidRDefault="0013664D" w:rsidP="00EA037B">
      <w:pPr>
        <w:wordWrap/>
        <w:spacing w:line="360" w:lineRule="auto"/>
        <w:rPr>
          <w:rFonts w:ascii="Book Antiqua" w:hAnsi="Book Antiqua"/>
          <w:b/>
          <w:bCs/>
          <w:color w:val="000000" w:themeColor="text1"/>
          <w:sz w:val="24"/>
        </w:rPr>
      </w:pPr>
      <w:r w:rsidRPr="00EA037B">
        <w:rPr>
          <w:rFonts w:ascii="Book Antiqua" w:hAnsi="Book Antiqua"/>
          <w:color w:val="000000" w:themeColor="text1"/>
          <w:sz w:val="24"/>
        </w:rPr>
        <w:t xml:space="preserve"> </w:t>
      </w:r>
    </w:p>
    <w:p w14:paraId="02611527" w14:textId="77777777" w:rsidR="00260C14" w:rsidRPr="0058097E" w:rsidRDefault="00260C14" w:rsidP="00EA037B">
      <w:pPr>
        <w:wordWrap/>
        <w:adjustRightInd w:val="0"/>
        <w:spacing w:line="360" w:lineRule="auto"/>
        <w:rPr>
          <w:rFonts w:ascii="Book Antiqua" w:eastAsia="ArialNarrow-BoldItalic" w:hAnsi="Book Antiqua"/>
          <w:b/>
          <w:bCs/>
          <w:i/>
          <w:color w:val="000000" w:themeColor="text1"/>
          <w:kern w:val="0"/>
          <w:sz w:val="24"/>
        </w:rPr>
      </w:pPr>
      <w:r w:rsidRPr="0058097E">
        <w:rPr>
          <w:rFonts w:ascii="Book Antiqua" w:eastAsia="ArialNarrow-BoldItalic" w:hAnsi="Book Antiqua"/>
          <w:b/>
          <w:bCs/>
          <w:i/>
          <w:color w:val="000000" w:themeColor="text1"/>
          <w:kern w:val="0"/>
          <w:sz w:val="24"/>
        </w:rPr>
        <w:t>Research objectives</w:t>
      </w:r>
    </w:p>
    <w:p w14:paraId="61753496" w14:textId="50108B71" w:rsidR="0013664D" w:rsidRDefault="0013664D" w:rsidP="00EA037B">
      <w:pPr>
        <w:wordWrap/>
        <w:spacing w:line="360" w:lineRule="auto"/>
        <w:rPr>
          <w:rFonts w:ascii="Book Antiqua" w:hAnsi="Book Antiqua"/>
          <w:bCs/>
          <w:color w:val="000000" w:themeColor="text1"/>
          <w:sz w:val="24"/>
        </w:rPr>
      </w:pPr>
      <w:r w:rsidRPr="00EA037B">
        <w:rPr>
          <w:rFonts w:ascii="Book Antiqua" w:hAnsi="Book Antiqua"/>
          <w:bCs/>
          <w:color w:val="000000" w:themeColor="text1"/>
          <w:sz w:val="24"/>
        </w:rPr>
        <w:t>To evaluate the long-term functional outcomes and patient-reported quality of life of LAPPG compared to those of LADG with Billroth II anastomosis.</w:t>
      </w:r>
    </w:p>
    <w:p w14:paraId="25C24DF6" w14:textId="77777777" w:rsidR="0058097E" w:rsidRPr="00EA037B" w:rsidRDefault="0058097E" w:rsidP="00EA037B">
      <w:pPr>
        <w:wordWrap/>
        <w:spacing w:line="360" w:lineRule="auto"/>
        <w:rPr>
          <w:rFonts w:ascii="Book Antiqua" w:hAnsi="Book Antiqua"/>
          <w:bCs/>
          <w:color w:val="000000" w:themeColor="text1"/>
          <w:sz w:val="24"/>
        </w:rPr>
      </w:pPr>
    </w:p>
    <w:p w14:paraId="686F39E8" w14:textId="77777777" w:rsidR="00260C14" w:rsidRPr="0058097E" w:rsidRDefault="00260C14" w:rsidP="00EA037B">
      <w:pPr>
        <w:wordWrap/>
        <w:adjustRightInd w:val="0"/>
        <w:spacing w:line="360" w:lineRule="auto"/>
        <w:rPr>
          <w:rFonts w:ascii="Book Antiqua" w:eastAsia="ArialNarrow-BoldItalic" w:hAnsi="Book Antiqua"/>
          <w:b/>
          <w:bCs/>
          <w:i/>
          <w:color w:val="000000" w:themeColor="text1"/>
          <w:kern w:val="0"/>
          <w:sz w:val="24"/>
        </w:rPr>
      </w:pPr>
      <w:r w:rsidRPr="0058097E">
        <w:rPr>
          <w:rFonts w:ascii="Book Antiqua" w:eastAsia="ArialNarrow-BoldItalic" w:hAnsi="Book Antiqua"/>
          <w:b/>
          <w:bCs/>
          <w:i/>
          <w:color w:val="000000" w:themeColor="text1"/>
          <w:kern w:val="0"/>
          <w:sz w:val="24"/>
        </w:rPr>
        <w:t>Research methods</w:t>
      </w:r>
    </w:p>
    <w:p w14:paraId="0E0D5AD7" w14:textId="2A359D07" w:rsidR="0013664D" w:rsidRDefault="0013664D" w:rsidP="00EA037B">
      <w:pPr>
        <w:wordWrap/>
        <w:spacing w:line="360" w:lineRule="auto"/>
        <w:rPr>
          <w:rFonts w:ascii="Book Antiqua" w:hAnsi="Book Antiqua"/>
          <w:bCs/>
          <w:color w:val="000000" w:themeColor="text1"/>
          <w:sz w:val="24"/>
        </w:rPr>
      </w:pPr>
      <w:r w:rsidRPr="00EA037B">
        <w:rPr>
          <w:rFonts w:ascii="Book Antiqua" w:hAnsi="Book Antiqua"/>
          <w:bCs/>
          <w:color w:val="000000" w:themeColor="text1"/>
          <w:sz w:val="24"/>
        </w:rPr>
        <w:t xml:space="preserve">We reviewed the clinicopathological data of 195 patients who underwent LADG with Billroth II anastomosis </w:t>
      </w:r>
      <w:r w:rsidRPr="00EA037B">
        <w:rPr>
          <w:rFonts w:ascii="Book Antiqua" w:hAnsi="Book Antiqua"/>
          <w:color w:val="000000" w:themeColor="text1"/>
          <w:sz w:val="24"/>
        </w:rPr>
        <w:t xml:space="preserve">and </w:t>
      </w:r>
      <w:r w:rsidRPr="00EA037B">
        <w:rPr>
          <w:rFonts w:ascii="Book Antiqua" w:hAnsi="Book Antiqua"/>
          <w:bCs/>
          <w:color w:val="000000" w:themeColor="text1"/>
          <w:sz w:val="24"/>
        </w:rPr>
        <w:t>101 patients who underwent LAPPG for cT1N0 gastric cancer in the middle third of the stomach between 2012 and 2015. Postoperative complications, nutritional parameters, and survey results of the EORTC QLQ C30 and STO22 questionnaire were compared between the two groups.</w:t>
      </w:r>
    </w:p>
    <w:p w14:paraId="65D5D408" w14:textId="77777777" w:rsidR="0058097E" w:rsidRPr="00EA037B" w:rsidRDefault="0058097E" w:rsidP="00EA037B">
      <w:pPr>
        <w:wordWrap/>
        <w:spacing w:line="360" w:lineRule="auto"/>
        <w:rPr>
          <w:rFonts w:ascii="Book Antiqua" w:hAnsi="Book Antiqua"/>
          <w:bCs/>
          <w:color w:val="000000" w:themeColor="text1"/>
          <w:sz w:val="24"/>
        </w:rPr>
      </w:pPr>
    </w:p>
    <w:p w14:paraId="3162B09D" w14:textId="77777777" w:rsidR="00260C14" w:rsidRPr="0058097E" w:rsidRDefault="00260C14" w:rsidP="00EA037B">
      <w:pPr>
        <w:wordWrap/>
        <w:adjustRightInd w:val="0"/>
        <w:spacing w:line="360" w:lineRule="auto"/>
        <w:rPr>
          <w:rFonts w:ascii="Book Antiqua" w:eastAsia="ArialNarrow-BoldItalic" w:hAnsi="Book Antiqua"/>
          <w:b/>
          <w:bCs/>
          <w:i/>
          <w:color w:val="000000" w:themeColor="text1"/>
          <w:kern w:val="0"/>
          <w:sz w:val="24"/>
        </w:rPr>
      </w:pPr>
      <w:r w:rsidRPr="0058097E">
        <w:rPr>
          <w:rFonts w:ascii="Book Antiqua" w:eastAsia="ArialNarrow-BoldItalic" w:hAnsi="Book Antiqua"/>
          <w:b/>
          <w:bCs/>
          <w:i/>
          <w:color w:val="000000" w:themeColor="text1"/>
          <w:kern w:val="0"/>
          <w:sz w:val="24"/>
        </w:rPr>
        <w:t>Research results</w:t>
      </w:r>
    </w:p>
    <w:p w14:paraId="321E4DF4" w14:textId="6767F681" w:rsidR="0013664D" w:rsidRDefault="0013664D" w:rsidP="00EA037B">
      <w:pPr>
        <w:wordWrap/>
        <w:spacing w:line="360" w:lineRule="auto"/>
        <w:rPr>
          <w:rFonts w:ascii="Book Antiqua" w:hAnsi="Book Antiqua"/>
          <w:bCs/>
          <w:color w:val="000000" w:themeColor="text1"/>
          <w:sz w:val="24"/>
        </w:rPr>
      </w:pPr>
      <w:r w:rsidRPr="00EA037B">
        <w:rPr>
          <w:rFonts w:ascii="Book Antiqua" w:hAnsi="Book Antiqua"/>
          <w:bCs/>
          <w:color w:val="000000" w:themeColor="text1"/>
          <w:sz w:val="24"/>
        </w:rPr>
        <w:t>The serum hemoglobin level was significantly higher in the LAPPG group than in the LADG group (</w:t>
      </w:r>
      <w:r w:rsidR="0058097E" w:rsidRPr="0058097E">
        <w:rPr>
          <w:rFonts w:ascii="Book Antiqua" w:hAnsi="Book Antiqua"/>
          <w:bCs/>
          <w:i/>
          <w:iCs/>
          <w:color w:val="000000" w:themeColor="text1"/>
          <w:sz w:val="24"/>
        </w:rPr>
        <w:t>P</w:t>
      </w:r>
      <w:r w:rsidR="0058097E">
        <w:rPr>
          <w:rFonts w:ascii="Book Antiqua" w:hAnsi="Book Antiqua"/>
          <w:bCs/>
          <w:color w:val="000000" w:themeColor="text1"/>
          <w:sz w:val="24"/>
        </w:rPr>
        <w:t xml:space="preserve"> </w:t>
      </w:r>
      <w:r w:rsidRPr="00EA037B">
        <w:rPr>
          <w:rFonts w:ascii="Book Antiqua" w:hAnsi="Book Antiqua"/>
          <w:bCs/>
          <w:color w:val="000000" w:themeColor="text1"/>
          <w:sz w:val="24"/>
        </w:rPr>
        <w:t>&lt;</w:t>
      </w:r>
      <w:r w:rsidR="0058097E">
        <w:rPr>
          <w:rFonts w:ascii="Book Antiqua" w:hAnsi="Book Antiqua"/>
          <w:bCs/>
          <w:color w:val="000000" w:themeColor="text1"/>
          <w:sz w:val="24"/>
        </w:rPr>
        <w:t xml:space="preserve"> </w:t>
      </w:r>
      <w:r w:rsidRPr="00EA037B">
        <w:rPr>
          <w:rFonts w:ascii="Book Antiqua" w:hAnsi="Book Antiqua"/>
          <w:bCs/>
          <w:color w:val="000000" w:themeColor="text1"/>
          <w:sz w:val="24"/>
        </w:rPr>
        <w:t>0.001). In the endoscopic findings, incidence of bile reflux was lower (</w:t>
      </w:r>
      <w:r w:rsidR="0058097E" w:rsidRPr="0058097E">
        <w:rPr>
          <w:rFonts w:ascii="Book Antiqua" w:hAnsi="Book Antiqua"/>
          <w:bCs/>
          <w:i/>
          <w:iCs/>
          <w:color w:val="000000" w:themeColor="text1"/>
          <w:sz w:val="24"/>
        </w:rPr>
        <w:t>P</w:t>
      </w:r>
      <w:r w:rsidR="0058097E" w:rsidRPr="00EA037B">
        <w:rPr>
          <w:rFonts w:ascii="Book Antiqua" w:hAnsi="Book Antiqua"/>
          <w:bCs/>
          <w:color w:val="000000" w:themeColor="text1"/>
          <w:sz w:val="24"/>
        </w:rPr>
        <w:t xml:space="preserve"> </w:t>
      </w:r>
      <w:r w:rsidRPr="00EA037B">
        <w:rPr>
          <w:rFonts w:ascii="Book Antiqua" w:hAnsi="Book Antiqua"/>
          <w:bCs/>
          <w:color w:val="000000" w:themeColor="text1"/>
          <w:sz w:val="24"/>
        </w:rPr>
        <w:t>&lt;</w:t>
      </w:r>
      <w:r w:rsidR="0058097E">
        <w:rPr>
          <w:rFonts w:ascii="Book Antiqua" w:hAnsi="Book Antiqua"/>
          <w:bCs/>
          <w:color w:val="000000" w:themeColor="text1"/>
          <w:sz w:val="24"/>
        </w:rPr>
        <w:t xml:space="preserve"> </w:t>
      </w:r>
      <w:r w:rsidRPr="00EA037B">
        <w:rPr>
          <w:rFonts w:ascii="Book Antiqua" w:hAnsi="Book Antiqua"/>
          <w:bCs/>
          <w:color w:val="000000" w:themeColor="text1"/>
          <w:sz w:val="24"/>
        </w:rPr>
        <w:t>0.001); however, the incidence of residual food was higher in the LAPPG group than in the LADG group (</w:t>
      </w:r>
      <w:r w:rsidR="0058097E" w:rsidRPr="0058097E">
        <w:rPr>
          <w:rFonts w:ascii="Book Antiqua" w:hAnsi="Book Antiqua"/>
          <w:bCs/>
          <w:i/>
          <w:iCs/>
          <w:color w:val="000000" w:themeColor="text1"/>
          <w:sz w:val="24"/>
        </w:rPr>
        <w:t>P</w:t>
      </w:r>
      <w:r w:rsidR="0058097E" w:rsidRPr="00EA037B">
        <w:rPr>
          <w:rFonts w:ascii="Book Antiqua" w:hAnsi="Book Antiqua"/>
          <w:bCs/>
          <w:color w:val="000000" w:themeColor="text1"/>
          <w:sz w:val="24"/>
        </w:rPr>
        <w:t xml:space="preserve"> </w:t>
      </w:r>
      <w:r w:rsidRPr="00EA037B">
        <w:rPr>
          <w:rFonts w:ascii="Book Antiqua" w:hAnsi="Book Antiqua"/>
          <w:bCs/>
          <w:color w:val="000000" w:themeColor="text1"/>
          <w:sz w:val="24"/>
        </w:rPr>
        <w:t>&lt;</w:t>
      </w:r>
      <w:r w:rsidR="0058097E">
        <w:rPr>
          <w:rFonts w:ascii="Book Antiqua" w:hAnsi="Book Antiqua"/>
          <w:bCs/>
          <w:color w:val="000000" w:themeColor="text1"/>
          <w:sz w:val="24"/>
        </w:rPr>
        <w:t xml:space="preserve"> </w:t>
      </w:r>
      <w:r w:rsidRPr="00EA037B">
        <w:rPr>
          <w:rFonts w:ascii="Book Antiqua" w:hAnsi="Book Antiqua"/>
          <w:bCs/>
          <w:color w:val="000000" w:themeColor="text1"/>
          <w:sz w:val="24"/>
        </w:rPr>
        <w:t xml:space="preserve">0.001). Regarding the quality of life score, the LAPPG group had a better physical functioning score (86.7 </w:t>
      </w:r>
      <w:r w:rsidRPr="0058097E">
        <w:rPr>
          <w:rFonts w:ascii="Book Antiqua" w:hAnsi="Book Antiqua"/>
          <w:bCs/>
          <w:i/>
          <w:iCs/>
          <w:color w:val="000000" w:themeColor="text1"/>
          <w:sz w:val="24"/>
        </w:rPr>
        <w:t>vs</w:t>
      </w:r>
      <w:r w:rsidRPr="00EA037B">
        <w:rPr>
          <w:rFonts w:ascii="Book Antiqua" w:hAnsi="Book Antiqua"/>
          <w:bCs/>
          <w:color w:val="000000" w:themeColor="text1"/>
          <w:sz w:val="24"/>
        </w:rPr>
        <w:t xml:space="preserve"> 90.0</w:t>
      </w:r>
      <w:r w:rsidR="0058097E">
        <w:rPr>
          <w:rFonts w:ascii="Book Antiqua" w:hAnsi="Book Antiqua"/>
          <w:bCs/>
          <w:color w:val="000000" w:themeColor="text1"/>
          <w:sz w:val="24"/>
        </w:rPr>
        <w:t>,</w:t>
      </w:r>
      <w:r w:rsidRPr="00EA037B">
        <w:rPr>
          <w:rFonts w:ascii="Book Antiqua" w:hAnsi="Book Antiqua"/>
          <w:bCs/>
          <w:color w:val="000000" w:themeColor="text1"/>
          <w:sz w:val="24"/>
        </w:rPr>
        <w:t xml:space="preserve"> </w:t>
      </w:r>
      <w:r w:rsidR="0058097E" w:rsidRPr="0058097E">
        <w:rPr>
          <w:rFonts w:ascii="Book Antiqua" w:hAnsi="Book Antiqua"/>
          <w:bCs/>
          <w:i/>
          <w:iCs/>
          <w:color w:val="000000" w:themeColor="text1"/>
          <w:sz w:val="24"/>
        </w:rPr>
        <w:t>P</w:t>
      </w:r>
      <w:r w:rsidRPr="00EA037B">
        <w:rPr>
          <w:rFonts w:ascii="Book Antiqua" w:hAnsi="Book Antiqua"/>
          <w:bCs/>
          <w:color w:val="000000" w:themeColor="text1"/>
          <w:sz w:val="24"/>
        </w:rPr>
        <w:t xml:space="preserve"> = 0.032) but also greater pain and reflux when compared to the LADG group (8.3 </w:t>
      </w:r>
      <w:r w:rsidRPr="0058097E">
        <w:rPr>
          <w:rFonts w:ascii="Book Antiqua" w:hAnsi="Book Antiqua"/>
          <w:bCs/>
          <w:i/>
          <w:iCs/>
          <w:color w:val="000000" w:themeColor="text1"/>
          <w:sz w:val="24"/>
        </w:rPr>
        <w:t>vs</w:t>
      </w:r>
      <w:r w:rsidRPr="00EA037B">
        <w:rPr>
          <w:rFonts w:ascii="Book Antiqua" w:hAnsi="Book Antiqua"/>
          <w:bCs/>
          <w:color w:val="000000" w:themeColor="text1"/>
          <w:sz w:val="24"/>
        </w:rPr>
        <w:t xml:space="preserve"> 16.7 in pain, 11.1 (interquartile range, 0, 22.2) </w:t>
      </w:r>
      <w:r w:rsidRPr="0058097E">
        <w:rPr>
          <w:rFonts w:ascii="Book Antiqua" w:hAnsi="Book Antiqua"/>
          <w:bCs/>
          <w:i/>
          <w:iCs/>
          <w:color w:val="000000" w:themeColor="text1"/>
          <w:sz w:val="24"/>
        </w:rPr>
        <w:t>vs</w:t>
      </w:r>
      <w:r w:rsidRPr="00EA037B">
        <w:rPr>
          <w:rFonts w:ascii="Book Antiqua" w:hAnsi="Book Antiqua"/>
          <w:bCs/>
          <w:color w:val="000000" w:themeColor="text1"/>
          <w:sz w:val="24"/>
        </w:rPr>
        <w:t xml:space="preserve"> 11.1 (interquartile range, 11.1, 33.3) in reflux</w:t>
      </w:r>
      <w:r w:rsidR="0058097E">
        <w:rPr>
          <w:rFonts w:ascii="Book Antiqua" w:hAnsi="Book Antiqua"/>
          <w:bCs/>
          <w:color w:val="000000" w:themeColor="text1"/>
          <w:sz w:val="24"/>
        </w:rPr>
        <w:t>,</w:t>
      </w:r>
      <w:r w:rsidRPr="00EA037B">
        <w:rPr>
          <w:rFonts w:ascii="Book Antiqua" w:hAnsi="Book Antiqua"/>
          <w:bCs/>
          <w:color w:val="000000" w:themeColor="text1"/>
          <w:sz w:val="24"/>
        </w:rPr>
        <w:t xml:space="preserve"> </w:t>
      </w:r>
      <w:r w:rsidR="0058097E" w:rsidRPr="0058097E">
        <w:rPr>
          <w:rFonts w:ascii="Book Antiqua" w:hAnsi="Book Antiqua"/>
          <w:bCs/>
          <w:i/>
          <w:iCs/>
          <w:color w:val="000000" w:themeColor="text1"/>
          <w:sz w:val="24"/>
        </w:rPr>
        <w:t>P</w:t>
      </w:r>
      <w:r w:rsidRPr="00EA037B">
        <w:rPr>
          <w:rFonts w:ascii="Book Antiqua" w:hAnsi="Book Antiqua"/>
          <w:bCs/>
          <w:color w:val="000000" w:themeColor="text1"/>
          <w:sz w:val="24"/>
        </w:rPr>
        <w:t xml:space="preserve"> = 0.034 and 0.001, respectively).</w:t>
      </w:r>
    </w:p>
    <w:p w14:paraId="0641E0BB" w14:textId="77777777" w:rsidR="0058097E" w:rsidRPr="00EA037B" w:rsidRDefault="0058097E" w:rsidP="00EA037B">
      <w:pPr>
        <w:wordWrap/>
        <w:spacing w:line="360" w:lineRule="auto"/>
        <w:rPr>
          <w:rFonts w:ascii="Book Antiqua" w:hAnsi="Book Antiqua"/>
          <w:bCs/>
          <w:color w:val="000000" w:themeColor="text1"/>
          <w:sz w:val="24"/>
        </w:rPr>
      </w:pPr>
    </w:p>
    <w:p w14:paraId="4FA15817" w14:textId="77777777" w:rsidR="00260C14" w:rsidRPr="0058097E" w:rsidRDefault="00260C14" w:rsidP="00EA037B">
      <w:pPr>
        <w:wordWrap/>
        <w:adjustRightInd w:val="0"/>
        <w:spacing w:line="360" w:lineRule="auto"/>
        <w:rPr>
          <w:rFonts w:ascii="Book Antiqua" w:eastAsia="ArialNarrow-BoldItalic" w:hAnsi="Book Antiqua"/>
          <w:b/>
          <w:bCs/>
          <w:i/>
          <w:color w:val="000000" w:themeColor="text1"/>
          <w:kern w:val="0"/>
          <w:sz w:val="24"/>
        </w:rPr>
      </w:pPr>
      <w:r w:rsidRPr="0058097E">
        <w:rPr>
          <w:rFonts w:ascii="Book Antiqua" w:eastAsia="ArialNarrow-BoldItalic" w:hAnsi="Book Antiqua"/>
          <w:b/>
          <w:bCs/>
          <w:i/>
          <w:color w:val="000000" w:themeColor="text1"/>
          <w:kern w:val="0"/>
          <w:sz w:val="24"/>
        </w:rPr>
        <w:t>Research conclusions</w:t>
      </w:r>
    </w:p>
    <w:p w14:paraId="7BBD4B02" w14:textId="28571E82" w:rsidR="0013664D" w:rsidRDefault="0013664D" w:rsidP="00EA037B">
      <w:pPr>
        <w:wordWrap/>
        <w:spacing w:line="360" w:lineRule="auto"/>
        <w:rPr>
          <w:rFonts w:ascii="Book Antiqua" w:hAnsi="Book Antiqua"/>
          <w:bCs/>
          <w:color w:val="000000" w:themeColor="text1"/>
          <w:sz w:val="24"/>
        </w:rPr>
      </w:pPr>
      <w:r w:rsidRPr="00EA037B">
        <w:rPr>
          <w:rFonts w:ascii="Book Antiqua" w:hAnsi="Book Antiqua"/>
          <w:bCs/>
          <w:color w:val="000000" w:themeColor="text1"/>
          <w:sz w:val="24"/>
        </w:rPr>
        <w:lastRenderedPageBreak/>
        <w:t xml:space="preserve">LAPPG is beneficial to recovery of anemia and to bile reflux, however, it might be unfavorable in terms of pain and reflux symptoms compared to LADG with Billroth II anastomosis. </w:t>
      </w:r>
    </w:p>
    <w:p w14:paraId="313A1A06" w14:textId="77777777" w:rsidR="0058097E" w:rsidRPr="00EA037B" w:rsidRDefault="0058097E" w:rsidP="00EA037B">
      <w:pPr>
        <w:wordWrap/>
        <w:spacing w:line="360" w:lineRule="auto"/>
        <w:rPr>
          <w:rFonts w:ascii="Book Antiqua" w:hAnsi="Book Antiqua"/>
          <w:bCs/>
          <w:color w:val="000000" w:themeColor="text1"/>
          <w:sz w:val="24"/>
        </w:rPr>
      </w:pPr>
    </w:p>
    <w:p w14:paraId="27F39812" w14:textId="77777777" w:rsidR="00260C14" w:rsidRPr="0058097E" w:rsidRDefault="00260C14" w:rsidP="00EA037B">
      <w:pPr>
        <w:wordWrap/>
        <w:adjustRightInd w:val="0"/>
        <w:spacing w:line="360" w:lineRule="auto"/>
        <w:rPr>
          <w:rFonts w:ascii="Book Antiqua" w:eastAsia="ArialNarrow-BoldItalic" w:hAnsi="Book Antiqua"/>
          <w:b/>
          <w:bCs/>
          <w:i/>
          <w:color w:val="000000" w:themeColor="text1"/>
          <w:kern w:val="0"/>
          <w:sz w:val="24"/>
        </w:rPr>
      </w:pPr>
      <w:r w:rsidRPr="0058097E">
        <w:rPr>
          <w:rFonts w:ascii="Book Antiqua" w:eastAsia="ArialNarrow-BoldItalic" w:hAnsi="Book Antiqua"/>
          <w:b/>
          <w:bCs/>
          <w:i/>
          <w:color w:val="000000" w:themeColor="text1"/>
          <w:kern w:val="0"/>
          <w:sz w:val="24"/>
        </w:rPr>
        <w:t>Research perspectives</w:t>
      </w:r>
    </w:p>
    <w:p w14:paraId="48B5FF0B" w14:textId="77777777" w:rsidR="0058097E" w:rsidRDefault="00D96D72" w:rsidP="00EA037B">
      <w:pPr>
        <w:wordWrap/>
        <w:spacing w:line="360" w:lineRule="auto"/>
        <w:rPr>
          <w:rFonts w:ascii="Book Antiqua" w:hAnsi="Book Antiqua"/>
          <w:bCs/>
          <w:color w:val="000000" w:themeColor="text1"/>
          <w:sz w:val="24"/>
        </w:rPr>
      </w:pPr>
      <w:r w:rsidRPr="00EA037B">
        <w:rPr>
          <w:rFonts w:ascii="Book Antiqua" w:hAnsi="Book Antiqua"/>
          <w:bCs/>
          <w:color w:val="000000" w:themeColor="text1"/>
          <w:sz w:val="24"/>
        </w:rPr>
        <w:t xml:space="preserve">LAPPG has both advantages and disadvantages in reference to long-term functional outcomes. </w:t>
      </w:r>
      <w:r w:rsidR="0013664D" w:rsidRPr="00EA037B">
        <w:rPr>
          <w:rFonts w:ascii="Book Antiqua" w:hAnsi="Book Antiqua"/>
          <w:bCs/>
          <w:color w:val="000000" w:themeColor="text1"/>
          <w:sz w:val="24"/>
        </w:rPr>
        <w:t>When a physician informs all possible advantages and disadvantages to a patient, and the patient wants to undergo LAPPG, LAPPG could be a treatment option for middle third early gastric cancer.</w:t>
      </w:r>
      <w:r w:rsidRPr="00EA037B">
        <w:rPr>
          <w:rFonts w:ascii="Book Antiqua" w:hAnsi="Book Antiqua"/>
          <w:bCs/>
          <w:color w:val="000000" w:themeColor="text1"/>
          <w:sz w:val="24"/>
        </w:rPr>
        <w:t xml:space="preserve"> Additional large-scale study is needed to determine </w:t>
      </w:r>
      <w:r w:rsidR="00EA6D79" w:rsidRPr="00EA037B">
        <w:rPr>
          <w:rFonts w:ascii="Book Antiqua" w:hAnsi="Book Antiqua"/>
          <w:bCs/>
          <w:color w:val="000000" w:themeColor="text1"/>
          <w:sz w:val="24"/>
        </w:rPr>
        <w:t>the functional superiority of LAPPG and patient-reported QOL.</w:t>
      </w:r>
    </w:p>
    <w:p w14:paraId="4E393D78" w14:textId="77777777" w:rsidR="0058097E" w:rsidRDefault="0058097E" w:rsidP="00EA037B">
      <w:pPr>
        <w:wordWrap/>
        <w:spacing w:line="360" w:lineRule="auto"/>
        <w:rPr>
          <w:rFonts w:ascii="Book Antiqua" w:hAnsi="Book Antiqua"/>
          <w:bCs/>
          <w:color w:val="000000" w:themeColor="text1"/>
          <w:sz w:val="24"/>
        </w:rPr>
      </w:pPr>
    </w:p>
    <w:p w14:paraId="578002E6" w14:textId="09063559" w:rsidR="00182B6E" w:rsidRPr="0058097E" w:rsidRDefault="0058097E" w:rsidP="00EA037B">
      <w:pPr>
        <w:wordWrap/>
        <w:spacing w:line="360" w:lineRule="auto"/>
        <w:rPr>
          <w:rFonts w:ascii="Book Antiqua" w:hAnsi="Book Antiqua"/>
          <w:bCs/>
          <w:color w:val="000000" w:themeColor="text1"/>
          <w:sz w:val="24"/>
        </w:rPr>
      </w:pPr>
      <w:r w:rsidRPr="00EA037B">
        <w:rPr>
          <w:rFonts w:ascii="Book Antiqua" w:hAnsi="Book Antiqua"/>
          <w:b/>
          <w:color w:val="000000" w:themeColor="text1"/>
          <w:sz w:val="24"/>
        </w:rPr>
        <w:t>ACKNOWLEDG</w:t>
      </w:r>
      <w:r>
        <w:rPr>
          <w:rFonts w:ascii="Book Antiqua" w:hAnsi="Book Antiqua"/>
          <w:b/>
          <w:color w:val="000000" w:themeColor="text1"/>
          <w:sz w:val="24"/>
        </w:rPr>
        <w:t>E</w:t>
      </w:r>
      <w:r w:rsidRPr="00EA037B">
        <w:rPr>
          <w:rFonts w:ascii="Book Antiqua" w:hAnsi="Book Antiqua"/>
          <w:b/>
          <w:color w:val="000000" w:themeColor="text1"/>
          <w:sz w:val="24"/>
        </w:rPr>
        <w:t>MENTS</w:t>
      </w:r>
    </w:p>
    <w:p w14:paraId="64FC11FC" w14:textId="77777777" w:rsidR="00182B6E" w:rsidRPr="00EA037B" w:rsidRDefault="00182B6E" w:rsidP="00EA037B">
      <w:pPr>
        <w:wordWrap/>
        <w:spacing w:line="360" w:lineRule="auto"/>
        <w:rPr>
          <w:rFonts w:ascii="Book Antiqua" w:hAnsi="Book Antiqua"/>
          <w:color w:val="000000" w:themeColor="text1"/>
          <w:sz w:val="24"/>
        </w:rPr>
      </w:pPr>
      <w:r w:rsidRPr="00EA037B">
        <w:rPr>
          <w:rFonts w:ascii="Book Antiqua" w:hAnsi="Book Antiqua"/>
          <w:color w:val="000000" w:themeColor="text1"/>
          <w:sz w:val="24"/>
        </w:rPr>
        <w:t xml:space="preserve">We appreciate contributions from Hyunju Cho, BS, Deok Hee Kim, BS, and Yang Seung Geun, BS Center for Gastric Cancer, National Cancer Center for QOL Data Collection. No individual received direct compensation for involvement in this study. </w:t>
      </w:r>
    </w:p>
    <w:p w14:paraId="354AE7FC" w14:textId="77777777" w:rsidR="00182B6E" w:rsidRPr="00EA037B" w:rsidRDefault="00182B6E" w:rsidP="00EA037B">
      <w:pPr>
        <w:widowControl/>
        <w:wordWrap/>
        <w:autoSpaceDE/>
        <w:autoSpaceDN/>
        <w:spacing w:line="360" w:lineRule="auto"/>
        <w:rPr>
          <w:rFonts w:ascii="Book Antiqua" w:hAnsi="Book Antiqua"/>
          <w:b/>
          <w:color w:val="000000" w:themeColor="text1"/>
          <w:sz w:val="24"/>
        </w:rPr>
      </w:pPr>
      <w:r w:rsidRPr="00EA037B">
        <w:rPr>
          <w:rFonts w:ascii="Book Antiqua" w:hAnsi="Book Antiqua"/>
          <w:b/>
          <w:color w:val="000000" w:themeColor="text1"/>
          <w:sz w:val="24"/>
        </w:rPr>
        <w:br w:type="page"/>
      </w:r>
      <w:bookmarkStart w:id="29" w:name="_GoBack"/>
      <w:bookmarkEnd w:id="29"/>
    </w:p>
    <w:p w14:paraId="15B2768E" w14:textId="77777777" w:rsidR="00182B6E" w:rsidRPr="00EA037B" w:rsidRDefault="00182B6E" w:rsidP="00EA037B">
      <w:pPr>
        <w:tabs>
          <w:tab w:val="left" w:pos="3438"/>
        </w:tabs>
        <w:wordWrap/>
        <w:spacing w:line="360" w:lineRule="auto"/>
        <w:rPr>
          <w:rFonts w:ascii="Book Antiqua" w:hAnsi="Book Antiqua"/>
          <w:b/>
          <w:color w:val="000000" w:themeColor="text1"/>
          <w:sz w:val="24"/>
        </w:rPr>
      </w:pPr>
      <w:r w:rsidRPr="00EA037B">
        <w:rPr>
          <w:rFonts w:ascii="Book Antiqua" w:hAnsi="Book Antiqua"/>
          <w:b/>
          <w:color w:val="000000" w:themeColor="text1"/>
          <w:sz w:val="24"/>
        </w:rPr>
        <w:lastRenderedPageBreak/>
        <w:t>REFERENCES</w:t>
      </w:r>
    </w:p>
    <w:p w14:paraId="01D889B7"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1 </w:t>
      </w:r>
      <w:r w:rsidRPr="0070122F">
        <w:rPr>
          <w:rFonts w:ascii="Book Antiqua" w:eastAsia="等线" w:hAnsi="Book Antiqua"/>
          <w:b/>
          <w:sz w:val="24"/>
          <w:lang w:eastAsia="zh-CN"/>
        </w:rPr>
        <w:t>Maki T</w:t>
      </w:r>
      <w:r w:rsidRPr="0070122F">
        <w:rPr>
          <w:rFonts w:ascii="Book Antiqua" w:eastAsia="等线" w:hAnsi="Book Antiqua"/>
          <w:sz w:val="24"/>
          <w:lang w:eastAsia="zh-CN"/>
        </w:rPr>
        <w:t xml:space="preserve">, Shiratori T, Hatafuku T, Sugawara K. Pylorus-preserving gastrectomy as an improved operation for gastric ulcer. </w:t>
      </w:r>
      <w:r w:rsidRPr="0070122F">
        <w:rPr>
          <w:rFonts w:ascii="Book Antiqua" w:eastAsia="等线" w:hAnsi="Book Antiqua"/>
          <w:i/>
          <w:sz w:val="24"/>
          <w:lang w:eastAsia="zh-CN"/>
        </w:rPr>
        <w:t>Surgery</w:t>
      </w:r>
      <w:r w:rsidRPr="0070122F">
        <w:rPr>
          <w:rFonts w:ascii="Book Antiqua" w:eastAsia="等线" w:hAnsi="Book Antiqua"/>
          <w:sz w:val="24"/>
          <w:lang w:eastAsia="zh-CN"/>
        </w:rPr>
        <w:t xml:space="preserve"> 1967; </w:t>
      </w:r>
      <w:r w:rsidRPr="0070122F">
        <w:rPr>
          <w:rFonts w:ascii="Book Antiqua" w:eastAsia="等线" w:hAnsi="Book Antiqua"/>
          <w:b/>
          <w:sz w:val="24"/>
          <w:lang w:eastAsia="zh-CN"/>
        </w:rPr>
        <w:t>61</w:t>
      </w:r>
      <w:r w:rsidRPr="0070122F">
        <w:rPr>
          <w:rFonts w:ascii="Book Antiqua" w:eastAsia="等线" w:hAnsi="Book Antiqua"/>
          <w:sz w:val="24"/>
          <w:lang w:eastAsia="zh-CN"/>
        </w:rPr>
        <w:t>: 838-845 [PMID: 5338114]</w:t>
      </w:r>
    </w:p>
    <w:p w14:paraId="6B27DC1D"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2 </w:t>
      </w:r>
      <w:r w:rsidRPr="0070122F">
        <w:rPr>
          <w:rFonts w:ascii="Book Antiqua" w:eastAsia="等线" w:hAnsi="Book Antiqua"/>
          <w:b/>
          <w:sz w:val="24"/>
          <w:lang w:eastAsia="zh-CN"/>
        </w:rPr>
        <w:t>Kodama M</w:t>
      </w:r>
      <w:r w:rsidRPr="0070122F">
        <w:rPr>
          <w:rFonts w:ascii="Book Antiqua" w:eastAsia="等线" w:hAnsi="Book Antiqua"/>
          <w:sz w:val="24"/>
          <w:lang w:eastAsia="zh-CN"/>
        </w:rPr>
        <w:t xml:space="preserve">, Koyama K. Indications for pylorus preserving gastrectomy for early gastric cancer located in the middle third of the stomach. </w:t>
      </w:r>
      <w:r w:rsidRPr="0070122F">
        <w:rPr>
          <w:rFonts w:ascii="Book Antiqua" w:eastAsia="等线" w:hAnsi="Book Antiqua"/>
          <w:i/>
          <w:sz w:val="24"/>
          <w:lang w:eastAsia="zh-CN"/>
        </w:rPr>
        <w:t>World J Surg</w:t>
      </w:r>
      <w:r w:rsidRPr="0070122F">
        <w:rPr>
          <w:rFonts w:ascii="Book Antiqua" w:eastAsia="等线" w:hAnsi="Book Antiqua"/>
          <w:sz w:val="24"/>
          <w:lang w:eastAsia="zh-CN"/>
        </w:rPr>
        <w:t xml:space="preserve"> 1991; </w:t>
      </w:r>
      <w:r w:rsidRPr="0070122F">
        <w:rPr>
          <w:rFonts w:ascii="Book Antiqua" w:eastAsia="等线" w:hAnsi="Book Antiqua"/>
          <w:b/>
          <w:sz w:val="24"/>
          <w:lang w:eastAsia="zh-CN"/>
        </w:rPr>
        <w:t>15</w:t>
      </w:r>
      <w:r w:rsidRPr="0070122F">
        <w:rPr>
          <w:rFonts w:ascii="Book Antiqua" w:eastAsia="等线" w:hAnsi="Book Antiqua"/>
          <w:sz w:val="24"/>
          <w:lang w:eastAsia="zh-CN"/>
        </w:rPr>
        <w:t>: 628-33; discussion 633-4 [PMID: 1949863 DOI: 10.1007/BF01789211]</w:t>
      </w:r>
    </w:p>
    <w:p w14:paraId="73342BF0"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3 </w:t>
      </w:r>
      <w:r w:rsidRPr="0070122F">
        <w:rPr>
          <w:rFonts w:ascii="Book Antiqua" w:eastAsia="等线" w:hAnsi="Book Antiqua"/>
          <w:b/>
          <w:sz w:val="24"/>
          <w:lang w:eastAsia="zh-CN"/>
        </w:rPr>
        <w:t>Xiao XM</w:t>
      </w:r>
      <w:r w:rsidRPr="0070122F">
        <w:rPr>
          <w:rFonts w:ascii="Book Antiqua" w:eastAsia="等线" w:hAnsi="Book Antiqua"/>
          <w:sz w:val="24"/>
          <w:lang w:eastAsia="zh-CN"/>
        </w:rPr>
        <w:t xml:space="preserve">, Gaol C, Yin W, Yu WH, Qi F, Liu T. Pylorus-Preserving versus Distal Subtotal Gastrectomy for Surgical Treatment of Early Gastric Cancer: A Meta-Analysis. </w:t>
      </w:r>
      <w:r w:rsidRPr="0070122F">
        <w:rPr>
          <w:rFonts w:ascii="Book Antiqua" w:eastAsia="等线" w:hAnsi="Book Antiqua"/>
          <w:i/>
          <w:sz w:val="24"/>
          <w:lang w:eastAsia="zh-CN"/>
        </w:rPr>
        <w:t>Hepatogastroenterology</w:t>
      </w:r>
      <w:r w:rsidRPr="0070122F">
        <w:rPr>
          <w:rFonts w:ascii="Book Antiqua" w:eastAsia="等线" w:hAnsi="Book Antiqua"/>
          <w:sz w:val="24"/>
          <w:lang w:eastAsia="zh-CN"/>
        </w:rPr>
        <w:t xml:space="preserve"> 2014; </w:t>
      </w:r>
      <w:r w:rsidRPr="0070122F">
        <w:rPr>
          <w:rFonts w:ascii="Book Antiqua" w:eastAsia="等线" w:hAnsi="Book Antiqua"/>
          <w:b/>
          <w:sz w:val="24"/>
          <w:lang w:eastAsia="zh-CN"/>
        </w:rPr>
        <w:t>61</w:t>
      </w:r>
      <w:r w:rsidRPr="0070122F">
        <w:rPr>
          <w:rFonts w:ascii="Book Antiqua" w:eastAsia="等线" w:hAnsi="Book Antiqua"/>
          <w:sz w:val="24"/>
          <w:lang w:eastAsia="zh-CN"/>
        </w:rPr>
        <w:t>: 870-879 [PMID: 26176089]</w:t>
      </w:r>
    </w:p>
    <w:p w14:paraId="33867A38"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4 </w:t>
      </w:r>
      <w:r w:rsidRPr="0070122F">
        <w:rPr>
          <w:rFonts w:ascii="Book Antiqua" w:eastAsia="等线" w:hAnsi="Book Antiqua"/>
          <w:b/>
          <w:sz w:val="24"/>
          <w:lang w:eastAsia="zh-CN"/>
        </w:rPr>
        <w:t>Song P</w:t>
      </w:r>
      <w:r w:rsidRPr="0070122F">
        <w:rPr>
          <w:rFonts w:ascii="Book Antiqua" w:eastAsia="等线" w:hAnsi="Book Antiqua"/>
          <w:sz w:val="24"/>
          <w:lang w:eastAsia="zh-CN"/>
        </w:rPr>
        <w:t xml:space="preserve">, Lu M, Pu F, Zhang D, Wang B, Zhao Q. Meta-analysis of pylorus-preserving gastrectomy for middle-third early gastric cancer. </w:t>
      </w:r>
      <w:r w:rsidRPr="0070122F">
        <w:rPr>
          <w:rFonts w:ascii="Book Antiqua" w:eastAsia="等线" w:hAnsi="Book Antiqua"/>
          <w:i/>
          <w:sz w:val="24"/>
          <w:lang w:eastAsia="zh-CN"/>
        </w:rPr>
        <w:t>J Laparoendosc Adv Surg Tech A</w:t>
      </w:r>
      <w:r w:rsidRPr="0070122F">
        <w:rPr>
          <w:rFonts w:ascii="Book Antiqua" w:eastAsia="等线" w:hAnsi="Book Antiqua"/>
          <w:sz w:val="24"/>
          <w:lang w:eastAsia="zh-CN"/>
        </w:rPr>
        <w:t xml:space="preserve"> 2014; </w:t>
      </w:r>
      <w:r w:rsidRPr="0070122F">
        <w:rPr>
          <w:rFonts w:ascii="Book Antiqua" w:eastAsia="等线" w:hAnsi="Book Antiqua"/>
          <w:b/>
          <w:sz w:val="24"/>
          <w:lang w:eastAsia="zh-CN"/>
        </w:rPr>
        <w:t>24</w:t>
      </w:r>
      <w:r w:rsidRPr="0070122F">
        <w:rPr>
          <w:rFonts w:ascii="Book Antiqua" w:eastAsia="等线" w:hAnsi="Book Antiqua"/>
          <w:sz w:val="24"/>
          <w:lang w:eastAsia="zh-CN"/>
        </w:rPr>
        <w:t>: 718-727 [PMID: 25243417 DOI: 10.1089/lap.2014.0123]</w:t>
      </w:r>
    </w:p>
    <w:p w14:paraId="490B7CB4"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5 </w:t>
      </w:r>
      <w:r w:rsidRPr="0070122F">
        <w:rPr>
          <w:rFonts w:ascii="Book Antiqua" w:eastAsia="等线" w:hAnsi="Book Antiqua"/>
          <w:b/>
          <w:sz w:val="24"/>
          <w:lang w:eastAsia="zh-CN"/>
        </w:rPr>
        <w:t>Kim YW</w:t>
      </w:r>
      <w:r w:rsidRPr="0070122F">
        <w:rPr>
          <w:rFonts w:ascii="Book Antiqua" w:eastAsia="等线" w:hAnsi="Book Antiqua"/>
          <w:sz w:val="24"/>
          <w:lang w:eastAsia="zh-CN"/>
        </w:rPr>
        <w:t xml:space="preserve">, Baik YH, Yun YH, Nam BH, Kim DH, Choi IJ, Bae JM. Improved quality of life outcomes after laparoscopy-assisted distal gastrectomy for early gastric cancer: results of a prospective randomized clinical trial. </w:t>
      </w:r>
      <w:r w:rsidRPr="0070122F">
        <w:rPr>
          <w:rFonts w:ascii="Book Antiqua" w:eastAsia="等线" w:hAnsi="Book Antiqua"/>
          <w:i/>
          <w:sz w:val="24"/>
          <w:lang w:eastAsia="zh-CN"/>
        </w:rPr>
        <w:t>Ann Surg</w:t>
      </w:r>
      <w:r w:rsidRPr="0070122F">
        <w:rPr>
          <w:rFonts w:ascii="Book Antiqua" w:eastAsia="等线" w:hAnsi="Book Antiqua"/>
          <w:sz w:val="24"/>
          <w:lang w:eastAsia="zh-CN"/>
        </w:rPr>
        <w:t xml:space="preserve"> 2008; </w:t>
      </w:r>
      <w:r w:rsidRPr="0070122F">
        <w:rPr>
          <w:rFonts w:ascii="Book Antiqua" w:eastAsia="等线" w:hAnsi="Book Antiqua"/>
          <w:b/>
          <w:sz w:val="24"/>
          <w:lang w:eastAsia="zh-CN"/>
        </w:rPr>
        <w:t>248</w:t>
      </w:r>
      <w:r w:rsidRPr="0070122F">
        <w:rPr>
          <w:rFonts w:ascii="Book Antiqua" w:eastAsia="等线" w:hAnsi="Book Antiqua"/>
          <w:sz w:val="24"/>
          <w:lang w:eastAsia="zh-CN"/>
        </w:rPr>
        <w:t>: 721-727 [PMID: 18948798 DOI: 10.1097/SLA.0b013e318185e62e]</w:t>
      </w:r>
    </w:p>
    <w:p w14:paraId="58BBCE5F"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6 </w:t>
      </w:r>
      <w:r w:rsidRPr="0070122F">
        <w:rPr>
          <w:rFonts w:ascii="Book Antiqua" w:eastAsia="等线" w:hAnsi="Book Antiqua"/>
          <w:b/>
          <w:sz w:val="24"/>
          <w:lang w:eastAsia="zh-CN"/>
        </w:rPr>
        <w:t>Kim YW</w:t>
      </w:r>
      <w:r w:rsidRPr="0070122F">
        <w:rPr>
          <w:rFonts w:ascii="Book Antiqua" w:eastAsia="等线" w:hAnsi="Book Antiqua"/>
          <w:sz w:val="24"/>
          <w:lang w:eastAsia="zh-CN"/>
        </w:rPr>
        <w:t xml:space="preserve">, Yoon HM, Eom BW, Park JY. History of minimally invasive surgery for gastric cancer in Korea. </w:t>
      </w:r>
      <w:r w:rsidRPr="0070122F">
        <w:rPr>
          <w:rFonts w:ascii="Book Antiqua" w:eastAsia="等线" w:hAnsi="Book Antiqua"/>
          <w:i/>
          <w:sz w:val="24"/>
          <w:lang w:eastAsia="zh-CN"/>
        </w:rPr>
        <w:t>J Gastric Cancer</w:t>
      </w:r>
      <w:r w:rsidRPr="0070122F">
        <w:rPr>
          <w:rFonts w:ascii="Book Antiqua" w:eastAsia="等线" w:hAnsi="Book Antiqua"/>
          <w:sz w:val="24"/>
          <w:lang w:eastAsia="zh-CN"/>
        </w:rPr>
        <w:t xml:space="preserve"> 2012; </w:t>
      </w:r>
      <w:r w:rsidRPr="0070122F">
        <w:rPr>
          <w:rFonts w:ascii="Book Antiqua" w:eastAsia="等线" w:hAnsi="Book Antiqua"/>
          <w:b/>
          <w:sz w:val="24"/>
          <w:lang w:eastAsia="zh-CN"/>
        </w:rPr>
        <w:t>12</w:t>
      </w:r>
      <w:r w:rsidRPr="0070122F">
        <w:rPr>
          <w:rFonts w:ascii="Book Antiqua" w:eastAsia="等线" w:hAnsi="Book Antiqua"/>
          <w:sz w:val="24"/>
          <w:lang w:eastAsia="zh-CN"/>
        </w:rPr>
        <w:t>: 13-17 [PMID: 22500259 DOI: 10.5230/jgc.2012.12.1.13]</w:t>
      </w:r>
    </w:p>
    <w:p w14:paraId="37E8E934"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7 </w:t>
      </w:r>
      <w:r w:rsidRPr="0070122F">
        <w:rPr>
          <w:rFonts w:ascii="Book Antiqua" w:eastAsia="等线" w:hAnsi="Book Antiqua"/>
          <w:b/>
          <w:sz w:val="24"/>
          <w:lang w:eastAsia="zh-CN"/>
        </w:rPr>
        <w:t>Urushihara T</w:t>
      </w:r>
      <w:r w:rsidRPr="0070122F">
        <w:rPr>
          <w:rFonts w:ascii="Book Antiqua" w:eastAsia="等线" w:hAnsi="Book Antiqua"/>
          <w:sz w:val="24"/>
          <w:lang w:eastAsia="zh-CN"/>
        </w:rPr>
        <w:t xml:space="preserve">, Sumimoto K, Shimokado K, Kuroda Y. Gastric motility after laparoscopically assisted distal gastrectomy, with or without preservation of the pylorus, for early gastric cancer, as assessed by digital dynamic x-ray imaging. </w:t>
      </w:r>
      <w:r w:rsidRPr="0070122F">
        <w:rPr>
          <w:rFonts w:ascii="Book Antiqua" w:eastAsia="等线" w:hAnsi="Book Antiqua"/>
          <w:i/>
          <w:sz w:val="24"/>
          <w:lang w:eastAsia="zh-CN"/>
        </w:rPr>
        <w:t>Surg Endosc</w:t>
      </w:r>
      <w:r w:rsidRPr="0070122F">
        <w:rPr>
          <w:rFonts w:ascii="Book Antiqua" w:eastAsia="等线" w:hAnsi="Book Antiqua"/>
          <w:sz w:val="24"/>
          <w:lang w:eastAsia="zh-CN"/>
        </w:rPr>
        <w:t xml:space="preserve"> 2004; </w:t>
      </w:r>
      <w:r w:rsidRPr="0070122F">
        <w:rPr>
          <w:rFonts w:ascii="Book Antiqua" w:eastAsia="等线" w:hAnsi="Book Antiqua"/>
          <w:b/>
          <w:sz w:val="24"/>
          <w:lang w:eastAsia="zh-CN"/>
        </w:rPr>
        <w:t>18</w:t>
      </w:r>
      <w:r w:rsidRPr="0070122F">
        <w:rPr>
          <w:rFonts w:ascii="Book Antiqua" w:eastAsia="等线" w:hAnsi="Book Antiqua"/>
          <w:sz w:val="24"/>
          <w:lang w:eastAsia="zh-CN"/>
        </w:rPr>
        <w:t>: 964-968 [PMID: 15095077 DOI: 10.1007/s00464-003-8192-z]</w:t>
      </w:r>
    </w:p>
    <w:p w14:paraId="7D474FCC"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8 </w:t>
      </w:r>
      <w:r w:rsidRPr="0070122F">
        <w:rPr>
          <w:rFonts w:ascii="Book Antiqua" w:eastAsia="等线" w:hAnsi="Book Antiqua"/>
          <w:b/>
          <w:sz w:val="24"/>
          <w:lang w:eastAsia="zh-CN"/>
        </w:rPr>
        <w:t>Hiki N</w:t>
      </w:r>
      <w:r w:rsidRPr="0070122F">
        <w:rPr>
          <w:rFonts w:ascii="Book Antiqua" w:eastAsia="等线" w:hAnsi="Book Antiqua"/>
          <w:sz w:val="24"/>
          <w:lang w:eastAsia="zh-CN"/>
        </w:rPr>
        <w:t xml:space="preserve">, Kaminishi M. Pylorus-preserving gastrectomy in gastric cancer surgery--open and laparoscopic approaches. </w:t>
      </w:r>
      <w:r w:rsidRPr="0070122F">
        <w:rPr>
          <w:rFonts w:ascii="Book Antiqua" w:eastAsia="等线" w:hAnsi="Book Antiqua"/>
          <w:i/>
          <w:sz w:val="24"/>
          <w:lang w:eastAsia="zh-CN"/>
        </w:rPr>
        <w:t>Langenbecks Arch Surg</w:t>
      </w:r>
      <w:r w:rsidRPr="0070122F">
        <w:rPr>
          <w:rFonts w:ascii="Book Antiqua" w:eastAsia="等线" w:hAnsi="Book Antiqua"/>
          <w:sz w:val="24"/>
          <w:lang w:eastAsia="zh-CN"/>
        </w:rPr>
        <w:t xml:space="preserve"> 2005; </w:t>
      </w:r>
      <w:r w:rsidRPr="0070122F">
        <w:rPr>
          <w:rFonts w:ascii="Book Antiqua" w:eastAsia="等线" w:hAnsi="Book Antiqua"/>
          <w:b/>
          <w:sz w:val="24"/>
          <w:lang w:eastAsia="zh-CN"/>
        </w:rPr>
        <w:t>390</w:t>
      </w:r>
      <w:r w:rsidRPr="0070122F">
        <w:rPr>
          <w:rFonts w:ascii="Book Antiqua" w:eastAsia="等线" w:hAnsi="Book Antiqua"/>
          <w:sz w:val="24"/>
          <w:lang w:eastAsia="zh-CN"/>
        </w:rPr>
        <w:t>: 442-447 [PMID: 16096761 DOI: 10.1007/s00423-005-0573-4]</w:t>
      </w:r>
    </w:p>
    <w:p w14:paraId="33CD3222"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9 </w:t>
      </w:r>
      <w:r w:rsidRPr="0070122F">
        <w:rPr>
          <w:rFonts w:ascii="Book Antiqua" w:eastAsia="等线" w:hAnsi="Book Antiqua"/>
          <w:b/>
          <w:sz w:val="24"/>
          <w:lang w:eastAsia="zh-CN"/>
        </w:rPr>
        <w:t>Hiki N</w:t>
      </w:r>
      <w:r w:rsidRPr="0070122F">
        <w:rPr>
          <w:rFonts w:ascii="Book Antiqua" w:eastAsia="等线" w:hAnsi="Book Antiqua"/>
          <w:sz w:val="24"/>
          <w:lang w:eastAsia="zh-CN"/>
        </w:rPr>
        <w:t>, Shimoyama S, Yamaguchi H, Kubota K, Kaminishi M. Laparoscopy-</w:t>
      </w:r>
      <w:r w:rsidRPr="0070122F">
        <w:rPr>
          <w:rFonts w:ascii="Book Antiqua" w:eastAsia="等线" w:hAnsi="Book Antiqua"/>
          <w:sz w:val="24"/>
          <w:lang w:eastAsia="zh-CN"/>
        </w:rPr>
        <w:lastRenderedPageBreak/>
        <w:t xml:space="preserve">assisted pylorus-preserving gastrectomy with quality controlled lymph node dissection in gastric cancer operation. </w:t>
      </w:r>
      <w:r w:rsidRPr="0070122F">
        <w:rPr>
          <w:rFonts w:ascii="Book Antiqua" w:eastAsia="等线" w:hAnsi="Book Antiqua"/>
          <w:i/>
          <w:sz w:val="24"/>
          <w:lang w:eastAsia="zh-CN"/>
        </w:rPr>
        <w:t>J Am Coll Surg</w:t>
      </w:r>
      <w:r w:rsidRPr="0070122F">
        <w:rPr>
          <w:rFonts w:ascii="Book Antiqua" w:eastAsia="等线" w:hAnsi="Book Antiqua"/>
          <w:sz w:val="24"/>
          <w:lang w:eastAsia="zh-CN"/>
        </w:rPr>
        <w:t xml:space="preserve"> 2006; </w:t>
      </w:r>
      <w:r w:rsidRPr="0070122F">
        <w:rPr>
          <w:rFonts w:ascii="Book Antiqua" w:eastAsia="等线" w:hAnsi="Book Antiqua"/>
          <w:b/>
          <w:sz w:val="24"/>
          <w:lang w:eastAsia="zh-CN"/>
        </w:rPr>
        <w:t>203</w:t>
      </w:r>
      <w:r w:rsidRPr="0070122F">
        <w:rPr>
          <w:rFonts w:ascii="Book Antiqua" w:eastAsia="等线" w:hAnsi="Book Antiqua"/>
          <w:sz w:val="24"/>
          <w:lang w:eastAsia="zh-CN"/>
        </w:rPr>
        <w:t>: 162-169 [PMID: 16864028 DOI: 10.1016/j.jamcollsurg.2006.05.003]</w:t>
      </w:r>
    </w:p>
    <w:p w14:paraId="620900EA"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10 </w:t>
      </w:r>
      <w:r w:rsidRPr="0070122F">
        <w:rPr>
          <w:rFonts w:ascii="Book Antiqua" w:eastAsia="等线" w:hAnsi="Book Antiqua"/>
          <w:b/>
          <w:sz w:val="24"/>
          <w:lang w:eastAsia="zh-CN"/>
        </w:rPr>
        <w:t>Nunobe S</w:t>
      </w:r>
      <w:r w:rsidRPr="0070122F">
        <w:rPr>
          <w:rFonts w:ascii="Book Antiqua" w:eastAsia="等线" w:hAnsi="Book Antiqua"/>
          <w:sz w:val="24"/>
          <w:lang w:eastAsia="zh-CN"/>
        </w:rPr>
        <w:t xml:space="preserve">, Hiki N, Fukunaga T, Tokunaga M, Ohyama S, Seto Y, Yamaguchi T. Laparoscopy-assisted pylorus-preserving gastrectomy: preservation of vagus nerve and infrapyloric blood flow induces less stasis. </w:t>
      </w:r>
      <w:r w:rsidRPr="0070122F">
        <w:rPr>
          <w:rFonts w:ascii="Book Antiqua" w:eastAsia="等线" w:hAnsi="Book Antiqua"/>
          <w:i/>
          <w:sz w:val="24"/>
          <w:lang w:eastAsia="zh-CN"/>
        </w:rPr>
        <w:t>World J Surg</w:t>
      </w:r>
      <w:r w:rsidRPr="0070122F">
        <w:rPr>
          <w:rFonts w:ascii="Book Antiqua" w:eastAsia="等线" w:hAnsi="Book Antiqua"/>
          <w:sz w:val="24"/>
          <w:lang w:eastAsia="zh-CN"/>
        </w:rPr>
        <w:t xml:space="preserve"> 2007; </w:t>
      </w:r>
      <w:r w:rsidRPr="0070122F">
        <w:rPr>
          <w:rFonts w:ascii="Book Antiqua" w:eastAsia="等线" w:hAnsi="Book Antiqua"/>
          <w:b/>
          <w:sz w:val="24"/>
          <w:lang w:eastAsia="zh-CN"/>
        </w:rPr>
        <w:t>31</w:t>
      </w:r>
      <w:r w:rsidRPr="0070122F">
        <w:rPr>
          <w:rFonts w:ascii="Book Antiqua" w:eastAsia="等线" w:hAnsi="Book Antiqua"/>
          <w:sz w:val="24"/>
          <w:lang w:eastAsia="zh-CN"/>
        </w:rPr>
        <w:t>: 2335-2340 [PMID: 17952497 DOI: 10.1007/s00268-007-9262-5]</w:t>
      </w:r>
    </w:p>
    <w:p w14:paraId="0E75048D"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11 </w:t>
      </w:r>
      <w:r w:rsidRPr="0070122F">
        <w:rPr>
          <w:rFonts w:ascii="Book Antiqua" w:eastAsia="等线" w:hAnsi="Book Antiqua"/>
          <w:b/>
          <w:sz w:val="24"/>
          <w:lang w:eastAsia="zh-CN"/>
        </w:rPr>
        <w:t>Tanaka N</w:t>
      </w:r>
      <w:r w:rsidRPr="0070122F">
        <w:rPr>
          <w:rFonts w:ascii="Book Antiqua" w:eastAsia="等线" w:hAnsi="Book Antiqua"/>
          <w:sz w:val="24"/>
          <w:lang w:eastAsia="zh-CN"/>
        </w:rPr>
        <w:t xml:space="preserve">, Katai H, Saka M, Morita S, Fukagawa T. Laparoscopy-assisted pylorus-preserving gastrectomy: a matched case-control study. </w:t>
      </w:r>
      <w:r w:rsidRPr="0070122F">
        <w:rPr>
          <w:rFonts w:ascii="Book Antiqua" w:eastAsia="等线" w:hAnsi="Book Antiqua"/>
          <w:i/>
          <w:sz w:val="24"/>
          <w:lang w:eastAsia="zh-CN"/>
        </w:rPr>
        <w:t>Surg Endosc</w:t>
      </w:r>
      <w:r w:rsidRPr="0070122F">
        <w:rPr>
          <w:rFonts w:ascii="Book Antiqua" w:eastAsia="等线" w:hAnsi="Book Antiqua"/>
          <w:sz w:val="24"/>
          <w:lang w:eastAsia="zh-CN"/>
        </w:rPr>
        <w:t xml:space="preserve"> 2011; </w:t>
      </w:r>
      <w:r w:rsidRPr="0070122F">
        <w:rPr>
          <w:rFonts w:ascii="Book Antiqua" w:eastAsia="等线" w:hAnsi="Book Antiqua"/>
          <w:b/>
          <w:sz w:val="24"/>
          <w:lang w:eastAsia="zh-CN"/>
        </w:rPr>
        <w:t>25</w:t>
      </w:r>
      <w:r w:rsidRPr="0070122F">
        <w:rPr>
          <w:rFonts w:ascii="Book Antiqua" w:eastAsia="等线" w:hAnsi="Book Antiqua"/>
          <w:sz w:val="24"/>
          <w:lang w:eastAsia="zh-CN"/>
        </w:rPr>
        <w:t>: 114-118 [PMID: 20526619 DOI: 10.1007/s00464-010-1142-7]</w:t>
      </w:r>
    </w:p>
    <w:p w14:paraId="3A3C4C25"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12 </w:t>
      </w:r>
      <w:r w:rsidRPr="0070122F">
        <w:rPr>
          <w:rFonts w:ascii="Book Antiqua" w:eastAsia="等线" w:hAnsi="Book Antiqua"/>
          <w:b/>
          <w:sz w:val="24"/>
          <w:lang w:eastAsia="zh-CN"/>
        </w:rPr>
        <w:t>Suh YS</w:t>
      </w:r>
      <w:r w:rsidRPr="0070122F">
        <w:rPr>
          <w:rFonts w:ascii="Book Antiqua" w:eastAsia="等线" w:hAnsi="Book Antiqua"/>
          <w:sz w:val="24"/>
          <w:lang w:eastAsia="zh-CN"/>
        </w:rPr>
        <w:t xml:space="preserve">, Han DS, Kong SH, Kwon S, Shin CI, Kim WH, Kim HH, Lee HJ, Yang HK. Laparoscopy-assisted pylorus-preserving gastrectomy is better than laparoscopy-assisted distal gastrectomy for middle-third early gastric cancer. </w:t>
      </w:r>
      <w:r w:rsidRPr="0070122F">
        <w:rPr>
          <w:rFonts w:ascii="Book Antiqua" w:eastAsia="等线" w:hAnsi="Book Antiqua"/>
          <w:i/>
          <w:sz w:val="24"/>
          <w:lang w:eastAsia="zh-CN"/>
        </w:rPr>
        <w:t>Ann Surg</w:t>
      </w:r>
      <w:r w:rsidRPr="0070122F">
        <w:rPr>
          <w:rFonts w:ascii="Book Antiqua" w:eastAsia="等线" w:hAnsi="Book Antiqua"/>
          <w:sz w:val="24"/>
          <w:lang w:eastAsia="zh-CN"/>
        </w:rPr>
        <w:t xml:space="preserve"> 2014; </w:t>
      </w:r>
      <w:r w:rsidRPr="0070122F">
        <w:rPr>
          <w:rFonts w:ascii="Book Antiqua" w:eastAsia="等线" w:hAnsi="Book Antiqua"/>
          <w:b/>
          <w:sz w:val="24"/>
          <w:lang w:eastAsia="zh-CN"/>
        </w:rPr>
        <w:t>259</w:t>
      </w:r>
      <w:r w:rsidRPr="0070122F">
        <w:rPr>
          <w:rFonts w:ascii="Book Antiqua" w:eastAsia="等线" w:hAnsi="Book Antiqua"/>
          <w:sz w:val="24"/>
          <w:lang w:eastAsia="zh-CN"/>
        </w:rPr>
        <w:t>: 485-493 [PMID: 23652333 DOI: 10.1097/SLA.0b013e318294d142]</w:t>
      </w:r>
    </w:p>
    <w:p w14:paraId="364206C0"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13 </w:t>
      </w:r>
      <w:r w:rsidRPr="0070122F">
        <w:rPr>
          <w:rFonts w:ascii="Book Antiqua" w:eastAsia="等线" w:hAnsi="Book Antiqua"/>
          <w:b/>
          <w:sz w:val="24"/>
          <w:lang w:eastAsia="zh-CN"/>
        </w:rPr>
        <w:t>Tomikawa M</w:t>
      </w:r>
      <w:r w:rsidRPr="0070122F">
        <w:rPr>
          <w:rFonts w:ascii="Book Antiqua" w:eastAsia="等线" w:hAnsi="Book Antiqua"/>
          <w:sz w:val="24"/>
          <w:lang w:eastAsia="zh-CN"/>
        </w:rPr>
        <w:t xml:space="preserve">, Korenaga D, Akahoshi T, Kohshi K, Sugimachi K, Nagao Y, Tsutsumi N, Takenaka K, Kakeji Y, Hashizume M, Maehara Y. Quality of life after laparoscopy-assisted pylorus-preserving gastrectomy: an evaluation using a questionnaire mailed to the patients. </w:t>
      </w:r>
      <w:r w:rsidRPr="0070122F">
        <w:rPr>
          <w:rFonts w:ascii="Book Antiqua" w:eastAsia="等线" w:hAnsi="Book Antiqua"/>
          <w:i/>
          <w:sz w:val="24"/>
          <w:lang w:eastAsia="zh-CN"/>
        </w:rPr>
        <w:t>Surg Today</w:t>
      </w:r>
      <w:r w:rsidRPr="0070122F">
        <w:rPr>
          <w:rFonts w:ascii="Book Antiqua" w:eastAsia="等线" w:hAnsi="Book Antiqua"/>
          <w:sz w:val="24"/>
          <w:lang w:eastAsia="zh-CN"/>
        </w:rPr>
        <w:t xml:space="preserve"> 2012; </w:t>
      </w:r>
      <w:r w:rsidRPr="0070122F">
        <w:rPr>
          <w:rFonts w:ascii="Book Antiqua" w:eastAsia="等线" w:hAnsi="Book Antiqua"/>
          <w:b/>
          <w:sz w:val="24"/>
          <w:lang w:eastAsia="zh-CN"/>
        </w:rPr>
        <w:t>42</w:t>
      </w:r>
      <w:r w:rsidRPr="0070122F">
        <w:rPr>
          <w:rFonts w:ascii="Book Antiqua" w:eastAsia="等线" w:hAnsi="Book Antiqua"/>
          <w:sz w:val="24"/>
          <w:lang w:eastAsia="zh-CN"/>
        </w:rPr>
        <w:t>: 625-632 [PMID: 22527179 DOI: 10.1007/s00595-012-0182-0]</w:t>
      </w:r>
    </w:p>
    <w:p w14:paraId="1E09CF64"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14 </w:t>
      </w:r>
      <w:r w:rsidRPr="0070122F">
        <w:rPr>
          <w:rFonts w:ascii="Book Antiqua" w:eastAsia="等线" w:hAnsi="Book Antiqua"/>
          <w:b/>
          <w:sz w:val="24"/>
          <w:lang w:eastAsia="zh-CN"/>
        </w:rPr>
        <w:t>Hosoda K</w:t>
      </w:r>
      <w:r w:rsidRPr="0070122F">
        <w:rPr>
          <w:rFonts w:ascii="Book Antiqua" w:eastAsia="等线" w:hAnsi="Book Antiqua"/>
          <w:sz w:val="24"/>
          <w:lang w:eastAsia="zh-CN"/>
        </w:rPr>
        <w:t xml:space="preserve">, Yamashita K, Sakuramoto S, Katada N, Moriya H, Mieno H, Watanabe M. Postoperative quality of life after laparoscopy-assisted pylorus-preserving gastrectomy compared With laparoscopy-assisted distal gastrectomy: A cross-sectional postal questionnaire survey. </w:t>
      </w:r>
      <w:r w:rsidRPr="0070122F">
        <w:rPr>
          <w:rFonts w:ascii="Book Antiqua" w:eastAsia="等线" w:hAnsi="Book Antiqua"/>
          <w:i/>
          <w:sz w:val="24"/>
          <w:lang w:eastAsia="zh-CN"/>
        </w:rPr>
        <w:t>Am J Surg</w:t>
      </w:r>
      <w:r w:rsidRPr="0070122F">
        <w:rPr>
          <w:rFonts w:ascii="Book Antiqua" w:eastAsia="等线" w:hAnsi="Book Antiqua"/>
          <w:sz w:val="24"/>
          <w:lang w:eastAsia="zh-CN"/>
        </w:rPr>
        <w:t xml:space="preserve"> 2017; </w:t>
      </w:r>
      <w:r w:rsidRPr="0070122F">
        <w:rPr>
          <w:rFonts w:ascii="Book Antiqua" w:eastAsia="等线" w:hAnsi="Book Antiqua"/>
          <w:b/>
          <w:sz w:val="24"/>
          <w:lang w:eastAsia="zh-CN"/>
        </w:rPr>
        <w:t>213</w:t>
      </w:r>
      <w:r w:rsidRPr="0070122F">
        <w:rPr>
          <w:rFonts w:ascii="Book Antiqua" w:eastAsia="等线" w:hAnsi="Book Antiqua"/>
          <w:sz w:val="24"/>
          <w:lang w:eastAsia="zh-CN"/>
        </w:rPr>
        <w:t>: 763-770 [PMID: 27751530 DOI: 10.1016/j.amjsurg.2016.09.041]</w:t>
      </w:r>
    </w:p>
    <w:p w14:paraId="7965E86C"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15 </w:t>
      </w:r>
      <w:r w:rsidRPr="0070122F">
        <w:rPr>
          <w:rFonts w:ascii="Book Antiqua" w:eastAsia="等线" w:hAnsi="Book Antiqua"/>
          <w:b/>
          <w:sz w:val="24"/>
          <w:lang w:eastAsia="zh-CN"/>
        </w:rPr>
        <w:t>Japanese Gastric Cancer Association.</w:t>
      </w:r>
      <w:r w:rsidRPr="0070122F">
        <w:rPr>
          <w:rFonts w:ascii="Book Antiqua" w:eastAsia="等线" w:hAnsi="Book Antiqua"/>
          <w:sz w:val="24"/>
          <w:lang w:eastAsia="zh-CN"/>
        </w:rPr>
        <w:t xml:space="preserve">. Japanese gastric cancer treatment guidelines 2010 (ver. 3). </w:t>
      </w:r>
      <w:r w:rsidRPr="0070122F">
        <w:rPr>
          <w:rFonts w:ascii="Book Antiqua" w:eastAsia="等线" w:hAnsi="Book Antiqua"/>
          <w:i/>
          <w:sz w:val="24"/>
          <w:lang w:eastAsia="zh-CN"/>
        </w:rPr>
        <w:t>Gastric Cancer</w:t>
      </w:r>
      <w:r w:rsidRPr="0070122F">
        <w:rPr>
          <w:rFonts w:ascii="Book Antiqua" w:eastAsia="等线" w:hAnsi="Book Antiqua"/>
          <w:sz w:val="24"/>
          <w:lang w:eastAsia="zh-CN"/>
        </w:rPr>
        <w:t xml:space="preserve"> 2011; </w:t>
      </w:r>
      <w:r w:rsidRPr="0070122F">
        <w:rPr>
          <w:rFonts w:ascii="Book Antiqua" w:eastAsia="等线" w:hAnsi="Book Antiqua"/>
          <w:b/>
          <w:sz w:val="24"/>
          <w:lang w:eastAsia="zh-CN"/>
        </w:rPr>
        <w:t>14</w:t>
      </w:r>
      <w:r w:rsidRPr="0070122F">
        <w:rPr>
          <w:rFonts w:ascii="Book Antiqua" w:eastAsia="等线" w:hAnsi="Book Antiqua"/>
          <w:sz w:val="24"/>
          <w:lang w:eastAsia="zh-CN"/>
        </w:rPr>
        <w:t>: 113-123 [PMID: 21573742 DOI: 10.1007/s10120-011-0042-4]</w:t>
      </w:r>
    </w:p>
    <w:p w14:paraId="559260CF"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lastRenderedPageBreak/>
        <w:t xml:space="preserve">16 </w:t>
      </w:r>
      <w:r w:rsidRPr="0070122F">
        <w:rPr>
          <w:rFonts w:ascii="Book Antiqua" w:eastAsia="等线" w:hAnsi="Book Antiqua"/>
          <w:b/>
          <w:sz w:val="24"/>
          <w:lang w:eastAsia="zh-CN"/>
        </w:rPr>
        <w:t>Owens WD</w:t>
      </w:r>
      <w:r w:rsidRPr="0070122F">
        <w:rPr>
          <w:rFonts w:ascii="Book Antiqua" w:eastAsia="等线" w:hAnsi="Book Antiqua"/>
          <w:sz w:val="24"/>
          <w:lang w:eastAsia="zh-CN"/>
        </w:rPr>
        <w:t xml:space="preserve">, Felts JA, Spitznagel EL Jr. ASA physical status classifications: a study of consistency of ratings. </w:t>
      </w:r>
      <w:r w:rsidRPr="0070122F">
        <w:rPr>
          <w:rFonts w:ascii="Book Antiqua" w:eastAsia="等线" w:hAnsi="Book Antiqua"/>
          <w:i/>
          <w:sz w:val="24"/>
          <w:lang w:eastAsia="zh-CN"/>
        </w:rPr>
        <w:t>Anesthesiology</w:t>
      </w:r>
      <w:r w:rsidRPr="0070122F">
        <w:rPr>
          <w:rFonts w:ascii="Book Antiqua" w:eastAsia="等线" w:hAnsi="Book Antiqua"/>
          <w:sz w:val="24"/>
          <w:lang w:eastAsia="zh-CN"/>
        </w:rPr>
        <w:t xml:space="preserve"> 1978; </w:t>
      </w:r>
      <w:r w:rsidRPr="0070122F">
        <w:rPr>
          <w:rFonts w:ascii="Book Antiqua" w:eastAsia="等线" w:hAnsi="Book Antiqua"/>
          <w:b/>
          <w:sz w:val="24"/>
          <w:lang w:eastAsia="zh-CN"/>
        </w:rPr>
        <w:t>49</w:t>
      </w:r>
      <w:r w:rsidRPr="0070122F">
        <w:rPr>
          <w:rFonts w:ascii="Book Antiqua" w:eastAsia="等线" w:hAnsi="Book Antiqua"/>
          <w:sz w:val="24"/>
          <w:lang w:eastAsia="zh-CN"/>
        </w:rPr>
        <w:t>: 239-243 [PMID: 697077 DOI: 10.1097/00000542-197810000-00003]</w:t>
      </w:r>
    </w:p>
    <w:p w14:paraId="6B98BC7D"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highlight w:val="yellow"/>
          <w:lang w:eastAsia="zh-CN"/>
        </w:rPr>
        <w:t xml:space="preserve">17 </w:t>
      </w:r>
      <w:r w:rsidRPr="0070122F">
        <w:rPr>
          <w:rFonts w:ascii="Book Antiqua" w:eastAsia="等线" w:hAnsi="Book Antiqua"/>
          <w:b/>
          <w:sz w:val="24"/>
          <w:highlight w:val="yellow"/>
          <w:lang w:eastAsia="zh-CN"/>
        </w:rPr>
        <w:t>Bosman FT</w:t>
      </w:r>
      <w:r w:rsidRPr="0070122F">
        <w:rPr>
          <w:rFonts w:ascii="Book Antiqua" w:eastAsia="等线" w:hAnsi="Book Antiqua"/>
          <w:bCs/>
          <w:sz w:val="24"/>
          <w:highlight w:val="yellow"/>
          <w:lang w:eastAsia="zh-CN"/>
        </w:rPr>
        <w:t>,</w:t>
      </w:r>
      <w:r w:rsidRPr="0070122F">
        <w:rPr>
          <w:rFonts w:ascii="Book Antiqua" w:eastAsia="等线" w:hAnsi="Book Antiqua"/>
          <w:b/>
          <w:sz w:val="24"/>
          <w:highlight w:val="yellow"/>
          <w:lang w:eastAsia="zh-CN"/>
        </w:rPr>
        <w:t xml:space="preserve"> </w:t>
      </w:r>
      <w:r w:rsidRPr="0070122F">
        <w:rPr>
          <w:rFonts w:ascii="Book Antiqua" w:eastAsia="等线" w:hAnsi="Book Antiqua"/>
          <w:bCs/>
          <w:sz w:val="24"/>
          <w:highlight w:val="yellow"/>
          <w:lang w:eastAsia="zh-CN"/>
        </w:rPr>
        <w:t>Carneiro F,</w:t>
      </w:r>
      <w:r w:rsidRPr="0070122F">
        <w:rPr>
          <w:rFonts w:ascii="Book Antiqua" w:eastAsia="等线" w:hAnsi="Book Antiqua"/>
          <w:sz w:val="24"/>
          <w:highlight w:val="yellow"/>
          <w:lang w:eastAsia="zh-CN"/>
        </w:rPr>
        <w:t xml:space="preserve"> Hruban RH, Theise ND. </w:t>
      </w:r>
      <w:bookmarkStart w:id="30" w:name="OLE_LINK1098"/>
      <w:r w:rsidRPr="0070122F">
        <w:rPr>
          <w:rFonts w:ascii="Book Antiqua" w:eastAsia="等线" w:hAnsi="Book Antiqua"/>
          <w:sz w:val="24"/>
          <w:highlight w:val="yellow"/>
          <w:lang w:eastAsia="zh-CN"/>
        </w:rPr>
        <w:t>WHO Classification of Tumours of the Digestive System</w:t>
      </w:r>
      <w:bookmarkEnd w:id="30"/>
      <w:r w:rsidRPr="0070122F">
        <w:rPr>
          <w:rFonts w:ascii="Book Antiqua" w:eastAsia="等线" w:hAnsi="Book Antiqua"/>
          <w:sz w:val="24"/>
          <w:highlight w:val="yellow"/>
          <w:lang w:eastAsia="zh-CN"/>
        </w:rPr>
        <w:t>. 4</w:t>
      </w:r>
      <w:r w:rsidRPr="0070122F">
        <w:rPr>
          <w:rFonts w:ascii="Book Antiqua" w:eastAsia="等线" w:hAnsi="Book Antiqua"/>
          <w:sz w:val="24"/>
          <w:highlight w:val="yellow"/>
          <w:vertAlign w:val="superscript"/>
          <w:lang w:eastAsia="zh-CN"/>
        </w:rPr>
        <w:t xml:space="preserve">th </w:t>
      </w:r>
      <w:r w:rsidRPr="0070122F">
        <w:rPr>
          <w:rFonts w:ascii="Book Antiqua" w:eastAsia="等线" w:hAnsi="Book Antiqua"/>
          <w:sz w:val="24"/>
          <w:highlight w:val="yellow"/>
          <w:lang w:eastAsia="zh-CN"/>
        </w:rPr>
        <w:t>ed. WHO, 2010</w:t>
      </w:r>
    </w:p>
    <w:p w14:paraId="5D83F8B3"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highlight w:val="yellow"/>
          <w:lang w:eastAsia="zh-CN"/>
        </w:rPr>
        <w:t xml:space="preserve">18 </w:t>
      </w:r>
      <w:r w:rsidRPr="0070122F">
        <w:rPr>
          <w:rFonts w:ascii="Book Antiqua" w:eastAsia="等线" w:hAnsi="Book Antiqua"/>
          <w:b/>
          <w:sz w:val="24"/>
          <w:highlight w:val="yellow"/>
          <w:lang w:eastAsia="zh-CN"/>
        </w:rPr>
        <w:t>Ajani JA</w:t>
      </w:r>
      <w:r w:rsidRPr="0070122F">
        <w:rPr>
          <w:rFonts w:ascii="Book Antiqua" w:eastAsia="等线" w:hAnsi="Book Antiqua"/>
          <w:bCs/>
          <w:sz w:val="24"/>
          <w:highlight w:val="yellow"/>
          <w:lang w:eastAsia="zh-CN"/>
        </w:rPr>
        <w:t>,</w:t>
      </w:r>
      <w:r w:rsidRPr="0070122F">
        <w:rPr>
          <w:rFonts w:ascii="Book Antiqua" w:eastAsia="等线" w:hAnsi="Book Antiqua"/>
          <w:sz w:val="24"/>
          <w:highlight w:val="yellow"/>
          <w:lang w:eastAsia="zh-CN"/>
        </w:rPr>
        <w:t xml:space="preserve"> In H, Sano T, Gaspar LE, Erasmus JJ, Tang LT, Washington MK, Gerdes H, Wittekind CW, Mansfield PF, Rimmer C, Hofstetter WL, Kelsen D. Stomach. In: Amin MB, editor. AJCC Cancer Staging Manual, 8</w:t>
      </w:r>
      <w:r w:rsidRPr="0070122F">
        <w:rPr>
          <w:rFonts w:ascii="Book Antiqua" w:eastAsia="等线" w:hAnsi="Book Antiqua"/>
          <w:sz w:val="24"/>
          <w:highlight w:val="yellow"/>
          <w:vertAlign w:val="superscript"/>
          <w:lang w:eastAsia="zh-CN"/>
        </w:rPr>
        <w:t>th</w:t>
      </w:r>
      <w:r w:rsidRPr="0070122F">
        <w:rPr>
          <w:rFonts w:ascii="Book Antiqua" w:eastAsia="等线" w:hAnsi="Book Antiqua"/>
          <w:sz w:val="24"/>
          <w:highlight w:val="yellow"/>
          <w:lang w:eastAsia="zh-CN"/>
        </w:rPr>
        <w:t xml:space="preserve"> ed. New York: Springer-Verlag, 2016: 203-220</w:t>
      </w:r>
    </w:p>
    <w:p w14:paraId="2AE8DD72"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19 </w:t>
      </w:r>
      <w:r w:rsidRPr="0070122F">
        <w:rPr>
          <w:rFonts w:ascii="Book Antiqua" w:eastAsia="等线" w:hAnsi="Book Antiqua"/>
          <w:b/>
          <w:sz w:val="24"/>
          <w:lang w:eastAsia="zh-CN"/>
        </w:rPr>
        <w:t>Clavien PA</w:t>
      </w:r>
      <w:r w:rsidRPr="0070122F">
        <w:rPr>
          <w:rFonts w:ascii="Book Antiqua" w:eastAsia="等线" w:hAnsi="Book Antiqua"/>
          <w:sz w:val="24"/>
          <w:lang w:eastAsia="zh-CN"/>
        </w:rPr>
        <w:t xml:space="preserve">, Barkun J, de Oliveira ML, Vauthey JN, Dindo D, Schulick RD, de Santibañes E, Pekolj J, Slankamenac K, Bassi C, Graf R, Vonlanthen R, Padbury R, Cameron JL, Makuuchi M. The Clavien-Dindo classification of surgical complications: five-year experience. </w:t>
      </w:r>
      <w:r w:rsidRPr="0070122F">
        <w:rPr>
          <w:rFonts w:ascii="Book Antiqua" w:eastAsia="等线" w:hAnsi="Book Antiqua"/>
          <w:i/>
          <w:sz w:val="24"/>
          <w:lang w:eastAsia="zh-CN"/>
        </w:rPr>
        <w:t>Ann Surg</w:t>
      </w:r>
      <w:r w:rsidRPr="0070122F">
        <w:rPr>
          <w:rFonts w:ascii="Book Antiqua" w:eastAsia="等线" w:hAnsi="Book Antiqua"/>
          <w:sz w:val="24"/>
          <w:lang w:eastAsia="zh-CN"/>
        </w:rPr>
        <w:t xml:space="preserve"> 2009; </w:t>
      </w:r>
      <w:r w:rsidRPr="0070122F">
        <w:rPr>
          <w:rFonts w:ascii="Book Antiqua" w:eastAsia="等线" w:hAnsi="Book Antiqua"/>
          <w:b/>
          <w:sz w:val="24"/>
          <w:lang w:eastAsia="zh-CN"/>
        </w:rPr>
        <w:t>250</w:t>
      </w:r>
      <w:r w:rsidRPr="0070122F">
        <w:rPr>
          <w:rFonts w:ascii="Book Antiqua" w:eastAsia="等线" w:hAnsi="Book Antiqua"/>
          <w:sz w:val="24"/>
          <w:lang w:eastAsia="zh-CN"/>
        </w:rPr>
        <w:t>: 187-196 [PMID: 19638912 DOI: 10.1097/SLA.0b013e3181b13ca2]</w:t>
      </w:r>
    </w:p>
    <w:p w14:paraId="42841FE7"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20 </w:t>
      </w:r>
      <w:r w:rsidRPr="0070122F">
        <w:rPr>
          <w:rFonts w:ascii="Book Antiqua" w:eastAsia="等线" w:hAnsi="Book Antiqua"/>
          <w:b/>
          <w:sz w:val="24"/>
          <w:lang w:eastAsia="zh-CN"/>
        </w:rPr>
        <w:t>Aaronson NK</w:t>
      </w:r>
      <w:r w:rsidRPr="0070122F">
        <w:rPr>
          <w:rFonts w:ascii="Book Antiqua" w:eastAsia="等线" w:hAnsi="Book Antiqua"/>
          <w:sz w:val="24"/>
          <w:lang w:eastAsia="zh-CN"/>
        </w:rPr>
        <w:t xml:space="preserve">, Ahmedzai S, Bergman B, Bullinger M, Cull A, Duez NJ, Filiberti A, Flechtner H, Fleishman SB, de Haes JC. The European Organization for Research and Treatment of Cancer QLQ-C30: a quality-of-life instrument for use in international clinical trials in oncology. </w:t>
      </w:r>
      <w:r w:rsidRPr="0070122F">
        <w:rPr>
          <w:rFonts w:ascii="Book Antiqua" w:eastAsia="等线" w:hAnsi="Book Antiqua"/>
          <w:i/>
          <w:sz w:val="24"/>
          <w:lang w:eastAsia="zh-CN"/>
        </w:rPr>
        <w:t>J Natl Cancer Inst</w:t>
      </w:r>
      <w:r w:rsidRPr="0070122F">
        <w:rPr>
          <w:rFonts w:ascii="Book Antiqua" w:eastAsia="等线" w:hAnsi="Book Antiqua"/>
          <w:sz w:val="24"/>
          <w:lang w:eastAsia="zh-CN"/>
        </w:rPr>
        <w:t xml:space="preserve"> 1993; </w:t>
      </w:r>
      <w:r w:rsidRPr="0070122F">
        <w:rPr>
          <w:rFonts w:ascii="Book Antiqua" w:eastAsia="等线" w:hAnsi="Book Antiqua"/>
          <w:b/>
          <w:sz w:val="24"/>
          <w:lang w:eastAsia="zh-CN"/>
        </w:rPr>
        <w:t>85</w:t>
      </w:r>
      <w:r w:rsidRPr="0070122F">
        <w:rPr>
          <w:rFonts w:ascii="Book Antiqua" w:eastAsia="等线" w:hAnsi="Book Antiqua"/>
          <w:sz w:val="24"/>
          <w:lang w:eastAsia="zh-CN"/>
        </w:rPr>
        <w:t>: 365-376 [PMID: 8433390 DOI: 10.1093/jnci/85.5.365]</w:t>
      </w:r>
    </w:p>
    <w:p w14:paraId="61C8B150"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highlight w:val="yellow"/>
          <w:lang w:eastAsia="zh-CN"/>
        </w:rPr>
        <w:t xml:space="preserve">21 </w:t>
      </w:r>
      <w:r w:rsidRPr="0070122F">
        <w:rPr>
          <w:rFonts w:ascii="Book Antiqua" w:eastAsia="等线" w:hAnsi="Book Antiqua"/>
          <w:b/>
          <w:sz w:val="24"/>
          <w:highlight w:val="yellow"/>
          <w:lang w:eastAsia="zh-CN"/>
        </w:rPr>
        <w:t>Fayers PM</w:t>
      </w:r>
      <w:r w:rsidRPr="0070122F">
        <w:rPr>
          <w:rFonts w:ascii="Book Antiqua" w:eastAsia="等线" w:hAnsi="Book Antiqua"/>
          <w:bCs/>
          <w:sz w:val="24"/>
          <w:highlight w:val="yellow"/>
          <w:lang w:eastAsia="zh-CN"/>
        </w:rPr>
        <w:t>,</w:t>
      </w:r>
      <w:r w:rsidRPr="0070122F">
        <w:rPr>
          <w:rFonts w:ascii="Book Antiqua" w:eastAsia="等线" w:hAnsi="Book Antiqua"/>
          <w:sz w:val="24"/>
          <w:highlight w:val="yellow"/>
          <w:lang w:eastAsia="zh-CN"/>
        </w:rPr>
        <w:t xml:space="preserve"> Aaronson N, Bjordal K, Groenvold M, Curran D, Bottomley A. EORTC QLQ-C30 Scoring Manual. Brussels: European Organization for Research and Treatment of Cancer, 2001: 1-12</w:t>
      </w:r>
    </w:p>
    <w:p w14:paraId="6B474671"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22 </w:t>
      </w:r>
      <w:r w:rsidRPr="0070122F">
        <w:rPr>
          <w:rFonts w:ascii="Book Antiqua" w:eastAsia="等线" w:hAnsi="Book Antiqua"/>
          <w:b/>
          <w:sz w:val="24"/>
          <w:lang w:eastAsia="zh-CN"/>
        </w:rPr>
        <w:t>Lee JH</w:t>
      </w:r>
      <w:r w:rsidRPr="0070122F">
        <w:rPr>
          <w:rFonts w:ascii="Book Antiqua" w:eastAsia="等线" w:hAnsi="Book Antiqua"/>
          <w:sz w:val="24"/>
          <w:lang w:eastAsia="zh-CN"/>
        </w:rPr>
        <w:t xml:space="preserve">, Kim CG, Kim YW, Choi IJ, Lee JY, Cho SJ, Kim YI, Eom BW, Yoon HM, Ryu KW. Botulinum Toxin Injection for the Treatment of Delayed Gastric Emptying Following Pylorus-Preserving Gastrectomy: an Initial Experience. </w:t>
      </w:r>
      <w:r w:rsidRPr="0070122F">
        <w:rPr>
          <w:rFonts w:ascii="Book Antiqua" w:eastAsia="等线" w:hAnsi="Book Antiqua"/>
          <w:i/>
          <w:sz w:val="24"/>
          <w:lang w:eastAsia="zh-CN"/>
        </w:rPr>
        <w:t>J Gastric Cancer</w:t>
      </w:r>
      <w:r w:rsidRPr="0070122F">
        <w:rPr>
          <w:rFonts w:ascii="Book Antiqua" w:eastAsia="等线" w:hAnsi="Book Antiqua"/>
          <w:sz w:val="24"/>
          <w:lang w:eastAsia="zh-CN"/>
        </w:rPr>
        <w:t xml:space="preserve"> 2017; </w:t>
      </w:r>
      <w:r w:rsidRPr="0070122F">
        <w:rPr>
          <w:rFonts w:ascii="Book Antiqua" w:eastAsia="等线" w:hAnsi="Book Antiqua"/>
          <w:b/>
          <w:sz w:val="24"/>
          <w:lang w:eastAsia="zh-CN"/>
        </w:rPr>
        <w:t>17</w:t>
      </w:r>
      <w:r w:rsidRPr="0070122F">
        <w:rPr>
          <w:rFonts w:ascii="Book Antiqua" w:eastAsia="等线" w:hAnsi="Book Antiqua"/>
          <w:sz w:val="24"/>
          <w:lang w:eastAsia="zh-CN"/>
        </w:rPr>
        <w:t>: 173-179 [PMID: 28680722 DOI: 10.5230/jgc.2017.17.e18]</w:t>
      </w:r>
    </w:p>
    <w:p w14:paraId="28664AF9"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23 </w:t>
      </w:r>
      <w:r w:rsidRPr="0070122F">
        <w:rPr>
          <w:rFonts w:ascii="Book Antiqua" w:eastAsia="等线" w:hAnsi="Book Antiqua"/>
          <w:b/>
          <w:sz w:val="24"/>
          <w:lang w:eastAsia="zh-CN"/>
        </w:rPr>
        <w:t>Jiang X</w:t>
      </w:r>
      <w:r w:rsidRPr="0070122F">
        <w:rPr>
          <w:rFonts w:ascii="Book Antiqua" w:eastAsia="等线" w:hAnsi="Book Antiqua"/>
          <w:sz w:val="24"/>
          <w:lang w:eastAsia="zh-CN"/>
        </w:rPr>
        <w:t>, Hiki N, Nunobe S, Fukunaga T, Kumagai K, Nohara K, Sano T, Yamaguchi T. Postoperative outcomes and complications after laparoscopy-</w:t>
      </w:r>
      <w:r w:rsidRPr="0070122F">
        <w:rPr>
          <w:rFonts w:ascii="Book Antiqua" w:eastAsia="等线" w:hAnsi="Book Antiqua"/>
          <w:sz w:val="24"/>
          <w:lang w:eastAsia="zh-CN"/>
        </w:rPr>
        <w:lastRenderedPageBreak/>
        <w:t xml:space="preserve">assisted pylorus-preserving gastrectomy for early gastric cancer. </w:t>
      </w:r>
      <w:r w:rsidRPr="0070122F">
        <w:rPr>
          <w:rFonts w:ascii="Book Antiqua" w:eastAsia="等线" w:hAnsi="Book Antiqua"/>
          <w:i/>
          <w:sz w:val="24"/>
          <w:lang w:eastAsia="zh-CN"/>
        </w:rPr>
        <w:t>Ann Surg</w:t>
      </w:r>
      <w:r w:rsidRPr="0070122F">
        <w:rPr>
          <w:rFonts w:ascii="Book Antiqua" w:eastAsia="等线" w:hAnsi="Book Antiqua"/>
          <w:sz w:val="24"/>
          <w:lang w:eastAsia="zh-CN"/>
        </w:rPr>
        <w:t xml:space="preserve"> 2011; </w:t>
      </w:r>
      <w:r w:rsidRPr="0070122F">
        <w:rPr>
          <w:rFonts w:ascii="Book Antiqua" w:eastAsia="等线" w:hAnsi="Book Antiqua"/>
          <w:b/>
          <w:sz w:val="24"/>
          <w:lang w:eastAsia="zh-CN"/>
        </w:rPr>
        <w:t>253</w:t>
      </w:r>
      <w:r w:rsidRPr="0070122F">
        <w:rPr>
          <w:rFonts w:ascii="Book Antiqua" w:eastAsia="等线" w:hAnsi="Book Antiqua"/>
          <w:sz w:val="24"/>
          <w:lang w:eastAsia="zh-CN"/>
        </w:rPr>
        <w:t>: 928-933 [PMID: 21358534 DOI: 10.1097/SLA.0b013e3182117b24]</w:t>
      </w:r>
    </w:p>
    <w:p w14:paraId="7756F7EA"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24 </w:t>
      </w:r>
      <w:r w:rsidRPr="0070122F">
        <w:rPr>
          <w:rFonts w:ascii="Book Antiqua" w:eastAsia="等线" w:hAnsi="Book Antiqua"/>
          <w:b/>
          <w:sz w:val="24"/>
          <w:lang w:eastAsia="zh-CN"/>
        </w:rPr>
        <w:t>Annibale B</w:t>
      </w:r>
      <w:r w:rsidRPr="0070122F">
        <w:rPr>
          <w:rFonts w:ascii="Book Antiqua" w:eastAsia="等线" w:hAnsi="Book Antiqua"/>
          <w:sz w:val="24"/>
          <w:lang w:eastAsia="zh-CN"/>
        </w:rPr>
        <w:t xml:space="preserve">, Capurso G, Lahner E, Passi S, Ricci R, Maggio F, Delle Fave G. Concomitant alterations in intragastric pH and ascorbic acid concentration in patients with Helicobacter pylori gastritis and associated iron deficiency anaemia. </w:t>
      </w:r>
      <w:r w:rsidRPr="0070122F">
        <w:rPr>
          <w:rFonts w:ascii="Book Antiqua" w:eastAsia="等线" w:hAnsi="Book Antiqua"/>
          <w:i/>
          <w:sz w:val="24"/>
          <w:lang w:eastAsia="zh-CN"/>
        </w:rPr>
        <w:t>Gut</w:t>
      </w:r>
      <w:r w:rsidRPr="0070122F">
        <w:rPr>
          <w:rFonts w:ascii="Book Antiqua" w:eastAsia="等线" w:hAnsi="Book Antiqua"/>
          <w:sz w:val="24"/>
          <w:lang w:eastAsia="zh-CN"/>
        </w:rPr>
        <w:t xml:space="preserve"> 2003; </w:t>
      </w:r>
      <w:r w:rsidRPr="0070122F">
        <w:rPr>
          <w:rFonts w:ascii="Book Antiqua" w:eastAsia="等线" w:hAnsi="Book Antiqua"/>
          <w:b/>
          <w:sz w:val="24"/>
          <w:lang w:eastAsia="zh-CN"/>
        </w:rPr>
        <w:t>52</w:t>
      </w:r>
      <w:r w:rsidRPr="0070122F">
        <w:rPr>
          <w:rFonts w:ascii="Book Antiqua" w:eastAsia="等线" w:hAnsi="Book Antiqua"/>
          <w:sz w:val="24"/>
          <w:lang w:eastAsia="zh-CN"/>
        </w:rPr>
        <w:t>: 496-501 [PMID: 12631657 DOI: 10.1136/gut.52.4.496]</w:t>
      </w:r>
    </w:p>
    <w:p w14:paraId="5E71B475"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25 </w:t>
      </w:r>
      <w:r w:rsidRPr="0070122F">
        <w:rPr>
          <w:rFonts w:ascii="Book Antiqua" w:eastAsia="等线" w:hAnsi="Book Antiqua"/>
          <w:b/>
          <w:sz w:val="24"/>
          <w:lang w:eastAsia="zh-CN"/>
        </w:rPr>
        <w:t>Chen YQ</w:t>
      </w:r>
      <w:r w:rsidRPr="0070122F">
        <w:rPr>
          <w:rFonts w:ascii="Book Antiqua" w:eastAsia="等线" w:hAnsi="Book Antiqua"/>
          <w:sz w:val="24"/>
          <w:lang w:eastAsia="zh-CN"/>
        </w:rPr>
        <w:t xml:space="preserve">, Guo WH, Chen ZM, Shi L, Chen YX. Effect of gastrectomy on G-cell density and functional activity in dogs. </w:t>
      </w:r>
      <w:r w:rsidRPr="0070122F">
        <w:rPr>
          <w:rFonts w:ascii="Book Antiqua" w:eastAsia="等线" w:hAnsi="Book Antiqua"/>
          <w:i/>
          <w:sz w:val="24"/>
          <w:lang w:eastAsia="zh-CN"/>
        </w:rPr>
        <w:t>World J Gastroenterol</w:t>
      </w:r>
      <w:r w:rsidRPr="0070122F">
        <w:rPr>
          <w:rFonts w:ascii="Book Antiqua" w:eastAsia="等线" w:hAnsi="Book Antiqua"/>
          <w:sz w:val="24"/>
          <w:lang w:eastAsia="zh-CN"/>
        </w:rPr>
        <w:t xml:space="preserve"> 2000; </w:t>
      </w:r>
      <w:r w:rsidRPr="0070122F">
        <w:rPr>
          <w:rFonts w:ascii="Book Antiqua" w:eastAsia="等线" w:hAnsi="Book Antiqua"/>
          <w:b/>
          <w:sz w:val="24"/>
          <w:lang w:eastAsia="zh-CN"/>
        </w:rPr>
        <w:t>6</w:t>
      </w:r>
      <w:r w:rsidRPr="0070122F">
        <w:rPr>
          <w:rFonts w:ascii="Book Antiqua" w:eastAsia="等线" w:hAnsi="Book Antiqua"/>
          <w:sz w:val="24"/>
          <w:lang w:eastAsia="zh-CN"/>
        </w:rPr>
        <w:t>: 419-420 [PMID: 11819615 DOI: 10.3748/wjg.v6.i3.419]</w:t>
      </w:r>
    </w:p>
    <w:p w14:paraId="4B24CE6F"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26 </w:t>
      </w:r>
      <w:r w:rsidRPr="0070122F">
        <w:rPr>
          <w:rFonts w:ascii="Book Antiqua" w:eastAsia="等线" w:hAnsi="Book Antiqua"/>
          <w:b/>
          <w:sz w:val="24"/>
          <w:lang w:eastAsia="zh-CN"/>
        </w:rPr>
        <w:t>Anderson GJ</w:t>
      </w:r>
      <w:r w:rsidRPr="0070122F">
        <w:rPr>
          <w:rFonts w:ascii="Book Antiqua" w:eastAsia="等线" w:hAnsi="Book Antiqua"/>
          <w:sz w:val="24"/>
          <w:lang w:eastAsia="zh-CN"/>
        </w:rPr>
        <w:t xml:space="preserve">, Frazer DM. Current understanding of iron homeostasis. </w:t>
      </w:r>
      <w:r w:rsidRPr="0070122F">
        <w:rPr>
          <w:rFonts w:ascii="Book Antiqua" w:eastAsia="等线" w:hAnsi="Book Antiqua"/>
          <w:i/>
          <w:sz w:val="24"/>
          <w:lang w:eastAsia="zh-CN"/>
        </w:rPr>
        <w:t>Am J Clin Nutr</w:t>
      </w:r>
      <w:r w:rsidRPr="0070122F">
        <w:rPr>
          <w:rFonts w:ascii="Book Antiqua" w:eastAsia="等线" w:hAnsi="Book Antiqua"/>
          <w:sz w:val="24"/>
          <w:lang w:eastAsia="zh-CN"/>
        </w:rPr>
        <w:t xml:space="preserve"> 2017; </w:t>
      </w:r>
      <w:r w:rsidRPr="0070122F">
        <w:rPr>
          <w:rFonts w:ascii="Book Antiqua" w:eastAsia="等线" w:hAnsi="Book Antiqua"/>
          <w:b/>
          <w:sz w:val="24"/>
          <w:lang w:eastAsia="zh-CN"/>
        </w:rPr>
        <w:t>106</w:t>
      </w:r>
      <w:r w:rsidRPr="0070122F">
        <w:rPr>
          <w:rFonts w:ascii="Book Antiqua" w:eastAsia="等线" w:hAnsi="Book Antiqua"/>
          <w:sz w:val="24"/>
          <w:lang w:eastAsia="zh-CN"/>
        </w:rPr>
        <w:t>: 1559S-1566S [PMID: 29070551 DOI: 10.3945/ajcn.117.155804]</w:t>
      </w:r>
    </w:p>
    <w:p w14:paraId="5E1061AC" w14:textId="77777777" w:rsidR="0070122F" w:rsidRPr="0070122F" w:rsidRDefault="0070122F" w:rsidP="0070122F">
      <w:pPr>
        <w:wordWrap/>
        <w:autoSpaceDE/>
        <w:autoSpaceDN/>
        <w:spacing w:line="360" w:lineRule="auto"/>
        <w:rPr>
          <w:rFonts w:ascii="Book Antiqua" w:eastAsia="等线" w:hAnsi="Book Antiqua"/>
          <w:sz w:val="24"/>
          <w:lang w:eastAsia="zh-CN"/>
        </w:rPr>
      </w:pPr>
      <w:r w:rsidRPr="0070122F">
        <w:rPr>
          <w:rFonts w:ascii="Book Antiqua" w:eastAsia="等线" w:hAnsi="Book Antiqua"/>
          <w:sz w:val="24"/>
          <w:lang w:eastAsia="zh-CN"/>
        </w:rPr>
        <w:t xml:space="preserve">27 </w:t>
      </w:r>
      <w:r w:rsidRPr="0070122F">
        <w:rPr>
          <w:rFonts w:ascii="Book Antiqua" w:eastAsia="等线" w:hAnsi="Book Antiqua"/>
          <w:b/>
          <w:sz w:val="24"/>
          <w:lang w:eastAsia="zh-CN"/>
        </w:rPr>
        <w:t>Furukawa H</w:t>
      </w:r>
      <w:r w:rsidRPr="0070122F">
        <w:rPr>
          <w:rFonts w:ascii="Book Antiqua" w:eastAsia="等线" w:hAnsi="Book Antiqua"/>
          <w:sz w:val="24"/>
          <w:lang w:eastAsia="zh-CN"/>
        </w:rPr>
        <w:t xml:space="preserve">, Ohashi M, Honda M, Kumagai K, Nunobe S, Sano T, Hiki N. Preservation of the celiac branch of the vagal nerve for pylorus-preserving gastrectomy: is it meaningful? </w:t>
      </w:r>
      <w:r w:rsidRPr="0070122F">
        <w:rPr>
          <w:rFonts w:ascii="Book Antiqua" w:eastAsia="等线" w:hAnsi="Book Antiqua"/>
          <w:i/>
          <w:sz w:val="24"/>
          <w:lang w:eastAsia="zh-CN"/>
        </w:rPr>
        <w:t>Gastric Cancer</w:t>
      </w:r>
      <w:r w:rsidRPr="0070122F">
        <w:rPr>
          <w:rFonts w:ascii="Book Antiqua" w:eastAsia="等线" w:hAnsi="Book Antiqua"/>
          <w:sz w:val="24"/>
          <w:lang w:eastAsia="zh-CN"/>
        </w:rPr>
        <w:t xml:space="preserve"> 2018; </w:t>
      </w:r>
      <w:r w:rsidRPr="0070122F">
        <w:rPr>
          <w:rFonts w:ascii="Book Antiqua" w:eastAsia="等线" w:hAnsi="Book Antiqua"/>
          <w:b/>
          <w:sz w:val="24"/>
          <w:lang w:eastAsia="zh-CN"/>
        </w:rPr>
        <w:t>21</w:t>
      </w:r>
      <w:r w:rsidRPr="0070122F">
        <w:rPr>
          <w:rFonts w:ascii="Book Antiqua" w:eastAsia="等线" w:hAnsi="Book Antiqua"/>
          <w:sz w:val="24"/>
          <w:lang w:eastAsia="zh-CN"/>
        </w:rPr>
        <w:t>: 516-523 [PMID: 29127549 DOI: 10.1007/s10120-017-0776-8]</w:t>
      </w:r>
    </w:p>
    <w:p w14:paraId="5AFCF14F" w14:textId="4BE7D3A5" w:rsidR="0070122F" w:rsidRPr="0070122F" w:rsidRDefault="0070122F" w:rsidP="0070122F">
      <w:pPr>
        <w:wordWrap/>
        <w:autoSpaceDE/>
        <w:autoSpaceDN/>
        <w:adjustRightInd w:val="0"/>
        <w:snapToGrid w:val="0"/>
        <w:spacing w:line="360" w:lineRule="auto"/>
        <w:jc w:val="right"/>
        <w:rPr>
          <w:rFonts w:ascii="Book Antiqua" w:eastAsia="宋体" w:hAnsi="Book Antiqua"/>
          <w:color w:val="000000"/>
          <w:sz w:val="24"/>
          <w:lang w:eastAsia="zh-CN"/>
        </w:rPr>
      </w:pPr>
      <w:bookmarkStart w:id="31" w:name="OLE_LINK139"/>
      <w:bookmarkStart w:id="32" w:name="OLE_LINK140"/>
      <w:bookmarkStart w:id="33" w:name="OLE_LINK287"/>
      <w:bookmarkStart w:id="34" w:name="OLE_LINK288"/>
      <w:bookmarkStart w:id="35" w:name="OLE_LINK70"/>
      <w:bookmarkStart w:id="36" w:name="OLE_LINK110"/>
      <w:bookmarkStart w:id="37" w:name="OLE_LINK109"/>
      <w:bookmarkStart w:id="38" w:name="OLE_LINK138"/>
      <w:bookmarkStart w:id="39" w:name="OLE_LINK72"/>
      <w:bookmarkStart w:id="40" w:name="OLE_LINK116"/>
      <w:bookmarkStart w:id="41" w:name="OLE_LINK95"/>
      <w:bookmarkStart w:id="42" w:name="OLE_LINK118"/>
      <w:bookmarkStart w:id="43" w:name="OLE_LINK198"/>
      <w:bookmarkStart w:id="44" w:name="OLE_LINK154"/>
      <w:bookmarkStart w:id="45" w:name="OLE_LINK251"/>
      <w:bookmarkStart w:id="46" w:name="OLE_LINK167"/>
      <w:bookmarkStart w:id="47" w:name="OLE_LINK126"/>
      <w:bookmarkStart w:id="48" w:name="OLE_LINK234"/>
      <w:bookmarkStart w:id="49" w:name="OLE_LINK157"/>
      <w:bookmarkStart w:id="50" w:name="OLE_LINK187"/>
      <w:bookmarkStart w:id="51" w:name="OLE_LINK204"/>
      <w:bookmarkStart w:id="52" w:name="OLE_LINK255"/>
      <w:bookmarkStart w:id="53" w:name="OLE_LINK229"/>
      <w:bookmarkStart w:id="54" w:name="OLE_LINK268"/>
      <w:bookmarkStart w:id="55" w:name="OLE_LINK310"/>
      <w:bookmarkStart w:id="56" w:name="OLE_LINK338"/>
      <w:bookmarkStart w:id="57" w:name="OLE_LINK340"/>
      <w:bookmarkStart w:id="58" w:name="OLE_LINK264"/>
      <w:bookmarkStart w:id="59" w:name="OLE_LINK345"/>
      <w:bookmarkStart w:id="60" w:name="OLE_LINK256"/>
      <w:bookmarkStart w:id="61" w:name="OLE_LINK299"/>
      <w:bookmarkStart w:id="62" w:name="OLE_LINK265"/>
      <w:bookmarkStart w:id="63" w:name="OLE_LINK254"/>
      <w:bookmarkStart w:id="64" w:name="OLE_LINK357"/>
      <w:bookmarkStart w:id="65" w:name="OLE_LINK382"/>
      <w:bookmarkStart w:id="66" w:name="OLE_LINK333"/>
      <w:bookmarkStart w:id="67" w:name="OLE_LINK334"/>
      <w:bookmarkStart w:id="68" w:name="OLE_LINK400"/>
      <w:bookmarkStart w:id="69" w:name="OLE_LINK365"/>
      <w:bookmarkStart w:id="70" w:name="OLE_LINK467"/>
      <w:bookmarkStart w:id="71" w:name="OLE_LINK399"/>
      <w:bookmarkStart w:id="72" w:name="OLE_LINK443"/>
      <w:bookmarkStart w:id="73" w:name="OLE_LINK372"/>
      <w:bookmarkStart w:id="74" w:name="OLE_LINK425"/>
      <w:bookmarkStart w:id="75" w:name="OLE_LINK450"/>
      <w:bookmarkStart w:id="76" w:name="OLE_LINK402"/>
      <w:bookmarkStart w:id="77" w:name="OLE_LINK385"/>
      <w:bookmarkStart w:id="78" w:name="OLE_LINK396"/>
      <w:bookmarkStart w:id="79" w:name="OLE_LINK436"/>
      <w:bookmarkStart w:id="80" w:name="OLE_LINK421"/>
      <w:bookmarkStart w:id="81" w:name="OLE_LINK426"/>
      <w:bookmarkStart w:id="82" w:name="OLE_LINK456"/>
      <w:bookmarkStart w:id="83" w:name="OLE_LINK505"/>
      <w:bookmarkStart w:id="84" w:name="OLE_LINK490"/>
      <w:bookmarkStart w:id="85" w:name="OLE_LINK531"/>
      <w:bookmarkStart w:id="86" w:name="OLE_LINK460"/>
      <w:bookmarkStart w:id="87" w:name="OLE_LINK463"/>
      <w:bookmarkStart w:id="88" w:name="OLE_LINK487"/>
      <w:bookmarkStart w:id="89" w:name="OLE_LINK515"/>
      <w:bookmarkStart w:id="90" w:name="OLE_LINK509"/>
      <w:bookmarkStart w:id="91" w:name="OLE_LINK538"/>
      <w:bookmarkStart w:id="92" w:name="OLE_LINK606"/>
      <w:bookmarkStart w:id="93" w:name="OLE_LINK662"/>
      <w:bookmarkStart w:id="94" w:name="OLE_LINK663"/>
      <w:bookmarkStart w:id="95" w:name="OLE_LINK738"/>
      <w:bookmarkStart w:id="96" w:name="OLE_LINK666"/>
      <w:bookmarkStart w:id="97" w:name="OLE_LINK667"/>
      <w:bookmarkStart w:id="98" w:name="OLE_LINK672"/>
      <w:bookmarkStart w:id="99" w:name="OLE_LINK727"/>
      <w:bookmarkStart w:id="100" w:name="OLE_LINK703"/>
      <w:bookmarkStart w:id="101" w:name="OLE_LINK765"/>
      <w:bookmarkStart w:id="102" w:name="OLE_LINK724"/>
      <w:bookmarkStart w:id="103" w:name="OLE_LINK771"/>
      <w:bookmarkStart w:id="104" w:name="OLE_LINK879"/>
      <w:bookmarkStart w:id="105" w:name="OLE_LINK903"/>
      <w:bookmarkStart w:id="106" w:name="OLE_LINK880"/>
      <w:bookmarkStart w:id="107" w:name="OLE_LINK944"/>
      <w:bookmarkStart w:id="108" w:name="OLE_LINK881"/>
      <w:bookmarkStart w:id="109" w:name="OLE_LINK882"/>
      <w:bookmarkStart w:id="110" w:name="OLE_LINK883"/>
      <w:bookmarkStart w:id="111" w:name="OLE_LINK884"/>
      <w:bookmarkStart w:id="112" w:name="OLE_LINK907"/>
      <w:bookmarkStart w:id="113" w:name="OLE_LINK941"/>
      <w:bookmarkStart w:id="114" w:name="OLE_LINK886"/>
      <w:bookmarkStart w:id="115" w:name="OLE_LINK887"/>
      <w:bookmarkStart w:id="116" w:name="OLE_LINK918"/>
      <w:bookmarkStart w:id="117" w:name="OLE_LINK894"/>
      <w:bookmarkStart w:id="118" w:name="OLE_LINK899"/>
      <w:bookmarkStart w:id="119" w:name="OLE_LINK953"/>
      <w:bookmarkStart w:id="120" w:name="OLE_LINK954"/>
      <w:bookmarkStart w:id="121" w:name="OLE_LINK977"/>
      <w:bookmarkStart w:id="122" w:name="OLE_LINK978"/>
      <w:bookmarkStart w:id="123" w:name="OLE_LINK1034"/>
      <w:bookmarkStart w:id="124" w:name="OLE_LINK991"/>
      <w:bookmarkStart w:id="125" w:name="OLE_LINK1013"/>
      <w:bookmarkStart w:id="126" w:name="OLE_LINK1022"/>
      <w:bookmarkStart w:id="127" w:name="OLE_LINK1030"/>
      <w:bookmarkStart w:id="128" w:name="OLE_LINK1063"/>
      <w:bookmarkStart w:id="129" w:name="OLE_LINK1009"/>
      <w:bookmarkStart w:id="130" w:name="OLE_LINK1064"/>
      <w:bookmarkStart w:id="131" w:name="OLE_LINK1035"/>
      <w:bookmarkStart w:id="132" w:name="OLE_LINK1012"/>
      <w:r w:rsidRPr="0070122F">
        <w:rPr>
          <w:rFonts w:ascii="Book Antiqua" w:eastAsia="宋体" w:hAnsi="Book Antiqua"/>
          <w:b/>
          <w:bCs/>
          <w:color w:val="000000"/>
          <w:sz w:val="24"/>
          <w:lang w:eastAsia="zh-CN"/>
        </w:rPr>
        <w:t>P-Reviewer:</w:t>
      </w:r>
      <w:r w:rsidRPr="0070122F">
        <w:rPr>
          <w:rFonts w:ascii="Book Antiqua" w:eastAsia="宋体" w:hAnsi="Book Antiqua"/>
          <w:bCs/>
          <w:color w:val="000000"/>
          <w:sz w:val="24"/>
          <w:lang w:eastAsia="zh-CN"/>
        </w:rPr>
        <w:t xml:space="preserve"> Tsunoda</w:t>
      </w:r>
      <w:r>
        <w:rPr>
          <w:rFonts w:ascii="Book Antiqua" w:eastAsia="宋体" w:hAnsi="Book Antiqua"/>
          <w:bCs/>
          <w:color w:val="000000"/>
          <w:sz w:val="24"/>
          <w:lang w:eastAsia="zh-CN"/>
        </w:rPr>
        <w:t xml:space="preserve"> S, </w:t>
      </w:r>
      <w:r w:rsidRPr="0070122F">
        <w:rPr>
          <w:rFonts w:ascii="Book Antiqua" w:eastAsia="宋体" w:hAnsi="Book Antiqua"/>
          <w:bCs/>
          <w:color w:val="000000"/>
          <w:sz w:val="24"/>
          <w:lang w:eastAsia="zh-CN"/>
        </w:rPr>
        <w:t>Shiryajev</w:t>
      </w:r>
      <w:r>
        <w:rPr>
          <w:rFonts w:ascii="Book Antiqua" w:eastAsia="宋体" w:hAnsi="Book Antiqua"/>
          <w:bCs/>
          <w:color w:val="000000"/>
          <w:sz w:val="24"/>
          <w:lang w:eastAsia="zh-CN"/>
        </w:rPr>
        <w:t xml:space="preserve"> YN </w:t>
      </w:r>
      <w:r w:rsidRPr="0070122F">
        <w:rPr>
          <w:rFonts w:ascii="Book Antiqua" w:eastAsia="宋体" w:hAnsi="Book Antiqua"/>
          <w:b/>
          <w:bCs/>
          <w:color w:val="000000"/>
          <w:sz w:val="24"/>
          <w:lang w:eastAsia="zh-CN"/>
        </w:rPr>
        <w:t>S-Editor:</w:t>
      </w:r>
      <w:r w:rsidRPr="0070122F">
        <w:rPr>
          <w:rFonts w:ascii="Book Antiqua" w:eastAsia="宋体" w:hAnsi="Book Antiqua"/>
          <w:color w:val="000000"/>
          <w:sz w:val="24"/>
          <w:lang w:eastAsia="zh-CN"/>
        </w:rPr>
        <w:t xml:space="preserve"> Yan JP</w:t>
      </w:r>
    </w:p>
    <w:p w14:paraId="34C239DE" w14:textId="77777777" w:rsidR="0070122F" w:rsidRPr="0070122F" w:rsidRDefault="0070122F" w:rsidP="0070122F">
      <w:pPr>
        <w:wordWrap/>
        <w:autoSpaceDE/>
        <w:autoSpaceDN/>
        <w:adjustRightInd w:val="0"/>
        <w:snapToGrid w:val="0"/>
        <w:spacing w:line="360" w:lineRule="auto"/>
        <w:jc w:val="right"/>
        <w:rPr>
          <w:rFonts w:ascii="Book Antiqua" w:eastAsia="宋体" w:hAnsi="Book Antiqua"/>
          <w:b/>
          <w:bCs/>
          <w:color w:val="000000"/>
          <w:sz w:val="24"/>
          <w:lang w:eastAsia="zh-CN"/>
        </w:rPr>
      </w:pPr>
      <w:r w:rsidRPr="0070122F">
        <w:rPr>
          <w:rFonts w:ascii="Book Antiqua" w:eastAsia="宋体" w:hAnsi="Book Antiqua"/>
          <w:b/>
          <w:bCs/>
          <w:color w:val="000000"/>
          <w:sz w:val="24"/>
          <w:lang w:eastAsia="zh-CN"/>
        </w:rPr>
        <w:t>L-Editor:</w:t>
      </w:r>
      <w:r w:rsidRPr="0070122F">
        <w:rPr>
          <w:rFonts w:ascii="Book Antiqua" w:eastAsia="宋体" w:hAnsi="Book Antiqua"/>
          <w:color w:val="000000"/>
          <w:sz w:val="24"/>
          <w:lang w:eastAsia="zh-CN"/>
        </w:rPr>
        <w:t xml:space="preserve"> </w:t>
      </w:r>
      <w:r w:rsidRPr="0070122F">
        <w:rPr>
          <w:rFonts w:ascii="Book Antiqua" w:eastAsia="宋体" w:hAnsi="Book Antiqua"/>
          <w:b/>
          <w:bCs/>
          <w:color w:val="000000"/>
          <w:sz w:val="24"/>
          <w:lang w:eastAsia="zh-CN"/>
        </w:rPr>
        <w:t>E-Editor:</w:t>
      </w:r>
    </w:p>
    <w:bookmarkEnd w:id="31"/>
    <w:bookmarkEnd w:id="32"/>
    <w:p w14:paraId="2A5472F7" w14:textId="6B3855B1" w:rsidR="00225CEE" w:rsidRPr="0070122F" w:rsidRDefault="0070122F" w:rsidP="0070122F">
      <w:pPr>
        <w:widowControl/>
        <w:wordWrap/>
        <w:autoSpaceDE/>
        <w:autoSpaceDN/>
        <w:spacing w:line="360" w:lineRule="auto"/>
        <w:rPr>
          <w:rFonts w:ascii="Book Antiqua" w:eastAsia="宋体" w:hAnsi="Book Antiqua" w:cs="宋体"/>
          <w:kern w:val="0"/>
          <w:sz w:val="24"/>
          <w:lang w:eastAsia="zh-CN"/>
        </w:rPr>
      </w:pPr>
      <w:r w:rsidRPr="0070122F">
        <w:rPr>
          <w:rFonts w:ascii="Book Antiqua" w:eastAsia="宋体" w:hAnsi="Book Antiqua" w:cs="宋体"/>
          <w:b/>
          <w:kern w:val="0"/>
          <w:sz w:val="24"/>
          <w:lang w:eastAsia="zh-CN"/>
        </w:rPr>
        <w:t xml:space="preserve">Specialty type: </w:t>
      </w:r>
      <w:r w:rsidRPr="0070122F">
        <w:rPr>
          <w:rFonts w:ascii="Book Antiqua" w:eastAsia="微软雅黑" w:hAnsi="Book Antiqua" w:cs="宋体"/>
          <w:kern w:val="0"/>
          <w:sz w:val="24"/>
          <w:lang w:eastAsia="zh-CN"/>
        </w:rPr>
        <w:t>Gastroenterology and hepatology</w:t>
      </w:r>
      <w:r w:rsidRPr="0070122F">
        <w:rPr>
          <w:rFonts w:ascii="Book Antiqua" w:eastAsia="宋体" w:hAnsi="Book Antiqua" w:cs="宋体"/>
          <w:kern w:val="0"/>
          <w:sz w:val="24"/>
          <w:lang w:eastAsia="zh-CN"/>
        </w:rPr>
        <w:t xml:space="preserve"> </w:t>
      </w:r>
      <w:r w:rsidRPr="0070122F">
        <w:rPr>
          <w:rFonts w:ascii="Book Antiqua" w:eastAsia="宋体" w:hAnsi="Book Antiqua" w:cs="宋体"/>
          <w:kern w:val="0"/>
          <w:sz w:val="24"/>
          <w:lang w:eastAsia="zh-CN"/>
        </w:rPr>
        <w:br/>
      </w:r>
      <w:r w:rsidRPr="0070122F">
        <w:rPr>
          <w:rFonts w:ascii="Book Antiqua" w:eastAsia="宋体" w:hAnsi="Book Antiqua" w:cs="宋体"/>
          <w:b/>
          <w:kern w:val="0"/>
          <w:sz w:val="24"/>
          <w:lang w:eastAsia="zh-CN"/>
        </w:rPr>
        <w:t xml:space="preserve">Country of origin: </w:t>
      </w:r>
      <w:r w:rsidRPr="0070122F">
        <w:rPr>
          <w:rFonts w:ascii="Book Antiqua" w:eastAsia="宋体" w:hAnsi="Book Antiqua" w:cs="宋体"/>
          <w:kern w:val="0"/>
          <w:sz w:val="24"/>
          <w:lang w:eastAsia="zh-CN"/>
        </w:rPr>
        <w:t>South Korea</w:t>
      </w:r>
      <w:r w:rsidRPr="0070122F">
        <w:rPr>
          <w:rFonts w:ascii="Book Antiqua" w:eastAsia="宋体" w:hAnsi="Book Antiqua" w:cs="宋体"/>
          <w:kern w:val="0"/>
          <w:sz w:val="24"/>
          <w:lang w:eastAsia="zh-CN"/>
        </w:rPr>
        <w:br/>
      </w:r>
      <w:r w:rsidRPr="0070122F">
        <w:rPr>
          <w:rFonts w:ascii="Book Antiqua" w:eastAsia="宋体" w:hAnsi="Book Antiqua" w:cs="宋体"/>
          <w:b/>
          <w:kern w:val="0"/>
          <w:sz w:val="24"/>
          <w:lang w:eastAsia="zh-CN"/>
        </w:rPr>
        <w:t>Peer-review report classification</w:t>
      </w:r>
      <w:r w:rsidRPr="0070122F">
        <w:rPr>
          <w:rFonts w:ascii="Book Antiqua" w:eastAsia="宋体" w:hAnsi="Book Antiqua" w:cs="宋体"/>
          <w:kern w:val="0"/>
          <w:sz w:val="24"/>
          <w:lang w:eastAsia="zh-CN"/>
        </w:rPr>
        <w:br/>
      </w:r>
      <w:r w:rsidRPr="0070122F">
        <w:rPr>
          <w:rFonts w:ascii="Book Antiqua" w:eastAsia="宋体" w:hAnsi="Book Antiqua" w:cs="宋体"/>
          <w:b/>
          <w:kern w:val="0"/>
          <w:sz w:val="24"/>
          <w:lang w:eastAsia="zh-CN"/>
        </w:rPr>
        <w:t xml:space="preserve">Grade A (Excellent): </w:t>
      </w:r>
      <w:r>
        <w:rPr>
          <w:rFonts w:ascii="Book Antiqua" w:eastAsia="宋体" w:hAnsi="Book Antiqua" w:cs="宋体"/>
          <w:kern w:val="0"/>
          <w:sz w:val="24"/>
          <w:lang w:eastAsia="zh-CN"/>
        </w:rPr>
        <w:t>0</w:t>
      </w:r>
      <w:r w:rsidRPr="0070122F">
        <w:rPr>
          <w:rFonts w:ascii="Book Antiqua" w:eastAsia="宋体" w:hAnsi="Book Antiqua" w:cs="宋体"/>
          <w:kern w:val="0"/>
          <w:sz w:val="24"/>
          <w:lang w:eastAsia="zh-CN"/>
        </w:rPr>
        <w:br/>
      </w:r>
      <w:r w:rsidRPr="0070122F">
        <w:rPr>
          <w:rFonts w:ascii="Book Antiqua" w:eastAsia="宋体" w:hAnsi="Book Antiqua" w:cs="宋体"/>
          <w:b/>
          <w:kern w:val="0"/>
          <w:sz w:val="24"/>
          <w:lang w:eastAsia="zh-CN"/>
        </w:rPr>
        <w:t xml:space="preserve">Grade B (Very good): </w:t>
      </w:r>
      <w:r w:rsidRPr="0070122F">
        <w:rPr>
          <w:rFonts w:ascii="Book Antiqua" w:eastAsia="宋体" w:hAnsi="Book Antiqua" w:cs="宋体"/>
          <w:kern w:val="0"/>
          <w:sz w:val="24"/>
          <w:lang w:eastAsia="zh-CN"/>
        </w:rPr>
        <w:t>B</w:t>
      </w:r>
      <w:r w:rsidRPr="0070122F">
        <w:rPr>
          <w:rFonts w:ascii="Book Antiqua" w:eastAsia="宋体" w:hAnsi="Book Antiqua" w:cs="宋体"/>
          <w:kern w:val="0"/>
          <w:sz w:val="24"/>
          <w:lang w:eastAsia="zh-CN"/>
        </w:rPr>
        <w:br/>
      </w:r>
      <w:r w:rsidRPr="0070122F">
        <w:rPr>
          <w:rFonts w:ascii="Book Antiqua" w:eastAsia="宋体" w:hAnsi="Book Antiqua" w:cs="宋体"/>
          <w:b/>
          <w:kern w:val="0"/>
          <w:sz w:val="24"/>
          <w:lang w:eastAsia="zh-CN"/>
        </w:rPr>
        <w:t xml:space="preserve">Grade C (Good): </w:t>
      </w:r>
      <w:r>
        <w:rPr>
          <w:rFonts w:ascii="Book Antiqua" w:eastAsia="宋体" w:hAnsi="Book Antiqua" w:cs="宋体"/>
          <w:kern w:val="0"/>
          <w:sz w:val="24"/>
          <w:lang w:eastAsia="zh-CN"/>
        </w:rPr>
        <w:t>C</w:t>
      </w:r>
      <w:r w:rsidRPr="0070122F">
        <w:rPr>
          <w:rFonts w:ascii="Book Antiqua" w:eastAsia="宋体" w:hAnsi="Book Antiqua" w:cs="宋体"/>
          <w:kern w:val="0"/>
          <w:sz w:val="24"/>
          <w:lang w:eastAsia="zh-CN"/>
        </w:rPr>
        <w:br/>
      </w:r>
      <w:r w:rsidRPr="0070122F">
        <w:rPr>
          <w:rFonts w:ascii="Book Antiqua" w:eastAsia="宋体" w:hAnsi="Book Antiqua" w:cs="宋体"/>
          <w:b/>
          <w:kern w:val="0"/>
          <w:sz w:val="24"/>
          <w:lang w:eastAsia="zh-CN"/>
        </w:rPr>
        <w:t xml:space="preserve">Grade D (Fair): </w:t>
      </w:r>
      <w:r w:rsidRPr="0070122F">
        <w:rPr>
          <w:rFonts w:ascii="Book Antiqua" w:eastAsia="宋体" w:hAnsi="Book Antiqua" w:cs="宋体"/>
          <w:kern w:val="0"/>
          <w:sz w:val="24"/>
          <w:lang w:eastAsia="zh-CN"/>
        </w:rPr>
        <w:t>0</w:t>
      </w:r>
      <w:r w:rsidRPr="0070122F">
        <w:rPr>
          <w:rFonts w:ascii="Book Antiqua" w:eastAsia="宋体" w:hAnsi="Book Antiqua" w:cs="宋体"/>
          <w:b/>
          <w:kern w:val="0"/>
          <w:sz w:val="24"/>
          <w:lang w:eastAsia="zh-CN"/>
        </w:rPr>
        <w:br/>
        <w:t xml:space="preserve">Grade E (Poor): </w:t>
      </w:r>
      <w:r w:rsidRPr="0070122F">
        <w:rPr>
          <w:rFonts w:ascii="Book Antiqua" w:eastAsia="宋体" w:hAnsi="Book Antiqua" w:cs="宋体"/>
          <w:kern w:val="0"/>
          <w:sz w:val="24"/>
          <w:lang w:eastAsia="zh-CN"/>
        </w:rPr>
        <w:t>0</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5F15348" w14:textId="044A1D58" w:rsidR="00182B6E" w:rsidRPr="00EA037B" w:rsidRDefault="00182B6E" w:rsidP="00225CEE">
      <w:pPr>
        <w:pStyle w:val="EndNoteBibliography"/>
        <w:wordWrap/>
        <w:spacing w:line="360" w:lineRule="auto"/>
        <w:rPr>
          <w:rFonts w:ascii="Book Antiqua" w:hAnsi="Book Antiqua"/>
          <w:b/>
          <w:color w:val="000000" w:themeColor="text1"/>
          <w:sz w:val="24"/>
        </w:rPr>
      </w:pPr>
      <w:r w:rsidRPr="00EA037B">
        <w:rPr>
          <w:rFonts w:ascii="Book Antiqua" w:hAnsi="Book Antiqua"/>
          <w:b/>
          <w:color w:val="000000" w:themeColor="text1"/>
          <w:sz w:val="24"/>
        </w:rPr>
        <w:br w:type="page"/>
      </w:r>
    </w:p>
    <w:p w14:paraId="7F0D995F" w14:textId="7D79C8E7" w:rsidR="00A430FC" w:rsidRPr="00EA037B" w:rsidRDefault="005E6660" w:rsidP="00EA037B">
      <w:pPr>
        <w:widowControl/>
        <w:wordWrap/>
        <w:autoSpaceDE/>
        <w:autoSpaceDN/>
        <w:spacing w:line="360" w:lineRule="auto"/>
        <w:rPr>
          <w:rFonts w:ascii="Book Antiqua" w:hAnsi="Book Antiqua"/>
          <w:color w:val="000000" w:themeColor="text1"/>
          <w:sz w:val="24"/>
        </w:rPr>
      </w:pPr>
      <w:r>
        <w:rPr>
          <w:noProof/>
          <w:lang w:eastAsia="zh-CN"/>
        </w:rPr>
        <w:lastRenderedPageBreak/>
        <w:drawing>
          <wp:inline distT="0" distB="0" distL="0" distR="0" wp14:anchorId="441D4E83" wp14:editId="5F3D657A">
            <wp:extent cx="5400040" cy="34772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477260"/>
                    </a:xfrm>
                    <a:prstGeom prst="rect">
                      <a:avLst/>
                    </a:prstGeom>
                  </pic:spPr>
                </pic:pic>
              </a:graphicData>
            </a:graphic>
          </wp:inline>
        </w:drawing>
      </w:r>
    </w:p>
    <w:p w14:paraId="52A97ADA" w14:textId="45F2E859" w:rsidR="00182B6E" w:rsidRPr="00D023D9" w:rsidRDefault="00182B6E" w:rsidP="00EA037B">
      <w:pPr>
        <w:widowControl/>
        <w:wordWrap/>
        <w:autoSpaceDE/>
        <w:autoSpaceDN/>
        <w:spacing w:line="360" w:lineRule="auto"/>
        <w:rPr>
          <w:rFonts w:ascii="Book Antiqua" w:hAnsi="Book Antiqua"/>
          <w:bCs/>
          <w:color w:val="000000" w:themeColor="text1"/>
          <w:sz w:val="24"/>
        </w:rPr>
      </w:pPr>
      <w:r w:rsidRPr="00A430FC">
        <w:rPr>
          <w:rFonts w:ascii="Book Antiqua" w:hAnsi="Book Antiqua"/>
          <w:b/>
          <w:bCs/>
          <w:color w:val="000000" w:themeColor="text1"/>
          <w:sz w:val="24"/>
        </w:rPr>
        <w:t>Figure 1 Postoperative nutritional outcomes.</w:t>
      </w:r>
      <w:r w:rsidRPr="00EA037B">
        <w:rPr>
          <w:rFonts w:ascii="Book Antiqua" w:hAnsi="Book Antiqua"/>
          <w:color w:val="000000" w:themeColor="text1"/>
          <w:sz w:val="24"/>
        </w:rPr>
        <w:t xml:space="preserve"> </w:t>
      </w:r>
      <w:r w:rsidRPr="00A430FC">
        <w:rPr>
          <w:rFonts w:ascii="Book Antiqua" w:hAnsi="Book Antiqua"/>
          <w:bCs/>
          <w:color w:val="000000" w:themeColor="text1"/>
          <w:sz w:val="24"/>
        </w:rPr>
        <w:t>A</w:t>
      </w:r>
      <w:r w:rsidR="00A430FC">
        <w:rPr>
          <w:rFonts w:ascii="Book Antiqua" w:hAnsi="Book Antiqua"/>
          <w:bCs/>
          <w:color w:val="000000" w:themeColor="text1"/>
          <w:sz w:val="24"/>
        </w:rPr>
        <w:t>:</w:t>
      </w:r>
      <w:r w:rsidRPr="00A430FC">
        <w:rPr>
          <w:rFonts w:ascii="Book Antiqua" w:hAnsi="Book Antiqua"/>
          <w:bCs/>
          <w:color w:val="000000" w:themeColor="text1"/>
          <w:sz w:val="24"/>
        </w:rPr>
        <w:t xml:space="preserve"> </w:t>
      </w:r>
      <w:r w:rsidR="00A430FC" w:rsidRPr="00A430FC">
        <w:rPr>
          <w:rFonts w:ascii="Book Antiqua" w:hAnsi="Book Antiqua"/>
          <w:bCs/>
          <w:color w:val="000000" w:themeColor="text1"/>
          <w:sz w:val="24"/>
        </w:rPr>
        <w:t>C</w:t>
      </w:r>
      <w:r w:rsidRPr="00A430FC">
        <w:rPr>
          <w:rFonts w:ascii="Book Antiqua" w:hAnsi="Book Antiqua"/>
          <w:bCs/>
          <w:color w:val="000000" w:themeColor="text1"/>
          <w:sz w:val="24"/>
        </w:rPr>
        <w:t>hange in hemoglobin</w:t>
      </w:r>
      <w:r w:rsidR="00A430FC">
        <w:rPr>
          <w:rFonts w:ascii="Book Antiqua" w:hAnsi="Book Antiqua"/>
          <w:bCs/>
          <w:color w:val="000000" w:themeColor="text1"/>
          <w:sz w:val="24"/>
        </w:rPr>
        <w:t>;</w:t>
      </w:r>
      <w:r w:rsidRPr="00A430FC">
        <w:rPr>
          <w:rFonts w:ascii="Book Antiqua" w:hAnsi="Book Antiqua"/>
          <w:bCs/>
          <w:color w:val="000000" w:themeColor="text1"/>
          <w:sz w:val="24"/>
        </w:rPr>
        <w:t xml:space="preserve"> B</w:t>
      </w:r>
      <w:r w:rsidR="00A430FC">
        <w:rPr>
          <w:rFonts w:ascii="Book Antiqua" w:hAnsi="Book Antiqua"/>
          <w:bCs/>
          <w:color w:val="000000" w:themeColor="text1"/>
          <w:sz w:val="24"/>
        </w:rPr>
        <w:t>:</w:t>
      </w:r>
      <w:r w:rsidRPr="00A430FC">
        <w:rPr>
          <w:rFonts w:ascii="Book Antiqua" w:hAnsi="Book Antiqua"/>
          <w:bCs/>
          <w:color w:val="000000" w:themeColor="text1"/>
          <w:sz w:val="24"/>
        </w:rPr>
        <w:t xml:space="preserve"> </w:t>
      </w:r>
      <w:r w:rsidR="00A430FC" w:rsidRPr="00A430FC">
        <w:rPr>
          <w:rFonts w:ascii="Book Antiqua" w:hAnsi="Book Antiqua"/>
          <w:bCs/>
          <w:color w:val="000000" w:themeColor="text1"/>
          <w:sz w:val="24"/>
        </w:rPr>
        <w:t>C</w:t>
      </w:r>
      <w:r w:rsidRPr="00A430FC">
        <w:rPr>
          <w:rFonts w:ascii="Book Antiqua" w:hAnsi="Book Antiqua"/>
          <w:bCs/>
          <w:color w:val="000000" w:themeColor="text1"/>
          <w:sz w:val="24"/>
        </w:rPr>
        <w:t>hange in serum protein levels</w:t>
      </w:r>
      <w:r w:rsidR="00A430FC">
        <w:rPr>
          <w:rFonts w:ascii="Book Antiqua" w:hAnsi="Book Antiqua"/>
          <w:bCs/>
          <w:color w:val="000000" w:themeColor="text1"/>
          <w:sz w:val="24"/>
        </w:rPr>
        <w:t>;</w:t>
      </w:r>
      <w:r w:rsidRPr="00A430FC">
        <w:rPr>
          <w:rFonts w:ascii="Book Antiqua" w:hAnsi="Book Antiqua"/>
          <w:bCs/>
          <w:color w:val="000000" w:themeColor="text1"/>
          <w:sz w:val="24"/>
        </w:rPr>
        <w:t xml:space="preserve"> C</w:t>
      </w:r>
      <w:r w:rsidR="00A430FC">
        <w:rPr>
          <w:rFonts w:ascii="Book Antiqua" w:hAnsi="Book Antiqua"/>
          <w:bCs/>
          <w:color w:val="000000" w:themeColor="text1"/>
          <w:sz w:val="24"/>
        </w:rPr>
        <w:t>:</w:t>
      </w:r>
      <w:r w:rsidRPr="00A430FC">
        <w:rPr>
          <w:rFonts w:ascii="Book Antiqua" w:hAnsi="Book Antiqua"/>
          <w:bCs/>
          <w:color w:val="000000" w:themeColor="text1"/>
          <w:sz w:val="24"/>
        </w:rPr>
        <w:t xml:space="preserve"> </w:t>
      </w:r>
      <w:r w:rsidR="00A430FC" w:rsidRPr="00A430FC">
        <w:rPr>
          <w:rFonts w:ascii="Book Antiqua" w:hAnsi="Book Antiqua"/>
          <w:bCs/>
          <w:color w:val="000000" w:themeColor="text1"/>
          <w:sz w:val="24"/>
        </w:rPr>
        <w:t>C</w:t>
      </w:r>
      <w:r w:rsidRPr="00A430FC">
        <w:rPr>
          <w:rFonts w:ascii="Book Antiqua" w:hAnsi="Book Antiqua"/>
          <w:bCs/>
          <w:color w:val="000000" w:themeColor="text1"/>
          <w:sz w:val="24"/>
        </w:rPr>
        <w:t>hange in serum albumin levels</w:t>
      </w:r>
      <w:r w:rsidR="00A430FC">
        <w:rPr>
          <w:rFonts w:ascii="Book Antiqua" w:hAnsi="Book Antiqua"/>
          <w:bCs/>
          <w:color w:val="000000" w:themeColor="text1"/>
          <w:sz w:val="24"/>
        </w:rPr>
        <w:t>;</w:t>
      </w:r>
      <w:r w:rsidRPr="00A430FC">
        <w:rPr>
          <w:rFonts w:ascii="Book Antiqua" w:hAnsi="Book Antiqua"/>
          <w:bCs/>
          <w:color w:val="000000" w:themeColor="text1"/>
          <w:sz w:val="24"/>
        </w:rPr>
        <w:t xml:space="preserve"> D</w:t>
      </w:r>
      <w:r w:rsidR="00A430FC">
        <w:rPr>
          <w:rFonts w:ascii="Book Antiqua" w:hAnsi="Book Antiqua"/>
          <w:bCs/>
          <w:color w:val="000000" w:themeColor="text1"/>
          <w:sz w:val="24"/>
        </w:rPr>
        <w:t>:</w:t>
      </w:r>
      <w:r w:rsidRPr="00A430FC">
        <w:rPr>
          <w:rFonts w:ascii="Book Antiqua" w:hAnsi="Book Antiqua"/>
          <w:bCs/>
          <w:color w:val="000000" w:themeColor="text1"/>
          <w:sz w:val="24"/>
        </w:rPr>
        <w:t xml:space="preserve"> </w:t>
      </w:r>
      <w:r w:rsidR="00A430FC" w:rsidRPr="00A430FC">
        <w:rPr>
          <w:rFonts w:ascii="Book Antiqua" w:hAnsi="Book Antiqua"/>
          <w:bCs/>
          <w:color w:val="000000" w:themeColor="text1"/>
          <w:sz w:val="24"/>
        </w:rPr>
        <w:t>C</w:t>
      </w:r>
      <w:r w:rsidRPr="00A430FC">
        <w:rPr>
          <w:rFonts w:ascii="Book Antiqua" w:hAnsi="Book Antiqua"/>
          <w:bCs/>
          <w:color w:val="000000" w:themeColor="text1"/>
          <w:sz w:val="24"/>
        </w:rPr>
        <w:t>hange in body weight</w:t>
      </w:r>
      <w:r w:rsidR="00A430FC">
        <w:rPr>
          <w:rFonts w:ascii="Book Antiqua" w:hAnsi="Book Antiqua"/>
          <w:bCs/>
          <w:color w:val="000000" w:themeColor="text1"/>
          <w:sz w:val="24"/>
        </w:rPr>
        <w:t xml:space="preserve">. LADG: </w:t>
      </w:r>
      <w:r w:rsidR="00A430FC" w:rsidRPr="00EA037B">
        <w:rPr>
          <w:rFonts w:ascii="Book Antiqua" w:hAnsi="Book Antiqua"/>
          <w:color w:val="000000" w:themeColor="text1"/>
          <w:sz w:val="24"/>
        </w:rPr>
        <w:t>Laparoscopy-assisted distal gastrectomy</w:t>
      </w:r>
      <w:r w:rsidR="00A430FC">
        <w:rPr>
          <w:rFonts w:ascii="Book Antiqua" w:hAnsi="Book Antiqua"/>
          <w:color w:val="000000" w:themeColor="text1"/>
          <w:sz w:val="24"/>
        </w:rPr>
        <w:t>;</w:t>
      </w:r>
      <w:r w:rsidR="00A430FC">
        <w:rPr>
          <w:rFonts w:ascii="Book Antiqua" w:hAnsi="Book Antiqua"/>
          <w:bCs/>
          <w:color w:val="000000" w:themeColor="text1"/>
          <w:sz w:val="24"/>
        </w:rPr>
        <w:t xml:space="preserve"> LAPPG: </w:t>
      </w:r>
      <w:r w:rsidR="00A430FC" w:rsidRPr="00EA037B">
        <w:rPr>
          <w:rFonts w:ascii="Book Antiqua" w:hAnsi="Book Antiqua"/>
          <w:color w:val="000000" w:themeColor="text1"/>
          <w:sz w:val="24"/>
        </w:rPr>
        <w:t>Laparoscopy-assisted pylorus-preserving gastrectomy</w:t>
      </w:r>
      <w:r w:rsidR="00A430FC">
        <w:rPr>
          <w:rFonts w:ascii="Book Antiqua" w:hAnsi="Book Antiqua"/>
          <w:color w:val="000000" w:themeColor="text1"/>
          <w:sz w:val="24"/>
        </w:rPr>
        <w:t>.</w:t>
      </w:r>
      <w:r w:rsidR="00D023D9">
        <w:rPr>
          <w:rFonts w:ascii="Book Antiqua" w:hAnsi="Book Antiqua"/>
          <w:color w:val="000000" w:themeColor="text1"/>
          <w:sz w:val="24"/>
        </w:rPr>
        <w:t xml:space="preserve"> </w:t>
      </w:r>
      <w:r w:rsidR="00D023D9" w:rsidRPr="00D023D9">
        <w:rPr>
          <w:rFonts w:ascii="Book Antiqua" w:hAnsi="Book Antiqua"/>
          <w:color w:val="000000" w:themeColor="text1"/>
          <w:sz w:val="24"/>
          <w:vertAlign w:val="superscript"/>
        </w:rPr>
        <w:t>a</w:t>
      </w:r>
      <w:r w:rsidR="00D023D9" w:rsidRPr="00D023D9">
        <w:rPr>
          <w:rFonts w:ascii="Book Antiqua" w:hAnsi="Book Antiqua"/>
          <w:i/>
          <w:iCs/>
          <w:color w:val="000000" w:themeColor="text1"/>
          <w:sz w:val="24"/>
        </w:rPr>
        <w:t>P</w:t>
      </w:r>
      <w:r w:rsidR="00D023D9">
        <w:rPr>
          <w:rFonts w:ascii="Book Antiqua" w:hAnsi="Book Antiqua"/>
          <w:color w:val="000000" w:themeColor="text1"/>
          <w:sz w:val="24"/>
        </w:rPr>
        <w:t xml:space="preserve"> </w:t>
      </w:r>
      <w:r w:rsidRPr="00EA037B">
        <w:rPr>
          <w:rFonts w:ascii="Book Antiqua" w:hAnsi="Book Antiqua"/>
          <w:color w:val="000000" w:themeColor="text1"/>
          <w:sz w:val="24"/>
        </w:rPr>
        <w:t>&lt;</w:t>
      </w:r>
      <w:r w:rsidR="00D023D9">
        <w:rPr>
          <w:rFonts w:ascii="Book Antiqua" w:hAnsi="Book Antiqua"/>
          <w:color w:val="000000" w:themeColor="text1"/>
          <w:sz w:val="24"/>
        </w:rPr>
        <w:t xml:space="preserve"> </w:t>
      </w:r>
      <w:r w:rsidRPr="00EA037B">
        <w:rPr>
          <w:rFonts w:ascii="Book Antiqua" w:hAnsi="Book Antiqua"/>
          <w:color w:val="000000" w:themeColor="text1"/>
          <w:sz w:val="24"/>
        </w:rPr>
        <w:t>0.05</w:t>
      </w:r>
      <w:r w:rsidR="00D023D9">
        <w:rPr>
          <w:rFonts w:ascii="Book Antiqua" w:hAnsi="Book Antiqua"/>
          <w:color w:val="000000" w:themeColor="text1"/>
          <w:sz w:val="24"/>
        </w:rPr>
        <w:t>.</w:t>
      </w:r>
    </w:p>
    <w:p w14:paraId="0DF8C528" w14:textId="1BB0590A" w:rsidR="00A430FC" w:rsidRDefault="00A430FC">
      <w:pPr>
        <w:widowControl/>
        <w:wordWrap/>
        <w:autoSpaceDE/>
        <w:autoSpaceDN/>
        <w:spacing w:after="200" w:line="276" w:lineRule="auto"/>
        <w:rPr>
          <w:rFonts w:ascii="Book Antiqua" w:eastAsia="Malgun Gothic" w:hAnsi="Book Antiqua"/>
          <w:color w:val="000000" w:themeColor="text1"/>
          <w:kern w:val="0"/>
          <w:sz w:val="24"/>
        </w:rPr>
      </w:pPr>
      <w:r>
        <w:rPr>
          <w:rFonts w:ascii="Book Antiqua" w:eastAsia="Malgun Gothic" w:hAnsi="Book Antiqua"/>
          <w:color w:val="000000" w:themeColor="text1"/>
          <w:kern w:val="0"/>
          <w:sz w:val="24"/>
        </w:rPr>
        <w:br w:type="page"/>
      </w:r>
    </w:p>
    <w:p w14:paraId="6BE45C51" w14:textId="329DDD67" w:rsidR="00A430FC" w:rsidRDefault="00A430FC" w:rsidP="00EA037B">
      <w:pPr>
        <w:widowControl/>
        <w:wordWrap/>
        <w:autoSpaceDE/>
        <w:autoSpaceDN/>
        <w:spacing w:line="360" w:lineRule="auto"/>
        <w:rPr>
          <w:rFonts w:ascii="Book Antiqua" w:eastAsia="Malgun Gothic" w:hAnsi="Book Antiqua"/>
          <w:color w:val="000000" w:themeColor="text1"/>
          <w:kern w:val="0"/>
          <w:sz w:val="24"/>
        </w:rPr>
      </w:pPr>
      <w:r>
        <w:rPr>
          <w:rFonts w:ascii="Book Antiqua" w:eastAsia="Malgun Gothic" w:hAnsi="Book Antiqua"/>
          <w:noProof/>
          <w:color w:val="000000" w:themeColor="text1"/>
          <w:kern w:val="0"/>
          <w:sz w:val="24"/>
          <w:lang w:eastAsia="zh-CN"/>
        </w:rPr>
        <w:lastRenderedPageBreak/>
        <w:drawing>
          <wp:inline distT="0" distB="0" distL="0" distR="0" wp14:anchorId="69D320D1" wp14:editId="588CF4F2">
            <wp:extent cx="3452884" cy="25931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3790" cy="2601369"/>
                    </a:xfrm>
                    <a:prstGeom prst="rect">
                      <a:avLst/>
                    </a:prstGeom>
                    <a:noFill/>
                    <a:ln>
                      <a:noFill/>
                    </a:ln>
                  </pic:spPr>
                </pic:pic>
              </a:graphicData>
            </a:graphic>
          </wp:inline>
        </w:drawing>
      </w:r>
    </w:p>
    <w:p w14:paraId="6D438B10" w14:textId="2C589305" w:rsidR="00A430FC" w:rsidRDefault="00A430FC" w:rsidP="00EA037B">
      <w:pPr>
        <w:widowControl/>
        <w:wordWrap/>
        <w:autoSpaceDE/>
        <w:autoSpaceDN/>
        <w:spacing w:line="360" w:lineRule="auto"/>
        <w:rPr>
          <w:rFonts w:ascii="Book Antiqua" w:eastAsia="Malgun Gothic" w:hAnsi="Book Antiqua"/>
          <w:color w:val="000000" w:themeColor="text1"/>
          <w:kern w:val="0"/>
          <w:sz w:val="24"/>
        </w:rPr>
      </w:pPr>
      <w:r>
        <w:rPr>
          <w:rFonts w:ascii="Book Antiqua" w:eastAsia="Malgun Gothic" w:hAnsi="Book Antiqua"/>
          <w:noProof/>
          <w:color w:val="000000" w:themeColor="text1"/>
          <w:kern w:val="0"/>
          <w:sz w:val="24"/>
          <w:lang w:eastAsia="zh-CN"/>
        </w:rPr>
        <w:drawing>
          <wp:inline distT="0" distB="0" distL="0" distR="0" wp14:anchorId="48893804" wp14:editId="71E2FEDF">
            <wp:extent cx="5725160" cy="2265680"/>
            <wp:effectExtent l="0" t="0" r="889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2265680"/>
                    </a:xfrm>
                    <a:prstGeom prst="rect">
                      <a:avLst/>
                    </a:prstGeom>
                    <a:noFill/>
                    <a:ln>
                      <a:noFill/>
                    </a:ln>
                  </pic:spPr>
                </pic:pic>
              </a:graphicData>
            </a:graphic>
          </wp:inline>
        </w:drawing>
      </w:r>
    </w:p>
    <w:p w14:paraId="740FA74E" w14:textId="3FC01C2D" w:rsidR="00182B6E" w:rsidRPr="0042775B"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B05DAF">
        <w:rPr>
          <w:rFonts w:ascii="Book Antiqua" w:eastAsia="Malgun Gothic" w:hAnsi="Book Antiqua"/>
          <w:b/>
          <w:bCs/>
          <w:color w:val="000000" w:themeColor="text1"/>
          <w:kern w:val="0"/>
          <w:sz w:val="24"/>
        </w:rPr>
        <w:t>Figure 2 Postoperative endoscopic findings.</w:t>
      </w:r>
      <w:r w:rsidRPr="00EA037B">
        <w:rPr>
          <w:rFonts w:ascii="Book Antiqua" w:eastAsia="Malgun Gothic" w:hAnsi="Book Antiqua"/>
          <w:color w:val="000000" w:themeColor="text1"/>
          <w:kern w:val="0"/>
          <w:sz w:val="24"/>
        </w:rPr>
        <w:t xml:space="preserve"> </w:t>
      </w:r>
      <w:r w:rsidRPr="00B05DAF">
        <w:rPr>
          <w:rFonts w:ascii="Book Antiqua" w:eastAsia="Malgun Gothic" w:hAnsi="Book Antiqua"/>
          <w:bCs/>
          <w:color w:val="000000" w:themeColor="text1"/>
          <w:kern w:val="0"/>
          <w:sz w:val="24"/>
        </w:rPr>
        <w:t>A</w:t>
      </w:r>
      <w:r w:rsidR="00B05DAF">
        <w:rPr>
          <w:rFonts w:ascii="Book Antiqua" w:eastAsia="Malgun Gothic" w:hAnsi="Book Antiqua"/>
          <w:bCs/>
          <w:color w:val="000000" w:themeColor="text1"/>
          <w:kern w:val="0"/>
          <w:sz w:val="24"/>
        </w:rPr>
        <w:t>:</w:t>
      </w:r>
      <w:r w:rsidRPr="00B05DAF">
        <w:rPr>
          <w:rFonts w:ascii="Book Antiqua" w:eastAsia="Malgun Gothic" w:hAnsi="Book Antiqua"/>
          <w:bCs/>
          <w:color w:val="000000" w:themeColor="text1"/>
          <w:kern w:val="0"/>
          <w:sz w:val="24"/>
        </w:rPr>
        <w:t xml:space="preserve"> </w:t>
      </w:r>
      <w:r w:rsidR="00B05DAF" w:rsidRPr="00B05DAF">
        <w:rPr>
          <w:rFonts w:ascii="Book Antiqua" w:eastAsia="Malgun Gothic" w:hAnsi="Book Antiqua"/>
          <w:bCs/>
          <w:color w:val="000000" w:themeColor="text1"/>
          <w:kern w:val="0"/>
          <w:sz w:val="24"/>
        </w:rPr>
        <w:t>P</w:t>
      </w:r>
      <w:r w:rsidRPr="00B05DAF">
        <w:rPr>
          <w:rFonts w:ascii="Book Antiqua" w:eastAsia="Malgun Gothic" w:hAnsi="Book Antiqua"/>
          <w:bCs/>
          <w:color w:val="000000" w:themeColor="text1"/>
          <w:kern w:val="0"/>
          <w:sz w:val="24"/>
        </w:rPr>
        <w:t>roportions of the presence of bile reflux</w:t>
      </w:r>
      <w:r w:rsidR="00B05DAF">
        <w:rPr>
          <w:rFonts w:ascii="Book Antiqua" w:eastAsia="Malgun Gothic" w:hAnsi="Book Antiqua"/>
          <w:bCs/>
          <w:color w:val="000000" w:themeColor="text1"/>
          <w:kern w:val="0"/>
          <w:sz w:val="24"/>
        </w:rPr>
        <w:t>;</w:t>
      </w:r>
      <w:r w:rsidRPr="00B05DAF">
        <w:rPr>
          <w:rFonts w:ascii="Book Antiqua" w:eastAsia="Malgun Gothic" w:hAnsi="Book Antiqua"/>
          <w:bCs/>
          <w:color w:val="000000" w:themeColor="text1"/>
          <w:kern w:val="0"/>
          <w:sz w:val="24"/>
        </w:rPr>
        <w:t xml:space="preserve"> B</w:t>
      </w:r>
      <w:r w:rsidR="00B05DAF">
        <w:rPr>
          <w:rFonts w:ascii="Book Antiqua" w:eastAsia="Malgun Gothic" w:hAnsi="Book Antiqua"/>
          <w:bCs/>
          <w:color w:val="000000" w:themeColor="text1"/>
          <w:kern w:val="0"/>
          <w:sz w:val="24"/>
        </w:rPr>
        <w:t>:</w:t>
      </w:r>
      <w:r w:rsidRPr="00B05DAF">
        <w:rPr>
          <w:rFonts w:ascii="Book Antiqua" w:eastAsia="Malgun Gothic" w:hAnsi="Book Antiqua"/>
          <w:bCs/>
          <w:color w:val="000000" w:themeColor="text1"/>
          <w:kern w:val="0"/>
          <w:sz w:val="24"/>
        </w:rPr>
        <w:t xml:space="preserve"> </w:t>
      </w:r>
      <w:r w:rsidR="00B05DAF" w:rsidRPr="00B05DAF">
        <w:rPr>
          <w:rFonts w:ascii="Book Antiqua" w:eastAsia="Malgun Gothic" w:hAnsi="Book Antiqua"/>
          <w:bCs/>
          <w:color w:val="000000" w:themeColor="text1"/>
          <w:kern w:val="0"/>
          <w:sz w:val="24"/>
        </w:rPr>
        <w:t>P</w:t>
      </w:r>
      <w:r w:rsidRPr="00B05DAF">
        <w:rPr>
          <w:rFonts w:ascii="Book Antiqua" w:eastAsia="Malgun Gothic" w:hAnsi="Book Antiqua"/>
          <w:bCs/>
          <w:color w:val="000000" w:themeColor="text1"/>
          <w:kern w:val="0"/>
          <w:sz w:val="24"/>
        </w:rPr>
        <w:t xml:space="preserve">roportions of the grade of residual food. </w:t>
      </w:r>
      <w:r w:rsidR="00B05DAF" w:rsidRPr="00D023D9">
        <w:rPr>
          <w:rFonts w:ascii="Book Antiqua" w:hAnsi="Book Antiqua"/>
          <w:color w:val="000000" w:themeColor="text1"/>
          <w:sz w:val="24"/>
          <w:vertAlign w:val="superscript"/>
        </w:rPr>
        <w:t>a</w:t>
      </w:r>
      <w:r w:rsidR="00B05DAF" w:rsidRPr="00D023D9">
        <w:rPr>
          <w:rFonts w:ascii="Book Antiqua" w:hAnsi="Book Antiqua"/>
          <w:i/>
          <w:iCs/>
          <w:color w:val="000000" w:themeColor="text1"/>
          <w:sz w:val="24"/>
        </w:rPr>
        <w:t>P</w:t>
      </w:r>
      <w:r w:rsidR="00B05DAF">
        <w:rPr>
          <w:rFonts w:ascii="Book Antiqua" w:hAnsi="Book Antiqua"/>
          <w:color w:val="000000" w:themeColor="text1"/>
          <w:sz w:val="24"/>
        </w:rPr>
        <w:t xml:space="preserve"> </w:t>
      </w:r>
      <w:r w:rsidR="00B05DAF" w:rsidRPr="00EA037B">
        <w:rPr>
          <w:rFonts w:ascii="Book Antiqua" w:hAnsi="Book Antiqua"/>
          <w:color w:val="000000" w:themeColor="text1"/>
          <w:sz w:val="24"/>
        </w:rPr>
        <w:t>&lt;</w:t>
      </w:r>
      <w:r w:rsidR="00B05DAF">
        <w:rPr>
          <w:rFonts w:ascii="Book Antiqua" w:hAnsi="Book Antiqua"/>
          <w:color w:val="000000" w:themeColor="text1"/>
          <w:sz w:val="24"/>
        </w:rPr>
        <w:t xml:space="preserve"> </w:t>
      </w:r>
      <w:r w:rsidR="00B05DAF" w:rsidRPr="00EA037B">
        <w:rPr>
          <w:rFonts w:ascii="Book Antiqua" w:hAnsi="Book Antiqua"/>
          <w:color w:val="000000" w:themeColor="text1"/>
          <w:sz w:val="24"/>
        </w:rPr>
        <w:t>0.05</w:t>
      </w:r>
      <w:r w:rsidR="00B05DAF">
        <w:rPr>
          <w:rFonts w:ascii="Book Antiqua" w:hAnsi="Book Antiqua"/>
          <w:color w:val="000000" w:themeColor="text1"/>
          <w:sz w:val="24"/>
        </w:rPr>
        <w:t>.</w:t>
      </w:r>
    </w:p>
    <w:p w14:paraId="60F12A4A" w14:textId="77777777" w:rsidR="001D780A" w:rsidRDefault="00182B6E" w:rsidP="00EA037B">
      <w:pPr>
        <w:widowControl/>
        <w:wordWrap/>
        <w:autoSpaceDE/>
        <w:autoSpaceDN/>
        <w:spacing w:line="360" w:lineRule="auto"/>
        <w:rPr>
          <w:rFonts w:ascii="Book Antiqua" w:eastAsia="Malgun Gothic" w:hAnsi="Book Antiqua"/>
          <w:color w:val="000000" w:themeColor="text1"/>
          <w:kern w:val="0"/>
          <w:sz w:val="24"/>
        </w:rPr>
        <w:sectPr w:rsidR="001D780A" w:rsidSect="00182B6E">
          <w:footerReference w:type="default" r:id="rId11"/>
          <w:pgSz w:w="11906" w:h="16838" w:code="9"/>
          <w:pgMar w:top="1985" w:right="1701" w:bottom="1701" w:left="1701" w:header="851" w:footer="992" w:gutter="0"/>
          <w:cols w:space="425"/>
          <w:docGrid w:linePitch="360"/>
        </w:sectPr>
      </w:pPr>
      <w:r w:rsidRPr="00EA037B">
        <w:rPr>
          <w:rFonts w:ascii="Book Antiqua" w:eastAsia="Malgun Gothic" w:hAnsi="Book Antiqua"/>
          <w:color w:val="000000" w:themeColor="text1"/>
          <w:kern w:val="0"/>
          <w:sz w:val="24"/>
        </w:rPr>
        <w:br w:type="page"/>
      </w:r>
    </w:p>
    <w:p w14:paraId="79BEF9EB" w14:textId="2890EAAE" w:rsidR="00182B6E" w:rsidRPr="001D780A" w:rsidRDefault="00182B6E" w:rsidP="00EA037B">
      <w:pPr>
        <w:widowControl/>
        <w:wordWrap/>
        <w:autoSpaceDE/>
        <w:autoSpaceDN/>
        <w:spacing w:line="360" w:lineRule="auto"/>
        <w:rPr>
          <w:rFonts w:ascii="Book Antiqua" w:hAnsi="Book Antiqua"/>
          <w:b/>
          <w:bCs/>
          <w:color w:val="000000" w:themeColor="text1"/>
          <w:sz w:val="24"/>
        </w:rPr>
      </w:pPr>
      <w:r w:rsidRPr="001D780A">
        <w:rPr>
          <w:rFonts w:ascii="Book Antiqua" w:hAnsi="Book Antiqua"/>
          <w:b/>
          <w:bCs/>
          <w:color w:val="000000" w:themeColor="text1"/>
          <w:sz w:val="24"/>
        </w:rPr>
        <w:lastRenderedPageBreak/>
        <w:t xml:space="preserve">Table 1 Clinicopathological characteristics and hospital course in the </w:t>
      </w:r>
      <w:r w:rsidR="009C2F9A" w:rsidRPr="001D780A">
        <w:rPr>
          <w:rFonts w:ascii="Book Antiqua" w:hAnsi="Book Antiqua"/>
          <w:b/>
          <w:bCs/>
          <w:color w:val="000000" w:themeColor="text1"/>
          <w:sz w:val="24"/>
        </w:rPr>
        <w:t>laparoscopy-assisted pylorus preserving gastrectomy</w:t>
      </w:r>
      <w:r w:rsidRPr="001D780A">
        <w:rPr>
          <w:rFonts w:ascii="Book Antiqua" w:hAnsi="Book Antiqua"/>
          <w:b/>
          <w:bCs/>
          <w:color w:val="000000" w:themeColor="text1"/>
          <w:sz w:val="24"/>
        </w:rPr>
        <w:t xml:space="preserve"> and </w:t>
      </w:r>
      <w:r w:rsidR="009C2F9A" w:rsidRPr="001D780A">
        <w:rPr>
          <w:rFonts w:ascii="Book Antiqua" w:hAnsi="Book Antiqua"/>
          <w:b/>
          <w:bCs/>
          <w:color w:val="000000" w:themeColor="text1"/>
          <w:sz w:val="24"/>
        </w:rPr>
        <w:t>laparoscopy-assisted distal gastrectomy groups</w:t>
      </w:r>
      <w:r w:rsidRPr="001D780A">
        <w:rPr>
          <w:rFonts w:ascii="Book Antiqua" w:hAnsi="Book Antiqua"/>
          <w:b/>
          <w:bCs/>
          <w:color w:val="000000" w:themeColor="text1"/>
          <w:sz w:val="24"/>
        </w:rPr>
        <w:t xml:space="preserve"> </w:t>
      </w:r>
    </w:p>
    <w:tbl>
      <w:tblPr>
        <w:tblW w:w="12973" w:type="dxa"/>
        <w:tblInd w:w="84" w:type="dxa"/>
        <w:tblLayout w:type="fixed"/>
        <w:tblCellMar>
          <w:left w:w="99" w:type="dxa"/>
          <w:right w:w="99" w:type="dxa"/>
        </w:tblCellMar>
        <w:tblLook w:val="04A0" w:firstRow="1" w:lastRow="0" w:firstColumn="1" w:lastColumn="0" w:noHBand="0" w:noVBand="1"/>
      </w:tblPr>
      <w:tblGrid>
        <w:gridCol w:w="4435"/>
        <w:gridCol w:w="1805"/>
        <w:gridCol w:w="2807"/>
        <w:gridCol w:w="2607"/>
        <w:gridCol w:w="1319"/>
      </w:tblGrid>
      <w:tr w:rsidR="0042775B" w:rsidRPr="00EA037B" w14:paraId="08D7CA89" w14:textId="77777777" w:rsidTr="00ED2D1F">
        <w:trPr>
          <w:trHeight w:val="336"/>
        </w:trPr>
        <w:tc>
          <w:tcPr>
            <w:tcW w:w="4435" w:type="dxa"/>
            <w:vMerge w:val="restart"/>
            <w:tcBorders>
              <w:top w:val="single" w:sz="8" w:space="0" w:color="auto"/>
              <w:left w:val="nil"/>
              <w:right w:val="nil"/>
            </w:tcBorders>
            <w:shd w:val="clear" w:color="auto" w:fill="auto"/>
            <w:vAlign w:val="center"/>
            <w:hideMark/>
          </w:tcPr>
          <w:p w14:paraId="2E8697D2" w14:textId="77777777" w:rsidR="0042775B" w:rsidRPr="001D780A"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1D780A">
              <w:rPr>
                <w:rFonts w:ascii="Book Antiqua" w:eastAsia="Malgun Gothic" w:hAnsi="Book Antiqua"/>
                <w:b/>
                <w:bCs/>
                <w:color w:val="000000" w:themeColor="text1"/>
                <w:kern w:val="0"/>
                <w:sz w:val="24"/>
              </w:rPr>
              <w:t>Factors</w:t>
            </w:r>
          </w:p>
        </w:tc>
        <w:tc>
          <w:tcPr>
            <w:tcW w:w="1805" w:type="dxa"/>
            <w:vMerge w:val="restart"/>
            <w:tcBorders>
              <w:top w:val="single" w:sz="8" w:space="0" w:color="auto"/>
              <w:left w:val="nil"/>
              <w:right w:val="nil"/>
            </w:tcBorders>
            <w:shd w:val="clear" w:color="auto" w:fill="auto"/>
            <w:vAlign w:val="center"/>
            <w:hideMark/>
          </w:tcPr>
          <w:p w14:paraId="7C7B190B" w14:textId="77777777" w:rsidR="0042775B" w:rsidRPr="001D780A"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1D780A">
              <w:rPr>
                <w:rFonts w:ascii="Book Antiqua" w:eastAsia="Malgun Gothic" w:hAnsi="Book Antiqua"/>
                <w:b/>
                <w:bCs/>
                <w:color w:val="000000" w:themeColor="text1"/>
                <w:kern w:val="0"/>
                <w:sz w:val="24"/>
              </w:rPr>
              <w:t>Subgroup</w:t>
            </w:r>
          </w:p>
        </w:tc>
        <w:tc>
          <w:tcPr>
            <w:tcW w:w="2807" w:type="dxa"/>
            <w:tcBorders>
              <w:top w:val="single" w:sz="8" w:space="0" w:color="auto"/>
              <w:left w:val="nil"/>
              <w:bottom w:val="nil"/>
              <w:right w:val="nil"/>
            </w:tcBorders>
            <w:shd w:val="clear" w:color="auto" w:fill="auto"/>
            <w:vAlign w:val="center"/>
            <w:hideMark/>
          </w:tcPr>
          <w:p w14:paraId="197CBF52" w14:textId="77777777" w:rsidR="0042775B" w:rsidRPr="001D780A"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1D780A">
              <w:rPr>
                <w:rFonts w:ascii="Book Antiqua" w:eastAsia="Malgun Gothic" w:hAnsi="Book Antiqua"/>
                <w:b/>
                <w:bCs/>
                <w:color w:val="000000" w:themeColor="text1"/>
                <w:kern w:val="0"/>
                <w:sz w:val="24"/>
              </w:rPr>
              <w:t>LADG</w:t>
            </w:r>
          </w:p>
        </w:tc>
        <w:tc>
          <w:tcPr>
            <w:tcW w:w="2607" w:type="dxa"/>
            <w:tcBorders>
              <w:top w:val="single" w:sz="8" w:space="0" w:color="auto"/>
              <w:left w:val="nil"/>
              <w:bottom w:val="nil"/>
              <w:right w:val="nil"/>
            </w:tcBorders>
            <w:shd w:val="clear" w:color="auto" w:fill="auto"/>
            <w:vAlign w:val="center"/>
            <w:hideMark/>
          </w:tcPr>
          <w:p w14:paraId="61C47E3C" w14:textId="77777777" w:rsidR="0042775B" w:rsidRPr="001D780A"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1D780A">
              <w:rPr>
                <w:rFonts w:ascii="Book Antiqua" w:eastAsia="Malgun Gothic" w:hAnsi="Book Antiqua"/>
                <w:b/>
                <w:bCs/>
                <w:color w:val="000000" w:themeColor="text1"/>
                <w:kern w:val="0"/>
                <w:sz w:val="24"/>
              </w:rPr>
              <w:t>LAPPG</w:t>
            </w:r>
          </w:p>
        </w:tc>
        <w:tc>
          <w:tcPr>
            <w:tcW w:w="1319" w:type="dxa"/>
            <w:vMerge w:val="restart"/>
            <w:tcBorders>
              <w:top w:val="single" w:sz="8" w:space="0" w:color="auto"/>
              <w:left w:val="nil"/>
              <w:right w:val="nil"/>
            </w:tcBorders>
            <w:shd w:val="clear" w:color="auto" w:fill="auto"/>
            <w:vAlign w:val="center"/>
            <w:hideMark/>
          </w:tcPr>
          <w:p w14:paraId="4A2BAEA5" w14:textId="29C8A103" w:rsidR="0042775B" w:rsidRPr="001D780A" w:rsidRDefault="0042775B" w:rsidP="00EA037B">
            <w:pPr>
              <w:widowControl/>
              <w:wordWrap/>
              <w:autoSpaceDE/>
              <w:autoSpaceDN/>
              <w:spacing w:line="360" w:lineRule="auto"/>
              <w:rPr>
                <w:rFonts w:ascii="Book Antiqua" w:eastAsia="Malgun Gothic" w:hAnsi="Book Antiqua"/>
                <w:b/>
                <w:bCs/>
                <w:i/>
                <w:iCs/>
                <w:color w:val="000000" w:themeColor="text1"/>
                <w:kern w:val="0"/>
                <w:sz w:val="24"/>
              </w:rPr>
            </w:pPr>
            <w:r w:rsidRPr="001D780A">
              <w:rPr>
                <w:rFonts w:ascii="Book Antiqua" w:eastAsia="Malgun Gothic" w:hAnsi="Book Antiqua"/>
                <w:b/>
                <w:bCs/>
                <w:i/>
                <w:iCs/>
                <w:color w:val="000000" w:themeColor="text1"/>
                <w:kern w:val="0"/>
                <w:sz w:val="24"/>
              </w:rPr>
              <w:t>P</w:t>
            </w:r>
            <w:r w:rsidRPr="0042775B">
              <w:rPr>
                <w:rFonts w:ascii="Book Antiqua" w:eastAsia="Malgun Gothic" w:hAnsi="Book Antiqua"/>
                <w:b/>
                <w:bCs/>
                <w:color w:val="000000" w:themeColor="text1"/>
                <w:kern w:val="0"/>
                <w:sz w:val="24"/>
              </w:rPr>
              <w:t xml:space="preserve"> value</w:t>
            </w:r>
          </w:p>
        </w:tc>
      </w:tr>
      <w:tr w:rsidR="0042775B" w:rsidRPr="00EA037B" w14:paraId="608FBE52" w14:textId="77777777" w:rsidTr="00ED2D1F">
        <w:trPr>
          <w:trHeight w:val="351"/>
        </w:trPr>
        <w:tc>
          <w:tcPr>
            <w:tcW w:w="4435" w:type="dxa"/>
            <w:vMerge/>
            <w:tcBorders>
              <w:left w:val="nil"/>
              <w:bottom w:val="single" w:sz="8" w:space="0" w:color="auto"/>
              <w:right w:val="nil"/>
            </w:tcBorders>
            <w:shd w:val="clear" w:color="auto" w:fill="auto"/>
            <w:vAlign w:val="center"/>
            <w:hideMark/>
          </w:tcPr>
          <w:p w14:paraId="59818E09" w14:textId="79A98DCE" w:rsidR="0042775B" w:rsidRPr="001D780A" w:rsidRDefault="0042775B" w:rsidP="00EA037B">
            <w:pPr>
              <w:widowControl/>
              <w:wordWrap/>
              <w:autoSpaceDE/>
              <w:autoSpaceDN/>
              <w:spacing w:line="360" w:lineRule="auto"/>
              <w:rPr>
                <w:rFonts w:ascii="Book Antiqua" w:eastAsia="Gulim" w:hAnsi="Book Antiqua" w:cs="Gulim"/>
                <w:b/>
                <w:bCs/>
                <w:color w:val="000000" w:themeColor="text1"/>
                <w:kern w:val="0"/>
                <w:sz w:val="24"/>
              </w:rPr>
            </w:pPr>
          </w:p>
        </w:tc>
        <w:tc>
          <w:tcPr>
            <w:tcW w:w="1805" w:type="dxa"/>
            <w:vMerge/>
            <w:tcBorders>
              <w:left w:val="nil"/>
              <w:bottom w:val="single" w:sz="8" w:space="0" w:color="auto"/>
              <w:right w:val="nil"/>
            </w:tcBorders>
            <w:shd w:val="clear" w:color="auto" w:fill="auto"/>
            <w:vAlign w:val="center"/>
            <w:hideMark/>
          </w:tcPr>
          <w:p w14:paraId="5A32C5CF" w14:textId="78B21FD4" w:rsidR="0042775B" w:rsidRPr="001D780A" w:rsidRDefault="0042775B" w:rsidP="00EA037B">
            <w:pPr>
              <w:widowControl/>
              <w:wordWrap/>
              <w:autoSpaceDE/>
              <w:autoSpaceDN/>
              <w:spacing w:line="360" w:lineRule="auto"/>
              <w:rPr>
                <w:rFonts w:ascii="Book Antiqua" w:eastAsia="Gulim" w:hAnsi="Book Antiqua" w:cs="Gulim"/>
                <w:b/>
                <w:bCs/>
                <w:color w:val="000000" w:themeColor="text1"/>
                <w:kern w:val="0"/>
                <w:sz w:val="24"/>
              </w:rPr>
            </w:pPr>
          </w:p>
        </w:tc>
        <w:tc>
          <w:tcPr>
            <w:tcW w:w="2807" w:type="dxa"/>
            <w:tcBorders>
              <w:top w:val="nil"/>
              <w:left w:val="nil"/>
              <w:bottom w:val="single" w:sz="8" w:space="0" w:color="auto"/>
              <w:right w:val="nil"/>
            </w:tcBorders>
            <w:shd w:val="clear" w:color="auto" w:fill="auto"/>
            <w:vAlign w:val="center"/>
            <w:hideMark/>
          </w:tcPr>
          <w:p w14:paraId="68DB8E88" w14:textId="647BFBEE" w:rsidR="0042775B" w:rsidRPr="001D780A"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1D780A">
              <w:rPr>
                <w:rFonts w:ascii="Book Antiqua" w:eastAsia="Malgun Gothic" w:hAnsi="Book Antiqua"/>
                <w:b/>
                <w:bCs/>
                <w:color w:val="000000" w:themeColor="text1"/>
                <w:kern w:val="0"/>
                <w:sz w:val="24"/>
              </w:rPr>
              <w:t>(</w:t>
            </w:r>
            <w:r w:rsidRPr="001D780A">
              <w:rPr>
                <w:rFonts w:ascii="Book Antiqua" w:eastAsia="Malgun Gothic" w:hAnsi="Book Antiqua"/>
                <w:b/>
                <w:bCs/>
                <w:i/>
                <w:iCs/>
                <w:color w:val="000000" w:themeColor="text1"/>
                <w:kern w:val="0"/>
                <w:sz w:val="24"/>
              </w:rPr>
              <w:t>n</w:t>
            </w:r>
            <w:r w:rsidRPr="001D780A">
              <w:rPr>
                <w:rFonts w:ascii="Book Antiqua" w:eastAsia="Malgun Gothic" w:hAnsi="Book Antiqua"/>
                <w:b/>
                <w:bCs/>
                <w:color w:val="000000" w:themeColor="text1"/>
                <w:kern w:val="0"/>
                <w:sz w:val="24"/>
              </w:rPr>
              <w:t xml:space="preserve"> = 195) (%)</w:t>
            </w:r>
          </w:p>
        </w:tc>
        <w:tc>
          <w:tcPr>
            <w:tcW w:w="2607" w:type="dxa"/>
            <w:tcBorders>
              <w:top w:val="nil"/>
              <w:left w:val="nil"/>
              <w:bottom w:val="single" w:sz="8" w:space="0" w:color="auto"/>
              <w:right w:val="nil"/>
            </w:tcBorders>
            <w:shd w:val="clear" w:color="auto" w:fill="auto"/>
            <w:vAlign w:val="center"/>
            <w:hideMark/>
          </w:tcPr>
          <w:p w14:paraId="49F7ECAB" w14:textId="037CB34E" w:rsidR="0042775B" w:rsidRPr="001D780A"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1D780A">
              <w:rPr>
                <w:rFonts w:ascii="Book Antiqua" w:eastAsia="Malgun Gothic" w:hAnsi="Book Antiqua"/>
                <w:b/>
                <w:bCs/>
                <w:color w:val="000000" w:themeColor="text1"/>
                <w:kern w:val="0"/>
                <w:sz w:val="24"/>
              </w:rPr>
              <w:t>(</w:t>
            </w:r>
            <w:r w:rsidRPr="001D780A">
              <w:rPr>
                <w:rFonts w:ascii="Book Antiqua" w:eastAsia="Malgun Gothic" w:hAnsi="Book Antiqua"/>
                <w:b/>
                <w:bCs/>
                <w:i/>
                <w:iCs/>
                <w:color w:val="000000" w:themeColor="text1"/>
                <w:kern w:val="0"/>
                <w:sz w:val="24"/>
              </w:rPr>
              <w:t>n</w:t>
            </w:r>
            <w:r w:rsidRPr="001D780A">
              <w:rPr>
                <w:rFonts w:ascii="Book Antiqua" w:eastAsia="Malgun Gothic" w:hAnsi="Book Antiqua"/>
                <w:b/>
                <w:bCs/>
                <w:color w:val="000000" w:themeColor="text1"/>
                <w:kern w:val="0"/>
                <w:sz w:val="24"/>
              </w:rPr>
              <w:t xml:space="preserve"> = 101) (%)</w:t>
            </w:r>
          </w:p>
        </w:tc>
        <w:tc>
          <w:tcPr>
            <w:tcW w:w="1319" w:type="dxa"/>
            <w:vMerge/>
            <w:tcBorders>
              <w:left w:val="nil"/>
              <w:bottom w:val="single" w:sz="8" w:space="0" w:color="auto"/>
              <w:right w:val="nil"/>
            </w:tcBorders>
            <w:shd w:val="clear" w:color="auto" w:fill="auto"/>
            <w:vAlign w:val="center"/>
            <w:hideMark/>
          </w:tcPr>
          <w:p w14:paraId="473F403A" w14:textId="61F762A5" w:rsidR="0042775B" w:rsidRPr="001D780A" w:rsidRDefault="0042775B" w:rsidP="00EA037B">
            <w:pPr>
              <w:widowControl/>
              <w:wordWrap/>
              <w:autoSpaceDE/>
              <w:autoSpaceDN/>
              <w:spacing w:line="360" w:lineRule="auto"/>
              <w:rPr>
                <w:rFonts w:ascii="Book Antiqua" w:eastAsia="Gulim" w:hAnsi="Book Antiqua" w:cs="Gulim"/>
                <w:b/>
                <w:bCs/>
                <w:color w:val="000000" w:themeColor="text1"/>
                <w:kern w:val="0"/>
                <w:sz w:val="24"/>
              </w:rPr>
            </w:pPr>
          </w:p>
        </w:tc>
      </w:tr>
      <w:tr w:rsidR="00EA037B" w:rsidRPr="00EA037B" w14:paraId="402A0F0D" w14:textId="77777777" w:rsidTr="001D780A">
        <w:trPr>
          <w:trHeight w:val="366"/>
        </w:trPr>
        <w:tc>
          <w:tcPr>
            <w:tcW w:w="4435" w:type="dxa"/>
            <w:tcBorders>
              <w:top w:val="nil"/>
              <w:left w:val="nil"/>
              <w:bottom w:val="nil"/>
              <w:right w:val="nil"/>
            </w:tcBorders>
            <w:shd w:val="clear" w:color="auto" w:fill="auto"/>
            <w:vAlign w:val="center"/>
            <w:hideMark/>
          </w:tcPr>
          <w:p w14:paraId="0585340C" w14:textId="4F6BD9B0"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Age (mean</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SD)</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(yr)</w:t>
            </w:r>
          </w:p>
        </w:tc>
        <w:tc>
          <w:tcPr>
            <w:tcW w:w="1805" w:type="dxa"/>
            <w:tcBorders>
              <w:top w:val="nil"/>
              <w:left w:val="nil"/>
              <w:bottom w:val="nil"/>
              <w:right w:val="nil"/>
            </w:tcBorders>
            <w:shd w:val="clear" w:color="auto" w:fill="auto"/>
            <w:vAlign w:val="center"/>
            <w:hideMark/>
          </w:tcPr>
          <w:p w14:paraId="622A652F"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vAlign w:val="center"/>
            <w:hideMark/>
          </w:tcPr>
          <w:p w14:paraId="0F789817" w14:textId="3C72B231"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56.5</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11.8</w:t>
            </w:r>
          </w:p>
        </w:tc>
        <w:tc>
          <w:tcPr>
            <w:tcW w:w="2607" w:type="dxa"/>
            <w:tcBorders>
              <w:top w:val="nil"/>
              <w:left w:val="nil"/>
              <w:bottom w:val="nil"/>
              <w:right w:val="nil"/>
            </w:tcBorders>
            <w:shd w:val="clear" w:color="auto" w:fill="auto"/>
            <w:vAlign w:val="center"/>
            <w:hideMark/>
          </w:tcPr>
          <w:p w14:paraId="206F5FEE" w14:textId="338575B0"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58.3</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12.0</w:t>
            </w:r>
          </w:p>
        </w:tc>
        <w:tc>
          <w:tcPr>
            <w:tcW w:w="1319" w:type="dxa"/>
            <w:tcBorders>
              <w:top w:val="nil"/>
              <w:left w:val="nil"/>
              <w:bottom w:val="nil"/>
              <w:right w:val="nil"/>
            </w:tcBorders>
            <w:shd w:val="clear" w:color="auto" w:fill="auto"/>
            <w:vAlign w:val="center"/>
            <w:hideMark/>
          </w:tcPr>
          <w:p w14:paraId="6BC0026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0.218</w:t>
            </w:r>
          </w:p>
        </w:tc>
      </w:tr>
      <w:tr w:rsidR="00EA037B" w:rsidRPr="00EA037B" w14:paraId="27DCE4A1" w14:textId="77777777" w:rsidTr="001D780A">
        <w:trPr>
          <w:trHeight w:val="366"/>
        </w:trPr>
        <w:tc>
          <w:tcPr>
            <w:tcW w:w="4435" w:type="dxa"/>
            <w:tcBorders>
              <w:top w:val="nil"/>
              <w:left w:val="nil"/>
              <w:bottom w:val="nil"/>
              <w:right w:val="nil"/>
            </w:tcBorders>
            <w:shd w:val="clear" w:color="auto" w:fill="auto"/>
            <w:vAlign w:val="center"/>
            <w:hideMark/>
          </w:tcPr>
          <w:p w14:paraId="28903E8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Sex</w:t>
            </w:r>
          </w:p>
        </w:tc>
        <w:tc>
          <w:tcPr>
            <w:tcW w:w="1805" w:type="dxa"/>
            <w:tcBorders>
              <w:top w:val="nil"/>
              <w:left w:val="nil"/>
              <w:bottom w:val="nil"/>
              <w:right w:val="nil"/>
            </w:tcBorders>
            <w:shd w:val="clear" w:color="auto" w:fill="auto"/>
            <w:vAlign w:val="center"/>
            <w:hideMark/>
          </w:tcPr>
          <w:p w14:paraId="40BB0AC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Male</w:t>
            </w:r>
          </w:p>
        </w:tc>
        <w:tc>
          <w:tcPr>
            <w:tcW w:w="2807" w:type="dxa"/>
            <w:tcBorders>
              <w:top w:val="nil"/>
              <w:left w:val="nil"/>
              <w:bottom w:val="nil"/>
              <w:right w:val="nil"/>
            </w:tcBorders>
            <w:shd w:val="clear" w:color="auto" w:fill="auto"/>
            <w:vAlign w:val="center"/>
            <w:hideMark/>
          </w:tcPr>
          <w:p w14:paraId="6299FA7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114 (58.5)</w:t>
            </w:r>
          </w:p>
        </w:tc>
        <w:tc>
          <w:tcPr>
            <w:tcW w:w="2607" w:type="dxa"/>
            <w:tcBorders>
              <w:top w:val="nil"/>
              <w:left w:val="nil"/>
              <w:bottom w:val="nil"/>
              <w:right w:val="nil"/>
            </w:tcBorders>
            <w:shd w:val="clear" w:color="auto" w:fill="auto"/>
            <w:vAlign w:val="center"/>
            <w:hideMark/>
          </w:tcPr>
          <w:p w14:paraId="482A969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54 (53.5)</w:t>
            </w:r>
          </w:p>
        </w:tc>
        <w:tc>
          <w:tcPr>
            <w:tcW w:w="1319" w:type="dxa"/>
            <w:tcBorders>
              <w:top w:val="nil"/>
              <w:left w:val="nil"/>
              <w:bottom w:val="nil"/>
              <w:right w:val="nil"/>
            </w:tcBorders>
            <w:shd w:val="clear" w:color="auto" w:fill="auto"/>
            <w:vAlign w:val="center"/>
            <w:hideMark/>
          </w:tcPr>
          <w:p w14:paraId="24DF5C1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0.458</w:t>
            </w:r>
          </w:p>
        </w:tc>
      </w:tr>
      <w:tr w:rsidR="00EA037B" w:rsidRPr="00EA037B" w14:paraId="795B2A9C" w14:textId="77777777" w:rsidTr="001D780A">
        <w:trPr>
          <w:trHeight w:val="366"/>
        </w:trPr>
        <w:tc>
          <w:tcPr>
            <w:tcW w:w="4435" w:type="dxa"/>
            <w:tcBorders>
              <w:top w:val="nil"/>
              <w:left w:val="nil"/>
              <w:bottom w:val="nil"/>
              <w:right w:val="nil"/>
            </w:tcBorders>
            <w:shd w:val="clear" w:color="auto" w:fill="auto"/>
            <w:vAlign w:val="center"/>
            <w:hideMark/>
          </w:tcPr>
          <w:p w14:paraId="603BBB25"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6E875F4B"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Female</w:t>
            </w:r>
          </w:p>
        </w:tc>
        <w:tc>
          <w:tcPr>
            <w:tcW w:w="2807" w:type="dxa"/>
            <w:tcBorders>
              <w:top w:val="nil"/>
              <w:left w:val="nil"/>
              <w:bottom w:val="nil"/>
              <w:right w:val="nil"/>
            </w:tcBorders>
            <w:shd w:val="clear" w:color="auto" w:fill="auto"/>
            <w:vAlign w:val="center"/>
            <w:hideMark/>
          </w:tcPr>
          <w:p w14:paraId="5A5FACD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81 (41.5)</w:t>
            </w:r>
          </w:p>
        </w:tc>
        <w:tc>
          <w:tcPr>
            <w:tcW w:w="2607" w:type="dxa"/>
            <w:tcBorders>
              <w:top w:val="nil"/>
              <w:left w:val="nil"/>
              <w:bottom w:val="nil"/>
              <w:right w:val="nil"/>
            </w:tcBorders>
            <w:shd w:val="clear" w:color="auto" w:fill="auto"/>
            <w:vAlign w:val="center"/>
            <w:hideMark/>
          </w:tcPr>
          <w:p w14:paraId="2375AF6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47 (46.5)</w:t>
            </w:r>
          </w:p>
        </w:tc>
        <w:tc>
          <w:tcPr>
            <w:tcW w:w="1319" w:type="dxa"/>
            <w:tcBorders>
              <w:top w:val="nil"/>
              <w:left w:val="nil"/>
              <w:bottom w:val="nil"/>
              <w:right w:val="nil"/>
            </w:tcBorders>
            <w:shd w:val="clear" w:color="auto" w:fill="auto"/>
            <w:vAlign w:val="center"/>
            <w:hideMark/>
          </w:tcPr>
          <w:p w14:paraId="74D70EAE"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EA037B" w14:paraId="13C55059" w14:textId="77777777" w:rsidTr="001D780A">
        <w:trPr>
          <w:trHeight w:val="366"/>
        </w:trPr>
        <w:tc>
          <w:tcPr>
            <w:tcW w:w="4435" w:type="dxa"/>
            <w:tcBorders>
              <w:top w:val="nil"/>
              <w:left w:val="nil"/>
              <w:bottom w:val="nil"/>
              <w:right w:val="nil"/>
            </w:tcBorders>
            <w:shd w:val="clear" w:color="auto" w:fill="auto"/>
            <w:vAlign w:val="center"/>
            <w:hideMark/>
          </w:tcPr>
          <w:p w14:paraId="397E9730" w14:textId="1BDCE2AF"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BMI (mean</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SD)</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(kg/m</w:t>
            </w:r>
            <w:r w:rsidRPr="00EA037B">
              <w:rPr>
                <w:rFonts w:ascii="Book Antiqua" w:eastAsia="Malgun Gothic" w:hAnsi="Book Antiqua"/>
                <w:color w:val="000000" w:themeColor="text1"/>
                <w:kern w:val="0"/>
                <w:sz w:val="24"/>
                <w:vertAlign w:val="superscript"/>
              </w:rPr>
              <w:t>2</w:t>
            </w:r>
            <w:r w:rsidRPr="00EA037B">
              <w:rPr>
                <w:rFonts w:ascii="Book Antiqua" w:eastAsia="Malgun Gothic" w:hAnsi="Book Antiqua"/>
                <w:color w:val="000000" w:themeColor="text1"/>
                <w:kern w:val="0"/>
                <w:sz w:val="24"/>
              </w:rPr>
              <w:t>)</w:t>
            </w:r>
          </w:p>
        </w:tc>
        <w:tc>
          <w:tcPr>
            <w:tcW w:w="1805" w:type="dxa"/>
            <w:tcBorders>
              <w:top w:val="nil"/>
              <w:left w:val="nil"/>
              <w:bottom w:val="nil"/>
              <w:right w:val="nil"/>
            </w:tcBorders>
            <w:shd w:val="clear" w:color="auto" w:fill="auto"/>
            <w:vAlign w:val="center"/>
            <w:hideMark/>
          </w:tcPr>
          <w:p w14:paraId="487AD14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vAlign w:val="center"/>
            <w:hideMark/>
          </w:tcPr>
          <w:p w14:paraId="2ABC27AD" w14:textId="63EDE09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24.0</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3.1</w:t>
            </w:r>
          </w:p>
        </w:tc>
        <w:tc>
          <w:tcPr>
            <w:tcW w:w="2607" w:type="dxa"/>
            <w:tcBorders>
              <w:top w:val="nil"/>
              <w:left w:val="nil"/>
              <w:bottom w:val="nil"/>
              <w:right w:val="nil"/>
            </w:tcBorders>
            <w:shd w:val="clear" w:color="auto" w:fill="auto"/>
            <w:vAlign w:val="center"/>
            <w:hideMark/>
          </w:tcPr>
          <w:p w14:paraId="0F4AF43D" w14:textId="0FD0E411"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24.1</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3.1</w:t>
            </w:r>
          </w:p>
        </w:tc>
        <w:tc>
          <w:tcPr>
            <w:tcW w:w="1319" w:type="dxa"/>
            <w:tcBorders>
              <w:top w:val="nil"/>
              <w:left w:val="nil"/>
              <w:bottom w:val="nil"/>
              <w:right w:val="nil"/>
            </w:tcBorders>
            <w:shd w:val="clear" w:color="auto" w:fill="auto"/>
            <w:vAlign w:val="center"/>
            <w:hideMark/>
          </w:tcPr>
          <w:p w14:paraId="49887A3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0.617</w:t>
            </w:r>
          </w:p>
        </w:tc>
      </w:tr>
      <w:tr w:rsidR="00EA037B" w:rsidRPr="00EA037B" w14:paraId="5A9FC93D" w14:textId="77777777" w:rsidTr="001D780A">
        <w:trPr>
          <w:trHeight w:val="366"/>
        </w:trPr>
        <w:tc>
          <w:tcPr>
            <w:tcW w:w="4435" w:type="dxa"/>
            <w:tcBorders>
              <w:top w:val="nil"/>
              <w:left w:val="nil"/>
              <w:bottom w:val="nil"/>
              <w:right w:val="nil"/>
            </w:tcBorders>
            <w:shd w:val="clear" w:color="auto" w:fill="auto"/>
            <w:vAlign w:val="center"/>
            <w:hideMark/>
          </w:tcPr>
          <w:p w14:paraId="13A81AEF"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ASA</w:t>
            </w:r>
          </w:p>
        </w:tc>
        <w:tc>
          <w:tcPr>
            <w:tcW w:w="1805" w:type="dxa"/>
            <w:tcBorders>
              <w:top w:val="nil"/>
              <w:left w:val="nil"/>
              <w:bottom w:val="nil"/>
              <w:right w:val="nil"/>
            </w:tcBorders>
            <w:shd w:val="clear" w:color="auto" w:fill="auto"/>
            <w:vAlign w:val="center"/>
            <w:hideMark/>
          </w:tcPr>
          <w:p w14:paraId="331E09EF"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I</w:t>
            </w:r>
          </w:p>
        </w:tc>
        <w:tc>
          <w:tcPr>
            <w:tcW w:w="2807" w:type="dxa"/>
            <w:tcBorders>
              <w:top w:val="nil"/>
              <w:left w:val="nil"/>
              <w:bottom w:val="nil"/>
              <w:right w:val="nil"/>
            </w:tcBorders>
            <w:shd w:val="clear" w:color="auto" w:fill="auto"/>
            <w:vAlign w:val="center"/>
            <w:hideMark/>
          </w:tcPr>
          <w:p w14:paraId="226FD7C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79 (40.5)</w:t>
            </w:r>
          </w:p>
        </w:tc>
        <w:tc>
          <w:tcPr>
            <w:tcW w:w="2607" w:type="dxa"/>
            <w:tcBorders>
              <w:top w:val="nil"/>
              <w:left w:val="nil"/>
              <w:bottom w:val="nil"/>
              <w:right w:val="nil"/>
            </w:tcBorders>
            <w:shd w:val="clear" w:color="auto" w:fill="auto"/>
            <w:vAlign w:val="center"/>
            <w:hideMark/>
          </w:tcPr>
          <w:p w14:paraId="37B527AF"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35 (34.7)</w:t>
            </w:r>
          </w:p>
        </w:tc>
        <w:tc>
          <w:tcPr>
            <w:tcW w:w="1319" w:type="dxa"/>
            <w:tcBorders>
              <w:top w:val="nil"/>
              <w:left w:val="nil"/>
              <w:bottom w:val="nil"/>
              <w:right w:val="nil"/>
            </w:tcBorders>
            <w:shd w:val="clear" w:color="auto" w:fill="auto"/>
            <w:vAlign w:val="center"/>
            <w:hideMark/>
          </w:tcPr>
          <w:p w14:paraId="3BC0483B"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0.441</w:t>
            </w:r>
          </w:p>
        </w:tc>
      </w:tr>
      <w:tr w:rsidR="00EA037B" w:rsidRPr="00EA037B" w14:paraId="2BFD7F07" w14:textId="77777777" w:rsidTr="001D780A">
        <w:trPr>
          <w:trHeight w:val="366"/>
        </w:trPr>
        <w:tc>
          <w:tcPr>
            <w:tcW w:w="4435" w:type="dxa"/>
            <w:tcBorders>
              <w:top w:val="nil"/>
              <w:left w:val="nil"/>
              <w:bottom w:val="nil"/>
              <w:right w:val="nil"/>
            </w:tcBorders>
            <w:shd w:val="clear" w:color="auto" w:fill="auto"/>
            <w:vAlign w:val="center"/>
            <w:hideMark/>
          </w:tcPr>
          <w:p w14:paraId="3EF7FFC7"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4B1C4E3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II</w:t>
            </w:r>
          </w:p>
        </w:tc>
        <w:tc>
          <w:tcPr>
            <w:tcW w:w="2807" w:type="dxa"/>
            <w:tcBorders>
              <w:top w:val="nil"/>
              <w:left w:val="nil"/>
              <w:bottom w:val="nil"/>
              <w:right w:val="nil"/>
            </w:tcBorders>
            <w:shd w:val="clear" w:color="auto" w:fill="auto"/>
            <w:vAlign w:val="center"/>
            <w:hideMark/>
          </w:tcPr>
          <w:p w14:paraId="17F21E9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109 (55.9)</w:t>
            </w:r>
          </w:p>
        </w:tc>
        <w:tc>
          <w:tcPr>
            <w:tcW w:w="2607" w:type="dxa"/>
            <w:tcBorders>
              <w:top w:val="nil"/>
              <w:left w:val="nil"/>
              <w:bottom w:val="nil"/>
              <w:right w:val="nil"/>
            </w:tcBorders>
            <w:shd w:val="clear" w:color="auto" w:fill="auto"/>
            <w:vAlign w:val="center"/>
            <w:hideMark/>
          </w:tcPr>
          <w:p w14:paraId="3E8BD1E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64 (63.4)</w:t>
            </w:r>
          </w:p>
        </w:tc>
        <w:tc>
          <w:tcPr>
            <w:tcW w:w="1319" w:type="dxa"/>
            <w:tcBorders>
              <w:top w:val="nil"/>
              <w:left w:val="nil"/>
              <w:bottom w:val="nil"/>
              <w:right w:val="nil"/>
            </w:tcBorders>
            <w:shd w:val="clear" w:color="auto" w:fill="auto"/>
            <w:vAlign w:val="center"/>
            <w:hideMark/>
          </w:tcPr>
          <w:p w14:paraId="14FF94D5"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EA037B" w14:paraId="7E24D9B4" w14:textId="77777777" w:rsidTr="001D780A">
        <w:trPr>
          <w:trHeight w:val="366"/>
        </w:trPr>
        <w:tc>
          <w:tcPr>
            <w:tcW w:w="4435" w:type="dxa"/>
            <w:tcBorders>
              <w:top w:val="nil"/>
              <w:left w:val="nil"/>
              <w:bottom w:val="nil"/>
              <w:right w:val="nil"/>
            </w:tcBorders>
            <w:shd w:val="clear" w:color="auto" w:fill="auto"/>
            <w:vAlign w:val="center"/>
            <w:hideMark/>
          </w:tcPr>
          <w:p w14:paraId="36FF0C9B"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719360B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III</w:t>
            </w:r>
          </w:p>
        </w:tc>
        <w:tc>
          <w:tcPr>
            <w:tcW w:w="2807" w:type="dxa"/>
            <w:tcBorders>
              <w:top w:val="nil"/>
              <w:left w:val="nil"/>
              <w:bottom w:val="nil"/>
              <w:right w:val="nil"/>
            </w:tcBorders>
            <w:shd w:val="clear" w:color="auto" w:fill="auto"/>
            <w:vAlign w:val="center"/>
            <w:hideMark/>
          </w:tcPr>
          <w:p w14:paraId="3DF20E1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7 (3.6)</w:t>
            </w:r>
          </w:p>
        </w:tc>
        <w:tc>
          <w:tcPr>
            <w:tcW w:w="2607" w:type="dxa"/>
            <w:tcBorders>
              <w:top w:val="nil"/>
              <w:left w:val="nil"/>
              <w:bottom w:val="nil"/>
              <w:right w:val="nil"/>
            </w:tcBorders>
            <w:shd w:val="clear" w:color="auto" w:fill="auto"/>
            <w:vAlign w:val="center"/>
            <w:hideMark/>
          </w:tcPr>
          <w:p w14:paraId="0A14733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 (2.0)</w:t>
            </w:r>
          </w:p>
        </w:tc>
        <w:tc>
          <w:tcPr>
            <w:tcW w:w="1319" w:type="dxa"/>
            <w:tcBorders>
              <w:top w:val="nil"/>
              <w:left w:val="nil"/>
              <w:bottom w:val="nil"/>
              <w:right w:val="nil"/>
            </w:tcBorders>
            <w:shd w:val="clear" w:color="auto" w:fill="auto"/>
            <w:vAlign w:val="center"/>
            <w:hideMark/>
          </w:tcPr>
          <w:p w14:paraId="4D959292"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EA037B" w14:paraId="1AD19D08" w14:textId="77777777" w:rsidTr="001D780A">
        <w:trPr>
          <w:trHeight w:val="366"/>
        </w:trPr>
        <w:tc>
          <w:tcPr>
            <w:tcW w:w="4435" w:type="dxa"/>
            <w:tcBorders>
              <w:top w:val="nil"/>
              <w:left w:val="nil"/>
              <w:bottom w:val="nil"/>
              <w:right w:val="nil"/>
            </w:tcBorders>
            <w:shd w:val="clear" w:color="auto" w:fill="auto"/>
            <w:vAlign w:val="center"/>
            <w:hideMark/>
          </w:tcPr>
          <w:p w14:paraId="66C0D975" w14:textId="120016E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Tumor size (mean</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SD)</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(cm)</w:t>
            </w:r>
          </w:p>
        </w:tc>
        <w:tc>
          <w:tcPr>
            <w:tcW w:w="1805" w:type="dxa"/>
            <w:tcBorders>
              <w:top w:val="nil"/>
              <w:left w:val="nil"/>
              <w:bottom w:val="nil"/>
              <w:right w:val="nil"/>
            </w:tcBorders>
            <w:shd w:val="clear" w:color="auto" w:fill="auto"/>
            <w:vAlign w:val="center"/>
            <w:hideMark/>
          </w:tcPr>
          <w:p w14:paraId="0F633C2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vAlign w:val="center"/>
            <w:hideMark/>
          </w:tcPr>
          <w:p w14:paraId="6D06F45C" w14:textId="7317449F"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2.8</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1.5</w:t>
            </w:r>
          </w:p>
        </w:tc>
        <w:tc>
          <w:tcPr>
            <w:tcW w:w="2607" w:type="dxa"/>
            <w:tcBorders>
              <w:top w:val="nil"/>
              <w:left w:val="nil"/>
              <w:bottom w:val="nil"/>
              <w:right w:val="nil"/>
            </w:tcBorders>
            <w:shd w:val="clear" w:color="auto" w:fill="auto"/>
            <w:vAlign w:val="center"/>
            <w:hideMark/>
          </w:tcPr>
          <w:p w14:paraId="3ED971F8" w14:textId="70A33362"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2.5</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1.4</w:t>
            </w:r>
          </w:p>
        </w:tc>
        <w:tc>
          <w:tcPr>
            <w:tcW w:w="1319" w:type="dxa"/>
            <w:tcBorders>
              <w:top w:val="nil"/>
              <w:left w:val="nil"/>
              <w:bottom w:val="nil"/>
              <w:right w:val="nil"/>
            </w:tcBorders>
            <w:shd w:val="clear" w:color="auto" w:fill="auto"/>
            <w:vAlign w:val="center"/>
            <w:hideMark/>
          </w:tcPr>
          <w:p w14:paraId="36F61D5F"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0.078</w:t>
            </w:r>
          </w:p>
        </w:tc>
      </w:tr>
      <w:tr w:rsidR="00EA037B" w:rsidRPr="00EA037B" w14:paraId="2AE27D8B" w14:textId="77777777" w:rsidTr="001D780A">
        <w:trPr>
          <w:trHeight w:val="366"/>
        </w:trPr>
        <w:tc>
          <w:tcPr>
            <w:tcW w:w="4435" w:type="dxa"/>
            <w:tcBorders>
              <w:top w:val="nil"/>
              <w:left w:val="nil"/>
              <w:bottom w:val="nil"/>
              <w:right w:val="nil"/>
            </w:tcBorders>
            <w:shd w:val="clear" w:color="auto" w:fill="auto"/>
            <w:vAlign w:val="center"/>
            <w:hideMark/>
          </w:tcPr>
          <w:p w14:paraId="7681F56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Histological type</w:t>
            </w:r>
          </w:p>
        </w:tc>
        <w:tc>
          <w:tcPr>
            <w:tcW w:w="1805" w:type="dxa"/>
            <w:tcBorders>
              <w:top w:val="nil"/>
              <w:left w:val="nil"/>
              <w:bottom w:val="nil"/>
              <w:right w:val="nil"/>
            </w:tcBorders>
            <w:shd w:val="clear" w:color="auto" w:fill="auto"/>
            <w:vAlign w:val="center"/>
            <w:hideMark/>
          </w:tcPr>
          <w:p w14:paraId="72AF49E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WD</w:t>
            </w:r>
          </w:p>
        </w:tc>
        <w:tc>
          <w:tcPr>
            <w:tcW w:w="2807" w:type="dxa"/>
            <w:tcBorders>
              <w:top w:val="nil"/>
              <w:left w:val="nil"/>
              <w:bottom w:val="nil"/>
              <w:right w:val="nil"/>
            </w:tcBorders>
            <w:shd w:val="clear" w:color="auto" w:fill="auto"/>
            <w:vAlign w:val="center"/>
            <w:hideMark/>
          </w:tcPr>
          <w:p w14:paraId="49B3F23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30 (15.4)</w:t>
            </w:r>
          </w:p>
        </w:tc>
        <w:tc>
          <w:tcPr>
            <w:tcW w:w="2607" w:type="dxa"/>
            <w:tcBorders>
              <w:top w:val="nil"/>
              <w:left w:val="nil"/>
              <w:bottom w:val="nil"/>
              <w:right w:val="nil"/>
            </w:tcBorders>
            <w:shd w:val="clear" w:color="auto" w:fill="auto"/>
            <w:vAlign w:val="center"/>
            <w:hideMark/>
          </w:tcPr>
          <w:p w14:paraId="1760488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15 (14.9)</w:t>
            </w:r>
          </w:p>
        </w:tc>
        <w:tc>
          <w:tcPr>
            <w:tcW w:w="1319" w:type="dxa"/>
            <w:tcBorders>
              <w:top w:val="nil"/>
              <w:left w:val="nil"/>
              <w:bottom w:val="nil"/>
              <w:right w:val="nil"/>
            </w:tcBorders>
            <w:shd w:val="clear" w:color="auto" w:fill="auto"/>
            <w:vAlign w:val="center"/>
            <w:hideMark/>
          </w:tcPr>
          <w:p w14:paraId="63CC2CE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0.716</w:t>
            </w:r>
          </w:p>
        </w:tc>
      </w:tr>
      <w:tr w:rsidR="00EA037B" w:rsidRPr="00EA037B" w14:paraId="09867AA6" w14:textId="77777777" w:rsidTr="001D780A">
        <w:trPr>
          <w:trHeight w:val="366"/>
        </w:trPr>
        <w:tc>
          <w:tcPr>
            <w:tcW w:w="4435" w:type="dxa"/>
            <w:tcBorders>
              <w:top w:val="nil"/>
              <w:left w:val="nil"/>
              <w:bottom w:val="nil"/>
              <w:right w:val="nil"/>
            </w:tcBorders>
            <w:shd w:val="clear" w:color="auto" w:fill="auto"/>
            <w:vAlign w:val="center"/>
            <w:hideMark/>
          </w:tcPr>
          <w:p w14:paraId="4DF7141D"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1ACB757A"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MD</w:t>
            </w:r>
          </w:p>
        </w:tc>
        <w:tc>
          <w:tcPr>
            <w:tcW w:w="2807" w:type="dxa"/>
            <w:tcBorders>
              <w:top w:val="nil"/>
              <w:left w:val="nil"/>
              <w:bottom w:val="nil"/>
              <w:right w:val="nil"/>
            </w:tcBorders>
            <w:shd w:val="clear" w:color="auto" w:fill="auto"/>
            <w:vAlign w:val="center"/>
            <w:hideMark/>
          </w:tcPr>
          <w:p w14:paraId="0A66941A"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45 (23.1)</w:t>
            </w:r>
          </w:p>
        </w:tc>
        <w:tc>
          <w:tcPr>
            <w:tcW w:w="2607" w:type="dxa"/>
            <w:tcBorders>
              <w:top w:val="nil"/>
              <w:left w:val="nil"/>
              <w:bottom w:val="nil"/>
              <w:right w:val="nil"/>
            </w:tcBorders>
            <w:shd w:val="clear" w:color="auto" w:fill="auto"/>
            <w:vAlign w:val="center"/>
            <w:hideMark/>
          </w:tcPr>
          <w:p w14:paraId="1C4C679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20 (19.8)</w:t>
            </w:r>
          </w:p>
        </w:tc>
        <w:tc>
          <w:tcPr>
            <w:tcW w:w="1319" w:type="dxa"/>
            <w:tcBorders>
              <w:top w:val="nil"/>
              <w:left w:val="nil"/>
              <w:bottom w:val="nil"/>
              <w:right w:val="nil"/>
            </w:tcBorders>
            <w:shd w:val="clear" w:color="auto" w:fill="auto"/>
            <w:vAlign w:val="center"/>
            <w:hideMark/>
          </w:tcPr>
          <w:p w14:paraId="3A2DC90B"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EA037B" w14:paraId="0E0BCC24" w14:textId="77777777" w:rsidTr="001D780A">
        <w:trPr>
          <w:trHeight w:val="366"/>
        </w:trPr>
        <w:tc>
          <w:tcPr>
            <w:tcW w:w="4435" w:type="dxa"/>
            <w:tcBorders>
              <w:top w:val="nil"/>
              <w:left w:val="nil"/>
              <w:bottom w:val="nil"/>
              <w:right w:val="nil"/>
            </w:tcBorders>
            <w:shd w:val="clear" w:color="auto" w:fill="auto"/>
            <w:vAlign w:val="center"/>
            <w:hideMark/>
          </w:tcPr>
          <w:p w14:paraId="071BE902"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54C695C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PD</w:t>
            </w:r>
          </w:p>
        </w:tc>
        <w:tc>
          <w:tcPr>
            <w:tcW w:w="2807" w:type="dxa"/>
            <w:tcBorders>
              <w:top w:val="nil"/>
              <w:left w:val="nil"/>
              <w:bottom w:val="nil"/>
              <w:right w:val="nil"/>
            </w:tcBorders>
            <w:shd w:val="clear" w:color="auto" w:fill="auto"/>
            <w:vAlign w:val="center"/>
            <w:hideMark/>
          </w:tcPr>
          <w:p w14:paraId="616C683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47 (24.1)</w:t>
            </w:r>
          </w:p>
        </w:tc>
        <w:tc>
          <w:tcPr>
            <w:tcW w:w="2607" w:type="dxa"/>
            <w:tcBorders>
              <w:top w:val="nil"/>
              <w:left w:val="nil"/>
              <w:bottom w:val="nil"/>
              <w:right w:val="nil"/>
            </w:tcBorders>
            <w:shd w:val="clear" w:color="auto" w:fill="auto"/>
            <w:vAlign w:val="center"/>
            <w:hideMark/>
          </w:tcPr>
          <w:p w14:paraId="16E6713A"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23 (22.8)</w:t>
            </w:r>
          </w:p>
        </w:tc>
        <w:tc>
          <w:tcPr>
            <w:tcW w:w="1319" w:type="dxa"/>
            <w:tcBorders>
              <w:top w:val="nil"/>
              <w:left w:val="nil"/>
              <w:bottom w:val="nil"/>
              <w:right w:val="nil"/>
            </w:tcBorders>
            <w:shd w:val="clear" w:color="auto" w:fill="auto"/>
            <w:vAlign w:val="center"/>
            <w:hideMark/>
          </w:tcPr>
          <w:p w14:paraId="21928BD9"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EA037B" w14:paraId="6BC81A2D" w14:textId="77777777" w:rsidTr="001D780A">
        <w:trPr>
          <w:trHeight w:val="366"/>
        </w:trPr>
        <w:tc>
          <w:tcPr>
            <w:tcW w:w="4435" w:type="dxa"/>
            <w:tcBorders>
              <w:top w:val="nil"/>
              <w:left w:val="nil"/>
              <w:bottom w:val="nil"/>
              <w:right w:val="nil"/>
            </w:tcBorders>
            <w:shd w:val="clear" w:color="auto" w:fill="auto"/>
            <w:vAlign w:val="center"/>
            <w:hideMark/>
          </w:tcPr>
          <w:p w14:paraId="75A33F6A"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12C4CA8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SRC</w:t>
            </w:r>
          </w:p>
        </w:tc>
        <w:tc>
          <w:tcPr>
            <w:tcW w:w="2807" w:type="dxa"/>
            <w:tcBorders>
              <w:top w:val="nil"/>
              <w:left w:val="nil"/>
              <w:bottom w:val="nil"/>
              <w:right w:val="nil"/>
            </w:tcBorders>
            <w:shd w:val="clear" w:color="auto" w:fill="auto"/>
            <w:vAlign w:val="center"/>
            <w:hideMark/>
          </w:tcPr>
          <w:p w14:paraId="2299A09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70 (35.9)</w:t>
            </w:r>
          </w:p>
        </w:tc>
        <w:tc>
          <w:tcPr>
            <w:tcW w:w="2607" w:type="dxa"/>
            <w:tcBorders>
              <w:top w:val="nil"/>
              <w:left w:val="nil"/>
              <w:bottom w:val="nil"/>
              <w:right w:val="nil"/>
            </w:tcBorders>
            <w:shd w:val="clear" w:color="auto" w:fill="auto"/>
            <w:vAlign w:val="center"/>
            <w:hideMark/>
          </w:tcPr>
          <w:p w14:paraId="7AB27FA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43 (42.6)</w:t>
            </w:r>
          </w:p>
        </w:tc>
        <w:tc>
          <w:tcPr>
            <w:tcW w:w="1319" w:type="dxa"/>
            <w:tcBorders>
              <w:top w:val="nil"/>
              <w:left w:val="nil"/>
              <w:bottom w:val="nil"/>
              <w:right w:val="nil"/>
            </w:tcBorders>
            <w:shd w:val="clear" w:color="auto" w:fill="auto"/>
            <w:vAlign w:val="center"/>
            <w:hideMark/>
          </w:tcPr>
          <w:p w14:paraId="2CD7BF06"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EA037B" w14:paraId="442741C9" w14:textId="77777777" w:rsidTr="001D780A">
        <w:trPr>
          <w:trHeight w:val="366"/>
        </w:trPr>
        <w:tc>
          <w:tcPr>
            <w:tcW w:w="4435" w:type="dxa"/>
            <w:tcBorders>
              <w:top w:val="nil"/>
              <w:left w:val="nil"/>
              <w:bottom w:val="nil"/>
              <w:right w:val="nil"/>
            </w:tcBorders>
            <w:shd w:val="clear" w:color="auto" w:fill="auto"/>
            <w:vAlign w:val="center"/>
            <w:hideMark/>
          </w:tcPr>
          <w:p w14:paraId="76A117BF"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1D18EDB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Others</w:t>
            </w:r>
          </w:p>
        </w:tc>
        <w:tc>
          <w:tcPr>
            <w:tcW w:w="2807" w:type="dxa"/>
            <w:tcBorders>
              <w:top w:val="nil"/>
              <w:left w:val="nil"/>
              <w:bottom w:val="nil"/>
              <w:right w:val="nil"/>
            </w:tcBorders>
            <w:shd w:val="clear" w:color="auto" w:fill="auto"/>
            <w:vAlign w:val="center"/>
            <w:hideMark/>
          </w:tcPr>
          <w:p w14:paraId="6063DAD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3 (1.5)</w:t>
            </w:r>
          </w:p>
        </w:tc>
        <w:tc>
          <w:tcPr>
            <w:tcW w:w="2607" w:type="dxa"/>
            <w:tcBorders>
              <w:top w:val="nil"/>
              <w:left w:val="nil"/>
              <w:bottom w:val="nil"/>
              <w:right w:val="nil"/>
            </w:tcBorders>
            <w:shd w:val="clear" w:color="auto" w:fill="auto"/>
            <w:vAlign w:val="center"/>
            <w:hideMark/>
          </w:tcPr>
          <w:p w14:paraId="71CF831B"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w:t>
            </w:r>
          </w:p>
        </w:tc>
        <w:tc>
          <w:tcPr>
            <w:tcW w:w="1319" w:type="dxa"/>
            <w:tcBorders>
              <w:top w:val="nil"/>
              <w:left w:val="nil"/>
              <w:bottom w:val="nil"/>
              <w:right w:val="nil"/>
            </w:tcBorders>
            <w:shd w:val="clear" w:color="auto" w:fill="auto"/>
            <w:vAlign w:val="center"/>
            <w:hideMark/>
          </w:tcPr>
          <w:p w14:paraId="40E59F91"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EA037B" w14:paraId="04DB0738" w14:textId="77777777" w:rsidTr="001D780A">
        <w:trPr>
          <w:trHeight w:val="366"/>
        </w:trPr>
        <w:tc>
          <w:tcPr>
            <w:tcW w:w="4435" w:type="dxa"/>
            <w:tcBorders>
              <w:top w:val="nil"/>
              <w:left w:val="nil"/>
              <w:bottom w:val="nil"/>
              <w:right w:val="nil"/>
            </w:tcBorders>
            <w:shd w:val="clear" w:color="auto" w:fill="auto"/>
            <w:vAlign w:val="center"/>
            <w:hideMark/>
          </w:tcPr>
          <w:p w14:paraId="31139A21" w14:textId="1E11C252"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lastRenderedPageBreak/>
              <w:t>Proximal margin (mean</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SD) (cm)</w:t>
            </w:r>
          </w:p>
        </w:tc>
        <w:tc>
          <w:tcPr>
            <w:tcW w:w="1805" w:type="dxa"/>
            <w:tcBorders>
              <w:top w:val="nil"/>
              <w:left w:val="nil"/>
              <w:bottom w:val="nil"/>
              <w:right w:val="nil"/>
            </w:tcBorders>
            <w:shd w:val="clear" w:color="auto" w:fill="auto"/>
            <w:vAlign w:val="center"/>
            <w:hideMark/>
          </w:tcPr>
          <w:p w14:paraId="580CC33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vAlign w:val="center"/>
            <w:hideMark/>
          </w:tcPr>
          <w:p w14:paraId="7CAA365F" w14:textId="07EA8696"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2.7</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2.0</w:t>
            </w:r>
          </w:p>
        </w:tc>
        <w:tc>
          <w:tcPr>
            <w:tcW w:w="2607" w:type="dxa"/>
            <w:tcBorders>
              <w:top w:val="nil"/>
              <w:left w:val="nil"/>
              <w:bottom w:val="nil"/>
              <w:right w:val="nil"/>
            </w:tcBorders>
            <w:shd w:val="clear" w:color="auto" w:fill="auto"/>
            <w:vAlign w:val="center"/>
            <w:hideMark/>
          </w:tcPr>
          <w:p w14:paraId="28F4E475" w14:textId="07526B9B"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2.5</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2.2</w:t>
            </w:r>
          </w:p>
        </w:tc>
        <w:tc>
          <w:tcPr>
            <w:tcW w:w="1319" w:type="dxa"/>
            <w:tcBorders>
              <w:top w:val="nil"/>
              <w:left w:val="nil"/>
              <w:bottom w:val="nil"/>
              <w:right w:val="nil"/>
            </w:tcBorders>
            <w:shd w:val="clear" w:color="auto" w:fill="auto"/>
            <w:vAlign w:val="center"/>
            <w:hideMark/>
          </w:tcPr>
          <w:p w14:paraId="55ED1F6A"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0.388</w:t>
            </w:r>
          </w:p>
        </w:tc>
      </w:tr>
      <w:tr w:rsidR="00EA037B" w:rsidRPr="00EA037B" w14:paraId="256E2F29" w14:textId="77777777" w:rsidTr="001D780A">
        <w:trPr>
          <w:trHeight w:val="366"/>
        </w:trPr>
        <w:tc>
          <w:tcPr>
            <w:tcW w:w="4435" w:type="dxa"/>
            <w:tcBorders>
              <w:top w:val="nil"/>
              <w:left w:val="nil"/>
              <w:bottom w:val="nil"/>
              <w:right w:val="nil"/>
            </w:tcBorders>
            <w:shd w:val="clear" w:color="auto" w:fill="auto"/>
            <w:vAlign w:val="center"/>
            <w:hideMark/>
          </w:tcPr>
          <w:p w14:paraId="61B09D6C" w14:textId="237BE87C"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Distal margin (mean</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SD) (cm)</w:t>
            </w:r>
          </w:p>
        </w:tc>
        <w:tc>
          <w:tcPr>
            <w:tcW w:w="1805" w:type="dxa"/>
            <w:tcBorders>
              <w:top w:val="nil"/>
              <w:left w:val="nil"/>
              <w:bottom w:val="nil"/>
              <w:right w:val="nil"/>
            </w:tcBorders>
            <w:shd w:val="clear" w:color="auto" w:fill="auto"/>
            <w:vAlign w:val="center"/>
            <w:hideMark/>
          </w:tcPr>
          <w:p w14:paraId="4F942D4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w:t>
            </w:r>
          </w:p>
        </w:tc>
        <w:tc>
          <w:tcPr>
            <w:tcW w:w="2807" w:type="dxa"/>
            <w:tcBorders>
              <w:top w:val="nil"/>
              <w:left w:val="nil"/>
              <w:bottom w:val="nil"/>
              <w:right w:val="nil"/>
            </w:tcBorders>
            <w:shd w:val="clear" w:color="auto" w:fill="auto"/>
            <w:vAlign w:val="center"/>
            <w:hideMark/>
          </w:tcPr>
          <w:p w14:paraId="0299A5A2" w14:textId="07031BE6"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8.0</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2.5</w:t>
            </w:r>
          </w:p>
        </w:tc>
        <w:tc>
          <w:tcPr>
            <w:tcW w:w="2607" w:type="dxa"/>
            <w:tcBorders>
              <w:top w:val="nil"/>
              <w:left w:val="nil"/>
              <w:bottom w:val="nil"/>
              <w:right w:val="nil"/>
            </w:tcBorders>
            <w:shd w:val="clear" w:color="auto" w:fill="auto"/>
            <w:vAlign w:val="center"/>
            <w:hideMark/>
          </w:tcPr>
          <w:p w14:paraId="5B73EB1A" w14:textId="396314F8"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3.6</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2.6</w:t>
            </w:r>
          </w:p>
        </w:tc>
        <w:tc>
          <w:tcPr>
            <w:tcW w:w="1319" w:type="dxa"/>
            <w:tcBorders>
              <w:top w:val="nil"/>
              <w:left w:val="nil"/>
              <w:bottom w:val="nil"/>
              <w:right w:val="nil"/>
            </w:tcBorders>
            <w:shd w:val="clear" w:color="auto" w:fill="auto"/>
            <w:vAlign w:val="center"/>
            <w:hideMark/>
          </w:tcPr>
          <w:p w14:paraId="090F2795" w14:textId="0898F64B"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&lt;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0.001</w:t>
            </w:r>
          </w:p>
        </w:tc>
      </w:tr>
      <w:tr w:rsidR="00EA037B" w:rsidRPr="00EA037B" w14:paraId="0D806248" w14:textId="77777777" w:rsidTr="001D780A">
        <w:trPr>
          <w:trHeight w:val="366"/>
        </w:trPr>
        <w:tc>
          <w:tcPr>
            <w:tcW w:w="4435" w:type="dxa"/>
            <w:tcBorders>
              <w:top w:val="nil"/>
              <w:left w:val="nil"/>
              <w:bottom w:val="nil"/>
              <w:right w:val="nil"/>
            </w:tcBorders>
            <w:shd w:val="clear" w:color="auto" w:fill="auto"/>
            <w:vAlign w:val="center"/>
            <w:hideMark/>
          </w:tcPr>
          <w:p w14:paraId="0F13FBEF" w14:textId="087133B2"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Number of </w:t>
            </w:r>
            <w:r w:rsidR="001D780A" w:rsidRPr="00EA037B">
              <w:rPr>
                <w:rFonts w:ascii="Book Antiqua" w:eastAsia="Malgun Gothic" w:hAnsi="Book Antiqua"/>
                <w:color w:val="000000" w:themeColor="text1"/>
                <w:kern w:val="0"/>
                <w:sz w:val="24"/>
              </w:rPr>
              <w:t>p</w:t>
            </w:r>
            <w:r w:rsidRPr="00EA037B">
              <w:rPr>
                <w:rFonts w:ascii="Book Antiqua" w:eastAsia="Malgun Gothic" w:hAnsi="Book Antiqua"/>
                <w:color w:val="000000" w:themeColor="text1"/>
                <w:kern w:val="0"/>
                <w:sz w:val="24"/>
              </w:rPr>
              <w:t>ositive LN (mean</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SD)</w:t>
            </w:r>
          </w:p>
        </w:tc>
        <w:tc>
          <w:tcPr>
            <w:tcW w:w="1805" w:type="dxa"/>
            <w:tcBorders>
              <w:top w:val="nil"/>
              <w:left w:val="nil"/>
              <w:bottom w:val="nil"/>
              <w:right w:val="nil"/>
            </w:tcBorders>
            <w:shd w:val="clear" w:color="auto" w:fill="auto"/>
            <w:vAlign w:val="center"/>
            <w:hideMark/>
          </w:tcPr>
          <w:p w14:paraId="0CB4B09B"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vAlign w:val="center"/>
            <w:hideMark/>
          </w:tcPr>
          <w:p w14:paraId="0AE7E74E" w14:textId="1D51EC05"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0.1</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 0.3</w:t>
            </w:r>
          </w:p>
        </w:tc>
        <w:tc>
          <w:tcPr>
            <w:tcW w:w="2607" w:type="dxa"/>
            <w:tcBorders>
              <w:top w:val="nil"/>
              <w:left w:val="nil"/>
              <w:bottom w:val="nil"/>
              <w:right w:val="nil"/>
            </w:tcBorders>
            <w:shd w:val="clear" w:color="auto" w:fill="auto"/>
            <w:vAlign w:val="center"/>
            <w:hideMark/>
          </w:tcPr>
          <w:p w14:paraId="7DA1494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0.1 ± 0.4</w:t>
            </w:r>
          </w:p>
        </w:tc>
        <w:tc>
          <w:tcPr>
            <w:tcW w:w="1319" w:type="dxa"/>
            <w:tcBorders>
              <w:top w:val="nil"/>
              <w:left w:val="nil"/>
              <w:bottom w:val="nil"/>
              <w:right w:val="nil"/>
            </w:tcBorders>
            <w:shd w:val="clear" w:color="auto" w:fill="auto"/>
            <w:vAlign w:val="center"/>
            <w:hideMark/>
          </w:tcPr>
          <w:p w14:paraId="2F849CC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0.364</w:t>
            </w:r>
          </w:p>
        </w:tc>
      </w:tr>
      <w:tr w:rsidR="00EA037B" w:rsidRPr="00EA037B" w14:paraId="16726833" w14:textId="77777777" w:rsidTr="001D780A">
        <w:trPr>
          <w:trHeight w:val="366"/>
        </w:trPr>
        <w:tc>
          <w:tcPr>
            <w:tcW w:w="4435" w:type="dxa"/>
            <w:tcBorders>
              <w:top w:val="nil"/>
              <w:left w:val="nil"/>
              <w:bottom w:val="nil"/>
              <w:right w:val="nil"/>
            </w:tcBorders>
            <w:shd w:val="clear" w:color="auto" w:fill="auto"/>
            <w:vAlign w:val="center"/>
            <w:hideMark/>
          </w:tcPr>
          <w:p w14:paraId="114716A9" w14:textId="120B3789"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Number of Harvested LN (mean</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SD)</w:t>
            </w:r>
          </w:p>
        </w:tc>
        <w:tc>
          <w:tcPr>
            <w:tcW w:w="1805" w:type="dxa"/>
            <w:tcBorders>
              <w:top w:val="nil"/>
              <w:left w:val="nil"/>
              <w:bottom w:val="nil"/>
              <w:right w:val="nil"/>
            </w:tcBorders>
            <w:shd w:val="clear" w:color="auto" w:fill="auto"/>
            <w:vAlign w:val="center"/>
            <w:hideMark/>
          </w:tcPr>
          <w:p w14:paraId="6F3D153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vAlign w:val="center"/>
            <w:hideMark/>
          </w:tcPr>
          <w:p w14:paraId="1563547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33.5 ± 12.2</w:t>
            </w:r>
          </w:p>
        </w:tc>
        <w:tc>
          <w:tcPr>
            <w:tcW w:w="2607" w:type="dxa"/>
            <w:tcBorders>
              <w:top w:val="nil"/>
              <w:left w:val="nil"/>
              <w:bottom w:val="nil"/>
              <w:right w:val="nil"/>
            </w:tcBorders>
            <w:shd w:val="clear" w:color="auto" w:fill="auto"/>
            <w:vAlign w:val="center"/>
            <w:hideMark/>
          </w:tcPr>
          <w:p w14:paraId="1EAD2F2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30.5 ± 11.6</w:t>
            </w:r>
          </w:p>
        </w:tc>
        <w:tc>
          <w:tcPr>
            <w:tcW w:w="1319" w:type="dxa"/>
            <w:tcBorders>
              <w:top w:val="nil"/>
              <w:left w:val="nil"/>
              <w:bottom w:val="nil"/>
              <w:right w:val="nil"/>
            </w:tcBorders>
            <w:shd w:val="clear" w:color="auto" w:fill="auto"/>
            <w:vAlign w:val="center"/>
            <w:hideMark/>
          </w:tcPr>
          <w:p w14:paraId="74F5D82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0.046</w:t>
            </w:r>
          </w:p>
        </w:tc>
      </w:tr>
      <w:tr w:rsidR="00EA037B" w:rsidRPr="00EA037B" w14:paraId="5FD2058C" w14:textId="77777777" w:rsidTr="001D780A">
        <w:trPr>
          <w:trHeight w:val="366"/>
        </w:trPr>
        <w:tc>
          <w:tcPr>
            <w:tcW w:w="4435" w:type="dxa"/>
            <w:tcBorders>
              <w:top w:val="nil"/>
              <w:left w:val="nil"/>
              <w:bottom w:val="nil"/>
              <w:right w:val="nil"/>
            </w:tcBorders>
            <w:shd w:val="clear" w:color="auto" w:fill="auto"/>
            <w:vAlign w:val="center"/>
            <w:hideMark/>
          </w:tcPr>
          <w:p w14:paraId="3E14352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pT</w:t>
            </w:r>
          </w:p>
        </w:tc>
        <w:tc>
          <w:tcPr>
            <w:tcW w:w="1805" w:type="dxa"/>
            <w:tcBorders>
              <w:top w:val="nil"/>
              <w:left w:val="nil"/>
              <w:bottom w:val="nil"/>
              <w:right w:val="nil"/>
            </w:tcBorders>
            <w:shd w:val="clear" w:color="auto" w:fill="auto"/>
            <w:vAlign w:val="center"/>
            <w:hideMark/>
          </w:tcPr>
          <w:p w14:paraId="2847339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w:t>
            </w:r>
          </w:p>
        </w:tc>
        <w:tc>
          <w:tcPr>
            <w:tcW w:w="2807" w:type="dxa"/>
            <w:tcBorders>
              <w:top w:val="nil"/>
              <w:left w:val="nil"/>
              <w:bottom w:val="nil"/>
              <w:right w:val="nil"/>
            </w:tcBorders>
            <w:shd w:val="clear" w:color="auto" w:fill="auto"/>
            <w:vAlign w:val="center"/>
            <w:hideMark/>
          </w:tcPr>
          <w:p w14:paraId="4E920FD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188 (96.4)</w:t>
            </w:r>
          </w:p>
        </w:tc>
        <w:tc>
          <w:tcPr>
            <w:tcW w:w="2607" w:type="dxa"/>
            <w:tcBorders>
              <w:top w:val="nil"/>
              <w:left w:val="nil"/>
              <w:bottom w:val="nil"/>
              <w:right w:val="nil"/>
            </w:tcBorders>
            <w:shd w:val="clear" w:color="auto" w:fill="auto"/>
            <w:vAlign w:val="center"/>
            <w:hideMark/>
          </w:tcPr>
          <w:p w14:paraId="5475FCC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96 (95.0)</w:t>
            </w:r>
          </w:p>
        </w:tc>
        <w:tc>
          <w:tcPr>
            <w:tcW w:w="1319" w:type="dxa"/>
            <w:tcBorders>
              <w:top w:val="nil"/>
              <w:left w:val="nil"/>
              <w:bottom w:val="nil"/>
              <w:right w:val="nil"/>
            </w:tcBorders>
            <w:shd w:val="clear" w:color="auto" w:fill="auto"/>
            <w:vAlign w:val="center"/>
            <w:hideMark/>
          </w:tcPr>
          <w:p w14:paraId="4D70149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0.551</w:t>
            </w:r>
          </w:p>
        </w:tc>
      </w:tr>
      <w:tr w:rsidR="00EA037B" w:rsidRPr="00EA037B" w14:paraId="29AF1527" w14:textId="77777777" w:rsidTr="001D780A">
        <w:trPr>
          <w:trHeight w:val="366"/>
        </w:trPr>
        <w:tc>
          <w:tcPr>
            <w:tcW w:w="4435" w:type="dxa"/>
            <w:tcBorders>
              <w:top w:val="nil"/>
              <w:left w:val="nil"/>
              <w:bottom w:val="nil"/>
              <w:right w:val="nil"/>
            </w:tcBorders>
            <w:shd w:val="clear" w:color="auto" w:fill="auto"/>
            <w:vAlign w:val="center"/>
            <w:hideMark/>
          </w:tcPr>
          <w:p w14:paraId="172BA3E7"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003B98CF"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w:t>
            </w:r>
          </w:p>
        </w:tc>
        <w:tc>
          <w:tcPr>
            <w:tcW w:w="2807" w:type="dxa"/>
            <w:tcBorders>
              <w:top w:val="nil"/>
              <w:left w:val="nil"/>
              <w:bottom w:val="nil"/>
              <w:right w:val="nil"/>
            </w:tcBorders>
            <w:shd w:val="clear" w:color="auto" w:fill="auto"/>
            <w:vAlign w:val="center"/>
            <w:hideMark/>
          </w:tcPr>
          <w:p w14:paraId="0961E00B"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7 (3.6)</w:t>
            </w:r>
          </w:p>
        </w:tc>
        <w:tc>
          <w:tcPr>
            <w:tcW w:w="2607" w:type="dxa"/>
            <w:tcBorders>
              <w:top w:val="nil"/>
              <w:left w:val="nil"/>
              <w:bottom w:val="nil"/>
              <w:right w:val="nil"/>
            </w:tcBorders>
            <w:shd w:val="clear" w:color="auto" w:fill="auto"/>
            <w:vAlign w:val="center"/>
            <w:hideMark/>
          </w:tcPr>
          <w:p w14:paraId="0ADCCB3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5 (5.0)</w:t>
            </w:r>
          </w:p>
        </w:tc>
        <w:tc>
          <w:tcPr>
            <w:tcW w:w="1319" w:type="dxa"/>
            <w:tcBorders>
              <w:top w:val="nil"/>
              <w:left w:val="nil"/>
              <w:bottom w:val="nil"/>
              <w:right w:val="nil"/>
            </w:tcBorders>
            <w:shd w:val="clear" w:color="auto" w:fill="auto"/>
            <w:vAlign w:val="center"/>
            <w:hideMark/>
          </w:tcPr>
          <w:p w14:paraId="536D785B"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EA037B" w14:paraId="2ADAA377" w14:textId="77777777" w:rsidTr="001D780A">
        <w:trPr>
          <w:trHeight w:val="366"/>
        </w:trPr>
        <w:tc>
          <w:tcPr>
            <w:tcW w:w="4435" w:type="dxa"/>
            <w:tcBorders>
              <w:top w:val="nil"/>
              <w:left w:val="nil"/>
              <w:bottom w:val="nil"/>
              <w:right w:val="nil"/>
            </w:tcBorders>
            <w:shd w:val="clear" w:color="auto" w:fill="auto"/>
            <w:vAlign w:val="center"/>
            <w:hideMark/>
          </w:tcPr>
          <w:p w14:paraId="3CCB40C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pN</w:t>
            </w:r>
          </w:p>
        </w:tc>
        <w:tc>
          <w:tcPr>
            <w:tcW w:w="1805" w:type="dxa"/>
            <w:tcBorders>
              <w:top w:val="nil"/>
              <w:left w:val="nil"/>
              <w:bottom w:val="nil"/>
              <w:right w:val="nil"/>
            </w:tcBorders>
            <w:shd w:val="clear" w:color="auto" w:fill="auto"/>
            <w:vAlign w:val="center"/>
            <w:hideMark/>
          </w:tcPr>
          <w:p w14:paraId="5C81C4D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w:t>
            </w:r>
          </w:p>
        </w:tc>
        <w:tc>
          <w:tcPr>
            <w:tcW w:w="2807" w:type="dxa"/>
            <w:tcBorders>
              <w:top w:val="nil"/>
              <w:left w:val="nil"/>
              <w:bottom w:val="nil"/>
              <w:right w:val="nil"/>
            </w:tcBorders>
            <w:shd w:val="clear" w:color="auto" w:fill="auto"/>
            <w:vAlign w:val="center"/>
            <w:hideMark/>
          </w:tcPr>
          <w:p w14:paraId="7968B00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182 (93.3)</w:t>
            </w:r>
          </w:p>
        </w:tc>
        <w:tc>
          <w:tcPr>
            <w:tcW w:w="2607" w:type="dxa"/>
            <w:tcBorders>
              <w:top w:val="nil"/>
              <w:left w:val="nil"/>
              <w:bottom w:val="nil"/>
              <w:right w:val="nil"/>
            </w:tcBorders>
            <w:shd w:val="clear" w:color="auto" w:fill="auto"/>
            <w:vAlign w:val="center"/>
            <w:hideMark/>
          </w:tcPr>
          <w:p w14:paraId="4035495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92 (91.1)</w:t>
            </w:r>
          </w:p>
        </w:tc>
        <w:tc>
          <w:tcPr>
            <w:tcW w:w="1319" w:type="dxa"/>
            <w:tcBorders>
              <w:top w:val="nil"/>
              <w:left w:val="nil"/>
              <w:bottom w:val="nil"/>
              <w:right w:val="nil"/>
            </w:tcBorders>
            <w:shd w:val="clear" w:color="auto" w:fill="auto"/>
            <w:vAlign w:val="center"/>
            <w:hideMark/>
          </w:tcPr>
          <w:p w14:paraId="574C72B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0.641</w:t>
            </w:r>
          </w:p>
        </w:tc>
      </w:tr>
      <w:tr w:rsidR="00EA037B" w:rsidRPr="00EA037B" w14:paraId="52F99577" w14:textId="77777777" w:rsidTr="001D780A">
        <w:trPr>
          <w:trHeight w:val="366"/>
        </w:trPr>
        <w:tc>
          <w:tcPr>
            <w:tcW w:w="4435" w:type="dxa"/>
            <w:tcBorders>
              <w:top w:val="nil"/>
              <w:left w:val="nil"/>
              <w:bottom w:val="nil"/>
              <w:right w:val="nil"/>
            </w:tcBorders>
            <w:shd w:val="clear" w:color="auto" w:fill="auto"/>
            <w:vAlign w:val="center"/>
            <w:hideMark/>
          </w:tcPr>
          <w:p w14:paraId="20BDC7CD"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c>
          <w:tcPr>
            <w:tcW w:w="1805" w:type="dxa"/>
            <w:tcBorders>
              <w:top w:val="nil"/>
              <w:left w:val="nil"/>
              <w:bottom w:val="nil"/>
              <w:right w:val="nil"/>
            </w:tcBorders>
            <w:shd w:val="clear" w:color="auto" w:fill="auto"/>
            <w:vAlign w:val="center"/>
            <w:hideMark/>
          </w:tcPr>
          <w:p w14:paraId="2BA6C67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w:t>
            </w:r>
          </w:p>
        </w:tc>
        <w:tc>
          <w:tcPr>
            <w:tcW w:w="2807" w:type="dxa"/>
            <w:tcBorders>
              <w:top w:val="nil"/>
              <w:left w:val="nil"/>
              <w:bottom w:val="nil"/>
              <w:right w:val="nil"/>
            </w:tcBorders>
            <w:shd w:val="clear" w:color="auto" w:fill="auto"/>
            <w:vAlign w:val="center"/>
            <w:hideMark/>
          </w:tcPr>
          <w:p w14:paraId="38185F2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13 (6.7)</w:t>
            </w:r>
          </w:p>
        </w:tc>
        <w:tc>
          <w:tcPr>
            <w:tcW w:w="2607" w:type="dxa"/>
            <w:tcBorders>
              <w:top w:val="nil"/>
              <w:left w:val="nil"/>
              <w:bottom w:val="nil"/>
              <w:right w:val="nil"/>
            </w:tcBorders>
            <w:shd w:val="clear" w:color="auto" w:fill="auto"/>
            <w:vAlign w:val="center"/>
            <w:hideMark/>
          </w:tcPr>
          <w:p w14:paraId="1A08380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9 (8.9)</w:t>
            </w:r>
          </w:p>
        </w:tc>
        <w:tc>
          <w:tcPr>
            <w:tcW w:w="1319" w:type="dxa"/>
            <w:tcBorders>
              <w:top w:val="nil"/>
              <w:left w:val="nil"/>
              <w:bottom w:val="nil"/>
              <w:right w:val="nil"/>
            </w:tcBorders>
            <w:shd w:val="clear" w:color="auto" w:fill="auto"/>
            <w:vAlign w:val="center"/>
            <w:hideMark/>
          </w:tcPr>
          <w:p w14:paraId="485A8052" w14:textId="77777777" w:rsidR="00182B6E" w:rsidRPr="00EA037B" w:rsidRDefault="00182B6E" w:rsidP="00EA037B">
            <w:pPr>
              <w:widowControl/>
              <w:wordWrap/>
              <w:autoSpaceDE/>
              <w:autoSpaceDN/>
              <w:spacing w:line="360" w:lineRule="auto"/>
              <w:rPr>
                <w:rFonts w:ascii="Book Antiqua" w:eastAsia="Gulim" w:hAnsi="Book Antiqua" w:cs="Gulim"/>
                <w:color w:val="000000" w:themeColor="text1"/>
                <w:kern w:val="0"/>
                <w:sz w:val="24"/>
              </w:rPr>
            </w:pPr>
          </w:p>
        </w:tc>
      </w:tr>
      <w:tr w:rsidR="00EA037B" w:rsidRPr="00EA037B" w14:paraId="0B7FB585" w14:textId="77777777" w:rsidTr="001D780A">
        <w:trPr>
          <w:trHeight w:val="336"/>
        </w:trPr>
        <w:tc>
          <w:tcPr>
            <w:tcW w:w="4435" w:type="dxa"/>
            <w:tcBorders>
              <w:top w:val="nil"/>
              <w:left w:val="nil"/>
              <w:bottom w:val="nil"/>
              <w:right w:val="nil"/>
            </w:tcBorders>
            <w:shd w:val="clear" w:color="auto" w:fill="auto"/>
            <w:noWrap/>
            <w:vAlign w:val="center"/>
            <w:hideMark/>
          </w:tcPr>
          <w:p w14:paraId="4BE7E19A"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Operating time (median, </w:t>
            </w:r>
            <w:r w:rsidR="009C2F9A" w:rsidRPr="00EA037B">
              <w:rPr>
                <w:rFonts w:ascii="Book Antiqua" w:eastAsia="Malgun Gothic" w:hAnsi="Book Antiqua"/>
                <w:color w:val="000000" w:themeColor="text1"/>
                <w:kern w:val="0"/>
                <w:sz w:val="24"/>
              </w:rPr>
              <w:t>IQR</w:t>
            </w:r>
            <w:r w:rsidRPr="00EA037B">
              <w:rPr>
                <w:rFonts w:ascii="Book Antiqua" w:eastAsia="Malgun Gothic" w:hAnsi="Book Antiqua"/>
                <w:color w:val="000000" w:themeColor="text1"/>
                <w:kern w:val="0"/>
                <w:sz w:val="24"/>
              </w:rPr>
              <w:t>) (min)</w:t>
            </w:r>
          </w:p>
        </w:tc>
        <w:tc>
          <w:tcPr>
            <w:tcW w:w="1805" w:type="dxa"/>
            <w:tcBorders>
              <w:top w:val="nil"/>
              <w:left w:val="nil"/>
              <w:bottom w:val="nil"/>
              <w:right w:val="nil"/>
            </w:tcBorders>
            <w:shd w:val="clear" w:color="auto" w:fill="auto"/>
            <w:noWrap/>
            <w:vAlign w:val="center"/>
            <w:hideMark/>
          </w:tcPr>
          <w:p w14:paraId="19C6B5F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noWrap/>
            <w:vAlign w:val="center"/>
            <w:hideMark/>
          </w:tcPr>
          <w:p w14:paraId="773EFF6B"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150.0 (130.0, 185.0)</w:t>
            </w:r>
          </w:p>
        </w:tc>
        <w:tc>
          <w:tcPr>
            <w:tcW w:w="2607" w:type="dxa"/>
            <w:tcBorders>
              <w:top w:val="nil"/>
              <w:left w:val="nil"/>
              <w:bottom w:val="nil"/>
              <w:right w:val="nil"/>
            </w:tcBorders>
            <w:shd w:val="clear" w:color="auto" w:fill="auto"/>
            <w:noWrap/>
            <w:vAlign w:val="center"/>
            <w:hideMark/>
          </w:tcPr>
          <w:p w14:paraId="46D9AB6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210.0 (185.0, 235.0)</w:t>
            </w:r>
          </w:p>
        </w:tc>
        <w:tc>
          <w:tcPr>
            <w:tcW w:w="1319" w:type="dxa"/>
            <w:tcBorders>
              <w:top w:val="nil"/>
              <w:left w:val="nil"/>
              <w:bottom w:val="nil"/>
              <w:right w:val="nil"/>
            </w:tcBorders>
            <w:shd w:val="clear" w:color="auto" w:fill="auto"/>
            <w:noWrap/>
            <w:vAlign w:val="center"/>
            <w:hideMark/>
          </w:tcPr>
          <w:p w14:paraId="279147E4" w14:textId="292842D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&lt;</w:t>
            </w:r>
            <w:r w:rsidR="001D780A">
              <w:rPr>
                <w:rFonts w:ascii="Book Antiqua" w:eastAsia="Malgun Gothic" w:hAnsi="Book Antiqua"/>
                <w:color w:val="000000" w:themeColor="text1"/>
                <w:kern w:val="0"/>
                <w:sz w:val="24"/>
              </w:rPr>
              <w:t xml:space="preserve"> </w:t>
            </w:r>
            <w:r w:rsidRPr="00EA037B">
              <w:rPr>
                <w:rFonts w:ascii="Book Antiqua" w:eastAsia="Malgun Gothic" w:hAnsi="Book Antiqua"/>
                <w:color w:val="000000" w:themeColor="text1"/>
                <w:kern w:val="0"/>
                <w:sz w:val="24"/>
              </w:rPr>
              <w:t>0.001</w:t>
            </w:r>
          </w:p>
        </w:tc>
      </w:tr>
      <w:tr w:rsidR="00EA037B" w:rsidRPr="00EA037B" w14:paraId="00964A0B" w14:textId="77777777" w:rsidTr="001D780A">
        <w:trPr>
          <w:trHeight w:val="336"/>
        </w:trPr>
        <w:tc>
          <w:tcPr>
            <w:tcW w:w="4435" w:type="dxa"/>
            <w:tcBorders>
              <w:top w:val="nil"/>
              <w:left w:val="nil"/>
              <w:bottom w:val="nil"/>
              <w:right w:val="nil"/>
            </w:tcBorders>
            <w:shd w:val="clear" w:color="auto" w:fill="auto"/>
            <w:noWrap/>
            <w:vAlign w:val="center"/>
          </w:tcPr>
          <w:p w14:paraId="3D6371E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Estimated blood loss (median, </w:t>
            </w:r>
            <w:r w:rsidR="009C2F9A" w:rsidRPr="00EA037B">
              <w:rPr>
                <w:rFonts w:ascii="Book Antiqua" w:eastAsia="Malgun Gothic" w:hAnsi="Book Antiqua"/>
                <w:color w:val="000000" w:themeColor="text1"/>
                <w:kern w:val="0"/>
                <w:sz w:val="24"/>
              </w:rPr>
              <w:t>IQR</w:t>
            </w:r>
            <w:r w:rsidRPr="00EA037B">
              <w:rPr>
                <w:rFonts w:ascii="Book Antiqua" w:eastAsia="Malgun Gothic" w:hAnsi="Book Antiqua"/>
                <w:color w:val="000000" w:themeColor="text1"/>
                <w:kern w:val="0"/>
                <w:sz w:val="24"/>
              </w:rPr>
              <w:t>) (cc)</w:t>
            </w:r>
          </w:p>
        </w:tc>
        <w:tc>
          <w:tcPr>
            <w:tcW w:w="1805" w:type="dxa"/>
            <w:tcBorders>
              <w:top w:val="nil"/>
              <w:left w:val="nil"/>
              <w:bottom w:val="nil"/>
              <w:right w:val="nil"/>
            </w:tcBorders>
            <w:shd w:val="clear" w:color="auto" w:fill="auto"/>
            <w:noWrap/>
            <w:vAlign w:val="center"/>
          </w:tcPr>
          <w:p w14:paraId="2B167D4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nil"/>
              <w:right w:val="nil"/>
            </w:tcBorders>
            <w:shd w:val="clear" w:color="auto" w:fill="auto"/>
            <w:noWrap/>
            <w:vAlign w:val="center"/>
          </w:tcPr>
          <w:p w14:paraId="18D18B2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100.0 (12.5, 200.0)</w:t>
            </w:r>
          </w:p>
        </w:tc>
        <w:tc>
          <w:tcPr>
            <w:tcW w:w="2607" w:type="dxa"/>
            <w:tcBorders>
              <w:top w:val="nil"/>
              <w:left w:val="nil"/>
              <w:bottom w:val="nil"/>
              <w:right w:val="nil"/>
            </w:tcBorders>
            <w:shd w:val="clear" w:color="auto" w:fill="auto"/>
            <w:noWrap/>
            <w:vAlign w:val="center"/>
          </w:tcPr>
          <w:p w14:paraId="39D50A8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100.0 (50.0, 200.0)</w:t>
            </w:r>
          </w:p>
        </w:tc>
        <w:tc>
          <w:tcPr>
            <w:tcW w:w="1319" w:type="dxa"/>
            <w:tcBorders>
              <w:top w:val="nil"/>
              <w:left w:val="nil"/>
              <w:bottom w:val="nil"/>
              <w:right w:val="nil"/>
            </w:tcBorders>
            <w:shd w:val="clear" w:color="auto" w:fill="auto"/>
            <w:noWrap/>
            <w:vAlign w:val="center"/>
          </w:tcPr>
          <w:p w14:paraId="3D0193F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0.235</w:t>
            </w:r>
          </w:p>
        </w:tc>
      </w:tr>
      <w:tr w:rsidR="00EA037B" w:rsidRPr="00EA037B" w14:paraId="1D3D3CE8" w14:textId="77777777" w:rsidTr="001D780A">
        <w:trPr>
          <w:trHeight w:val="351"/>
        </w:trPr>
        <w:tc>
          <w:tcPr>
            <w:tcW w:w="4435" w:type="dxa"/>
            <w:tcBorders>
              <w:top w:val="nil"/>
              <w:left w:val="nil"/>
              <w:bottom w:val="single" w:sz="8" w:space="0" w:color="auto"/>
              <w:right w:val="nil"/>
            </w:tcBorders>
            <w:shd w:val="clear" w:color="auto" w:fill="auto"/>
            <w:noWrap/>
            <w:vAlign w:val="center"/>
            <w:hideMark/>
          </w:tcPr>
          <w:p w14:paraId="20A33D46" w14:textId="2FD15F22"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Hospital stay (median, </w:t>
            </w:r>
            <w:r w:rsidR="009C2F9A" w:rsidRPr="00EA037B">
              <w:rPr>
                <w:rFonts w:ascii="Book Antiqua" w:eastAsia="Malgun Gothic" w:hAnsi="Book Antiqua"/>
                <w:color w:val="000000" w:themeColor="text1"/>
                <w:kern w:val="0"/>
                <w:sz w:val="24"/>
              </w:rPr>
              <w:t>IQR</w:t>
            </w:r>
            <w:r w:rsidRPr="00EA037B">
              <w:rPr>
                <w:rFonts w:ascii="Book Antiqua" w:eastAsia="Malgun Gothic" w:hAnsi="Book Antiqua"/>
                <w:color w:val="000000" w:themeColor="text1"/>
                <w:kern w:val="0"/>
                <w:sz w:val="24"/>
              </w:rPr>
              <w:t>) (d)</w:t>
            </w:r>
          </w:p>
        </w:tc>
        <w:tc>
          <w:tcPr>
            <w:tcW w:w="1805" w:type="dxa"/>
            <w:tcBorders>
              <w:top w:val="nil"/>
              <w:left w:val="nil"/>
              <w:bottom w:val="single" w:sz="8" w:space="0" w:color="auto"/>
              <w:right w:val="nil"/>
            </w:tcBorders>
            <w:shd w:val="clear" w:color="auto" w:fill="auto"/>
            <w:noWrap/>
            <w:vAlign w:val="center"/>
            <w:hideMark/>
          </w:tcPr>
          <w:p w14:paraId="31725F87" w14:textId="67986426"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807" w:type="dxa"/>
            <w:tcBorders>
              <w:top w:val="nil"/>
              <w:left w:val="nil"/>
              <w:bottom w:val="single" w:sz="8" w:space="0" w:color="auto"/>
              <w:right w:val="nil"/>
            </w:tcBorders>
            <w:shd w:val="clear" w:color="auto" w:fill="auto"/>
            <w:noWrap/>
            <w:vAlign w:val="center"/>
            <w:hideMark/>
          </w:tcPr>
          <w:p w14:paraId="0BC78CC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7.0 (6.0, 7.0)</w:t>
            </w:r>
          </w:p>
        </w:tc>
        <w:tc>
          <w:tcPr>
            <w:tcW w:w="2607" w:type="dxa"/>
            <w:tcBorders>
              <w:top w:val="nil"/>
              <w:left w:val="nil"/>
              <w:bottom w:val="single" w:sz="8" w:space="0" w:color="auto"/>
              <w:right w:val="nil"/>
            </w:tcBorders>
            <w:shd w:val="clear" w:color="auto" w:fill="auto"/>
            <w:noWrap/>
            <w:vAlign w:val="center"/>
            <w:hideMark/>
          </w:tcPr>
          <w:p w14:paraId="016FADF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7.0 (5.5, 7.0)</w:t>
            </w:r>
          </w:p>
        </w:tc>
        <w:tc>
          <w:tcPr>
            <w:tcW w:w="1319" w:type="dxa"/>
            <w:tcBorders>
              <w:top w:val="nil"/>
              <w:left w:val="nil"/>
              <w:bottom w:val="single" w:sz="8" w:space="0" w:color="auto"/>
              <w:right w:val="nil"/>
            </w:tcBorders>
            <w:shd w:val="clear" w:color="auto" w:fill="auto"/>
            <w:noWrap/>
            <w:vAlign w:val="center"/>
            <w:hideMark/>
          </w:tcPr>
          <w:p w14:paraId="34723A8F"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0.940</w:t>
            </w:r>
          </w:p>
        </w:tc>
      </w:tr>
    </w:tbl>
    <w:p w14:paraId="51565969" w14:textId="4F0AACEA" w:rsidR="00182B6E" w:rsidRPr="00EA037B" w:rsidRDefault="00182B6E" w:rsidP="00EA037B">
      <w:pPr>
        <w:widowControl/>
        <w:wordWrap/>
        <w:autoSpaceDE/>
        <w:autoSpaceDN/>
        <w:spacing w:line="360" w:lineRule="auto"/>
        <w:rPr>
          <w:rFonts w:ascii="Book Antiqua" w:hAnsi="Book Antiqua"/>
          <w:color w:val="000000" w:themeColor="text1"/>
          <w:sz w:val="24"/>
        </w:rPr>
      </w:pPr>
      <w:r w:rsidRPr="00EA037B">
        <w:rPr>
          <w:rFonts w:ascii="Book Antiqua" w:hAnsi="Book Antiqua"/>
          <w:color w:val="000000" w:themeColor="text1"/>
          <w:sz w:val="24"/>
        </w:rPr>
        <w:t>LADG</w:t>
      </w:r>
      <w:r w:rsidR="001D780A">
        <w:rPr>
          <w:rFonts w:ascii="Book Antiqua" w:hAnsi="Book Antiqua"/>
          <w:color w:val="000000" w:themeColor="text1"/>
          <w:sz w:val="24"/>
        </w:rPr>
        <w:t>:</w:t>
      </w:r>
      <w:r w:rsidRPr="00EA037B">
        <w:rPr>
          <w:rFonts w:ascii="Book Antiqua" w:hAnsi="Book Antiqua"/>
          <w:color w:val="000000" w:themeColor="text1"/>
          <w:sz w:val="24"/>
        </w:rPr>
        <w:t xml:space="preserve"> </w:t>
      </w:r>
      <w:r w:rsidR="001D780A" w:rsidRPr="00EA037B">
        <w:rPr>
          <w:rFonts w:ascii="Book Antiqua" w:hAnsi="Book Antiqua"/>
          <w:color w:val="000000" w:themeColor="text1"/>
          <w:sz w:val="24"/>
        </w:rPr>
        <w:t>L</w:t>
      </w:r>
      <w:r w:rsidRPr="00EA037B">
        <w:rPr>
          <w:rFonts w:ascii="Book Antiqua" w:hAnsi="Book Antiqua"/>
          <w:color w:val="000000" w:themeColor="text1"/>
          <w:sz w:val="24"/>
        </w:rPr>
        <w:t>aparoscopy-assisted distal gastrectomy; LAPPG</w:t>
      </w:r>
      <w:r w:rsidR="001D780A">
        <w:rPr>
          <w:rFonts w:ascii="Book Antiqua" w:hAnsi="Book Antiqua"/>
          <w:color w:val="000000" w:themeColor="text1"/>
          <w:sz w:val="24"/>
        </w:rPr>
        <w:t>:</w:t>
      </w:r>
      <w:r w:rsidRPr="00EA037B">
        <w:rPr>
          <w:rFonts w:ascii="Book Antiqua" w:hAnsi="Book Antiqua"/>
          <w:color w:val="000000" w:themeColor="text1"/>
          <w:sz w:val="24"/>
        </w:rPr>
        <w:t xml:space="preserve"> </w:t>
      </w:r>
      <w:r w:rsidR="001D780A" w:rsidRPr="00EA037B">
        <w:rPr>
          <w:rFonts w:ascii="Book Antiqua" w:hAnsi="Book Antiqua"/>
          <w:color w:val="000000" w:themeColor="text1"/>
          <w:sz w:val="24"/>
        </w:rPr>
        <w:t>L</w:t>
      </w:r>
      <w:r w:rsidRPr="00EA037B">
        <w:rPr>
          <w:rFonts w:ascii="Book Antiqua" w:hAnsi="Book Antiqua"/>
          <w:color w:val="000000" w:themeColor="text1"/>
          <w:sz w:val="24"/>
        </w:rPr>
        <w:t>aparoscopy-assisted pylorus preserving gastrectomy; SD</w:t>
      </w:r>
      <w:r w:rsidR="001D780A">
        <w:rPr>
          <w:rFonts w:ascii="Book Antiqua" w:hAnsi="Book Antiqua"/>
          <w:color w:val="000000" w:themeColor="text1"/>
          <w:sz w:val="24"/>
        </w:rPr>
        <w:t>:</w:t>
      </w:r>
      <w:r w:rsidRPr="00EA037B">
        <w:rPr>
          <w:rFonts w:ascii="Book Antiqua" w:hAnsi="Book Antiqua"/>
          <w:color w:val="000000" w:themeColor="text1"/>
          <w:sz w:val="24"/>
        </w:rPr>
        <w:t xml:space="preserve"> </w:t>
      </w:r>
      <w:r w:rsidR="001D780A" w:rsidRPr="00EA037B">
        <w:rPr>
          <w:rFonts w:ascii="Book Antiqua" w:hAnsi="Book Antiqua"/>
          <w:color w:val="000000" w:themeColor="text1"/>
          <w:sz w:val="24"/>
        </w:rPr>
        <w:t>S</w:t>
      </w:r>
      <w:r w:rsidRPr="00EA037B">
        <w:rPr>
          <w:rFonts w:ascii="Book Antiqua" w:hAnsi="Book Antiqua"/>
          <w:color w:val="000000" w:themeColor="text1"/>
          <w:sz w:val="24"/>
        </w:rPr>
        <w:t>tandard deviation; BMI</w:t>
      </w:r>
      <w:r w:rsidR="001D780A">
        <w:rPr>
          <w:rFonts w:ascii="Book Antiqua" w:hAnsi="Book Antiqua"/>
          <w:color w:val="000000" w:themeColor="text1"/>
          <w:sz w:val="24"/>
        </w:rPr>
        <w:t>:</w:t>
      </w:r>
      <w:r w:rsidRPr="00EA037B">
        <w:rPr>
          <w:rFonts w:ascii="Book Antiqua" w:hAnsi="Book Antiqua"/>
          <w:color w:val="000000" w:themeColor="text1"/>
          <w:sz w:val="24"/>
        </w:rPr>
        <w:t xml:space="preserve"> </w:t>
      </w:r>
      <w:r w:rsidR="001D780A" w:rsidRPr="00EA037B">
        <w:rPr>
          <w:rFonts w:ascii="Book Antiqua" w:hAnsi="Book Antiqua"/>
          <w:color w:val="000000" w:themeColor="text1"/>
          <w:sz w:val="24"/>
        </w:rPr>
        <w:t>B</w:t>
      </w:r>
      <w:r w:rsidRPr="00EA037B">
        <w:rPr>
          <w:rFonts w:ascii="Book Antiqua" w:hAnsi="Book Antiqua"/>
          <w:color w:val="000000" w:themeColor="text1"/>
          <w:sz w:val="24"/>
        </w:rPr>
        <w:t>ody mass index; ASA</w:t>
      </w:r>
      <w:r w:rsidR="001D780A">
        <w:rPr>
          <w:rFonts w:ascii="Book Antiqua" w:hAnsi="Book Antiqua"/>
          <w:color w:val="000000" w:themeColor="text1"/>
          <w:sz w:val="24"/>
        </w:rPr>
        <w:t>:</w:t>
      </w:r>
      <w:r w:rsidRPr="00EA037B">
        <w:rPr>
          <w:rFonts w:ascii="Book Antiqua" w:hAnsi="Book Antiqua"/>
          <w:color w:val="000000" w:themeColor="text1"/>
          <w:sz w:val="24"/>
        </w:rPr>
        <w:t xml:space="preserve"> American Society of Anesthesiologists physical status classification system; WD</w:t>
      </w:r>
      <w:r w:rsidR="001D780A">
        <w:rPr>
          <w:rFonts w:ascii="Book Antiqua" w:hAnsi="Book Antiqua"/>
          <w:color w:val="000000" w:themeColor="text1"/>
          <w:sz w:val="24"/>
        </w:rPr>
        <w:t>:</w:t>
      </w:r>
      <w:r w:rsidRPr="00EA037B">
        <w:rPr>
          <w:rFonts w:ascii="Book Antiqua" w:hAnsi="Book Antiqua"/>
          <w:color w:val="000000" w:themeColor="text1"/>
          <w:sz w:val="24"/>
        </w:rPr>
        <w:t xml:space="preserve"> </w:t>
      </w:r>
      <w:r w:rsidR="001D780A" w:rsidRPr="00EA037B">
        <w:rPr>
          <w:rFonts w:ascii="Book Antiqua" w:hAnsi="Book Antiqua"/>
          <w:color w:val="000000" w:themeColor="text1"/>
          <w:sz w:val="24"/>
        </w:rPr>
        <w:t>W</w:t>
      </w:r>
      <w:r w:rsidRPr="00EA037B">
        <w:rPr>
          <w:rFonts w:ascii="Book Antiqua" w:hAnsi="Book Antiqua"/>
          <w:color w:val="000000" w:themeColor="text1"/>
          <w:sz w:val="24"/>
        </w:rPr>
        <w:t>ell differentiated; MD</w:t>
      </w:r>
      <w:r w:rsidR="001D780A">
        <w:rPr>
          <w:rFonts w:ascii="Book Antiqua" w:hAnsi="Book Antiqua"/>
          <w:color w:val="000000" w:themeColor="text1"/>
          <w:sz w:val="24"/>
        </w:rPr>
        <w:t>:</w:t>
      </w:r>
      <w:r w:rsidRPr="00EA037B">
        <w:rPr>
          <w:rFonts w:ascii="Book Antiqua" w:hAnsi="Book Antiqua"/>
          <w:color w:val="000000" w:themeColor="text1"/>
          <w:sz w:val="24"/>
        </w:rPr>
        <w:t xml:space="preserve"> </w:t>
      </w:r>
      <w:r w:rsidR="001D780A" w:rsidRPr="00EA037B">
        <w:rPr>
          <w:rFonts w:ascii="Book Antiqua" w:hAnsi="Book Antiqua"/>
          <w:color w:val="000000" w:themeColor="text1"/>
          <w:sz w:val="24"/>
        </w:rPr>
        <w:t>M</w:t>
      </w:r>
      <w:r w:rsidRPr="00EA037B">
        <w:rPr>
          <w:rFonts w:ascii="Book Antiqua" w:hAnsi="Book Antiqua"/>
          <w:color w:val="000000" w:themeColor="text1"/>
          <w:sz w:val="24"/>
        </w:rPr>
        <w:t>oderately differentiated; PD</w:t>
      </w:r>
      <w:r w:rsidR="001D780A">
        <w:rPr>
          <w:rFonts w:ascii="Book Antiqua" w:hAnsi="Book Antiqua"/>
          <w:color w:val="000000" w:themeColor="text1"/>
          <w:sz w:val="24"/>
        </w:rPr>
        <w:t>:</w:t>
      </w:r>
      <w:r w:rsidRPr="00EA037B">
        <w:rPr>
          <w:rFonts w:ascii="Book Antiqua" w:hAnsi="Book Antiqua"/>
          <w:color w:val="000000" w:themeColor="text1"/>
          <w:sz w:val="24"/>
        </w:rPr>
        <w:t xml:space="preserve"> </w:t>
      </w:r>
      <w:r w:rsidR="001D780A" w:rsidRPr="00EA037B">
        <w:rPr>
          <w:rFonts w:ascii="Book Antiqua" w:hAnsi="Book Antiqua"/>
          <w:color w:val="000000" w:themeColor="text1"/>
          <w:sz w:val="24"/>
        </w:rPr>
        <w:t>P</w:t>
      </w:r>
      <w:r w:rsidRPr="00EA037B">
        <w:rPr>
          <w:rFonts w:ascii="Book Antiqua" w:hAnsi="Book Antiqua"/>
          <w:color w:val="000000" w:themeColor="text1"/>
          <w:sz w:val="24"/>
        </w:rPr>
        <w:t>oorly differentiated; SRC</w:t>
      </w:r>
      <w:r w:rsidR="001D780A">
        <w:rPr>
          <w:rFonts w:ascii="Book Antiqua" w:hAnsi="Book Antiqua"/>
          <w:color w:val="000000" w:themeColor="text1"/>
          <w:sz w:val="24"/>
        </w:rPr>
        <w:t>:</w:t>
      </w:r>
      <w:r w:rsidRPr="00EA037B">
        <w:rPr>
          <w:rFonts w:ascii="Book Antiqua" w:hAnsi="Book Antiqua"/>
          <w:color w:val="000000" w:themeColor="text1"/>
          <w:sz w:val="24"/>
        </w:rPr>
        <w:t xml:space="preserve"> </w:t>
      </w:r>
      <w:r w:rsidR="001D780A" w:rsidRPr="00EA037B">
        <w:rPr>
          <w:rFonts w:ascii="Book Antiqua" w:hAnsi="Book Antiqua"/>
          <w:color w:val="000000" w:themeColor="text1"/>
          <w:sz w:val="24"/>
        </w:rPr>
        <w:t>S</w:t>
      </w:r>
      <w:r w:rsidRPr="00EA037B">
        <w:rPr>
          <w:rFonts w:ascii="Book Antiqua" w:hAnsi="Book Antiqua"/>
          <w:color w:val="000000" w:themeColor="text1"/>
          <w:sz w:val="24"/>
        </w:rPr>
        <w:t>ignet ring cell; LN</w:t>
      </w:r>
      <w:r w:rsidR="001D780A">
        <w:rPr>
          <w:rFonts w:ascii="Book Antiqua" w:hAnsi="Book Antiqua"/>
          <w:color w:val="000000" w:themeColor="text1"/>
          <w:sz w:val="24"/>
        </w:rPr>
        <w:t>:</w:t>
      </w:r>
      <w:r w:rsidRPr="00EA037B">
        <w:rPr>
          <w:rFonts w:ascii="Book Antiqua" w:hAnsi="Book Antiqua"/>
          <w:color w:val="000000" w:themeColor="text1"/>
          <w:sz w:val="24"/>
        </w:rPr>
        <w:t xml:space="preserve"> </w:t>
      </w:r>
      <w:r w:rsidR="001D780A" w:rsidRPr="00EA037B">
        <w:rPr>
          <w:rFonts w:ascii="Book Antiqua" w:hAnsi="Book Antiqua"/>
          <w:color w:val="000000" w:themeColor="text1"/>
          <w:sz w:val="24"/>
        </w:rPr>
        <w:t>L</w:t>
      </w:r>
      <w:r w:rsidRPr="00EA037B">
        <w:rPr>
          <w:rFonts w:ascii="Book Antiqua" w:hAnsi="Book Antiqua"/>
          <w:color w:val="000000" w:themeColor="text1"/>
          <w:sz w:val="24"/>
        </w:rPr>
        <w:t xml:space="preserve">ymph node; </w:t>
      </w:r>
      <w:r w:rsidR="009C2F9A" w:rsidRPr="00EA037B">
        <w:rPr>
          <w:rFonts w:ascii="Book Antiqua" w:hAnsi="Book Antiqua"/>
          <w:color w:val="000000" w:themeColor="text1"/>
          <w:sz w:val="24"/>
        </w:rPr>
        <w:t>IQR</w:t>
      </w:r>
      <w:r w:rsidR="001D780A">
        <w:rPr>
          <w:rFonts w:ascii="Book Antiqua" w:hAnsi="Book Antiqua"/>
          <w:color w:val="000000" w:themeColor="text1"/>
          <w:sz w:val="24"/>
        </w:rPr>
        <w:t>:</w:t>
      </w:r>
      <w:r w:rsidRPr="00EA037B">
        <w:rPr>
          <w:rFonts w:ascii="Book Antiqua" w:hAnsi="Book Antiqua"/>
          <w:color w:val="000000" w:themeColor="text1"/>
          <w:sz w:val="24"/>
        </w:rPr>
        <w:t xml:space="preserve"> </w:t>
      </w:r>
      <w:r w:rsidR="001D780A" w:rsidRPr="00EA037B">
        <w:rPr>
          <w:rFonts w:ascii="Book Antiqua" w:hAnsi="Book Antiqua"/>
          <w:color w:val="000000" w:themeColor="text1"/>
          <w:sz w:val="24"/>
        </w:rPr>
        <w:t>I</w:t>
      </w:r>
      <w:r w:rsidRPr="00EA037B">
        <w:rPr>
          <w:rFonts w:ascii="Book Antiqua" w:hAnsi="Book Antiqua"/>
          <w:color w:val="000000" w:themeColor="text1"/>
          <w:sz w:val="24"/>
        </w:rPr>
        <w:t>nterquartile range</w:t>
      </w:r>
      <w:r w:rsidR="001D780A">
        <w:rPr>
          <w:rFonts w:ascii="Book Antiqua" w:hAnsi="Book Antiqua"/>
          <w:color w:val="000000" w:themeColor="text1"/>
          <w:sz w:val="24"/>
        </w:rPr>
        <w:t>.</w:t>
      </w:r>
    </w:p>
    <w:p w14:paraId="78B0F5C5" w14:textId="77777777" w:rsidR="00182B6E" w:rsidRPr="00EA037B" w:rsidRDefault="00182B6E" w:rsidP="00EA037B">
      <w:pPr>
        <w:widowControl/>
        <w:wordWrap/>
        <w:autoSpaceDE/>
        <w:autoSpaceDN/>
        <w:spacing w:line="360" w:lineRule="auto"/>
        <w:rPr>
          <w:rFonts w:ascii="Book Antiqua" w:hAnsi="Book Antiqua"/>
          <w:color w:val="000000" w:themeColor="text1"/>
          <w:sz w:val="24"/>
        </w:rPr>
      </w:pPr>
      <w:r w:rsidRPr="00EA037B">
        <w:rPr>
          <w:rFonts w:ascii="Book Antiqua" w:hAnsi="Book Antiqua"/>
          <w:color w:val="000000" w:themeColor="text1"/>
          <w:sz w:val="24"/>
        </w:rPr>
        <w:br w:type="page"/>
      </w:r>
    </w:p>
    <w:p w14:paraId="7BD8A923" w14:textId="7409F7CA" w:rsidR="00182B6E" w:rsidRPr="009156D8" w:rsidRDefault="00182B6E" w:rsidP="00EA037B">
      <w:pPr>
        <w:widowControl/>
        <w:wordWrap/>
        <w:autoSpaceDE/>
        <w:autoSpaceDN/>
        <w:spacing w:line="360" w:lineRule="auto"/>
        <w:rPr>
          <w:rFonts w:ascii="Book Antiqua" w:hAnsi="Book Antiqua"/>
          <w:b/>
          <w:bCs/>
          <w:color w:val="000000" w:themeColor="text1"/>
          <w:sz w:val="24"/>
        </w:rPr>
      </w:pPr>
      <w:r w:rsidRPr="009156D8">
        <w:rPr>
          <w:rFonts w:ascii="Book Antiqua" w:hAnsi="Book Antiqua"/>
          <w:b/>
          <w:bCs/>
          <w:color w:val="000000" w:themeColor="text1"/>
          <w:sz w:val="24"/>
        </w:rPr>
        <w:lastRenderedPageBreak/>
        <w:t>Table 2 Early postoperative complications</w:t>
      </w:r>
    </w:p>
    <w:tbl>
      <w:tblPr>
        <w:tblW w:w="13041" w:type="dxa"/>
        <w:tblInd w:w="84" w:type="dxa"/>
        <w:tblCellMar>
          <w:left w:w="99" w:type="dxa"/>
          <w:right w:w="99" w:type="dxa"/>
        </w:tblCellMar>
        <w:tblLook w:val="04A0" w:firstRow="1" w:lastRow="0" w:firstColumn="1" w:lastColumn="0" w:noHBand="0" w:noVBand="1"/>
      </w:tblPr>
      <w:tblGrid>
        <w:gridCol w:w="3582"/>
        <w:gridCol w:w="3641"/>
        <w:gridCol w:w="2142"/>
        <w:gridCol w:w="2001"/>
        <w:gridCol w:w="1675"/>
      </w:tblGrid>
      <w:tr w:rsidR="0042775B" w:rsidRPr="00EA037B" w14:paraId="656B527E" w14:textId="77777777" w:rsidTr="00FC698F">
        <w:trPr>
          <w:trHeight w:val="342"/>
        </w:trPr>
        <w:tc>
          <w:tcPr>
            <w:tcW w:w="3582" w:type="dxa"/>
            <w:vMerge w:val="restart"/>
            <w:tcBorders>
              <w:top w:val="single" w:sz="8" w:space="0" w:color="auto"/>
              <w:left w:val="nil"/>
              <w:right w:val="nil"/>
            </w:tcBorders>
            <w:shd w:val="clear" w:color="auto" w:fill="auto"/>
            <w:vAlign w:val="center"/>
            <w:hideMark/>
          </w:tcPr>
          <w:p w14:paraId="41DD8F76" w14:textId="77777777" w:rsidR="0042775B" w:rsidRPr="009156D8"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9156D8">
              <w:rPr>
                <w:rFonts w:ascii="Book Antiqua" w:eastAsia="Malgun Gothic" w:hAnsi="Book Antiqua"/>
                <w:b/>
                <w:bCs/>
                <w:color w:val="000000" w:themeColor="text1"/>
                <w:kern w:val="0"/>
                <w:sz w:val="24"/>
              </w:rPr>
              <w:t>Factors</w:t>
            </w:r>
          </w:p>
        </w:tc>
        <w:tc>
          <w:tcPr>
            <w:tcW w:w="3641" w:type="dxa"/>
            <w:vMerge w:val="restart"/>
            <w:tcBorders>
              <w:top w:val="single" w:sz="8" w:space="0" w:color="auto"/>
              <w:left w:val="nil"/>
              <w:right w:val="nil"/>
            </w:tcBorders>
            <w:shd w:val="clear" w:color="auto" w:fill="auto"/>
            <w:vAlign w:val="center"/>
            <w:hideMark/>
          </w:tcPr>
          <w:p w14:paraId="6BD5837F" w14:textId="77777777" w:rsidR="0042775B" w:rsidRPr="009156D8"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9156D8">
              <w:rPr>
                <w:rFonts w:ascii="Book Antiqua" w:eastAsia="Malgun Gothic" w:hAnsi="Book Antiqua"/>
                <w:b/>
                <w:bCs/>
                <w:color w:val="000000" w:themeColor="text1"/>
                <w:kern w:val="0"/>
                <w:sz w:val="24"/>
              </w:rPr>
              <w:t>Complications</w:t>
            </w:r>
          </w:p>
        </w:tc>
        <w:tc>
          <w:tcPr>
            <w:tcW w:w="2142" w:type="dxa"/>
            <w:tcBorders>
              <w:top w:val="single" w:sz="8" w:space="0" w:color="auto"/>
              <w:left w:val="nil"/>
              <w:bottom w:val="nil"/>
              <w:right w:val="nil"/>
            </w:tcBorders>
            <w:shd w:val="clear" w:color="auto" w:fill="auto"/>
            <w:vAlign w:val="center"/>
            <w:hideMark/>
          </w:tcPr>
          <w:p w14:paraId="792292F9" w14:textId="77777777" w:rsidR="0042775B" w:rsidRPr="009156D8"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9156D8">
              <w:rPr>
                <w:rFonts w:ascii="Book Antiqua" w:eastAsia="Malgun Gothic" w:hAnsi="Book Antiqua"/>
                <w:b/>
                <w:bCs/>
                <w:color w:val="000000" w:themeColor="text1"/>
                <w:kern w:val="0"/>
                <w:sz w:val="24"/>
              </w:rPr>
              <w:t>LADG</w:t>
            </w:r>
          </w:p>
        </w:tc>
        <w:tc>
          <w:tcPr>
            <w:tcW w:w="2001" w:type="dxa"/>
            <w:tcBorders>
              <w:top w:val="single" w:sz="8" w:space="0" w:color="auto"/>
              <w:left w:val="nil"/>
              <w:bottom w:val="nil"/>
              <w:right w:val="nil"/>
            </w:tcBorders>
            <w:shd w:val="clear" w:color="auto" w:fill="auto"/>
            <w:vAlign w:val="center"/>
            <w:hideMark/>
          </w:tcPr>
          <w:p w14:paraId="3E6D53C4" w14:textId="77777777" w:rsidR="0042775B" w:rsidRPr="009156D8"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9156D8">
              <w:rPr>
                <w:rFonts w:ascii="Book Antiqua" w:eastAsia="Malgun Gothic" w:hAnsi="Book Antiqua"/>
                <w:b/>
                <w:bCs/>
                <w:color w:val="000000" w:themeColor="text1"/>
                <w:kern w:val="0"/>
                <w:sz w:val="24"/>
              </w:rPr>
              <w:t>LAPPG</w:t>
            </w:r>
          </w:p>
        </w:tc>
        <w:tc>
          <w:tcPr>
            <w:tcW w:w="1675" w:type="dxa"/>
            <w:vMerge w:val="restart"/>
            <w:tcBorders>
              <w:top w:val="single" w:sz="8" w:space="0" w:color="auto"/>
              <w:left w:val="nil"/>
              <w:right w:val="nil"/>
            </w:tcBorders>
            <w:shd w:val="clear" w:color="auto" w:fill="auto"/>
            <w:vAlign w:val="center"/>
            <w:hideMark/>
          </w:tcPr>
          <w:p w14:paraId="0333630B" w14:textId="30A1A4BA" w:rsidR="0042775B" w:rsidRPr="009156D8" w:rsidRDefault="0042775B" w:rsidP="00EA037B">
            <w:pPr>
              <w:widowControl/>
              <w:wordWrap/>
              <w:autoSpaceDE/>
              <w:autoSpaceDN/>
              <w:spacing w:line="360" w:lineRule="auto"/>
              <w:rPr>
                <w:rFonts w:ascii="Book Antiqua" w:eastAsia="Malgun Gothic" w:hAnsi="Book Antiqua"/>
                <w:b/>
                <w:bCs/>
                <w:i/>
                <w:color w:val="000000" w:themeColor="text1"/>
                <w:kern w:val="0"/>
                <w:sz w:val="24"/>
              </w:rPr>
            </w:pPr>
            <w:r w:rsidRPr="001D780A">
              <w:rPr>
                <w:rFonts w:ascii="Book Antiqua" w:eastAsia="Malgun Gothic" w:hAnsi="Book Antiqua"/>
                <w:b/>
                <w:bCs/>
                <w:i/>
                <w:iCs/>
                <w:color w:val="000000" w:themeColor="text1"/>
                <w:kern w:val="0"/>
                <w:sz w:val="24"/>
              </w:rPr>
              <w:t>P</w:t>
            </w:r>
            <w:r w:rsidRPr="0042775B">
              <w:rPr>
                <w:rFonts w:ascii="Book Antiqua" w:eastAsia="Malgun Gothic" w:hAnsi="Book Antiqua"/>
                <w:b/>
                <w:bCs/>
                <w:color w:val="000000" w:themeColor="text1"/>
                <w:kern w:val="0"/>
                <w:sz w:val="24"/>
              </w:rPr>
              <w:t xml:space="preserve"> value</w:t>
            </w:r>
          </w:p>
        </w:tc>
      </w:tr>
      <w:tr w:rsidR="0042775B" w:rsidRPr="00EA037B" w14:paraId="6D9FBE83" w14:textId="77777777" w:rsidTr="00FC698F">
        <w:trPr>
          <w:trHeight w:val="342"/>
        </w:trPr>
        <w:tc>
          <w:tcPr>
            <w:tcW w:w="3582" w:type="dxa"/>
            <w:vMerge/>
            <w:tcBorders>
              <w:left w:val="nil"/>
              <w:bottom w:val="single" w:sz="8" w:space="0" w:color="auto"/>
              <w:right w:val="nil"/>
            </w:tcBorders>
            <w:shd w:val="clear" w:color="auto" w:fill="auto"/>
            <w:vAlign w:val="center"/>
            <w:hideMark/>
          </w:tcPr>
          <w:p w14:paraId="6148A023" w14:textId="37C6ADA1" w:rsidR="0042775B" w:rsidRPr="009156D8" w:rsidRDefault="0042775B" w:rsidP="00EA037B">
            <w:pPr>
              <w:widowControl/>
              <w:wordWrap/>
              <w:autoSpaceDE/>
              <w:autoSpaceDN/>
              <w:spacing w:line="360" w:lineRule="auto"/>
              <w:rPr>
                <w:rFonts w:ascii="Book Antiqua" w:eastAsia="Malgun Gothic" w:hAnsi="Book Antiqua"/>
                <w:b/>
                <w:bCs/>
                <w:color w:val="000000" w:themeColor="text1"/>
                <w:kern w:val="0"/>
                <w:sz w:val="24"/>
              </w:rPr>
            </w:pPr>
          </w:p>
        </w:tc>
        <w:tc>
          <w:tcPr>
            <w:tcW w:w="3641" w:type="dxa"/>
            <w:vMerge/>
            <w:tcBorders>
              <w:left w:val="nil"/>
              <w:bottom w:val="single" w:sz="8" w:space="0" w:color="auto"/>
              <w:right w:val="nil"/>
            </w:tcBorders>
            <w:shd w:val="clear" w:color="auto" w:fill="auto"/>
            <w:vAlign w:val="center"/>
            <w:hideMark/>
          </w:tcPr>
          <w:p w14:paraId="3A3452EE" w14:textId="473E3010" w:rsidR="0042775B" w:rsidRPr="009156D8" w:rsidRDefault="0042775B" w:rsidP="00EA037B">
            <w:pPr>
              <w:widowControl/>
              <w:wordWrap/>
              <w:autoSpaceDE/>
              <w:autoSpaceDN/>
              <w:spacing w:line="360" w:lineRule="auto"/>
              <w:rPr>
                <w:rFonts w:ascii="Book Antiqua" w:eastAsia="Malgun Gothic" w:hAnsi="Book Antiqua"/>
                <w:b/>
                <w:bCs/>
                <w:color w:val="000000" w:themeColor="text1"/>
                <w:kern w:val="0"/>
                <w:sz w:val="24"/>
              </w:rPr>
            </w:pPr>
          </w:p>
        </w:tc>
        <w:tc>
          <w:tcPr>
            <w:tcW w:w="2142" w:type="dxa"/>
            <w:tcBorders>
              <w:top w:val="nil"/>
              <w:left w:val="nil"/>
              <w:bottom w:val="single" w:sz="8" w:space="0" w:color="auto"/>
              <w:right w:val="nil"/>
            </w:tcBorders>
            <w:shd w:val="clear" w:color="auto" w:fill="auto"/>
            <w:vAlign w:val="center"/>
            <w:hideMark/>
          </w:tcPr>
          <w:p w14:paraId="045E43BD" w14:textId="7FAE96F2" w:rsidR="0042775B" w:rsidRPr="009156D8"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9156D8">
              <w:rPr>
                <w:rFonts w:ascii="Book Antiqua" w:eastAsia="Malgun Gothic" w:hAnsi="Book Antiqua"/>
                <w:b/>
                <w:bCs/>
                <w:color w:val="000000" w:themeColor="text1"/>
                <w:kern w:val="0"/>
                <w:sz w:val="24"/>
              </w:rPr>
              <w:t>(</w:t>
            </w:r>
            <w:r w:rsidRPr="009156D8">
              <w:rPr>
                <w:rFonts w:ascii="Book Antiqua" w:eastAsia="Malgun Gothic" w:hAnsi="Book Antiqua"/>
                <w:b/>
                <w:bCs/>
                <w:i/>
                <w:iCs/>
                <w:color w:val="000000" w:themeColor="text1"/>
                <w:kern w:val="0"/>
                <w:sz w:val="24"/>
              </w:rPr>
              <w:t>n</w:t>
            </w:r>
            <w:r w:rsidRPr="009156D8">
              <w:rPr>
                <w:rFonts w:ascii="Book Antiqua" w:eastAsia="Malgun Gothic" w:hAnsi="Book Antiqua"/>
                <w:b/>
                <w:bCs/>
                <w:color w:val="000000" w:themeColor="text1"/>
                <w:kern w:val="0"/>
                <w:sz w:val="24"/>
              </w:rPr>
              <w:t xml:space="preserve"> =</w:t>
            </w:r>
            <w:r>
              <w:rPr>
                <w:rFonts w:ascii="Book Antiqua" w:eastAsia="Malgun Gothic" w:hAnsi="Book Antiqua"/>
                <w:b/>
                <w:bCs/>
                <w:color w:val="000000" w:themeColor="text1"/>
                <w:kern w:val="0"/>
                <w:sz w:val="24"/>
              </w:rPr>
              <w:t xml:space="preserve"> </w:t>
            </w:r>
            <w:r w:rsidRPr="009156D8">
              <w:rPr>
                <w:rFonts w:ascii="Book Antiqua" w:eastAsia="Malgun Gothic" w:hAnsi="Book Antiqua"/>
                <w:b/>
                <w:bCs/>
                <w:color w:val="000000" w:themeColor="text1"/>
                <w:kern w:val="0"/>
                <w:sz w:val="24"/>
              </w:rPr>
              <w:t>195) (%)</w:t>
            </w:r>
          </w:p>
        </w:tc>
        <w:tc>
          <w:tcPr>
            <w:tcW w:w="2001" w:type="dxa"/>
            <w:tcBorders>
              <w:top w:val="nil"/>
              <w:left w:val="nil"/>
              <w:bottom w:val="single" w:sz="8" w:space="0" w:color="auto"/>
              <w:right w:val="nil"/>
            </w:tcBorders>
            <w:shd w:val="clear" w:color="auto" w:fill="auto"/>
            <w:vAlign w:val="center"/>
            <w:hideMark/>
          </w:tcPr>
          <w:p w14:paraId="2F5963E1" w14:textId="67E1AC63" w:rsidR="0042775B" w:rsidRPr="009156D8" w:rsidRDefault="0042775B" w:rsidP="00EA037B">
            <w:pPr>
              <w:widowControl/>
              <w:wordWrap/>
              <w:autoSpaceDE/>
              <w:autoSpaceDN/>
              <w:spacing w:line="360" w:lineRule="auto"/>
              <w:rPr>
                <w:rFonts w:ascii="Book Antiqua" w:eastAsia="Malgun Gothic" w:hAnsi="Book Antiqua"/>
                <w:b/>
                <w:bCs/>
                <w:color w:val="000000" w:themeColor="text1"/>
                <w:kern w:val="0"/>
                <w:sz w:val="24"/>
              </w:rPr>
            </w:pPr>
            <w:r w:rsidRPr="009156D8">
              <w:rPr>
                <w:rFonts w:ascii="Book Antiqua" w:eastAsia="Malgun Gothic" w:hAnsi="Book Antiqua"/>
                <w:b/>
                <w:bCs/>
                <w:color w:val="000000" w:themeColor="text1"/>
                <w:kern w:val="0"/>
                <w:sz w:val="24"/>
              </w:rPr>
              <w:t>(</w:t>
            </w:r>
            <w:r w:rsidRPr="009156D8">
              <w:rPr>
                <w:rFonts w:ascii="Book Antiqua" w:eastAsia="Malgun Gothic" w:hAnsi="Book Antiqua"/>
                <w:b/>
                <w:bCs/>
                <w:i/>
                <w:iCs/>
                <w:color w:val="000000" w:themeColor="text1"/>
                <w:kern w:val="0"/>
                <w:sz w:val="24"/>
              </w:rPr>
              <w:t>n</w:t>
            </w:r>
            <w:r w:rsidRPr="009156D8">
              <w:rPr>
                <w:rFonts w:ascii="Book Antiqua" w:eastAsia="Malgun Gothic" w:hAnsi="Book Antiqua"/>
                <w:b/>
                <w:bCs/>
                <w:color w:val="000000" w:themeColor="text1"/>
                <w:kern w:val="0"/>
                <w:sz w:val="24"/>
              </w:rPr>
              <w:t xml:space="preserve"> =</w:t>
            </w:r>
            <w:r>
              <w:rPr>
                <w:rFonts w:ascii="Book Antiqua" w:eastAsia="Malgun Gothic" w:hAnsi="Book Antiqua"/>
                <w:b/>
                <w:bCs/>
                <w:color w:val="000000" w:themeColor="text1"/>
                <w:kern w:val="0"/>
                <w:sz w:val="24"/>
              </w:rPr>
              <w:t xml:space="preserve"> </w:t>
            </w:r>
            <w:r w:rsidRPr="009156D8">
              <w:rPr>
                <w:rFonts w:ascii="Book Antiqua" w:eastAsia="Malgun Gothic" w:hAnsi="Book Antiqua"/>
                <w:b/>
                <w:bCs/>
                <w:color w:val="000000" w:themeColor="text1"/>
                <w:kern w:val="0"/>
                <w:sz w:val="24"/>
              </w:rPr>
              <w:t>101) (%)</w:t>
            </w:r>
          </w:p>
        </w:tc>
        <w:tc>
          <w:tcPr>
            <w:tcW w:w="1675" w:type="dxa"/>
            <w:vMerge/>
            <w:tcBorders>
              <w:left w:val="nil"/>
              <w:bottom w:val="single" w:sz="8" w:space="0" w:color="auto"/>
              <w:right w:val="nil"/>
            </w:tcBorders>
            <w:shd w:val="clear" w:color="auto" w:fill="auto"/>
            <w:vAlign w:val="center"/>
            <w:hideMark/>
          </w:tcPr>
          <w:p w14:paraId="13598DC0" w14:textId="5BFFCED5" w:rsidR="0042775B" w:rsidRPr="009156D8" w:rsidRDefault="0042775B" w:rsidP="00EA037B">
            <w:pPr>
              <w:widowControl/>
              <w:wordWrap/>
              <w:autoSpaceDE/>
              <w:autoSpaceDN/>
              <w:spacing w:line="360" w:lineRule="auto"/>
              <w:rPr>
                <w:rFonts w:ascii="Book Antiqua" w:eastAsia="Malgun Gothic" w:hAnsi="Book Antiqua"/>
                <w:b/>
                <w:bCs/>
                <w:color w:val="000000" w:themeColor="text1"/>
                <w:kern w:val="0"/>
                <w:sz w:val="24"/>
              </w:rPr>
            </w:pPr>
          </w:p>
        </w:tc>
      </w:tr>
      <w:tr w:rsidR="00EA037B" w:rsidRPr="00EA037B" w14:paraId="57EC37D9" w14:textId="77777777" w:rsidTr="009156D8">
        <w:trPr>
          <w:trHeight w:val="358"/>
        </w:trPr>
        <w:tc>
          <w:tcPr>
            <w:tcW w:w="3582" w:type="dxa"/>
            <w:tcBorders>
              <w:top w:val="nil"/>
              <w:left w:val="nil"/>
              <w:bottom w:val="nil"/>
              <w:right w:val="nil"/>
            </w:tcBorders>
            <w:shd w:val="clear" w:color="auto" w:fill="auto"/>
            <w:vAlign w:val="center"/>
            <w:hideMark/>
          </w:tcPr>
          <w:p w14:paraId="245C978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Grade I</w:t>
            </w:r>
          </w:p>
        </w:tc>
        <w:tc>
          <w:tcPr>
            <w:tcW w:w="3641" w:type="dxa"/>
            <w:tcBorders>
              <w:top w:val="nil"/>
              <w:left w:val="nil"/>
              <w:bottom w:val="nil"/>
              <w:right w:val="nil"/>
            </w:tcBorders>
            <w:shd w:val="clear" w:color="auto" w:fill="auto"/>
            <w:vAlign w:val="center"/>
            <w:hideMark/>
          </w:tcPr>
          <w:p w14:paraId="0F2E24A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Wound</w:t>
            </w:r>
          </w:p>
        </w:tc>
        <w:tc>
          <w:tcPr>
            <w:tcW w:w="2142" w:type="dxa"/>
            <w:tcBorders>
              <w:top w:val="nil"/>
              <w:left w:val="nil"/>
              <w:bottom w:val="nil"/>
              <w:right w:val="nil"/>
            </w:tcBorders>
            <w:shd w:val="clear" w:color="auto" w:fill="auto"/>
            <w:vAlign w:val="center"/>
            <w:hideMark/>
          </w:tcPr>
          <w:p w14:paraId="784027BA"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w:t>
            </w:r>
          </w:p>
        </w:tc>
        <w:tc>
          <w:tcPr>
            <w:tcW w:w="2001" w:type="dxa"/>
            <w:tcBorders>
              <w:top w:val="nil"/>
              <w:left w:val="nil"/>
              <w:bottom w:val="nil"/>
              <w:right w:val="nil"/>
            </w:tcBorders>
            <w:shd w:val="clear" w:color="auto" w:fill="auto"/>
            <w:vAlign w:val="center"/>
            <w:hideMark/>
          </w:tcPr>
          <w:p w14:paraId="5040F25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w:t>
            </w:r>
          </w:p>
        </w:tc>
        <w:tc>
          <w:tcPr>
            <w:tcW w:w="1675" w:type="dxa"/>
            <w:tcBorders>
              <w:top w:val="nil"/>
              <w:left w:val="nil"/>
              <w:bottom w:val="nil"/>
              <w:right w:val="nil"/>
            </w:tcBorders>
            <w:shd w:val="clear" w:color="auto" w:fill="auto"/>
            <w:vAlign w:val="center"/>
            <w:hideMark/>
          </w:tcPr>
          <w:p w14:paraId="669E09D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0.519</w:t>
            </w:r>
          </w:p>
        </w:tc>
      </w:tr>
      <w:tr w:rsidR="00EA037B" w:rsidRPr="00EA037B" w14:paraId="45A2A5C7" w14:textId="77777777" w:rsidTr="009156D8">
        <w:trPr>
          <w:trHeight w:val="358"/>
        </w:trPr>
        <w:tc>
          <w:tcPr>
            <w:tcW w:w="3582" w:type="dxa"/>
            <w:tcBorders>
              <w:top w:val="nil"/>
              <w:left w:val="nil"/>
              <w:bottom w:val="nil"/>
              <w:right w:val="nil"/>
            </w:tcBorders>
            <w:shd w:val="clear" w:color="auto" w:fill="auto"/>
            <w:vAlign w:val="center"/>
            <w:hideMark/>
          </w:tcPr>
          <w:p w14:paraId="1C27694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2EFDD24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Ileus</w:t>
            </w:r>
          </w:p>
        </w:tc>
        <w:tc>
          <w:tcPr>
            <w:tcW w:w="2142" w:type="dxa"/>
            <w:tcBorders>
              <w:top w:val="nil"/>
              <w:left w:val="nil"/>
              <w:bottom w:val="nil"/>
              <w:right w:val="nil"/>
            </w:tcBorders>
            <w:shd w:val="clear" w:color="auto" w:fill="auto"/>
            <w:vAlign w:val="center"/>
            <w:hideMark/>
          </w:tcPr>
          <w:p w14:paraId="5A77FA2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3</w:t>
            </w:r>
          </w:p>
        </w:tc>
        <w:tc>
          <w:tcPr>
            <w:tcW w:w="2001" w:type="dxa"/>
            <w:tcBorders>
              <w:top w:val="nil"/>
              <w:left w:val="nil"/>
              <w:bottom w:val="nil"/>
              <w:right w:val="nil"/>
            </w:tcBorders>
            <w:shd w:val="clear" w:color="auto" w:fill="auto"/>
            <w:vAlign w:val="center"/>
            <w:hideMark/>
          </w:tcPr>
          <w:p w14:paraId="47C5862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w:t>
            </w:r>
          </w:p>
        </w:tc>
        <w:tc>
          <w:tcPr>
            <w:tcW w:w="1675" w:type="dxa"/>
            <w:tcBorders>
              <w:top w:val="nil"/>
              <w:left w:val="nil"/>
              <w:bottom w:val="nil"/>
              <w:right w:val="nil"/>
            </w:tcBorders>
            <w:shd w:val="clear" w:color="auto" w:fill="auto"/>
            <w:vAlign w:val="center"/>
            <w:hideMark/>
          </w:tcPr>
          <w:p w14:paraId="7FB7B4D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6DA26503" w14:textId="77777777" w:rsidTr="009156D8">
        <w:trPr>
          <w:trHeight w:val="358"/>
        </w:trPr>
        <w:tc>
          <w:tcPr>
            <w:tcW w:w="3582" w:type="dxa"/>
            <w:tcBorders>
              <w:top w:val="nil"/>
              <w:left w:val="nil"/>
              <w:bottom w:val="nil"/>
              <w:right w:val="nil"/>
            </w:tcBorders>
            <w:shd w:val="clear" w:color="auto" w:fill="auto"/>
            <w:vAlign w:val="center"/>
            <w:hideMark/>
          </w:tcPr>
          <w:p w14:paraId="0BBEAA5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2C98DC4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Delayed gastric emptying</w:t>
            </w:r>
          </w:p>
        </w:tc>
        <w:tc>
          <w:tcPr>
            <w:tcW w:w="2142" w:type="dxa"/>
            <w:tcBorders>
              <w:top w:val="nil"/>
              <w:left w:val="nil"/>
              <w:bottom w:val="nil"/>
              <w:right w:val="nil"/>
            </w:tcBorders>
            <w:shd w:val="clear" w:color="auto" w:fill="auto"/>
            <w:vAlign w:val="center"/>
            <w:hideMark/>
          </w:tcPr>
          <w:p w14:paraId="7F46D35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w:t>
            </w:r>
          </w:p>
        </w:tc>
        <w:tc>
          <w:tcPr>
            <w:tcW w:w="2001" w:type="dxa"/>
            <w:tcBorders>
              <w:top w:val="nil"/>
              <w:left w:val="nil"/>
              <w:bottom w:val="nil"/>
              <w:right w:val="nil"/>
            </w:tcBorders>
            <w:shd w:val="clear" w:color="auto" w:fill="auto"/>
            <w:vAlign w:val="center"/>
            <w:hideMark/>
          </w:tcPr>
          <w:p w14:paraId="5B2600F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3</w:t>
            </w:r>
          </w:p>
        </w:tc>
        <w:tc>
          <w:tcPr>
            <w:tcW w:w="1675" w:type="dxa"/>
            <w:tcBorders>
              <w:top w:val="nil"/>
              <w:left w:val="nil"/>
              <w:bottom w:val="nil"/>
              <w:right w:val="nil"/>
            </w:tcBorders>
            <w:shd w:val="clear" w:color="auto" w:fill="auto"/>
            <w:vAlign w:val="center"/>
            <w:hideMark/>
          </w:tcPr>
          <w:p w14:paraId="5BFF566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1A77AE7A" w14:textId="77777777" w:rsidTr="009156D8">
        <w:trPr>
          <w:trHeight w:val="358"/>
        </w:trPr>
        <w:tc>
          <w:tcPr>
            <w:tcW w:w="3582" w:type="dxa"/>
            <w:tcBorders>
              <w:top w:val="nil"/>
              <w:left w:val="nil"/>
              <w:bottom w:val="nil"/>
              <w:right w:val="nil"/>
            </w:tcBorders>
            <w:shd w:val="clear" w:color="auto" w:fill="auto"/>
            <w:vAlign w:val="center"/>
            <w:hideMark/>
          </w:tcPr>
          <w:p w14:paraId="0A0A1BC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40D771B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Urologic problem</w:t>
            </w:r>
          </w:p>
        </w:tc>
        <w:tc>
          <w:tcPr>
            <w:tcW w:w="2142" w:type="dxa"/>
            <w:tcBorders>
              <w:top w:val="nil"/>
              <w:left w:val="nil"/>
              <w:bottom w:val="nil"/>
              <w:right w:val="nil"/>
            </w:tcBorders>
            <w:shd w:val="clear" w:color="auto" w:fill="auto"/>
            <w:vAlign w:val="center"/>
            <w:hideMark/>
          </w:tcPr>
          <w:p w14:paraId="2433231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w:t>
            </w:r>
          </w:p>
        </w:tc>
        <w:tc>
          <w:tcPr>
            <w:tcW w:w="2001" w:type="dxa"/>
            <w:tcBorders>
              <w:top w:val="nil"/>
              <w:left w:val="nil"/>
              <w:bottom w:val="nil"/>
              <w:right w:val="nil"/>
            </w:tcBorders>
            <w:shd w:val="clear" w:color="auto" w:fill="auto"/>
            <w:vAlign w:val="center"/>
            <w:hideMark/>
          </w:tcPr>
          <w:p w14:paraId="58D63BD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w:t>
            </w:r>
          </w:p>
        </w:tc>
        <w:tc>
          <w:tcPr>
            <w:tcW w:w="1675" w:type="dxa"/>
            <w:tcBorders>
              <w:top w:val="nil"/>
              <w:left w:val="nil"/>
              <w:bottom w:val="nil"/>
              <w:right w:val="nil"/>
            </w:tcBorders>
            <w:shd w:val="clear" w:color="auto" w:fill="auto"/>
            <w:vAlign w:val="center"/>
            <w:hideMark/>
          </w:tcPr>
          <w:p w14:paraId="2DC2851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7F5FA5F8" w14:textId="77777777" w:rsidTr="009156D8">
        <w:trPr>
          <w:trHeight w:val="358"/>
        </w:trPr>
        <w:tc>
          <w:tcPr>
            <w:tcW w:w="3582" w:type="dxa"/>
            <w:tcBorders>
              <w:top w:val="nil"/>
              <w:left w:val="nil"/>
              <w:bottom w:val="nil"/>
              <w:right w:val="nil"/>
            </w:tcBorders>
            <w:shd w:val="clear" w:color="auto" w:fill="auto"/>
            <w:vAlign w:val="center"/>
            <w:hideMark/>
          </w:tcPr>
          <w:p w14:paraId="7C6D34D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Grade II</w:t>
            </w:r>
          </w:p>
        </w:tc>
        <w:tc>
          <w:tcPr>
            <w:tcW w:w="3641" w:type="dxa"/>
            <w:tcBorders>
              <w:top w:val="nil"/>
              <w:left w:val="nil"/>
              <w:bottom w:val="nil"/>
              <w:right w:val="nil"/>
            </w:tcBorders>
            <w:shd w:val="clear" w:color="auto" w:fill="auto"/>
            <w:vAlign w:val="center"/>
            <w:hideMark/>
          </w:tcPr>
          <w:p w14:paraId="04920B7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Ileus</w:t>
            </w:r>
          </w:p>
        </w:tc>
        <w:tc>
          <w:tcPr>
            <w:tcW w:w="2142" w:type="dxa"/>
            <w:tcBorders>
              <w:top w:val="nil"/>
              <w:left w:val="nil"/>
              <w:bottom w:val="nil"/>
              <w:right w:val="nil"/>
            </w:tcBorders>
            <w:shd w:val="clear" w:color="auto" w:fill="auto"/>
            <w:vAlign w:val="center"/>
            <w:hideMark/>
          </w:tcPr>
          <w:p w14:paraId="71CF37A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w:t>
            </w:r>
          </w:p>
        </w:tc>
        <w:tc>
          <w:tcPr>
            <w:tcW w:w="2001" w:type="dxa"/>
            <w:tcBorders>
              <w:top w:val="nil"/>
              <w:left w:val="nil"/>
              <w:bottom w:val="nil"/>
              <w:right w:val="nil"/>
            </w:tcBorders>
            <w:shd w:val="clear" w:color="auto" w:fill="auto"/>
            <w:vAlign w:val="center"/>
            <w:hideMark/>
          </w:tcPr>
          <w:p w14:paraId="35964CC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w:t>
            </w:r>
          </w:p>
        </w:tc>
        <w:tc>
          <w:tcPr>
            <w:tcW w:w="1675" w:type="dxa"/>
            <w:tcBorders>
              <w:top w:val="nil"/>
              <w:left w:val="nil"/>
              <w:bottom w:val="nil"/>
              <w:right w:val="nil"/>
            </w:tcBorders>
            <w:shd w:val="clear" w:color="auto" w:fill="auto"/>
            <w:vAlign w:val="center"/>
            <w:hideMark/>
          </w:tcPr>
          <w:p w14:paraId="620BF26A"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0.378</w:t>
            </w:r>
          </w:p>
        </w:tc>
      </w:tr>
      <w:tr w:rsidR="00EA037B" w:rsidRPr="00EA037B" w14:paraId="4AC8AD89" w14:textId="77777777" w:rsidTr="009156D8">
        <w:trPr>
          <w:trHeight w:val="358"/>
        </w:trPr>
        <w:tc>
          <w:tcPr>
            <w:tcW w:w="3582" w:type="dxa"/>
            <w:tcBorders>
              <w:top w:val="nil"/>
              <w:left w:val="nil"/>
              <w:bottom w:val="nil"/>
              <w:right w:val="nil"/>
            </w:tcBorders>
            <w:shd w:val="clear" w:color="auto" w:fill="auto"/>
            <w:vAlign w:val="center"/>
            <w:hideMark/>
          </w:tcPr>
          <w:p w14:paraId="136F16A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27C4CC6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Delayed gastric emptying</w:t>
            </w:r>
          </w:p>
        </w:tc>
        <w:tc>
          <w:tcPr>
            <w:tcW w:w="2142" w:type="dxa"/>
            <w:tcBorders>
              <w:top w:val="nil"/>
              <w:left w:val="nil"/>
              <w:bottom w:val="nil"/>
              <w:right w:val="nil"/>
            </w:tcBorders>
            <w:shd w:val="clear" w:color="auto" w:fill="auto"/>
            <w:vAlign w:val="center"/>
            <w:hideMark/>
          </w:tcPr>
          <w:p w14:paraId="43E1523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w:t>
            </w:r>
          </w:p>
        </w:tc>
        <w:tc>
          <w:tcPr>
            <w:tcW w:w="2001" w:type="dxa"/>
            <w:tcBorders>
              <w:top w:val="nil"/>
              <w:left w:val="nil"/>
              <w:bottom w:val="nil"/>
              <w:right w:val="nil"/>
            </w:tcBorders>
            <w:shd w:val="clear" w:color="auto" w:fill="auto"/>
            <w:vAlign w:val="center"/>
            <w:hideMark/>
          </w:tcPr>
          <w:p w14:paraId="361B216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w:t>
            </w:r>
          </w:p>
        </w:tc>
        <w:tc>
          <w:tcPr>
            <w:tcW w:w="1675" w:type="dxa"/>
            <w:tcBorders>
              <w:top w:val="nil"/>
              <w:left w:val="nil"/>
              <w:bottom w:val="nil"/>
              <w:right w:val="nil"/>
            </w:tcBorders>
            <w:shd w:val="clear" w:color="auto" w:fill="auto"/>
            <w:vAlign w:val="center"/>
            <w:hideMark/>
          </w:tcPr>
          <w:p w14:paraId="49DD531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0840B08C" w14:textId="77777777" w:rsidTr="009156D8">
        <w:trPr>
          <w:trHeight w:val="358"/>
        </w:trPr>
        <w:tc>
          <w:tcPr>
            <w:tcW w:w="3582" w:type="dxa"/>
            <w:tcBorders>
              <w:top w:val="nil"/>
              <w:left w:val="nil"/>
              <w:bottom w:val="nil"/>
              <w:right w:val="nil"/>
            </w:tcBorders>
            <w:shd w:val="clear" w:color="auto" w:fill="auto"/>
            <w:vAlign w:val="center"/>
            <w:hideMark/>
          </w:tcPr>
          <w:p w14:paraId="0FB62C0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5AC2BD9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Intra-abdominal abscess</w:t>
            </w:r>
          </w:p>
        </w:tc>
        <w:tc>
          <w:tcPr>
            <w:tcW w:w="2142" w:type="dxa"/>
            <w:tcBorders>
              <w:top w:val="nil"/>
              <w:left w:val="nil"/>
              <w:bottom w:val="nil"/>
              <w:right w:val="nil"/>
            </w:tcBorders>
            <w:shd w:val="clear" w:color="auto" w:fill="auto"/>
            <w:vAlign w:val="center"/>
            <w:hideMark/>
          </w:tcPr>
          <w:p w14:paraId="7BEF14A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w:t>
            </w:r>
          </w:p>
        </w:tc>
        <w:tc>
          <w:tcPr>
            <w:tcW w:w="2001" w:type="dxa"/>
            <w:tcBorders>
              <w:top w:val="nil"/>
              <w:left w:val="nil"/>
              <w:bottom w:val="nil"/>
              <w:right w:val="nil"/>
            </w:tcBorders>
            <w:shd w:val="clear" w:color="auto" w:fill="auto"/>
            <w:vAlign w:val="center"/>
            <w:hideMark/>
          </w:tcPr>
          <w:p w14:paraId="1DF9291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w:t>
            </w:r>
          </w:p>
        </w:tc>
        <w:tc>
          <w:tcPr>
            <w:tcW w:w="1675" w:type="dxa"/>
            <w:tcBorders>
              <w:top w:val="nil"/>
              <w:left w:val="nil"/>
              <w:bottom w:val="nil"/>
              <w:right w:val="nil"/>
            </w:tcBorders>
            <w:shd w:val="clear" w:color="auto" w:fill="auto"/>
            <w:vAlign w:val="center"/>
            <w:hideMark/>
          </w:tcPr>
          <w:p w14:paraId="7AAADF2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606B031F" w14:textId="77777777" w:rsidTr="009156D8">
        <w:trPr>
          <w:trHeight w:val="358"/>
        </w:trPr>
        <w:tc>
          <w:tcPr>
            <w:tcW w:w="3582" w:type="dxa"/>
            <w:tcBorders>
              <w:top w:val="nil"/>
              <w:left w:val="nil"/>
              <w:bottom w:val="nil"/>
              <w:right w:val="nil"/>
            </w:tcBorders>
            <w:shd w:val="clear" w:color="auto" w:fill="auto"/>
            <w:vAlign w:val="center"/>
            <w:hideMark/>
          </w:tcPr>
          <w:p w14:paraId="34C18D4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0054B86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Intra-abdominal bleeding</w:t>
            </w:r>
          </w:p>
        </w:tc>
        <w:tc>
          <w:tcPr>
            <w:tcW w:w="2142" w:type="dxa"/>
            <w:tcBorders>
              <w:top w:val="nil"/>
              <w:left w:val="nil"/>
              <w:bottom w:val="nil"/>
              <w:right w:val="nil"/>
            </w:tcBorders>
            <w:shd w:val="clear" w:color="auto" w:fill="auto"/>
            <w:vAlign w:val="center"/>
            <w:hideMark/>
          </w:tcPr>
          <w:p w14:paraId="4D330D5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w:t>
            </w:r>
          </w:p>
        </w:tc>
        <w:tc>
          <w:tcPr>
            <w:tcW w:w="2001" w:type="dxa"/>
            <w:tcBorders>
              <w:top w:val="nil"/>
              <w:left w:val="nil"/>
              <w:bottom w:val="nil"/>
              <w:right w:val="nil"/>
            </w:tcBorders>
            <w:shd w:val="clear" w:color="auto" w:fill="auto"/>
            <w:vAlign w:val="center"/>
            <w:hideMark/>
          </w:tcPr>
          <w:p w14:paraId="3A93150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w:t>
            </w:r>
          </w:p>
        </w:tc>
        <w:tc>
          <w:tcPr>
            <w:tcW w:w="1675" w:type="dxa"/>
            <w:tcBorders>
              <w:top w:val="nil"/>
              <w:left w:val="nil"/>
              <w:bottom w:val="nil"/>
              <w:right w:val="nil"/>
            </w:tcBorders>
            <w:shd w:val="clear" w:color="auto" w:fill="auto"/>
            <w:vAlign w:val="center"/>
            <w:hideMark/>
          </w:tcPr>
          <w:p w14:paraId="379B6B2A"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44D066B8" w14:textId="77777777" w:rsidTr="009156D8">
        <w:trPr>
          <w:trHeight w:val="358"/>
        </w:trPr>
        <w:tc>
          <w:tcPr>
            <w:tcW w:w="3582" w:type="dxa"/>
            <w:tcBorders>
              <w:top w:val="nil"/>
              <w:left w:val="nil"/>
              <w:bottom w:val="nil"/>
              <w:right w:val="nil"/>
            </w:tcBorders>
            <w:shd w:val="clear" w:color="auto" w:fill="auto"/>
            <w:vAlign w:val="center"/>
            <w:hideMark/>
          </w:tcPr>
          <w:p w14:paraId="0463A67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7DF4D8E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Acute cholecystitis</w:t>
            </w:r>
          </w:p>
        </w:tc>
        <w:tc>
          <w:tcPr>
            <w:tcW w:w="2142" w:type="dxa"/>
            <w:tcBorders>
              <w:top w:val="nil"/>
              <w:left w:val="nil"/>
              <w:bottom w:val="nil"/>
              <w:right w:val="nil"/>
            </w:tcBorders>
            <w:shd w:val="clear" w:color="auto" w:fill="auto"/>
            <w:vAlign w:val="center"/>
            <w:hideMark/>
          </w:tcPr>
          <w:p w14:paraId="3532C57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w:t>
            </w:r>
          </w:p>
        </w:tc>
        <w:tc>
          <w:tcPr>
            <w:tcW w:w="2001" w:type="dxa"/>
            <w:tcBorders>
              <w:top w:val="nil"/>
              <w:left w:val="nil"/>
              <w:bottom w:val="nil"/>
              <w:right w:val="nil"/>
            </w:tcBorders>
            <w:shd w:val="clear" w:color="auto" w:fill="auto"/>
            <w:vAlign w:val="center"/>
            <w:hideMark/>
          </w:tcPr>
          <w:p w14:paraId="77CDC66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w:t>
            </w:r>
          </w:p>
        </w:tc>
        <w:tc>
          <w:tcPr>
            <w:tcW w:w="1675" w:type="dxa"/>
            <w:tcBorders>
              <w:top w:val="nil"/>
              <w:left w:val="nil"/>
              <w:bottom w:val="nil"/>
              <w:right w:val="nil"/>
            </w:tcBorders>
            <w:shd w:val="clear" w:color="auto" w:fill="auto"/>
            <w:vAlign w:val="center"/>
            <w:hideMark/>
          </w:tcPr>
          <w:p w14:paraId="2C40963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29E9F862" w14:textId="77777777" w:rsidTr="009156D8">
        <w:trPr>
          <w:trHeight w:val="358"/>
        </w:trPr>
        <w:tc>
          <w:tcPr>
            <w:tcW w:w="3582" w:type="dxa"/>
            <w:tcBorders>
              <w:top w:val="nil"/>
              <w:left w:val="nil"/>
              <w:bottom w:val="nil"/>
              <w:right w:val="nil"/>
            </w:tcBorders>
            <w:shd w:val="clear" w:color="auto" w:fill="auto"/>
            <w:vAlign w:val="center"/>
            <w:hideMark/>
          </w:tcPr>
          <w:p w14:paraId="0A01826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76F46FE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Pulmonary problem</w:t>
            </w:r>
          </w:p>
        </w:tc>
        <w:tc>
          <w:tcPr>
            <w:tcW w:w="2142" w:type="dxa"/>
            <w:tcBorders>
              <w:top w:val="nil"/>
              <w:left w:val="nil"/>
              <w:bottom w:val="nil"/>
              <w:right w:val="nil"/>
            </w:tcBorders>
            <w:shd w:val="clear" w:color="auto" w:fill="auto"/>
            <w:vAlign w:val="center"/>
            <w:hideMark/>
          </w:tcPr>
          <w:p w14:paraId="1A76AE0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w:t>
            </w:r>
          </w:p>
        </w:tc>
        <w:tc>
          <w:tcPr>
            <w:tcW w:w="2001" w:type="dxa"/>
            <w:tcBorders>
              <w:top w:val="nil"/>
              <w:left w:val="nil"/>
              <w:bottom w:val="nil"/>
              <w:right w:val="nil"/>
            </w:tcBorders>
            <w:shd w:val="clear" w:color="auto" w:fill="auto"/>
            <w:vAlign w:val="center"/>
            <w:hideMark/>
          </w:tcPr>
          <w:p w14:paraId="55FE9DE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w:t>
            </w:r>
          </w:p>
        </w:tc>
        <w:tc>
          <w:tcPr>
            <w:tcW w:w="1675" w:type="dxa"/>
            <w:tcBorders>
              <w:top w:val="nil"/>
              <w:left w:val="nil"/>
              <w:bottom w:val="nil"/>
              <w:right w:val="nil"/>
            </w:tcBorders>
            <w:shd w:val="clear" w:color="auto" w:fill="auto"/>
            <w:vAlign w:val="center"/>
            <w:hideMark/>
          </w:tcPr>
          <w:p w14:paraId="23FC879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5AF51352" w14:textId="77777777" w:rsidTr="009156D8">
        <w:trPr>
          <w:trHeight w:val="358"/>
        </w:trPr>
        <w:tc>
          <w:tcPr>
            <w:tcW w:w="3582" w:type="dxa"/>
            <w:tcBorders>
              <w:top w:val="nil"/>
              <w:left w:val="nil"/>
              <w:bottom w:val="nil"/>
              <w:right w:val="nil"/>
            </w:tcBorders>
            <w:shd w:val="clear" w:color="auto" w:fill="auto"/>
            <w:vAlign w:val="center"/>
            <w:hideMark/>
          </w:tcPr>
          <w:p w14:paraId="0FEA833F"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32B9D1D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Urologic problem</w:t>
            </w:r>
          </w:p>
        </w:tc>
        <w:tc>
          <w:tcPr>
            <w:tcW w:w="2142" w:type="dxa"/>
            <w:tcBorders>
              <w:top w:val="nil"/>
              <w:left w:val="nil"/>
              <w:bottom w:val="nil"/>
              <w:right w:val="nil"/>
            </w:tcBorders>
            <w:shd w:val="clear" w:color="auto" w:fill="auto"/>
            <w:vAlign w:val="center"/>
            <w:hideMark/>
          </w:tcPr>
          <w:p w14:paraId="1DB409A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w:t>
            </w:r>
          </w:p>
        </w:tc>
        <w:tc>
          <w:tcPr>
            <w:tcW w:w="2001" w:type="dxa"/>
            <w:tcBorders>
              <w:top w:val="nil"/>
              <w:left w:val="nil"/>
              <w:bottom w:val="nil"/>
              <w:right w:val="nil"/>
            </w:tcBorders>
            <w:shd w:val="clear" w:color="auto" w:fill="auto"/>
            <w:vAlign w:val="center"/>
            <w:hideMark/>
          </w:tcPr>
          <w:p w14:paraId="1EE3691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w:t>
            </w:r>
          </w:p>
        </w:tc>
        <w:tc>
          <w:tcPr>
            <w:tcW w:w="1675" w:type="dxa"/>
            <w:tcBorders>
              <w:top w:val="nil"/>
              <w:left w:val="nil"/>
              <w:bottom w:val="nil"/>
              <w:right w:val="nil"/>
            </w:tcBorders>
            <w:shd w:val="clear" w:color="auto" w:fill="auto"/>
            <w:vAlign w:val="center"/>
            <w:hideMark/>
          </w:tcPr>
          <w:p w14:paraId="1543894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220EB8FA" w14:textId="77777777" w:rsidTr="009156D8">
        <w:trPr>
          <w:trHeight w:val="358"/>
        </w:trPr>
        <w:tc>
          <w:tcPr>
            <w:tcW w:w="3582" w:type="dxa"/>
            <w:tcBorders>
              <w:top w:val="nil"/>
              <w:left w:val="nil"/>
              <w:bottom w:val="nil"/>
              <w:right w:val="nil"/>
            </w:tcBorders>
            <w:shd w:val="clear" w:color="auto" w:fill="auto"/>
            <w:vAlign w:val="center"/>
            <w:hideMark/>
          </w:tcPr>
          <w:p w14:paraId="06F31E0A"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Grade III</w:t>
            </w:r>
          </w:p>
        </w:tc>
        <w:tc>
          <w:tcPr>
            <w:tcW w:w="3641" w:type="dxa"/>
            <w:tcBorders>
              <w:top w:val="nil"/>
              <w:left w:val="nil"/>
              <w:bottom w:val="nil"/>
              <w:right w:val="nil"/>
            </w:tcBorders>
            <w:shd w:val="clear" w:color="auto" w:fill="auto"/>
            <w:vAlign w:val="center"/>
            <w:hideMark/>
          </w:tcPr>
          <w:p w14:paraId="37D412AA" w14:textId="579F3026"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Wound</w:t>
            </w:r>
          </w:p>
        </w:tc>
        <w:tc>
          <w:tcPr>
            <w:tcW w:w="2142" w:type="dxa"/>
            <w:tcBorders>
              <w:top w:val="nil"/>
              <w:left w:val="nil"/>
              <w:bottom w:val="nil"/>
              <w:right w:val="nil"/>
            </w:tcBorders>
            <w:shd w:val="clear" w:color="auto" w:fill="auto"/>
            <w:vAlign w:val="center"/>
            <w:hideMark/>
          </w:tcPr>
          <w:p w14:paraId="5DDCE3F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w:t>
            </w:r>
          </w:p>
        </w:tc>
        <w:tc>
          <w:tcPr>
            <w:tcW w:w="2001" w:type="dxa"/>
            <w:tcBorders>
              <w:top w:val="nil"/>
              <w:left w:val="nil"/>
              <w:bottom w:val="nil"/>
              <w:right w:val="nil"/>
            </w:tcBorders>
            <w:shd w:val="clear" w:color="auto" w:fill="auto"/>
            <w:vAlign w:val="center"/>
            <w:hideMark/>
          </w:tcPr>
          <w:p w14:paraId="7E225D4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w:t>
            </w:r>
          </w:p>
        </w:tc>
        <w:tc>
          <w:tcPr>
            <w:tcW w:w="1675" w:type="dxa"/>
            <w:tcBorders>
              <w:top w:val="nil"/>
              <w:left w:val="nil"/>
              <w:bottom w:val="nil"/>
              <w:right w:val="nil"/>
            </w:tcBorders>
            <w:shd w:val="clear" w:color="auto" w:fill="auto"/>
            <w:vAlign w:val="center"/>
            <w:hideMark/>
          </w:tcPr>
          <w:p w14:paraId="0760A7B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0.282</w:t>
            </w:r>
          </w:p>
        </w:tc>
      </w:tr>
      <w:tr w:rsidR="00EA037B" w:rsidRPr="00EA037B" w14:paraId="4E00C540" w14:textId="77777777" w:rsidTr="009156D8">
        <w:trPr>
          <w:trHeight w:val="358"/>
        </w:trPr>
        <w:tc>
          <w:tcPr>
            <w:tcW w:w="3582" w:type="dxa"/>
            <w:tcBorders>
              <w:top w:val="nil"/>
              <w:left w:val="nil"/>
              <w:bottom w:val="nil"/>
              <w:right w:val="nil"/>
            </w:tcBorders>
            <w:shd w:val="clear" w:color="auto" w:fill="auto"/>
            <w:vAlign w:val="center"/>
            <w:hideMark/>
          </w:tcPr>
          <w:p w14:paraId="29DB09B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5310827A"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Delayed gastric emptying</w:t>
            </w:r>
          </w:p>
        </w:tc>
        <w:tc>
          <w:tcPr>
            <w:tcW w:w="2142" w:type="dxa"/>
            <w:tcBorders>
              <w:top w:val="nil"/>
              <w:left w:val="nil"/>
              <w:bottom w:val="nil"/>
              <w:right w:val="nil"/>
            </w:tcBorders>
            <w:shd w:val="clear" w:color="auto" w:fill="auto"/>
            <w:vAlign w:val="center"/>
            <w:hideMark/>
          </w:tcPr>
          <w:p w14:paraId="3B6A69B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w:t>
            </w:r>
          </w:p>
        </w:tc>
        <w:tc>
          <w:tcPr>
            <w:tcW w:w="2001" w:type="dxa"/>
            <w:tcBorders>
              <w:top w:val="nil"/>
              <w:left w:val="nil"/>
              <w:bottom w:val="nil"/>
              <w:right w:val="nil"/>
            </w:tcBorders>
            <w:shd w:val="clear" w:color="auto" w:fill="auto"/>
            <w:vAlign w:val="center"/>
            <w:hideMark/>
          </w:tcPr>
          <w:p w14:paraId="7C66AB2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4</w:t>
            </w:r>
          </w:p>
        </w:tc>
        <w:tc>
          <w:tcPr>
            <w:tcW w:w="1675" w:type="dxa"/>
            <w:tcBorders>
              <w:top w:val="nil"/>
              <w:left w:val="nil"/>
              <w:bottom w:val="nil"/>
              <w:right w:val="nil"/>
            </w:tcBorders>
            <w:shd w:val="clear" w:color="auto" w:fill="auto"/>
            <w:vAlign w:val="center"/>
            <w:hideMark/>
          </w:tcPr>
          <w:p w14:paraId="09C10C4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5DDC9EEC" w14:textId="77777777" w:rsidTr="009156D8">
        <w:trPr>
          <w:trHeight w:val="358"/>
        </w:trPr>
        <w:tc>
          <w:tcPr>
            <w:tcW w:w="3582" w:type="dxa"/>
            <w:tcBorders>
              <w:top w:val="nil"/>
              <w:left w:val="nil"/>
              <w:bottom w:val="nil"/>
              <w:right w:val="nil"/>
            </w:tcBorders>
            <w:shd w:val="clear" w:color="auto" w:fill="auto"/>
            <w:vAlign w:val="center"/>
            <w:hideMark/>
          </w:tcPr>
          <w:p w14:paraId="0E9C10B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nil"/>
              <w:right w:val="nil"/>
            </w:tcBorders>
            <w:shd w:val="clear" w:color="auto" w:fill="auto"/>
            <w:vAlign w:val="center"/>
            <w:hideMark/>
          </w:tcPr>
          <w:p w14:paraId="143984D0" w14:textId="11070803"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Anastomotic leakage</w:t>
            </w:r>
          </w:p>
        </w:tc>
        <w:tc>
          <w:tcPr>
            <w:tcW w:w="2142" w:type="dxa"/>
            <w:tcBorders>
              <w:top w:val="nil"/>
              <w:left w:val="nil"/>
              <w:bottom w:val="nil"/>
              <w:right w:val="nil"/>
            </w:tcBorders>
            <w:shd w:val="clear" w:color="auto" w:fill="auto"/>
            <w:vAlign w:val="center"/>
            <w:hideMark/>
          </w:tcPr>
          <w:p w14:paraId="7DA8D49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w:t>
            </w:r>
          </w:p>
        </w:tc>
        <w:tc>
          <w:tcPr>
            <w:tcW w:w="2001" w:type="dxa"/>
            <w:tcBorders>
              <w:top w:val="nil"/>
              <w:left w:val="nil"/>
              <w:bottom w:val="nil"/>
              <w:right w:val="nil"/>
            </w:tcBorders>
            <w:shd w:val="clear" w:color="auto" w:fill="auto"/>
            <w:vAlign w:val="center"/>
            <w:hideMark/>
          </w:tcPr>
          <w:p w14:paraId="50F1559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w:t>
            </w:r>
          </w:p>
        </w:tc>
        <w:tc>
          <w:tcPr>
            <w:tcW w:w="1675" w:type="dxa"/>
            <w:tcBorders>
              <w:top w:val="nil"/>
              <w:left w:val="nil"/>
              <w:bottom w:val="nil"/>
              <w:right w:val="nil"/>
            </w:tcBorders>
            <w:shd w:val="clear" w:color="auto" w:fill="auto"/>
            <w:vAlign w:val="center"/>
            <w:hideMark/>
          </w:tcPr>
          <w:p w14:paraId="556D518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15E0C378" w14:textId="77777777" w:rsidTr="009156D8">
        <w:trPr>
          <w:trHeight w:val="358"/>
        </w:trPr>
        <w:tc>
          <w:tcPr>
            <w:tcW w:w="3582" w:type="dxa"/>
            <w:tcBorders>
              <w:top w:val="nil"/>
              <w:left w:val="nil"/>
              <w:right w:val="nil"/>
            </w:tcBorders>
            <w:shd w:val="clear" w:color="auto" w:fill="auto"/>
            <w:vAlign w:val="center"/>
            <w:hideMark/>
          </w:tcPr>
          <w:p w14:paraId="73C9B48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right w:val="nil"/>
            </w:tcBorders>
            <w:shd w:val="clear" w:color="auto" w:fill="auto"/>
            <w:vAlign w:val="center"/>
            <w:hideMark/>
          </w:tcPr>
          <w:p w14:paraId="1C1E7A8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Anastomosis bleeding</w:t>
            </w:r>
          </w:p>
        </w:tc>
        <w:tc>
          <w:tcPr>
            <w:tcW w:w="2142" w:type="dxa"/>
            <w:tcBorders>
              <w:top w:val="nil"/>
              <w:left w:val="nil"/>
              <w:right w:val="nil"/>
            </w:tcBorders>
            <w:shd w:val="clear" w:color="auto" w:fill="auto"/>
            <w:vAlign w:val="center"/>
            <w:hideMark/>
          </w:tcPr>
          <w:p w14:paraId="584E5ED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w:t>
            </w:r>
          </w:p>
        </w:tc>
        <w:tc>
          <w:tcPr>
            <w:tcW w:w="2001" w:type="dxa"/>
            <w:tcBorders>
              <w:top w:val="nil"/>
              <w:left w:val="nil"/>
              <w:right w:val="nil"/>
            </w:tcBorders>
            <w:shd w:val="clear" w:color="auto" w:fill="auto"/>
            <w:vAlign w:val="center"/>
            <w:hideMark/>
          </w:tcPr>
          <w:p w14:paraId="5199058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w:t>
            </w:r>
          </w:p>
        </w:tc>
        <w:tc>
          <w:tcPr>
            <w:tcW w:w="1675" w:type="dxa"/>
            <w:tcBorders>
              <w:top w:val="nil"/>
              <w:left w:val="nil"/>
              <w:right w:val="nil"/>
            </w:tcBorders>
            <w:shd w:val="clear" w:color="auto" w:fill="auto"/>
            <w:vAlign w:val="center"/>
            <w:hideMark/>
          </w:tcPr>
          <w:p w14:paraId="7675879F"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3B8505C2" w14:textId="77777777" w:rsidTr="009156D8">
        <w:trPr>
          <w:trHeight w:val="358"/>
        </w:trPr>
        <w:tc>
          <w:tcPr>
            <w:tcW w:w="3582" w:type="dxa"/>
            <w:tcBorders>
              <w:top w:val="nil"/>
              <w:left w:val="nil"/>
              <w:bottom w:val="single" w:sz="4" w:space="0" w:color="auto"/>
              <w:right w:val="nil"/>
            </w:tcBorders>
            <w:shd w:val="clear" w:color="auto" w:fill="auto"/>
            <w:vAlign w:val="center"/>
            <w:hideMark/>
          </w:tcPr>
          <w:p w14:paraId="6AB78AD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Grade IV</w:t>
            </w:r>
          </w:p>
        </w:tc>
        <w:tc>
          <w:tcPr>
            <w:tcW w:w="3641" w:type="dxa"/>
            <w:tcBorders>
              <w:top w:val="nil"/>
              <w:left w:val="nil"/>
              <w:bottom w:val="single" w:sz="4" w:space="0" w:color="auto"/>
              <w:right w:val="nil"/>
            </w:tcBorders>
            <w:shd w:val="clear" w:color="auto" w:fill="auto"/>
            <w:vAlign w:val="center"/>
            <w:hideMark/>
          </w:tcPr>
          <w:p w14:paraId="1E5729F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Septic shock</w:t>
            </w:r>
          </w:p>
        </w:tc>
        <w:tc>
          <w:tcPr>
            <w:tcW w:w="2142" w:type="dxa"/>
            <w:tcBorders>
              <w:top w:val="nil"/>
              <w:left w:val="nil"/>
              <w:bottom w:val="single" w:sz="4" w:space="0" w:color="auto"/>
              <w:right w:val="nil"/>
            </w:tcBorders>
            <w:shd w:val="clear" w:color="auto" w:fill="auto"/>
            <w:vAlign w:val="center"/>
            <w:hideMark/>
          </w:tcPr>
          <w:p w14:paraId="10F0940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w:t>
            </w:r>
          </w:p>
        </w:tc>
        <w:tc>
          <w:tcPr>
            <w:tcW w:w="2001" w:type="dxa"/>
            <w:tcBorders>
              <w:top w:val="nil"/>
              <w:left w:val="nil"/>
              <w:bottom w:val="single" w:sz="4" w:space="0" w:color="auto"/>
              <w:right w:val="nil"/>
            </w:tcBorders>
            <w:shd w:val="clear" w:color="auto" w:fill="auto"/>
            <w:vAlign w:val="center"/>
            <w:hideMark/>
          </w:tcPr>
          <w:p w14:paraId="786AF6E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w:t>
            </w:r>
          </w:p>
        </w:tc>
        <w:tc>
          <w:tcPr>
            <w:tcW w:w="1675" w:type="dxa"/>
            <w:tcBorders>
              <w:top w:val="nil"/>
              <w:left w:val="nil"/>
              <w:bottom w:val="single" w:sz="4" w:space="0" w:color="auto"/>
              <w:right w:val="nil"/>
            </w:tcBorders>
            <w:shd w:val="clear" w:color="auto" w:fill="auto"/>
            <w:vAlign w:val="center"/>
            <w:hideMark/>
          </w:tcPr>
          <w:p w14:paraId="3A8FD90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0.999</w:t>
            </w:r>
          </w:p>
        </w:tc>
      </w:tr>
      <w:tr w:rsidR="00EA037B" w:rsidRPr="00EA037B" w14:paraId="2CDCCE9E" w14:textId="77777777" w:rsidTr="009156D8">
        <w:trPr>
          <w:trHeight w:val="319"/>
        </w:trPr>
        <w:tc>
          <w:tcPr>
            <w:tcW w:w="3582" w:type="dxa"/>
            <w:tcBorders>
              <w:top w:val="single" w:sz="4" w:space="0" w:color="auto"/>
              <w:left w:val="nil"/>
              <w:bottom w:val="nil"/>
              <w:right w:val="nil"/>
            </w:tcBorders>
            <w:shd w:val="clear" w:color="auto" w:fill="auto"/>
            <w:vAlign w:val="center"/>
            <w:hideMark/>
          </w:tcPr>
          <w:p w14:paraId="793AA9C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Overall Complications</w:t>
            </w:r>
          </w:p>
        </w:tc>
        <w:tc>
          <w:tcPr>
            <w:tcW w:w="3641" w:type="dxa"/>
            <w:tcBorders>
              <w:top w:val="single" w:sz="4" w:space="0" w:color="auto"/>
              <w:left w:val="nil"/>
              <w:bottom w:val="nil"/>
              <w:right w:val="nil"/>
            </w:tcBorders>
            <w:shd w:val="clear" w:color="auto" w:fill="auto"/>
            <w:vAlign w:val="center"/>
            <w:hideMark/>
          </w:tcPr>
          <w:p w14:paraId="5A8F5FDA" w14:textId="55CB0546"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Absent</w:t>
            </w:r>
          </w:p>
        </w:tc>
        <w:tc>
          <w:tcPr>
            <w:tcW w:w="2142" w:type="dxa"/>
            <w:tcBorders>
              <w:top w:val="single" w:sz="4" w:space="0" w:color="auto"/>
              <w:left w:val="nil"/>
              <w:bottom w:val="nil"/>
              <w:right w:val="nil"/>
            </w:tcBorders>
            <w:shd w:val="clear" w:color="auto" w:fill="auto"/>
            <w:vAlign w:val="center"/>
            <w:hideMark/>
          </w:tcPr>
          <w:p w14:paraId="495D091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179 (91.8)</w:t>
            </w:r>
          </w:p>
        </w:tc>
        <w:tc>
          <w:tcPr>
            <w:tcW w:w="2001" w:type="dxa"/>
            <w:tcBorders>
              <w:top w:val="single" w:sz="4" w:space="0" w:color="auto"/>
              <w:left w:val="nil"/>
              <w:bottom w:val="nil"/>
              <w:right w:val="nil"/>
            </w:tcBorders>
            <w:shd w:val="clear" w:color="auto" w:fill="auto"/>
            <w:vAlign w:val="center"/>
            <w:hideMark/>
          </w:tcPr>
          <w:p w14:paraId="1132512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86 (85.1)</w:t>
            </w:r>
          </w:p>
        </w:tc>
        <w:tc>
          <w:tcPr>
            <w:tcW w:w="1675" w:type="dxa"/>
            <w:tcBorders>
              <w:top w:val="single" w:sz="4" w:space="0" w:color="auto"/>
              <w:left w:val="nil"/>
              <w:bottom w:val="nil"/>
              <w:right w:val="nil"/>
            </w:tcBorders>
            <w:shd w:val="clear" w:color="auto" w:fill="auto"/>
            <w:vAlign w:val="center"/>
            <w:hideMark/>
          </w:tcPr>
          <w:p w14:paraId="525F4B6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0.108</w:t>
            </w:r>
          </w:p>
        </w:tc>
      </w:tr>
      <w:tr w:rsidR="00EA037B" w:rsidRPr="00EA037B" w14:paraId="1378D61E" w14:textId="77777777" w:rsidTr="009156D8">
        <w:trPr>
          <w:trHeight w:val="358"/>
        </w:trPr>
        <w:tc>
          <w:tcPr>
            <w:tcW w:w="3582" w:type="dxa"/>
            <w:tcBorders>
              <w:top w:val="nil"/>
              <w:left w:val="nil"/>
              <w:bottom w:val="single" w:sz="4" w:space="0" w:color="auto"/>
              <w:right w:val="nil"/>
            </w:tcBorders>
            <w:shd w:val="clear" w:color="auto" w:fill="auto"/>
            <w:vAlign w:val="center"/>
            <w:hideMark/>
          </w:tcPr>
          <w:p w14:paraId="2DEF4436" w14:textId="0F1084D9"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single" w:sz="4" w:space="0" w:color="auto"/>
              <w:right w:val="nil"/>
            </w:tcBorders>
            <w:shd w:val="clear" w:color="auto" w:fill="auto"/>
            <w:vAlign w:val="center"/>
            <w:hideMark/>
          </w:tcPr>
          <w:p w14:paraId="4F18AA07" w14:textId="68963262"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Present</w:t>
            </w:r>
          </w:p>
        </w:tc>
        <w:tc>
          <w:tcPr>
            <w:tcW w:w="2142" w:type="dxa"/>
            <w:tcBorders>
              <w:top w:val="nil"/>
              <w:left w:val="nil"/>
              <w:bottom w:val="single" w:sz="4" w:space="0" w:color="auto"/>
              <w:right w:val="nil"/>
            </w:tcBorders>
            <w:shd w:val="clear" w:color="auto" w:fill="auto"/>
            <w:vAlign w:val="center"/>
            <w:hideMark/>
          </w:tcPr>
          <w:p w14:paraId="003FA34B"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16 (8.2)</w:t>
            </w:r>
          </w:p>
        </w:tc>
        <w:tc>
          <w:tcPr>
            <w:tcW w:w="2001" w:type="dxa"/>
            <w:tcBorders>
              <w:top w:val="nil"/>
              <w:left w:val="nil"/>
              <w:bottom w:val="single" w:sz="4" w:space="0" w:color="auto"/>
              <w:right w:val="nil"/>
            </w:tcBorders>
            <w:shd w:val="clear" w:color="auto" w:fill="auto"/>
            <w:vAlign w:val="center"/>
            <w:hideMark/>
          </w:tcPr>
          <w:p w14:paraId="2468121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15 (14.9)</w:t>
            </w:r>
          </w:p>
        </w:tc>
        <w:tc>
          <w:tcPr>
            <w:tcW w:w="1675" w:type="dxa"/>
            <w:tcBorders>
              <w:top w:val="nil"/>
              <w:left w:val="nil"/>
              <w:bottom w:val="single" w:sz="4" w:space="0" w:color="auto"/>
              <w:right w:val="nil"/>
            </w:tcBorders>
            <w:shd w:val="clear" w:color="auto" w:fill="auto"/>
            <w:vAlign w:val="center"/>
            <w:hideMark/>
          </w:tcPr>
          <w:p w14:paraId="4789FB41" w14:textId="07C53142"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3A1189EE" w14:textId="77777777" w:rsidTr="009156D8">
        <w:trPr>
          <w:trHeight w:val="435"/>
        </w:trPr>
        <w:tc>
          <w:tcPr>
            <w:tcW w:w="3582" w:type="dxa"/>
            <w:tcBorders>
              <w:top w:val="nil"/>
              <w:left w:val="nil"/>
              <w:bottom w:val="nil"/>
              <w:right w:val="nil"/>
            </w:tcBorders>
            <w:shd w:val="clear" w:color="auto" w:fill="auto"/>
            <w:vAlign w:val="center"/>
            <w:hideMark/>
          </w:tcPr>
          <w:p w14:paraId="1DBAE6C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Delayed gastric emptying</w:t>
            </w:r>
          </w:p>
        </w:tc>
        <w:tc>
          <w:tcPr>
            <w:tcW w:w="3641" w:type="dxa"/>
            <w:tcBorders>
              <w:top w:val="nil"/>
              <w:left w:val="nil"/>
              <w:bottom w:val="nil"/>
              <w:right w:val="nil"/>
            </w:tcBorders>
            <w:shd w:val="clear" w:color="auto" w:fill="auto"/>
            <w:vAlign w:val="center"/>
            <w:hideMark/>
          </w:tcPr>
          <w:p w14:paraId="2634751A" w14:textId="6517BF4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Absent</w:t>
            </w:r>
          </w:p>
        </w:tc>
        <w:tc>
          <w:tcPr>
            <w:tcW w:w="2142" w:type="dxa"/>
            <w:tcBorders>
              <w:top w:val="nil"/>
              <w:left w:val="nil"/>
              <w:bottom w:val="nil"/>
              <w:right w:val="nil"/>
            </w:tcBorders>
            <w:shd w:val="clear" w:color="auto" w:fill="auto"/>
            <w:noWrap/>
            <w:vAlign w:val="center"/>
            <w:hideMark/>
          </w:tcPr>
          <w:p w14:paraId="457D363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193 (99.0)</w:t>
            </w:r>
          </w:p>
        </w:tc>
        <w:tc>
          <w:tcPr>
            <w:tcW w:w="2001" w:type="dxa"/>
            <w:tcBorders>
              <w:top w:val="nil"/>
              <w:left w:val="nil"/>
              <w:bottom w:val="nil"/>
              <w:right w:val="nil"/>
            </w:tcBorders>
            <w:shd w:val="clear" w:color="auto" w:fill="auto"/>
            <w:noWrap/>
            <w:vAlign w:val="center"/>
            <w:hideMark/>
          </w:tcPr>
          <w:p w14:paraId="6F96D38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92 (91.1)</w:t>
            </w:r>
          </w:p>
        </w:tc>
        <w:tc>
          <w:tcPr>
            <w:tcW w:w="1675" w:type="dxa"/>
            <w:tcBorders>
              <w:top w:val="nil"/>
              <w:left w:val="nil"/>
              <w:bottom w:val="nil"/>
              <w:right w:val="nil"/>
            </w:tcBorders>
            <w:shd w:val="clear" w:color="auto" w:fill="auto"/>
            <w:noWrap/>
            <w:vAlign w:val="center"/>
            <w:hideMark/>
          </w:tcPr>
          <w:p w14:paraId="083D7DD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0.001</w:t>
            </w:r>
          </w:p>
        </w:tc>
      </w:tr>
      <w:tr w:rsidR="00EA037B" w:rsidRPr="00EA037B" w14:paraId="6B5CC8C4" w14:textId="77777777" w:rsidTr="009156D8">
        <w:trPr>
          <w:trHeight w:val="358"/>
        </w:trPr>
        <w:tc>
          <w:tcPr>
            <w:tcW w:w="3582" w:type="dxa"/>
            <w:tcBorders>
              <w:top w:val="nil"/>
              <w:left w:val="nil"/>
              <w:bottom w:val="single" w:sz="8" w:space="0" w:color="auto"/>
              <w:right w:val="nil"/>
            </w:tcBorders>
            <w:shd w:val="clear" w:color="auto" w:fill="auto"/>
            <w:vAlign w:val="center"/>
            <w:hideMark/>
          </w:tcPr>
          <w:p w14:paraId="4DE54DB8" w14:textId="5AAF3852"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641" w:type="dxa"/>
            <w:tcBorders>
              <w:top w:val="nil"/>
              <w:left w:val="nil"/>
              <w:bottom w:val="single" w:sz="8" w:space="0" w:color="auto"/>
              <w:right w:val="nil"/>
            </w:tcBorders>
            <w:shd w:val="clear" w:color="auto" w:fill="auto"/>
            <w:vAlign w:val="center"/>
            <w:hideMark/>
          </w:tcPr>
          <w:p w14:paraId="70E37903" w14:textId="5B11F34A"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Present</w:t>
            </w:r>
          </w:p>
        </w:tc>
        <w:tc>
          <w:tcPr>
            <w:tcW w:w="2142" w:type="dxa"/>
            <w:tcBorders>
              <w:top w:val="nil"/>
              <w:left w:val="nil"/>
              <w:bottom w:val="single" w:sz="8" w:space="0" w:color="auto"/>
              <w:right w:val="nil"/>
            </w:tcBorders>
            <w:shd w:val="clear" w:color="auto" w:fill="auto"/>
            <w:noWrap/>
            <w:vAlign w:val="center"/>
            <w:hideMark/>
          </w:tcPr>
          <w:p w14:paraId="61A65AE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 (1.0)</w:t>
            </w:r>
          </w:p>
        </w:tc>
        <w:tc>
          <w:tcPr>
            <w:tcW w:w="2001" w:type="dxa"/>
            <w:tcBorders>
              <w:top w:val="nil"/>
              <w:left w:val="nil"/>
              <w:bottom w:val="single" w:sz="8" w:space="0" w:color="auto"/>
              <w:right w:val="nil"/>
            </w:tcBorders>
            <w:shd w:val="clear" w:color="auto" w:fill="auto"/>
            <w:noWrap/>
            <w:vAlign w:val="center"/>
            <w:hideMark/>
          </w:tcPr>
          <w:p w14:paraId="45F94E1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9 (8.9)</w:t>
            </w:r>
          </w:p>
        </w:tc>
        <w:tc>
          <w:tcPr>
            <w:tcW w:w="1675" w:type="dxa"/>
            <w:tcBorders>
              <w:top w:val="nil"/>
              <w:left w:val="nil"/>
              <w:bottom w:val="single" w:sz="8" w:space="0" w:color="auto"/>
              <w:right w:val="nil"/>
            </w:tcBorders>
            <w:shd w:val="clear" w:color="auto" w:fill="auto"/>
            <w:noWrap/>
            <w:vAlign w:val="center"/>
            <w:hideMark/>
          </w:tcPr>
          <w:p w14:paraId="0834C456" w14:textId="32FF5BD6"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bl>
    <w:p w14:paraId="618F09E0" w14:textId="16D5E879" w:rsidR="00182B6E" w:rsidRDefault="009C2F9A" w:rsidP="00EA037B">
      <w:pPr>
        <w:widowControl/>
        <w:wordWrap/>
        <w:autoSpaceDE/>
        <w:autoSpaceDN/>
        <w:spacing w:line="360" w:lineRule="auto"/>
        <w:rPr>
          <w:rFonts w:ascii="Book Antiqua" w:hAnsi="Book Antiqua"/>
          <w:color w:val="000000" w:themeColor="text1"/>
          <w:sz w:val="24"/>
        </w:rPr>
      </w:pPr>
      <w:r w:rsidRPr="00EA037B">
        <w:rPr>
          <w:rFonts w:ascii="Book Antiqua" w:hAnsi="Book Antiqua"/>
          <w:color w:val="000000" w:themeColor="text1"/>
          <w:sz w:val="24"/>
        </w:rPr>
        <w:t>LADG</w:t>
      </w:r>
      <w:r w:rsidR="009156D8">
        <w:rPr>
          <w:rFonts w:ascii="Book Antiqua" w:hAnsi="Book Antiqua"/>
          <w:color w:val="000000" w:themeColor="text1"/>
          <w:sz w:val="24"/>
        </w:rPr>
        <w:t>:</w:t>
      </w:r>
      <w:r w:rsidRPr="00EA037B">
        <w:rPr>
          <w:rFonts w:ascii="Book Antiqua" w:hAnsi="Book Antiqua"/>
          <w:color w:val="000000" w:themeColor="text1"/>
          <w:sz w:val="24"/>
        </w:rPr>
        <w:t xml:space="preserve"> </w:t>
      </w:r>
      <w:r w:rsidR="009156D8" w:rsidRPr="00EA037B">
        <w:rPr>
          <w:rFonts w:ascii="Book Antiqua" w:hAnsi="Book Antiqua"/>
          <w:color w:val="000000" w:themeColor="text1"/>
          <w:sz w:val="24"/>
        </w:rPr>
        <w:t>L</w:t>
      </w:r>
      <w:r w:rsidRPr="00EA037B">
        <w:rPr>
          <w:rFonts w:ascii="Book Antiqua" w:hAnsi="Book Antiqua"/>
          <w:color w:val="000000" w:themeColor="text1"/>
          <w:sz w:val="24"/>
        </w:rPr>
        <w:t>aparoscopy-assisted distal gastrectomy; LAPPG</w:t>
      </w:r>
      <w:r w:rsidR="009156D8">
        <w:rPr>
          <w:rFonts w:ascii="Book Antiqua" w:hAnsi="Book Antiqua"/>
          <w:color w:val="000000" w:themeColor="text1"/>
          <w:sz w:val="24"/>
        </w:rPr>
        <w:t>:</w:t>
      </w:r>
      <w:r w:rsidRPr="00EA037B">
        <w:rPr>
          <w:rFonts w:ascii="Book Antiqua" w:hAnsi="Book Antiqua"/>
          <w:color w:val="000000" w:themeColor="text1"/>
          <w:sz w:val="24"/>
        </w:rPr>
        <w:t xml:space="preserve"> </w:t>
      </w:r>
      <w:r w:rsidR="009156D8" w:rsidRPr="00EA037B">
        <w:rPr>
          <w:rFonts w:ascii="Book Antiqua" w:hAnsi="Book Antiqua"/>
          <w:color w:val="000000" w:themeColor="text1"/>
          <w:sz w:val="24"/>
        </w:rPr>
        <w:t>L</w:t>
      </w:r>
      <w:r w:rsidRPr="00EA037B">
        <w:rPr>
          <w:rFonts w:ascii="Book Antiqua" w:hAnsi="Book Antiqua"/>
          <w:color w:val="000000" w:themeColor="text1"/>
          <w:sz w:val="24"/>
        </w:rPr>
        <w:t>aparoscopy-assisted pylorus preserving gastrectomy</w:t>
      </w:r>
      <w:r w:rsidR="009156D8">
        <w:rPr>
          <w:rFonts w:ascii="Book Antiqua" w:hAnsi="Book Antiqua"/>
          <w:color w:val="000000" w:themeColor="text1"/>
          <w:sz w:val="24"/>
        </w:rPr>
        <w:t>.</w:t>
      </w:r>
    </w:p>
    <w:p w14:paraId="7EF6E677" w14:textId="77777777" w:rsidR="009156D8" w:rsidRPr="00EA037B" w:rsidRDefault="009156D8" w:rsidP="00EA037B">
      <w:pPr>
        <w:widowControl/>
        <w:wordWrap/>
        <w:autoSpaceDE/>
        <w:autoSpaceDN/>
        <w:spacing w:line="360" w:lineRule="auto"/>
        <w:rPr>
          <w:rFonts w:ascii="Book Antiqua" w:hAnsi="Book Antiqua"/>
          <w:color w:val="000000" w:themeColor="text1"/>
          <w:sz w:val="24"/>
        </w:rPr>
      </w:pPr>
    </w:p>
    <w:p w14:paraId="477ACE2F" w14:textId="1A133106" w:rsidR="009156D8" w:rsidRDefault="009156D8">
      <w:pPr>
        <w:widowControl/>
        <w:wordWrap/>
        <w:autoSpaceDE/>
        <w:autoSpaceDN/>
        <w:spacing w:after="200" w:line="276" w:lineRule="auto"/>
        <w:rPr>
          <w:rFonts w:ascii="Book Antiqua" w:hAnsi="Book Antiqua"/>
          <w:color w:val="000000" w:themeColor="text1"/>
          <w:sz w:val="24"/>
        </w:rPr>
      </w:pPr>
      <w:r>
        <w:rPr>
          <w:rFonts w:ascii="Book Antiqua" w:hAnsi="Book Antiqua"/>
          <w:color w:val="000000" w:themeColor="text1"/>
          <w:sz w:val="24"/>
        </w:rPr>
        <w:br w:type="page"/>
      </w:r>
    </w:p>
    <w:p w14:paraId="4D44CBEC" w14:textId="27AEE555" w:rsidR="00182B6E" w:rsidRPr="009156D8" w:rsidRDefault="00182B6E" w:rsidP="00EA037B">
      <w:pPr>
        <w:widowControl/>
        <w:wordWrap/>
        <w:autoSpaceDE/>
        <w:autoSpaceDN/>
        <w:spacing w:line="360" w:lineRule="auto"/>
        <w:rPr>
          <w:rFonts w:ascii="Book Antiqua" w:hAnsi="Book Antiqua"/>
          <w:b/>
          <w:bCs/>
          <w:color w:val="000000" w:themeColor="text1"/>
          <w:sz w:val="24"/>
        </w:rPr>
      </w:pPr>
      <w:r w:rsidRPr="009156D8">
        <w:rPr>
          <w:rFonts w:ascii="Book Antiqua" w:hAnsi="Book Antiqua"/>
          <w:b/>
          <w:bCs/>
          <w:color w:val="000000" w:themeColor="text1"/>
          <w:sz w:val="24"/>
        </w:rPr>
        <w:lastRenderedPageBreak/>
        <w:t xml:space="preserve">Table 3 Comparison of long-term </w:t>
      </w:r>
      <w:r w:rsidR="009C2F9A" w:rsidRPr="009156D8">
        <w:rPr>
          <w:rFonts w:ascii="Book Antiqua" w:hAnsi="Book Antiqua"/>
          <w:b/>
          <w:bCs/>
          <w:color w:val="000000" w:themeColor="text1"/>
          <w:sz w:val="24"/>
        </w:rPr>
        <w:t>quality of life</w:t>
      </w:r>
      <w:r w:rsidRPr="009156D8">
        <w:rPr>
          <w:rFonts w:ascii="Book Antiqua" w:hAnsi="Book Antiqua"/>
          <w:b/>
          <w:bCs/>
          <w:color w:val="000000" w:themeColor="text1"/>
          <w:sz w:val="24"/>
        </w:rPr>
        <w:t xml:space="preserve"> between the </w:t>
      </w:r>
      <w:r w:rsidR="009C2F9A" w:rsidRPr="009156D8">
        <w:rPr>
          <w:rFonts w:ascii="Book Antiqua" w:hAnsi="Book Antiqua"/>
          <w:b/>
          <w:bCs/>
          <w:color w:val="000000" w:themeColor="text1"/>
          <w:sz w:val="24"/>
        </w:rPr>
        <w:t>laparoscopy-assisted pylorus preserving gastrectomy and laparoscopy-assisted distal gastrectomy groups</w:t>
      </w:r>
    </w:p>
    <w:tbl>
      <w:tblPr>
        <w:tblW w:w="13172" w:type="dxa"/>
        <w:tblInd w:w="84" w:type="dxa"/>
        <w:tblCellMar>
          <w:left w:w="99" w:type="dxa"/>
          <w:right w:w="99" w:type="dxa"/>
        </w:tblCellMar>
        <w:tblLook w:val="04A0" w:firstRow="1" w:lastRow="0" w:firstColumn="1" w:lastColumn="0" w:noHBand="0" w:noVBand="1"/>
      </w:tblPr>
      <w:tblGrid>
        <w:gridCol w:w="4507"/>
        <w:gridCol w:w="3158"/>
        <w:gridCol w:w="3428"/>
        <w:gridCol w:w="2079"/>
      </w:tblGrid>
      <w:tr w:rsidR="003937A8" w:rsidRPr="00EA037B" w14:paraId="06FA2B8E" w14:textId="77777777" w:rsidTr="008D6E97">
        <w:trPr>
          <w:trHeight w:val="266"/>
        </w:trPr>
        <w:tc>
          <w:tcPr>
            <w:tcW w:w="4507" w:type="dxa"/>
            <w:vMerge w:val="restart"/>
            <w:tcBorders>
              <w:top w:val="single" w:sz="8" w:space="0" w:color="auto"/>
              <w:left w:val="nil"/>
              <w:bottom w:val="single" w:sz="8" w:space="0" w:color="000000"/>
              <w:right w:val="nil"/>
            </w:tcBorders>
            <w:shd w:val="clear" w:color="auto" w:fill="auto"/>
            <w:noWrap/>
            <w:vAlign w:val="center"/>
            <w:hideMark/>
          </w:tcPr>
          <w:p w14:paraId="634FF752" w14:textId="30887289" w:rsidR="003937A8" w:rsidRPr="009156D8" w:rsidRDefault="003937A8" w:rsidP="00EA037B">
            <w:pPr>
              <w:widowControl/>
              <w:wordWrap/>
              <w:autoSpaceDE/>
              <w:autoSpaceDN/>
              <w:spacing w:line="360" w:lineRule="auto"/>
              <w:rPr>
                <w:rFonts w:ascii="Book Antiqua" w:eastAsia="Malgun Gothic" w:hAnsi="Book Antiqua" w:cs="Gulim"/>
                <w:b/>
                <w:bCs/>
                <w:color w:val="000000" w:themeColor="text1"/>
                <w:kern w:val="0"/>
                <w:sz w:val="24"/>
              </w:rPr>
            </w:pPr>
          </w:p>
        </w:tc>
        <w:tc>
          <w:tcPr>
            <w:tcW w:w="3158" w:type="dxa"/>
            <w:tcBorders>
              <w:top w:val="single" w:sz="8" w:space="0" w:color="auto"/>
              <w:left w:val="nil"/>
              <w:bottom w:val="single" w:sz="8" w:space="0" w:color="auto"/>
              <w:right w:val="nil"/>
            </w:tcBorders>
            <w:shd w:val="clear" w:color="auto" w:fill="auto"/>
            <w:vAlign w:val="center"/>
            <w:hideMark/>
          </w:tcPr>
          <w:p w14:paraId="0DCFF5C9" w14:textId="3AF06859" w:rsidR="003937A8" w:rsidRPr="009156D8" w:rsidRDefault="003937A8" w:rsidP="003937A8">
            <w:pPr>
              <w:widowControl/>
              <w:wordWrap/>
              <w:autoSpaceDE/>
              <w:autoSpaceDN/>
              <w:spacing w:line="360" w:lineRule="auto"/>
              <w:rPr>
                <w:rFonts w:ascii="Book Antiqua" w:eastAsia="Malgun Gothic" w:hAnsi="Book Antiqua"/>
                <w:b/>
                <w:bCs/>
                <w:color w:val="000000" w:themeColor="text1"/>
                <w:kern w:val="0"/>
                <w:sz w:val="24"/>
              </w:rPr>
            </w:pPr>
            <w:r w:rsidRPr="009156D8">
              <w:rPr>
                <w:rFonts w:ascii="Book Antiqua" w:eastAsia="Malgun Gothic" w:hAnsi="Book Antiqua"/>
                <w:b/>
                <w:bCs/>
                <w:color w:val="000000" w:themeColor="text1"/>
                <w:kern w:val="0"/>
                <w:sz w:val="24"/>
              </w:rPr>
              <w:t>LADG</w:t>
            </w:r>
            <w:r>
              <w:rPr>
                <w:rFonts w:ascii="Book Antiqua" w:eastAsia="宋体" w:hAnsi="Book Antiqua" w:hint="eastAsia"/>
                <w:b/>
                <w:bCs/>
                <w:color w:val="000000" w:themeColor="text1"/>
                <w:kern w:val="0"/>
                <w:sz w:val="24"/>
                <w:lang w:eastAsia="zh-CN"/>
              </w:rPr>
              <w:t xml:space="preserve"> </w:t>
            </w:r>
            <w:r w:rsidRPr="009156D8">
              <w:rPr>
                <w:rFonts w:ascii="Book Antiqua" w:eastAsia="Malgun Gothic" w:hAnsi="Book Antiqua"/>
                <w:b/>
                <w:bCs/>
                <w:color w:val="000000" w:themeColor="text1"/>
                <w:kern w:val="0"/>
                <w:sz w:val="24"/>
              </w:rPr>
              <w:t>(</w:t>
            </w:r>
            <w:r w:rsidRPr="009156D8">
              <w:rPr>
                <w:rFonts w:ascii="Book Antiqua" w:eastAsia="Malgun Gothic" w:hAnsi="Book Antiqua"/>
                <w:b/>
                <w:bCs/>
                <w:i/>
                <w:iCs/>
                <w:color w:val="000000" w:themeColor="text1"/>
                <w:kern w:val="0"/>
                <w:sz w:val="24"/>
              </w:rPr>
              <w:t>n</w:t>
            </w:r>
            <w:r w:rsidRPr="009156D8">
              <w:rPr>
                <w:rFonts w:ascii="Book Antiqua" w:eastAsia="Malgun Gothic" w:hAnsi="Book Antiqua"/>
                <w:b/>
                <w:bCs/>
                <w:color w:val="000000" w:themeColor="text1"/>
                <w:kern w:val="0"/>
                <w:sz w:val="24"/>
              </w:rPr>
              <w:t xml:space="preserve"> = 108)</w:t>
            </w:r>
          </w:p>
        </w:tc>
        <w:tc>
          <w:tcPr>
            <w:tcW w:w="3428" w:type="dxa"/>
            <w:tcBorders>
              <w:top w:val="single" w:sz="8" w:space="0" w:color="auto"/>
              <w:left w:val="nil"/>
              <w:bottom w:val="single" w:sz="8" w:space="0" w:color="auto"/>
              <w:right w:val="nil"/>
            </w:tcBorders>
            <w:shd w:val="clear" w:color="auto" w:fill="auto"/>
            <w:vAlign w:val="center"/>
            <w:hideMark/>
          </w:tcPr>
          <w:p w14:paraId="7E14D032" w14:textId="3AEB6E0F" w:rsidR="003937A8" w:rsidRPr="009156D8" w:rsidRDefault="003937A8" w:rsidP="003937A8">
            <w:pPr>
              <w:widowControl/>
              <w:wordWrap/>
              <w:autoSpaceDE/>
              <w:autoSpaceDN/>
              <w:spacing w:line="360" w:lineRule="auto"/>
              <w:rPr>
                <w:rFonts w:ascii="Book Antiqua" w:eastAsia="Malgun Gothic" w:hAnsi="Book Antiqua"/>
                <w:b/>
                <w:bCs/>
                <w:color w:val="000000" w:themeColor="text1"/>
                <w:kern w:val="0"/>
                <w:sz w:val="24"/>
              </w:rPr>
            </w:pPr>
            <w:r w:rsidRPr="009156D8">
              <w:rPr>
                <w:rFonts w:ascii="Book Antiqua" w:eastAsia="Malgun Gothic" w:hAnsi="Book Antiqua"/>
                <w:b/>
                <w:bCs/>
                <w:color w:val="000000" w:themeColor="text1"/>
                <w:kern w:val="0"/>
                <w:sz w:val="24"/>
              </w:rPr>
              <w:t>LAPPG</w:t>
            </w:r>
            <w:r>
              <w:rPr>
                <w:rFonts w:ascii="Book Antiqua" w:eastAsia="宋体" w:hAnsi="Book Antiqua" w:hint="eastAsia"/>
                <w:b/>
                <w:bCs/>
                <w:color w:val="000000" w:themeColor="text1"/>
                <w:kern w:val="0"/>
                <w:sz w:val="24"/>
                <w:lang w:eastAsia="zh-CN"/>
              </w:rPr>
              <w:t xml:space="preserve"> </w:t>
            </w:r>
            <w:r w:rsidRPr="009156D8">
              <w:rPr>
                <w:rFonts w:ascii="Book Antiqua" w:eastAsia="Malgun Gothic" w:hAnsi="Book Antiqua"/>
                <w:b/>
                <w:bCs/>
                <w:color w:val="000000" w:themeColor="text1"/>
                <w:kern w:val="0"/>
                <w:sz w:val="24"/>
              </w:rPr>
              <w:t>(</w:t>
            </w:r>
            <w:r w:rsidRPr="009156D8">
              <w:rPr>
                <w:rFonts w:ascii="Book Antiqua" w:eastAsia="Malgun Gothic" w:hAnsi="Book Antiqua"/>
                <w:b/>
                <w:bCs/>
                <w:i/>
                <w:iCs/>
                <w:color w:val="000000" w:themeColor="text1"/>
                <w:kern w:val="0"/>
                <w:sz w:val="24"/>
              </w:rPr>
              <w:t>n</w:t>
            </w:r>
            <w:r w:rsidRPr="009156D8">
              <w:rPr>
                <w:rFonts w:ascii="Book Antiqua" w:eastAsia="Malgun Gothic" w:hAnsi="Book Antiqua"/>
                <w:b/>
                <w:bCs/>
                <w:color w:val="000000" w:themeColor="text1"/>
                <w:kern w:val="0"/>
                <w:sz w:val="24"/>
              </w:rPr>
              <w:t xml:space="preserve"> = 61)</w:t>
            </w:r>
          </w:p>
        </w:tc>
        <w:tc>
          <w:tcPr>
            <w:tcW w:w="2079" w:type="dxa"/>
            <w:vMerge w:val="restart"/>
            <w:tcBorders>
              <w:top w:val="single" w:sz="8" w:space="0" w:color="auto"/>
              <w:left w:val="nil"/>
              <w:bottom w:val="single" w:sz="8" w:space="0" w:color="000000"/>
              <w:right w:val="nil"/>
            </w:tcBorders>
            <w:shd w:val="clear" w:color="auto" w:fill="auto"/>
            <w:noWrap/>
            <w:vAlign w:val="center"/>
            <w:hideMark/>
          </w:tcPr>
          <w:p w14:paraId="7F84067F" w14:textId="63671982" w:rsidR="003937A8" w:rsidRPr="009156D8" w:rsidRDefault="003937A8" w:rsidP="00EA037B">
            <w:pPr>
              <w:widowControl/>
              <w:wordWrap/>
              <w:autoSpaceDE/>
              <w:autoSpaceDN/>
              <w:spacing w:line="360" w:lineRule="auto"/>
              <w:rPr>
                <w:rFonts w:ascii="Book Antiqua" w:eastAsia="Malgun Gothic" w:hAnsi="Book Antiqua"/>
                <w:b/>
                <w:bCs/>
                <w:i/>
                <w:iCs/>
                <w:color w:val="000000" w:themeColor="text1"/>
                <w:kern w:val="0"/>
                <w:sz w:val="24"/>
              </w:rPr>
            </w:pPr>
            <w:r w:rsidRPr="001D780A">
              <w:rPr>
                <w:rFonts w:ascii="Book Antiqua" w:eastAsia="Malgun Gothic" w:hAnsi="Book Antiqua"/>
                <w:b/>
                <w:bCs/>
                <w:i/>
                <w:iCs/>
                <w:color w:val="000000" w:themeColor="text1"/>
                <w:kern w:val="0"/>
                <w:sz w:val="24"/>
              </w:rPr>
              <w:t>P</w:t>
            </w:r>
            <w:r w:rsidRPr="0042775B">
              <w:rPr>
                <w:rFonts w:ascii="Book Antiqua" w:eastAsia="Malgun Gothic" w:hAnsi="Book Antiqua"/>
                <w:b/>
                <w:bCs/>
                <w:color w:val="000000" w:themeColor="text1"/>
                <w:kern w:val="0"/>
                <w:sz w:val="24"/>
              </w:rPr>
              <w:t xml:space="preserve"> value</w:t>
            </w:r>
          </w:p>
        </w:tc>
      </w:tr>
      <w:tr w:rsidR="00EA037B" w:rsidRPr="00EA037B" w14:paraId="4679E530" w14:textId="77777777" w:rsidTr="008D6E97">
        <w:trPr>
          <w:trHeight w:val="336"/>
        </w:trPr>
        <w:tc>
          <w:tcPr>
            <w:tcW w:w="4507" w:type="dxa"/>
            <w:vMerge/>
            <w:tcBorders>
              <w:top w:val="single" w:sz="8" w:space="0" w:color="auto"/>
              <w:left w:val="nil"/>
              <w:bottom w:val="single" w:sz="8" w:space="0" w:color="000000"/>
              <w:right w:val="nil"/>
            </w:tcBorders>
            <w:vAlign w:val="center"/>
            <w:hideMark/>
          </w:tcPr>
          <w:p w14:paraId="42563368" w14:textId="77777777" w:rsidR="00182B6E" w:rsidRPr="009156D8" w:rsidRDefault="00182B6E" w:rsidP="00EA037B">
            <w:pPr>
              <w:widowControl/>
              <w:wordWrap/>
              <w:autoSpaceDE/>
              <w:autoSpaceDN/>
              <w:spacing w:line="360" w:lineRule="auto"/>
              <w:rPr>
                <w:rFonts w:ascii="Book Antiqua" w:eastAsia="Malgun Gothic" w:hAnsi="Book Antiqua" w:cs="Gulim"/>
                <w:b/>
                <w:bCs/>
                <w:color w:val="000000" w:themeColor="text1"/>
                <w:kern w:val="0"/>
                <w:sz w:val="24"/>
              </w:rPr>
            </w:pPr>
          </w:p>
        </w:tc>
        <w:tc>
          <w:tcPr>
            <w:tcW w:w="3158" w:type="dxa"/>
            <w:tcBorders>
              <w:top w:val="single" w:sz="8" w:space="0" w:color="auto"/>
              <w:left w:val="nil"/>
              <w:bottom w:val="single" w:sz="8" w:space="0" w:color="auto"/>
              <w:right w:val="nil"/>
            </w:tcBorders>
            <w:shd w:val="clear" w:color="auto" w:fill="auto"/>
            <w:vAlign w:val="center"/>
            <w:hideMark/>
          </w:tcPr>
          <w:p w14:paraId="7FFEF6C4" w14:textId="77777777" w:rsidR="00182B6E" w:rsidRPr="009156D8" w:rsidRDefault="00182B6E" w:rsidP="00EA037B">
            <w:pPr>
              <w:widowControl/>
              <w:wordWrap/>
              <w:autoSpaceDE/>
              <w:autoSpaceDN/>
              <w:spacing w:line="360" w:lineRule="auto"/>
              <w:rPr>
                <w:rFonts w:ascii="Book Antiqua" w:eastAsia="Malgun Gothic" w:hAnsi="Book Antiqua"/>
                <w:b/>
                <w:bCs/>
                <w:color w:val="000000" w:themeColor="text1"/>
                <w:kern w:val="0"/>
                <w:sz w:val="24"/>
              </w:rPr>
            </w:pPr>
            <w:r w:rsidRPr="009156D8">
              <w:rPr>
                <w:rFonts w:ascii="Book Antiqua" w:eastAsia="Malgun Gothic" w:hAnsi="Book Antiqua"/>
                <w:b/>
                <w:bCs/>
                <w:color w:val="000000" w:themeColor="text1"/>
                <w:kern w:val="0"/>
                <w:sz w:val="24"/>
              </w:rPr>
              <w:t>Median (interquartile)</w:t>
            </w:r>
          </w:p>
        </w:tc>
        <w:tc>
          <w:tcPr>
            <w:tcW w:w="3428" w:type="dxa"/>
            <w:tcBorders>
              <w:top w:val="single" w:sz="8" w:space="0" w:color="auto"/>
              <w:left w:val="nil"/>
              <w:bottom w:val="single" w:sz="8" w:space="0" w:color="auto"/>
              <w:right w:val="nil"/>
            </w:tcBorders>
            <w:shd w:val="clear" w:color="auto" w:fill="auto"/>
            <w:vAlign w:val="center"/>
            <w:hideMark/>
          </w:tcPr>
          <w:p w14:paraId="734DC32C" w14:textId="77777777" w:rsidR="00182B6E" w:rsidRPr="009156D8" w:rsidRDefault="00182B6E" w:rsidP="00EA037B">
            <w:pPr>
              <w:widowControl/>
              <w:wordWrap/>
              <w:autoSpaceDE/>
              <w:autoSpaceDN/>
              <w:spacing w:line="360" w:lineRule="auto"/>
              <w:rPr>
                <w:rFonts w:ascii="Book Antiqua" w:eastAsia="Malgun Gothic" w:hAnsi="Book Antiqua"/>
                <w:b/>
                <w:bCs/>
                <w:color w:val="000000" w:themeColor="text1"/>
                <w:kern w:val="0"/>
                <w:sz w:val="24"/>
              </w:rPr>
            </w:pPr>
            <w:r w:rsidRPr="009156D8">
              <w:rPr>
                <w:rFonts w:ascii="Book Antiqua" w:eastAsia="Malgun Gothic" w:hAnsi="Book Antiqua"/>
                <w:b/>
                <w:bCs/>
                <w:color w:val="000000" w:themeColor="text1"/>
                <w:kern w:val="0"/>
                <w:sz w:val="24"/>
              </w:rPr>
              <w:t>Median (interquartile)</w:t>
            </w:r>
          </w:p>
        </w:tc>
        <w:tc>
          <w:tcPr>
            <w:tcW w:w="2079" w:type="dxa"/>
            <w:vMerge/>
            <w:tcBorders>
              <w:top w:val="single" w:sz="8" w:space="0" w:color="auto"/>
              <w:left w:val="nil"/>
              <w:bottom w:val="single" w:sz="8" w:space="0" w:color="000000"/>
              <w:right w:val="nil"/>
            </w:tcBorders>
            <w:vAlign w:val="center"/>
            <w:hideMark/>
          </w:tcPr>
          <w:p w14:paraId="09456680" w14:textId="77777777" w:rsidR="00182B6E" w:rsidRPr="00EA037B" w:rsidRDefault="00182B6E" w:rsidP="00EA037B">
            <w:pPr>
              <w:widowControl/>
              <w:wordWrap/>
              <w:autoSpaceDE/>
              <w:autoSpaceDN/>
              <w:spacing w:line="360" w:lineRule="auto"/>
              <w:rPr>
                <w:rFonts w:ascii="Book Antiqua" w:eastAsia="Malgun Gothic" w:hAnsi="Book Antiqua"/>
                <w:i/>
                <w:iCs/>
                <w:color w:val="000000" w:themeColor="text1"/>
                <w:kern w:val="0"/>
                <w:sz w:val="24"/>
              </w:rPr>
            </w:pPr>
          </w:p>
        </w:tc>
      </w:tr>
      <w:tr w:rsidR="00EA037B" w:rsidRPr="00EA037B" w14:paraId="04E114ED" w14:textId="77777777" w:rsidTr="009156D8">
        <w:trPr>
          <w:trHeight w:val="321"/>
        </w:trPr>
        <w:tc>
          <w:tcPr>
            <w:tcW w:w="4507" w:type="dxa"/>
            <w:tcBorders>
              <w:top w:val="nil"/>
              <w:left w:val="nil"/>
              <w:bottom w:val="nil"/>
              <w:right w:val="nil"/>
            </w:tcBorders>
            <w:shd w:val="clear" w:color="auto" w:fill="auto"/>
            <w:noWrap/>
            <w:vAlign w:val="center"/>
            <w:hideMark/>
          </w:tcPr>
          <w:p w14:paraId="4D5A2E1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EORTC QLQ C-30</w:t>
            </w:r>
          </w:p>
        </w:tc>
        <w:tc>
          <w:tcPr>
            <w:tcW w:w="3158" w:type="dxa"/>
            <w:tcBorders>
              <w:top w:val="nil"/>
              <w:left w:val="nil"/>
              <w:bottom w:val="nil"/>
              <w:right w:val="nil"/>
            </w:tcBorders>
            <w:shd w:val="clear" w:color="auto" w:fill="auto"/>
            <w:vAlign w:val="center"/>
            <w:hideMark/>
          </w:tcPr>
          <w:p w14:paraId="17A7F9E9" w14:textId="77777777" w:rsidR="00182B6E" w:rsidRPr="00EA037B" w:rsidRDefault="00182B6E" w:rsidP="00EA037B">
            <w:pPr>
              <w:widowControl/>
              <w:wordWrap/>
              <w:autoSpaceDE/>
              <w:autoSpaceDN/>
              <w:spacing w:line="360" w:lineRule="auto"/>
              <w:rPr>
                <w:rFonts w:ascii="Book Antiqua" w:eastAsia="Malgun Gothic" w:hAnsi="Book Antiqua" w:cs="Gulim"/>
                <w:color w:val="000000" w:themeColor="text1"/>
                <w:kern w:val="0"/>
                <w:sz w:val="24"/>
              </w:rPr>
            </w:pPr>
          </w:p>
        </w:tc>
        <w:tc>
          <w:tcPr>
            <w:tcW w:w="3428" w:type="dxa"/>
            <w:tcBorders>
              <w:top w:val="nil"/>
              <w:left w:val="nil"/>
              <w:bottom w:val="nil"/>
              <w:right w:val="nil"/>
            </w:tcBorders>
            <w:shd w:val="clear" w:color="auto" w:fill="auto"/>
            <w:vAlign w:val="center"/>
            <w:hideMark/>
          </w:tcPr>
          <w:p w14:paraId="222B1E49" w14:textId="77777777" w:rsidR="00182B6E" w:rsidRPr="00EA037B" w:rsidRDefault="00182B6E" w:rsidP="00EA037B">
            <w:pPr>
              <w:widowControl/>
              <w:wordWrap/>
              <w:autoSpaceDE/>
              <w:autoSpaceDN/>
              <w:spacing w:line="360" w:lineRule="auto"/>
              <w:rPr>
                <w:rFonts w:ascii="Book Antiqua" w:eastAsia="Malgun Gothic" w:hAnsi="Book Antiqua" w:cs="Gulim"/>
                <w:color w:val="000000" w:themeColor="text1"/>
                <w:kern w:val="0"/>
                <w:sz w:val="24"/>
              </w:rPr>
            </w:pPr>
          </w:p>
        </w:tc>
        <w:tc>
          <w:tcPr>
            <w:tcW w:w="2079" w:type="dxa"/>
            <w:tcBorders>
              <w:top w:val="nil"/>
              <w:left w:val="nil"/>
              <w:bottom w:val="nil"/>
              <w:right w:val="nil"/>
            </w:tcBorders>
            <w:shd w:val="clear" w:color="auto" w:fill="auto"/>
            <w:noWrap/>
            <w:vAlign w:val="center"/>
            <w:hideMark/>
          </w:tcPr>
          <w:p w14:paraId="6B35AAA9" w14:textId="77777777" w:rsidR="00182B6E" w:rsidRPr="00EA037B" w:rsidRDefault="00182B6E" w:rsidP="00EA037B">
            <w:pPr>
              <w:widowControl/>
              <w:wordWrap/>
              <w:autoSpaceDE/>
              <w:autoSpaceDN/>
              <w:spacing w:line="360" w:lineRule="auto"/>
              <w:rPr>
                <w:rFonts w:ascii="Book Antiqua" w:eastAsia="Malgun Gothic" w:hAnsi="Book Antiqua" w:cs="Gulim"/>
                <w:color w:val="000000" w:themeColor="text1"/>
                <w:kern w:val="0"/>
                <w:sz w:val="24"/>
              </w:rPr>
            </w:pPr>
          </w:p>
        </w:tc>
      </w:tr>
      <w:tr w:rsidR="00EA037B" w:rsidRPr="00EA037B" w14:paraId="3640A43B" w14:textId="77777777" w:rsidTr="009156D8">
        <w:trPr>
          <w:trHeight w:val="317"/>
        </w:trPr>
        <w:tc>
          <w:tcPr>
            <w:tcW w:w="4507" w:type="dxa"/>
            <w:tcBorders>
              <w:top w:val="nil"/>
              <w:left w:val="nil"/>
              <w:bottom w:val="nil"/>
              <w:right w:val="nil"/>
            </w:tcBorders>
            <w:shd w:val="clear" w:color="auto" w:fill="auto"/>
            <w:noWrap/>
            <w:vAlign w:val="center"/>
            <w:hideMark/>
          </w:tcPr>
          <w:p w14:paraId="49EC8191" w14:textId="7D9EBD85"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Global health status/QoL</w:t>
            </w:r>
          </w:p>
        </w:tc>
        <w:tc>
          <w:tcPr>
            <w:tcW w:w="3158" w:type="dxa"/>
            <w:tcBorders>
              <w:top w:val="nil"/>
              <w:left w:val="nil"/>
              <w:bottom w:val="nil"/>
              <w:right w:val="nil"/>
            </w:tcBorders>
            <w:shd w:val="clear" w:color="auto" w:fill="auto"/>
            <w:noWrap/>
            <w:vAlign w:val="center"/>
          </w:tcPr>
          <w:p w14:paraId="11337DBB" w14:textId="77777777" w:rsidR="00182B6E" w:rsidRPr="00EA037B" w:rsidRDefault="00182B6E" w:rsidP="00EA037B">
            <w:pPr>
              <w:widowControl/>
              <w:wordWrap/>
              <w:autoSpaceDE/>
              <w:autoSpaceDN/>
              <w:spacing w:line="360" w:lineRule="auto"/>
              <w:ind w:firstLineChars="100" w:firstLine="240"/>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66.7 (50.0, 83.3)</w:t>
            </w:r>
          </w:p>
        </w:tc>
        <w:tc>
          <w:tcPr>
            <w:tcW w:w="3428" w:type="dxa"/>
            <w:tcBorders>
              <w:top w:val="nil"/>
              <w:left w:val="nil"/>
              <w:bottom w:val="nil"/>
              <w:right w:val="nil"/>
            </w:tcBorders>
            <w:shd w:val="clear" w:color="auto" w:fill="auto"/>
            <w:noWrap/>
            <w:vAlign w:val="center"/>
          </w:tcPr>
          <w:p w14:paraId="7F6B318B"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66.7 (50.0, 83.3)</w:t>
            </w:r>
          </w:p>
        </w:tc>
        <w:tc>
          <w:tcPr>
            <w:tcW w:w="2079" w:type="dxa"/>
            <w:tcBorders>
              <w:top w:val="nil"/>
              <w:left w:val="nil"/>
              <w:bottom w:val="nil"/>
              <w:right w:val="nil"/>
            </w:tcBorders>
            <w:shd w:val="clear" w:color="auto" w:fill="auto"/>
            <w:noWrap/>
            <w:vAlign w:val="center"/>
          </w:tcPr>
          <w:p w14:paraId="4E588DB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0.466</w:t>
            </w:r>
          </w:p>
        </w:tc>
      </w:tr>
      <w:tr w:rsidR="00EA037B" w:rsidRPr="00EA037B" w14:paraId="1D36D97D" w14:textId="77777777" w:rsidTr="009156D8">
        <w:trPr>
          <w:trHeight w:val="266"/>
        </w:trPr>
        <w:tc>
          <w:tcPr>
            <w:tcW w:w="4507" w:type="dxa"/>
            <w:tcBorders>
              <w:top w:val="nil"/>
              <w:left w:val="nil"/>
              <w:bottom w:val="nil"/>
              <w:right w:val="nil"/>
            </w:tcBorders>
            <w:shd w:val="clear" w:color="auto" w:fill="auto"/>
            <w:noWrap/>
            <w:vAlign w:val="center"/>
            <w:hideMark/>
          </w:tcPr>
          <w:p w14:paraId="68E9389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Functional scales</w:t>
            </w:r>
          </w:p>
        </w:tc>
        <w:tc>
          <w:tcPr>
            <w:tcW w:w="3158" w:type="dxa"/>
            <w:tcBorders>
              <w:top w:val="nil"/>
              <w:left w:val="nil"/>
              <w:bottom w:val="nil"/>
              <w:right w:val="nil"/>
            </w:tcBorders>
            <w:shd w:val="clear" w:color="auto" w:fill="auto"/>
            <w:noWrap/>
            <w:vAlign w:val="center"/>
          </w:tcPr>
          <w:p w14:paraId="562D95F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428" w:type="dxa"/>
            <w:tcBorders>
              <w:top w:val="nil"/>
              <w:left w:val="nil"/>
              <w:bottom w:val="nil"/>
              <w:right w:val="nil"/>
            </w:tcBorders>
            <w:shd w:val="clear" w:color="auto" w:fill="auto"/>
            <w:noWrap/>
            <w:vAlign w:val="center"/>
          </w:tcPr>
          <w:p w14:paraId="2DDEB75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079" w:type="dxa"/>
            <w:tcBorders>
              <w:top w:val="nil"/>
              <w:left w:val="nil"/>
              <w:bottom w:val="nil"/>
              <w:right w:val="nil"/>
            </w:tcBorders>
            <w:shd w:val="clear" w:color="auto" w:fill="auto"/>
            <w:noWrap/>
            <w:vAlign w:val="center"/>
          </w:tcPr>
          <w:p w14:paraId="542B53B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41919B62" w14:textId="77777777" w:rsidTr="009156D8">
        <w:trPr>
          <w:trHeight w:val="321"/>
        </w:trPr>
        <w:tc>
          <w:tcPr>
            <w:tcW w:w="4507" w:type="dxa"/>
            <w:tcBorders>
              <w:top w:val="nil"/>
              <w:left w:val="nil"/>
              <w:bottom w:val="nil"/>
              <w:right w:val="nil"/>
            </w:tcBorders>
            <w:shd w:val="clear" w:color="auto" w:fill="auto"/>
            <w:noWrap/>
            <w:vAlign w:val="center"/>
            <w:hideMark/>
          </w:tcPr>
          <w:p w14:paraId="5C42539F" w14:textId="77777777" w:rsidR="00182B6E" w:rsidRPr="009156D8"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9156D8">
              <w:rPr>
                <w:rFonts w:ascii="Book Antiqua" w:eastAsia="Malgun Gothic" w:hAnsi="Book Antiqua"/>
                <w:bCs/>
                <w:color w:val="000000" w:themeColor="text1"/>
                <w:kern w:val="0"/>
                <w:sz w:val="24"/>
              </w:rPr>
              <w:t xml:space="preserve">     Physical functioning</w:t>
            </w:r>
          </w:p>
        </w:tc>
        <w:tc>
          <w:tcPr>
            <w:tcW w:w="3158" w:type="dxa"/>
            <w:tcBorders>
              <w:top w:val="nil"/>
              <w:left w:val="nil"/>
              <w:bottom w:val="nil"/>
              <w:right w:val="nil"/>
            </w:tcBorders>
            <w:shd w:val="clear" w:color="auto" w:fill="auto"/>
            <w:noWrap/>
            <w:vAlign w:val="center"/>
          </w:tcPr>
          <w:p w14:paraId="778ED1FA" w14:textId="77777777" w:rsidR="00182B6E" w:rsidRPr="009156D8"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9156D8">
              <w:rPr>
                <w:rFonts w:ascii="Book Antiqua" w:eastAsia="Malgun Gothic" w:hAnsi="Book Antiqua"/>
                <w:bCs/>
                <w:color w:val="000000" w:themeColor="text1"/>
                <w:kern w:val="0"/>
                <w:sz w:val="24"/>
              </w:rPr>
              <w:t>86.7 (80.0, 93.3)</w:t>
            </w:r>
          </w:p>
        </w:tc>
        <w:tc>
          <w:tcPr>
            <w:tcW w:w="3428" w:type="dxa"/>
            <w:tcBorders>
              <w:top w:val="nil"/>
              <w:left w:val="nil"/>
              <w:bottom w:val="nil"/>
              <w:right w:val="nil"/>
            </w:tcBorders>
            <w:shd w:val="clear" w:color="auto" w:fill="auto"/>
            <w:noWrap/>
            <w:vAlign w:val="center"/>
          </w:tcPr>
          <w:p w14:paraId="3D1A4E25" w14:textId="77777777" w:rsidR="00182B6E" w:rsidRPr="009156D8"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9156D8">
              <w:rPr>
                <w:rFonts w:ascii="Book Antiqua" w:eastAsia="Malgun Gothic" w:hAnsi="Book Antiqua"/>
                <w:bCs/>
                <w:color w:val="000000" w:themeColor="text1"/>
                <w:kern w:val="0"/>
                <w:sz w:val="24"/>
              </w:rPr>
              <w:t>90.0 (86.0, 100.0)</w:t>
            </w:r>
          </w:p>
        </w:tc>
        <w:tc>
          <w:tcPr>
            <w:tcW w:w="2079" w:type="dxa"/>
            <w:tcBorders>
              <w:top w:val="nil"/>
              <w:left w:val="nil"/>
              <w:bottom w:val="nil"/>
              <w:right w:val="nil"/>
            </w:tcBorders>
            <w:shd w:val="clear" w:color="auto" w:fill="auto"/>
            <w:noWrap/>
            <w:vAlign w:val="center"/>
          </w:tcPr>
          <w:p w14:paraId="3534B1B1" w14:textId="77777777" w:rsidR="00182B6E" w:rsidRPr="009156D8"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9156D8">
              <w:rPr>
                <w:rFonts w:ascii="Book Antiqua" w:eastAsia="Malgun Gothic" w:hAnsi="Book Antiqua"/>
                <w:bCs/>
                <w:color w:val="000000" w:themeColor="text1"/>
                <w:kern w:val="0"/>
                <w:sz w:val="24"/>
              </w:rPr>
              <w:t>0.032</w:t>
            </w:r>
          </w:p>
        </w:tc>
      </w:tr>
      <w:tr w:rsidR="00EA037B" w:rsidRPr="00EA037B" w14:paraId="582BBE81" w14:textId="77777777" w:rsidTr="009156D8">
        <w:trPr>
          <w:trHeight w:val="321"/>
        </w:trPr>
        <w:tc>
          <w:tcPr>
            <w:tcW w:w="4507" w:type="dxa"/>
            <w:tcBorders>
              <w:top w:val="nil"/>
              <w:left w:val="nil"/>
              <w:bottom w:val="nil"/>
              <w:right w:val="nil"/>
            </w:tcBorders>
            <w:shd w:val="clear" w:color="auto" w:fill="auto"/>
            <w:noWrap/>
            <w:vAlign w:val="center"/>
            <w:hideMark/>
          </w:tcPr>
          <w:p w14:paraId="0A02CE6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Role functioning</w:t>
            </w:r>
          </w:p>
        </w:tc>
        <w:tc>
          <w:tcPr>
            <w:tcW w:w="3158" w:type="dxa"/>
            <w:tcBorders>
              <w:top w:val="nil"/>
              <w:left w:val="nil"/>
              <w:bottom w:val="nil"/>
              <w:right w:val="nil"/>
            </w:tcBorders>
            <w:shd w:val="clear" w:color="auto" w:fill="auto"/>
            <w:noWrap/>
            <w:vAlign w:val="center"/>
          </w:tcPr>
          <w:p w14:paraId="28B50A0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100.0 (66.7, 100.0)</w:t>
            </w:r>
          </w:p>
        </w:tc>
        <w:tc>
          <w:tcPr>
            <w:tcW w:w="3428" w:type="dxa"/>
            <w:tcBorders>
              <w:top w:val="nil"/>
              <w:left w:val="nil"/>
              <w:bottom w:val="nil"/>
              <w:right w:val="nil"/>
            </w:tcBorders>
            <w:shd w:val="clear" w:color="auto" w:fill="auto"/>
            <w:noWrap/>
            <w:vAlign w:val="center"/>
          </w:tcPr>
          <w:p w14:paraId="444F7D3F"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100.0 (83.3, 100.0)</w:t>
            </w:r>
          </w:p>
        </w:tc>
        <w:tc>
          <w:tcPr>
            <w:tcW w:w="2079" w:type="dxa"/>
            <w:tcBorders>
              <w:top w:val="nil"/>
              <w:left w:val="nil"/>
              <w:bottom w:val="nil"/>
              <w:right w:val="nil"/>
            </w:tcBorders>
            <w:shd w:val="clear" w:color="auto" w:fill="auto"/>
            <w:noWrap/>
            <w:vAlign w:val="center"/>
          </w:tcPr>
          <w:p w14:paraId="3884C2A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0.07</w:t>
            </w:r>
          </w:p>
        </w:tc>
      </w:tr>
      <w:tr w:rsidR="00EA037B" w:rsidRPr="00EA037B" w14:paraId="47931425" w14:textId="77777777" w:rsidTr="009156D8">
        <w:trPr>
          <w:trHeight w:val="321"/>
        </w:trPr>
        <w:tc>
          <w:tcPr>
            <w:tcW w:w="4507" w:type="dxa"/>
            <w:tcBorders>
              <w:top w:val="nil"/>
              <w:left w:val="nil"/>
              <w:bottom w:val="nil"/>
              <w:right w:val="nil"/>
            </w:tcBorders>
            <w:shd w:val="clear" w:color="auto" w:fill="auto"/>
            <w:noWrap/>
            <w:vAlign w:val="center"/>
            <w:hideMark/>
          </w:tcPr>
          <w:p w14:paraId="21384C2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Emotional functioning</w:t>
            </w:r>
          </w:p>
        </w:tc>
        <w:tc>
          <w:tcPr>
            <w:tcW w:w="3158" w:type="dxa"/>
            <w:tcBorders>
              <w:top w:val="nil"/>
              <w:left w:val="nil"/>
              <w:bottom w:val="nil"/>
              <w:right w:val="nil"/>
            </w:tcBorders>
            <w:shd w:val="clear" w:color="auto" w:fill="auto"/>
            <w:noWrap/>
            <w:vAlign w:val="center"/>
          </w:tcPr>
          <w:p w14:paraId="07CE669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83.3 (66.7, 100.0)</w:t>
            </w:r>
          </w:p>
        </w:tc>
        <w:tc>
          <w:tcPr>
            <w:tcW w:w="3428" w:type="dxa"/>
            <w:tcBorders>
              <w:top w:val="nil"/>
              <w:left w:val="nil"/>
              <w:bottom w:val="nil"/>
              <w:right w:val="nil"/>
            </w:tcBorders>
            <w:shd w:val="clear" w:color="auto" w:fill="auto"/>
            <w:noWrap/>
            <w:vAlign w:val="center"/>
          </w:tcPr>
          <w:p w14:paraId="144249F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83.3 (75.0, 100.0)</w:t>
            </w:r>
          </w:p>
        </w:tc>
        <w:tc>
          <w:tcPr>
            <w:tcW w:w="2079" w:type="dxa"/>
            <w:tcBorders>
              <w:top w:val="nil"/>
              <w:left w:val="nil"/>
              <w:bottom w:val="nil"/>
              <w:right w:val="nil"/>
            </w:tcBorders>
            <w:shd w:val="clear" w:color="auto" w:fill="auto"/>
            <w:noWrap/>
            <w:vAlign w:val="center"/>
          </w:tcPr>
          <w:p w14:paraId="4E1CF29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0.757</w:t>
            </w:r>
          </w:p>
        </w:tc>
      </w:tr>
      <w:tr w:rsidR="00EA037B" w:rsidRPr="00EA037B" w14:paraId="58E0C526" w14:textId="77777777" w:rsidTr="009156D8">
        <w:trPr>
          <w:trHeight w:val="321"/>
        </w:trPr>
        <w:tc>
          <w:tcPr>
            <w:tcW w:w="4507" w:type="dxa"/>
            <w:tcBorders>
              <w:top w:val="nil"/>
              <w:left w:val="nil"/>
              <w:bottom w:val="nil"/>
              <w:right w:val="nil"/>
            </w:tcBorders>
            <w:shd w:val="clear" w:color="auto" w:fill="auto"/>
            <w:noWrap/>
            <w:vAlign w:val="center"/>
            <w:hideMark/>
          </w:tcPr>
          <w:p w14:paraId="7078BD5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Cognitive functioning</w:t>
            </w:r>
          </w:p>
        </w:tc>
        <w:tc>
          <w:tcPr>
            <w:tcW w:w="3158" w:type="dxa"/>
            <w:tcBorders>
              <w:top w:val="nil"/>
              <w:left w:val="nil"/>
              <w:bottom w:val="nil"/>
              <w:right w:val="nil"/>
            </w:tcBorders>
            <w:shd w:val="clear" w:color="auto" w:fill="auto"/>
            <w:noWrap/>
            <w:vAlign w:val="center"/>
          </w:tcPr>
          <w:p w14:paraId="63055E2B"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83.3 (83.3, 100.0)</w:t>
            </w:r>
          </w:p>
        </w:tc>
        <w:tc>
          <w:tcPr>
            <w:tcW w:w="3428" w:type="dxa"/>
            <w:tcBorders>
              <w:top w:val="nil"/>
              <w:left w:val="nil"/>
              <w:bottom w:val="nil"/>
              <w:right w:val="nil"/>
            </w:tcBorders>
            <w:shd w:val="clear" w:color="auto" w:fill="auto"/>
            <w:noWrap/>
            <w:vAlign w:val="center"/>
          </w:tcPr>
          <w:p w14:paraId="5FFA794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83.3 (83.3, 100.0)</w:t>
            </w:r>
          </w:p>
        </w:tc>
        <w:tc>
          <w:tcPr>
            <w:tcW w:w="2079" w:type="dxa"/>
            <w:tcBorders>
              <w:top w:val="nil"/>
              <w:left w:val="nil"/>
              <w:bottom w:val="nil"/>
              <w:right w:val="nil"/>
            </w:tcBorders>
            <w:shd w:val="clear" w:color="auto" w:fill="auto"/>
            <w:noWrap/>
            <w:vAlign w:val="center"/>
          </w:tcPr>
          <w:p w14:paraId="270A801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0.690</w:t>
            </w:r>
          </w:p>
        </w:tc>
      </w:tr>
      <w:tr w:rsidR="00EA037B" w:rsidRPr="00EA037B" w14:paraId="21DD2617" w14:textId="77777777" w:rsidTr="009156D8">
        <w:trPr>
          <w:trHeight w:val="321"/>
        </w:trPr>
        <w:tc>
          <w:tcPr>
            <w:tcW w:w="4507" w:type="dxa"/>
            <w:tcBorders>
              <w:top w:val="nil"/>
              <w:left w:val="nil"/>
              <w:bottom w:val="nil"/>
              <w:right w:val="nil"/>
            </w:tcBorders>
            <w:shd w:val="clear" w:color="auto" w:fill="auto"/>
            <w:noWrap/>
            <w:vAlign w:val="center"/>
            <w:hideMark/>
          </w:tcPr>
          <w:p w14:paraId="41F837F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Social functioning</w:t>
            </w:r>
          </w:p>
        </w:tc>
        <w:tc>
          <w:tcPr>
            <w:tcW w:w="3158" w:type="dxa"/>
            <w:tcBorders>
              <w:top w:val="nil"/>
              <w:left w:val="nil"/>
              <w:bottom w:val="nil"/>
              <w:right w:val="nil"/>
            </w:tcBorders>
            <w:shd w:val="clear" w:color="auto" w:fill="auto"/>
            <w:noWrap/>
            <w:vAlign w:val="center"/>
          </w:tcPr>
          <w:p w14:paraId="6A88E86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83.3 (83.3, 100.0)</w:t>
            </w:r>
          </w:p>
        </w:tc>
        <w:tc>
          <w:tcPr>
            <w:tcW w:w="3428" w:type="dxa"/>
            <w:tcBorders>
              <w:top w:val="nil"/>
              <w:left w:val="nil"/>
              <w:bottom w:val="nil"/>
              <w:right w:val="nil"/>
            </w:tcBorders>
            <w:shd w:val="clear" w:color="auto" w:fill="auto"/>
            <w:noWrap/>
            <w:vAlign w:val="center"/>
          </w:tcPr>
          <w:p w14:paraId="2148D58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83.3 (83.3, 100.0)</w:t>
            </w:r>
          </w:p>
        </w:tc>
        <w:tc>
          <w:tcPr>
            <w:tcW w:w="2079" w:type="dxa"/>
            <w:tcBorders>
              <w:top w:val="nil"/>
              <w:left w:val="nil"/>
              <w:bottom w:val="nil"/>
              <w:right w:val="nil"/>
            </w:tcBorders>
            <w:shd w:val="clear" w:color="auto" w:fill="auto"/>
            <w:noWrap/>
            <w:vAlign w:val="center"/>
          </w:tcPr>
          <w:p w14:paraId="02340CD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0.776</w:t>
            </w:r>
          </w:p>
        </w:tc>
      </w:tr>
      <w:tr w:rsidR="00EA037B" w:rsidRPr="00EA037B" w14:paraId="3E040104" w14:textId="77777777" w:rsidTr="009156D8">
        <w:trPr>
          <w:trHeight w:val="321"/>
        </w:trPr>
        <w:tc>
          <w:tcPr>
            <w:tcW w:w="4507" w:type="dxa"/>
            <w:tcBorders>
              <w:top w:val="nil"/>
              <w:left w:val="nil"/>
              <w:bottom w:val="nil"/>
              <w:right w:val="nil"/>
            </w:tcBorders>
            <w:shd w:val="clear" w:color="auto" w:fill="auto"/>
            <w:noWrap/>
            <w:vAlign w:val="center"/>
            <w:hideMark/>
          </w:tcPr>
          <w:p w14:paraId="3C0B0A9D" w14:textId="2D82D311"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Symptom scales/items</w:t>
            </w:r>
          </w:p>
        </w:tc>
        <w:tc>
          <w:tcPr>
            <w:tcW w:w="3158" w:type="dxa"/>
            <w:tcBorders>
              <w:top w:val="nil"/>
              <w:left w:val="nil"/>
              <w:bottom w:val="nil"/>
              <w:right w:val="nil"/>
            </w:tcBorders>
            <w:shd w:val="clear" w:color="auto" w:fill="auto"/>
            <w:noWrap/>
            <w:vAlign w:val="center"/>
          </w:tcPr>
          <w:p w14:paraId="0EA2F3B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428" w:type="dxa"/>
            <w:tcBorders>
              <w:top w:val="nil"/>
              <w:left w:val="nil"/>
              <w:bottom w:val="nil"/>
              <w:right w:val="nil"/>
            </w:tcBorders>
            <w:shd w:val="clear" w:color="auto" w:fill="auto"/>
            <w:noWrap/>
            <w:vAlign w:val="center"/>
          </w:tcPr>
          <w:p w14:paraId="1C6D772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079" w:type="dxa"/>
            <w:tcBorders>
              <w:top w:val="nil"/>
              <w:left w:val="nil"/>
              <w:bottom w:val="nil"/>
              <w:right w:val="nil"/>
            </w:tcBorders>
            <w:shd w:val="clear" w:color="auto" w:fill="auto"/>
            <w:noWrap/>
            <w:vAlign w:val="center"/>
          </w:tcPr>
          <w:p w14:paraId="2E81A0D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138F404A" w14:textId="77777777" w:rsidTr="009156D8">
        <w:trPr>
          <w:trHeight w:val="321"/>
        </w:trPr>
        <w:tc>
          <w:tcPr>
            <w:tcW w:w="4507" w:type="dxa"/>
            <w:tcBorders>
              <w:top w:val="nil"/>
              <w:left w:val="nil"/>
              <w:bottom w:val="nil"/>
              <w:right w:val="nil"/>
            </w:tcBorders>
            <w:shd w:val="clear" w:color="auto" w:fill="auto"/>
            <w:noWrap/>
            <w:vAlign w:val="center"/>
            <w:hideMark/>
          </w:tcPr>
          <w:p w14:paraId="3AA7D70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Fatigue</w:t>
            </w:r>
          </w:p>
        </w:tc>
        <w:tc>
          <w:tcPr>
            <w:tcW w:w="3158" w:type="dxa"/>
            <w:tcBorders>
              <w:top w:val="nil"/>
              <w:left w:val="nil"/>
              <w:bottom w:val="nil"/>
              <w:right w:val="nil"/>
            </w:tcBorders>
            <w:shd w:val="clear" w:color="auto" w:fill="auto"/>
            <w:noWrap/>
            <w:vAlign w:val="center"/>
          </w:tcPr>
          <w:p w14:paraId="53F1534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22.2 (11.1, 33.3)</w:t>
            </w:r>
          </w:p>
        </w:tc>
        <w:tc>
          <w:tcPr>
            <w:tcW w:w="3428" w:type="dxa"/>
            <w:tcBorders>
              <w:top w:val="nil"/>
              <w:left w:val="nil"/>
              <w:bottom w:val="nil"/>
              <w:right w:val="nil"/>
            </w:tcBorders>
            <w:shd w:val="clear" w:color="auto" w:fill="auto"/>
            <w:noWrap/>
            <w:vAlign w:val="center"/>
          </w:tcPr>
          <w:p w14:paraId="6C14B0EB"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22.2 (11.1, 33.3)</w:t>
            </w:r>
          </w:p>
        </w:tc>
        <w:tc>
          <w:tcPr>
            <w:tcW w:w="2079" w:type="dxa"/>
            <w:tcBorders>
              <w:top w:val="nil"/>
              <w:left w:val="nil"/>
              <w:bottom w:val="nil"/>
              <w:right w:val="nil"/>
            </w:tcBorders>
            <w:shd w:val="clear" w:color="auto" w:fill="auto"/>
            <w:noWrap/>
            <w:vAlign w:val="center"/>
          </w:tcPr>
          <w:p w14:paraId="70D4175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0.845</w:t>
            </w:r>
          </w:p>
        </w:tc>
      </w:tr>
      <w:tr w:rsidR="00EA037B" w:rsidRPr="00EA037B" w14:paraId="6374A532" w14:textId="77777777" w:rsidTr="009156D8">
        <w:trPr>
          <w:trHeight w:val="321"/>
        </w:trPr>
        <w:tc>
          <w:tcPr>
            <w:tcW w:w="4507" w:type="dxa"/>
            <w:tcBorders>
              <w:top w:val="nil"/>
              <w:left w:val="nil"/>
              <w:bottom w:val="nil"/>
              <w:right w:val="nil"/>
            </w:tcBorders>
            <w:shd w:val="clear" w:color="auto" w:fill="auto"/>
            <w:noWrap/>
            <w:vAlign w:val="center"/>
            <w:hideMark/>
          </w:tcPr>
          <w:p w14:paraId="79A223D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Nausea and vomiting</w:t>
            </w:r>
          </w:p>
        </w:tc>
        <w:tc>
          <w:tcPr>
            <w:tcW w:w="3158" w:type="dxa"/>
            <w:tcBorders>
              <w:top w:val="nil"/>
              <w:left w:val="nil"/>
              <w:bottom w:val="nil"/>
              <w:right w:val="nil"/>
            </w:tcBorders>
            <w:shd w:val="clear" w:color="auto" w:fill="auto"/>
            <w:noWrap/>
            <w:vAlign w:val="center"/>
          </w:tcPr>
          <w:p w14:paraId="5C45911F"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16.7)</w:t>
            </w:r>
          </w:p>
        </w:tc>
        <w:tc>
          <w:tcPr>
            <w:tcW w:w="3428" w:type="dxa"/>
            <w:tcBorders>
              <w:top w:val="nil"/>
              <w:left w:val="nil"/>
              <w:bottom w:val="nil"/>
              <w:right w:val="nil"/>
            </w:tcBorders>
            <w:shd w:val="clear" w:color="auto" w:fill="auto"/>
            <w:noWrap/>
            <w:vAlign w:val="center"/>
          </w:tcPr>
          <w:p w14:paraId="73DD3E1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16.7)</w:t>
            </w:r>
          </w:p>
        </w:tc>
        <w:tc>
          <w:tcPr>
            <w:tcW w:w="2079" w:type="dxa"/>
            <w:tcBorders>
              <w:top w:val="nil"/>
              <w:left w:val="nil"/>
              <w:bottom w:val="nil"/>
              <w:right w:val="nil"/>
            </w:tcBorders>
            <w:shd w:val="clear" w:color="auto" w:fill="auto"/>
            <w:noWrap/>
            <w:vAlign w:val="center"/>
          </w:tcPr>
          <w:p w14:paraId="09A3941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0.916</w:t>
            </w:r>
          </w:p>
        </w:tc>
      </w:tr>
      <w:tr w:rsidR="00EA037B" w:rsidRPr="00EA037B" w14:paraId="422F74E6" w14:textId="77777777" w:rsidTr="009156D8">
        <w:trPr>
          <w:trHeight w:val="321"/>
        </w:trPr>
        <w:tc>
          <w:tcPr>
            <w:tcW w:w="4507" w:type="dxa"/>
            <w:tcBorders>
              <w:top w:val="nil"/>
              <w:left w:val="nil"/>
              <w:bottom w:val="nil"/>
              <w:right w:val="nil"/>
            </w:tcBorders>
            <w:shd w:val="clear" w:color="auto" w:fill="auto"/>
            <w:noWrap/>
            <w:vAlign w:val="center"/>
            <w:hideMark/>
          </w:tcPr>
          <w:p w14:paraId="0CF2588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Pain</w:t>
            </w:r>
          </w:p>
        </w:tc>
        <w:tc>
          <w:tcPr>
            <w:tcW w:w="3158" w:type="dxa"/>
            <w:tcBorders>
              <w:top w:val="nil"/>
              <w:left w:val="nil"/>
              <w:bottom w:val="nil"/>
              <w:right w:val="nil"/>
            </w:tcBorders>
            <w:shd w:val="clear" w:color="auto" w:fill="auto"/>
            <w:noWrap/>
            <w:vAlign w:val="center"/>
          </w:tcPr>
          <w:p w14:paraId="483A824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16.7)</w:t>
            </w:r>
          </w:p>
        </w:tc>
        <w:tc>
          <w:tcPr>
            <w:tcW w:w="3428" w:type="dxa"/>
            <w:tcBorders>
              <w:top w:val="nil"/>
              <w:left w:val="nil"/>
              <w:bottom w:val="nil"/>
              <w:right w:val="nil"/>
            </w:tcBorders>
            <w:shd w:val="clear" w:color="auto" w:fill="auto"/>
            <w:noWrap/>
            <w:vAlign w:val="center"/>
          </w:tcPr>
          <w:p w14:paraId="07A43B0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16.7)</w:t>
            </w:r>
          </w:p>
        </w:tc>
        <w:tc>
          <w:tcPr>
            <w:tcW w:w="2079" w:type="dxa"/>
            <w:tcBorders>
              <w:top w:val="nil"/>
              <w:left w:val="nil"/>
              <w:bottom w:val="nil"/>
              <w:right w:val="nil"/>
            </w:tcBorders>
            <w:shd w:val="clear" w:color="auto" w:fill="auto"/>
            <w:noWrap/>
            <w:vAlign w:val="center"/>
          </w:tcPr>
          <w:p w14:paraId="42794A9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0.779</w:t>
            </w:r>
          </w:p>
        </w:tc>
      </w:tr>
      <w:tr w:rsidR="00EA037B" w:rsidRPr="00EA037B" w14:paraId="7749E892" w14:textId="77777777" w:rsidTr="009156D8">
        <w:trPr>
          <w:trHeight w:val="321"/>
        </w:trPr>
        <w:tc>
          <w:tcPr>
            <w:tcW w:w="4507" w:type="dxa"/>
            <w:tcBorders>
              <w:top w:val="nil"/>
              <w:left w:val="nil"/>
              <w:bottom w:val="nil"/>
              <w:right w:val="nil"/>
            </w:tcBorders>
            <w:shd w:val="clear" w:color="auto" w:fill="auto"/>
            <w:noWrap/>
            <w:vAlign w:val="center"/>
            <w:hideMark/>
          </w:tcPr>
          <w:p w14:paraId="31A4609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Dyspnea</w:t>
            </w:r>
          </w:p>
        </w:tc>
        <w:tc>
          <w:tcPr>
            <w:tcW w:w="3158" w:type="dxa"/>
            <w:tcBorders>
              <w:top w:val="nil"/>
              <w:left w:val="nil"/>
              <w:bottom w:val="nil"/>
              <w:right w:val="nil"/>
            </w:tcBorders>
            <w:shd w:val="clear" w:color="auto" w:fill="auto"/>
            <w:noWrap/>
            <w:vAlign w:val="center"/>
          </w:tcPr>
          <w:p w14:paraId="0A19595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33.3)</w:t>
            </w:r>
          </w:p>
        </w:tc>
        <w:tc>
          <w:tcPr>
            <w:tcW w:w="3428" w:type="dxa"/>
            <w:tcBorders>
              <w:top w:val="nil"/>
              <w:left w:val="nil"/>
              <w:bottom w:val="nil"/>
              <w:right w:val="nil"/>
            </w:tcBorders>
            <w:shd w:val="clear" w:color="auto" w:fill="auto"/>
            <w:noWrap/>
            <w:vAlign w:val="center"/>
          </w:tcPr>
          <w:p w14:paraId="09844C9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33.3)</w:t>
            </w:r>
          </w:p>
        </w:tc>
        <w:tc>
          <w:tcPr>
            <w:tcW w:w="2079" w:type="dxa"/>
            <w:tcBorders>
              <w:top w:val="nil"/>
              <w:left w:val="nil"/>
              <w:bottom w:val="nil"/>
              <w:right w:val="nil"/>
            </w:tcBorders>
            <w:shd w:val="clear" w:color="auto" w:fill="auto"/>
            <w:noWrap/>
            <w:vAlign w:val="center"/>
          </w:tcPr>
          <w:p w14:paraId="337A563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0.977</w:t>
            </w:r>
          </w:p>
        </w:tc>
      </w:tr>
      <w:tr w:rsidR="00EA037B" w:rsidRPr="00EA037B" w14:paraId="348C5292" w14:textId="77777777" w:rsidTr="009156D8">
        <w:trPr>
          <w:trHeight w:val="321"/>
        </w:trPr>
        <w:tc>
          <w:tcPr>
            <w:tcW w:w="4507" w:type="dxa"/>
            <w:tcBorders>
              <w:top w:val="nil"/>
              <w:left w:val="nil"/>
              <w:bottom w:val="nil"/>
              <w:right w:val="nil"/>
            </w:tcBorders>
            <w:shd w:val="clear" w:color="auto" w:fill="auto"/>
            <w:noWrap/>
            <w:vAlign w:val="center"/>
            <w:hideMark/>
          </w:tcPr>
          <w:p w14:paraId="696C278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lastRenderedPageBreak/>
              <w:t xml:space="preserve">     Insomnia</w:t>
            </w:r>
          </w:p>
        </w:tc>
        <w:tc>
          <w:tcPr>
            <w:tcW w:w="3158" w:type="dxa"/>
            <w:tcBorders>
              <w:top w:val="nil"/>
              <w:left w:val="nil"/>
              <w:bottom w:val="nil"/>
              <w:right w:val="nil"/>
            </w:tcBorders>
            <w:shd w:val="clear" w:color="auto" w:fill="auto"/>
            <w:noWrap/>
            <w:vAlign w:val="center"/>
          </w:tcPr>
          <w:p w14:paraId="7534E42B"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33.3)</w:t>
            </w:r>
          </w:p>
        </w:tc>
        <w:tc>
          <w:tcPr>
            <w:tcW w:w="3428" w:type="dxa"/>
            <w:tcBorders>
              <w:top w:val="nil"/>
              <w:left w:val="nil"/>
              <w:bottom w:val="nil"/>
              <w:right w:val="nil"/>
            </w:tcBorders>
            <w:shd w:val="clear" w:color="auto" w:fill="auto"/>
            <w:noWrap/>
            <w:vAlign w:val="center"/>
          </w:tcPr>
          <w:p w14:paraId="0922311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33.3)</w:t>
            </w:r>
          </w:p>
        </w:tc>
        <w:tc>
          <w:tcPr>
            <w:tcW w:w="2079" w:type="dxa"/>
            <w:tcBorders>
              <w:top w:val="nil"/>
              <w:left w:val="nil"/>
              <w:bottom w:val="nil"/>
              <w:right w:val="nil"/>
            </w:tcBorders>
            <w:shd w:val="clear" w:color="auto" w:fill="auto"/>
            <w:noWrap/>
            <w:vAlign w:val="center"/>
          </w:tcPr>
          <w:p w14:paraId="7FC1454B"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0.387</w:t>
            </w:r>
          </w:p>
        </w:tc>
      </w:tr>
      <w:tr w:rsidR="00EA037B" w:rsidRPr="00EA037B" w14:paraId="2D411810" w14:textId="77777777" w:rsidTr="009156D8">
        <w:trPr>
          <w:trHeight w:val="321"/>
        </w:trPr>
        <w:tc>
          <w:tcPr>
            <w:tcW w:w="4507" w:type="dxa"/>
            <w:tcBorders>
              <w:top w:val="nil"/>
              <w:left w:val="nil"/>
              <w:bottom w:val="nil"/>
              <w:right w:val="nil"/>
            </w:tcBorders>
            <w:shd w:val="clear" w:color="auto" w:fill="auto"/>
            <w:noWrap/>
            <w:vAlign w:val="center"/>
            <w:hideMark/>
          </w:tcPr>
          <w:p w14:paraId="06487C7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Appetite loss</w:t>
            </w:r>
          </w:p>
        </w:tc>
        <w:tc>
          <w:tcPr>
            <w:tcW w:w="3158" w:type="dxa"/>
            <w:tcBorders>
              <w:top w:val="nil"/>
              <w:left w:val="nil"/>
              <w:bottom w:val="nil"/>
              <w:right w:val="nil"/>
            </w:tcBorders>
            <w:shd w:val="clear" w:color="auto" w:fill="auto"/>
            <w:noWrap/>
            <w:vAlign w:val="center"/>
          </w:tcPr>
          <w:p w14:paraId="25DC8BE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0)</w:t>
            </w:r>
          </w:p>
        </w:tc>
        <w:tc>
          <w:tcPr>
            <w:tcW w:w="3428" w:type="dxa"/>
            <w:tcBorders>
              <w:top w:val="nil"/>
              <w:left w:val="nil"/>
              <w:bottom w:val="nil"/>
              <w:right w:val="nil"/>
            </w:tcBorders>
            <w:shd w:val="clear" w:color="auto" w:fill="auto"/>
            <w:noWrap/>
            <w:vAlign w:val="center"/>
          </w:tcPr>
          <w:p w14:paraId="18EFAAC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33.3)</w:t>
            </w:r>
          </w:p>
        </w:tc>
        <w:tc>
          <w:tcPr>
            <w:tcW w:w="2079" w:type="dxa"/>
            <w:tcBorders>
              <w:top w:val="nil"/>
              <w:left w:val="nil"/>
              <w:bottom w:val="nil"/>
              <w:right w:val="nil"/>
            </w:tcBorders>
            <w:shd w:val="clear" w:color="auto" w:fill="auto"/>
            <w:noWrap/>
            <w:vAlign w:val="center"/>
          </w:tcPr>
          <w:p w14:paraId="3D77854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0.070</w:t>
            </w:r>
          </w:p>
        </w:tc>
      </w:tr>
      <w:tr w:rsidR="00EA037B" w:rsidRPr="00EA037B" w14:paraId="15AE594C" w14:textId="77777777" w:rsidTr="009156D8">
        <w:trPr>
          <w:trHeight w:val="321"/>
        </w:trPr>
        <w:tc>
          <w:tcPr>
            <w:tcW w:w="4507" w:type="dxa"/>
            <w:tcBorders>
              <w:top w:val="nil"/>
              <w:left w:val="nil"/>
              <w:bottom w:val="nil"/>
              <w:right w:val="nil"/>
            </w:tcBorders>
            <w:shd w:val="clear" w:color="auto" w:fill="auto"/>
            <w:noWrap/>
            <w:vAlign w:val="center"/>
            <w:hideMark/>
          </w:tcPr>
          <w:p w14:paraId="3544EFC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Constipation</w:t>
            </w:r>
          </w:p>
        </w:tc>
        <w:tc>
          <w:tcPr>
            <w:tcW w:w="3158" w:type="dxa"/>
            <w:tcBorders>
              <w:top w:val="nil"/>
              <w:left w:val="nil"/>
              <w:bottom w:val="nil"/>
              <w:right w:val="nil"/>
            </w:tcBorders>
            <w:shd w:val="clear" w:color="auto" w:fill="auto"/>
            <w:noWrap/>
            <w:vAlign w:val="center"/>
          </w:tcPr>
          <w:p w14:paraId="30AFC0E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33.3)</w:t>
            </w:r>
          </w:p>
        </w:tc>
        <w:tc>
          <w:tcPr>
            <w:tcW w:w="3428" w:type="dxa"/>
            <w:tcBorders>
              <w:top w:val="nil"/>
              <w:left w:val="nil"/>
              <w:bottom w:val="nil"/>
              <w:right w:val="nil"/>
            </w:tcBorders>
            <w:shd w:val="clear" w:color="auto" w:fill="auto"/>
            <w:noWrap/>
            <w:vAlign w:val="center"/>
          </w:tcPr>
          <w:p w14:paraId="6188DB7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33.3)</w:t>
            </w:r>
          </w:p>
        </w:tc>
        <w:tc>
          <w:tcPr>
            <w:tcW w:w="2079" w:type="dxa"/>
            <w:tcBorders>
              <w:top w:val="nil"/>
              <w:left w:val="nil"/>
              <w:bottom w:val="nil"/>
              <w:right w:val="nil"/>
            </w:tcBorders>
            <w:shd w:val="clear" w:color="auto" w:fill="auto"/>
            <w:noWrap/>
            <w:vAlign w:val="center"/>
          </w:tcPr>
          <w:p w14:paraId="5A58A49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0.073</w:t>
            </w:r>
          </w:p>
        </w:tc>
      </w:tr>
      <w:tr w:rsidR="00EA037B" w:rsidRPr="00EA037B" w14:paraId="7F1C8B4C" w14:textId="77777777" w:rsidTr="009156D8">
        <w:trPr>
          <w:trHeight w:val="321"/>
        </w:trPr>
        <w:tc>
          <w:tcPr>
            <w:tcW w:w="4507" w:type="dxa"/>
            <w:tcBorders>
              <w:top w:val="nil"/>
              <w:left w:val="nil"/>
              <w:bottom w:val="nil"/>
              <w:right w:val="nil"/>
            </w:tcBorders>
            <w:shd w:val="clear" w:color="auto" w:fill="auto"/>
            <w:noWrap/>
            <w:vAlign w:val="center"/>
            <w:hideMark/>
          </w:tcPr>
          <w:p w14:paraId="5CA46D6F"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Diarrhea</w:t>
            </w:r>
          </w:p>
        </w:tc>
        <w:tc>
          <w:tcPr>
            <w:tcW w:w="3158" w:type="dxa"/>
            <w:tcBorders>
              <w:top w:val="nil"/>
              <w:left w:val="nil"/>
              <w:bottom w:val="nil"/>
              <w:right w:val="nil"/>
            </w:tcBorders>
            <w:shd w:val="clear" w:color="auto" w:fill="auto"/>
            <w:noWrap/>
            <w:vAlign w:val="center"/>
          </w:tcPr>
          <w:p w14:paraId="2B07175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16.7 (0, 33.3)</w:t>
            </w:r>
          </w:p>
        </w:tc>
        <w:tc>
          <w:tcPr>
            <w:tcW w:w="3428" w:type="dxa"/>
            <w:tcBorders>
              <w:top w:val="nil"/>
              <w:left w:val="nil"/>
              <w:bottom w:val="nil"/>
              <w:right w:val="nil"/>
            </w:tcBorders>
            <w:shd w:val="clear" w:color="auto" w:fill="auto"/>
            <w:noWrap/>
            <w:vAlign w:val="center"/>
          </w:tcPr>
          <w:p w14:paraId="4A171A2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33.3 (0, 33.3)</w:t>
            </w:r>
          </w:p>
        </w:tc>
        <w:tc>
          <w:tcPr>
            <w:tcW w:w="2079" w:type="dxa"/>
            <w:tcBorders>
              <w:top w:val="nil"/>
              <w:left w:val="nil"/>
              <w:bottom w:val="nil"/>
              <w:right w:val="nil"/>
            </w:tcBorders>
            <w:shd w:val="clear" w:color="auto" w:fill="auto"/>
            <w:noWrap/>
            <w:vAlign w:val="center"/>
          </w:tcPr>
          <w:p w14:paraId="73542BA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0.718</w:t>
            </w:r>
          </w:p>
        </w:tc>
      </w:tr>
      <w:tr w:rsidR="00EA037B" w:rsidRPr="00EA037B" w14:paraId="3567B39F" w14:textId="77777777" w:rsidTr="009156D8">
        <w:trPr>
          <w:trHeight w:val="321"/>
        </w:trPr>
        <w:tc>
          <w:tcPr>
            <w:tcW w:w="4507" w:type="dxa"/>
            <w:tcBorders>
              <w:top w:val="nil"/>
              <w:left w:val="nil"/>
              <w:bottom w:val="nil"/>
              <w:right w:val="nil"/>
            </w:tcBorders>
            <w:shd w:val="clear" w:color="auto" w:fill="auto"/>
            <w:noWrap/>
            <w:vAlign w:val="center"/>
            <w:hideMark/>
          </w:tcPr>
          <w:p w14:paraId="0518E1C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Financial difficulties</w:t>
            </w:r>
          </w:p>
        </w:tc>
        <w:tc>
          <w:tcPr>
            <w:tcW w:w="3158" w:type="dxa"/>
            <w:tcBorders>
              <w:top w:val="nil"/>
              <w:left w:val="nil"/>
              <w:bottom w:val="nil"/>
              <w:right w:val="nil"/>
            </w:tcBorders>
            <w:shd w:val="clear" w:color="auto" w:fill="auto"/>
            <w:noWrap/>
            <w:vAlign w:val="center"/>
          </w:tcPr>
          <w:p w14:paraId="2699D91F"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33.3)</w:t>
            </w:r>
          </w:p>
        </w:tc>
        <w:tc>
          <w:tcPr>
            <w:tcW w:w="3428" w:type="dxa"/>
            <w:tcBorders>
              <w:top w:val="nil"/>
              <w:left w:val="nil"/>
              <w:bottom w:val="nil"/>
              <w:right w:val="nil"/>
            </w:tcBorders>
            <w:shd w:val="clear" w:color="auto" w:fill="auto"/>
            <w:noWrap/>
            <w:vAlign w:val="center"/>
          </w:tcPr>
          <w:p w14:paraId="772B479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16.7)</w:t>
            </w:r>
          </w:p>
        </w:tc>
        <w:tc>
          <w:tcPr>
            <w:tcW w:w="2079" w:type="dxa"/>
            <w:tcBorders>
              <w:top w:val="nil"/>
              <w:left w:val="nil"/>
              <w:bottom w:val="nil"/>
              <w:right w:val="nil"/>
            </w:tcBorders>
            <w:shd w:val="clear" w:color="auto" w:fill="auto"/>
            <w:noWrap/>
            <w:vAlign w:val="center"/>
          </w:tcPr>
          <w:p w14:paraId="526630B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0.809</w:t>
            </w:r>
          </w:p>
        </w:tc>
      </w:tr>
      <w:tr w:rsidR="00EA037B" w:rsidRPr="00EA037B" w14:paraId="079E8E4A" w14:textId="77777777" w:rsidTr="009156D8">
        <w:trPr>
          <w:trHeight w:val="321"/>
        </w:trPr>
        <w:tc>
          <w:tcPr>
            <w:tcW w:w="4507" w:type="dxa"/>
            <w:tcBorders>
              <w:top w:val="nil"/>
              <w:left w:val="nil"/>
              <w:bottom w:val="nil"/>
              <w:right w:val="nil"/>
            </w:tcBorders>
            <w:shd w:val="clear" w:color="auto" w:fill="auto"/>
            <w:noWrap/>
            <w:vAlign w:val="center"/>
            <w:hideMark/>
          </w:tcPr>
          <w:p w14:paraId="6662BE1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EORTC QLQ STO-22</w:t>
            </w:r>
          </w:p>
        </w:tc>
        <w:tc>
          <w:tcPr>
            <w:tcW w:w="3158" w:type="dxa"/>
            <w:tcBorders>
              <w:top w:val="nil"/>
              <w:left w:val="nil"/>
              <w:bottom w:val="nil"/>
              <w:right w:val="nil"/>
            </w:tcBorders>
            <w:shd w:val="clear" w:color="auto" w:fill="auto"/>
            <w:noWrap/>
            <w:vAlign w:val="center"/>
          </w:tcPr>
          <w:p w14:paraId="7524593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3428" w:type="dxa"/>
            <w:tcBorders>
              <w:top w:val="nil"/>
              <w:left w:val="nil"/>
              <w:bottom w:val="nil"/>
              <w:right w:val="nil"/>
            </w:tcBorders>
            <w:shd w:val="clear" w:color="auto" w:fill="auto"/>
            <w:noWrap/>
            <w:vAlign w:val="center"/>
          </w:tcPr>
          <w:p w14:paraId="0E7E93E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c>
          <w:tcPr>
            <w:tcW w:w="2079" w:type="dxa"/>
            <w:tcBorders>
              <w:top w:val="nil"/>
              <w:left w:val="nil"/>
              <w:bottom w:val="nil"/>
              <w:right w:val="nil"/>
            </w:tcBorders>
            <w:shd w:val="clear" w:color="auto" w:fill="auto"/>
            <w:noWrap/>
            <w:vAlign w:val="center"/>
          </w:tcPr>
          <w:p w14:paraId="28FCDC5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p>
        </w:tc>
      </w:tr>
      <w:tr w:rsidR="00EA037B" w:rsidRPr="00EA037B" w14:paraId="11B7441F" w14:textId="77777777" w:rsidTr="009156D8">
        <w:trPr>
          <w:trHeight w:val="321"/>
        </w:trPr>
        <w:tc>
          <w:tcPr>
            <w:tcW w:w="4507" w:type="dxa"/>
            <w:tcBorders>
              <w:top w:val="nil"/>
              <w:left w:val="nil"/>
              <w:bottom w:val="nil"/>
              <w:right w:val="nil"/>
            </w:tcBorders>
            <w:shd w:val="clear" w:color="auto" w:fill="auto"/>
            <w:noWrap/>
            <w:vAlign w:val="center"/>
            <w:hideMark/>
          </w:tcPr>
          <w:p w14:paraId="68C570B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Dysphagia</w:t>
            </w:r>
          </w:p>
        </w:tc>
        <w:tc>
          <w:tcPr>
            <w:tcW w:w="3158" w:type="dxa"/>
            <w:tcBorders>
              <w:top w:val="nil"/>
              <w:left w:val="nil"/>
              <w:bottom w:val="nil"/>
              <w:right w:val="nil"/>
            </w:tcBorders>
            <w:shd w:val="clear" w:color="auto" w:fill="auto"/>
            <w:noWrap/>
            <w:vAlign w:val="center"/>
          </w:tcPr>
          <w:p w14:paraId="79811EE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11.1)</w:t>
            </w:r>
          </w:p>
        </w:tc>
        <w:tc>
          <w:tcPr>
            <w:tcW w:w="3428" w:type="dxa"/>
            <w:tcBorders>
              <w:top w:val="nil"/>
              <w:left w:val="nil"/>
              <w:bottom w:val="nil"/>
              <w:right w:val="nil"/>
            </w:tcBorders>
            <w:shd w:val="clear" w:color="auto" w:fill="auto"/>
            <w:noWrap/>
            <w:vAlign w:val="center"/>
          </w:tcPr>
          <w:p w14:paraId="698B4D4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11.1)</w:t>
            </w:r>
          </w:p>
        </w:tc>
        <w:tc>
          <w:tcPr>
            <w:tcW w:w="2079" w:type="dxa"/>
            <w:tcBorders>
              <w:top w:val="nil"/>
              <w:left w:val="nil"/>
              <w:bottom w:val="nil"/>
              <w:right w:val="nil"/>
            </w:tcBorders>
            <w:shd w:val="clear" w:color="auto" w:fill="auto"/>
            <w:noWrap/>
            <w:vAlign w:val="center"/>
          </w:tcPr>
          <w:p w14:paraId="202049AD"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0.722</w:t>
            </w:r>
          </w:p>
        </w:tc>
      </w:tr>
      <w:tr w:rsidR="00EA037B" w:rsidRPr="00EA037B" w14:paraId="70ECC142" w14:textId="77777777" w:rsidTr="009156D8">
        <w:trPr>
          <w:trHeight w:val="321"/>
        </w:trPr>
        <w:tc>
          <w:tcPr>
            <w:tcW w:w="4507" w:type="dxa"/>
            <w:tcBorders>
              <w:top w:val="nil"/>
              <w:left w:val="nil"/>
              <w:bottom w:val="nil"/>
              <w:right w:val="nil"/>
            </w:tcBorders>
            <w:shd w:val="clear" w:color="auto" w:fill="auto"/>
            <w:noWrap/>
            <w:vAlign w:val="center"/>
            <w:hideMark/>
          </w:tcPr>
          <w:p w14:paraId="3EBD1DAC" w14:textId="77777777" w:rsidR="00182B6E" w:rsidRPr="009156D8"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9156D8">
              <w:rPr>
                <w:rFonts w:ascii="Book Antiqua" w:eastAsia="Malgun Gothic" w:hAnsi="Book Antiqua"/>
                <w:bCs/>
                <w:color w:val="000000" w:themeColor="text1"/>
                <w:kern w:val="0"/>
                <w:sz w:val="24"/>
              </w:rPr>
              <w:t xml:space="preserve">     Pain</w:t>
            </w:r>
          </w:p>
        </w:tc>
        <w:tc>
          <w:tcPr>
            <w:tcW w:w="3158" w:type="dxa"/>
            <w:tcBorders>
              <w:top w:val="nil"/>
              <w:left w:val="nil"/>
              <w:bottom w:val="nil"/>
              <w:right w:val="nil"/>
            </w:tcBorders>
            <w:shd w:val="clear" w:color="auto" w:fill="auto"/>
            <w:noWrap/>
            <w:vAlign w:val="center"/>
          </w:tcPr>
          <w:p w14:paraId="7828231A" w14:textId="77777777" w:rsidR="00182B6E" w:rsidRPr="009156D8"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9156D8">
              <w:rPr>
                <w:rFonts w:ascii="Book Antiqua" w:eastAsia="Malgun Gothic" w:hAnsi="Book Antiqua"/>
                <w:bCs/>
                <w:color w:val="000000" w:themeColor="text1"/>
                <w:kern w:val="0"/>
                <w:sz w:val="24"/>
              </w:rPr>
              <w:t>8.3 (0, 25.0)</w:t>
            </w:r>
          </w:p>
        </w:tc>
        <w:tc>
          <w:tcPr>
            <w:tcW w:w="3428" w:type="dxa"/>
            <w:tcBorders>
              <w:top w:val="nil"/>
              <w:left w:val="nil"/>
              <w:bottom w:val="nil"/>
              <w:right w:val="nil"/>
            </w:tcBorders>
            <w:shd w:val="clear" w:color="auto" w:fill="auto"/>
            <w:noWrap/>
            <w:vAlign w:val="center"/>
          </w:tcPr>
          <w:p w14:paraId="36D7918F" w14:textId="77777777" w:rsidR="00182B6E" w:rsidRPr="009156D8"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9156D8">
              <w:rPr>
                <w:rFonts w:ascii="Book Antiqua" w:eastAsia="Malgun Gothic" w:hAnsi="Book Antiqua"/>
                <w:bCs/>
                <w:color w:val="000000" w:themeColor="text1"/>
                <w:kern w:val="0"/>
                <w:sz w:val="24"/>
              </w:rPr>
              <w:t>16.7 (8.3, 33.3)</w:t>
            </w:r>
          </w:p>
        </w:tc>
        <w:tc>
          <w:tcPr>
            <w:tcW w:w="2079" w:type="dxa"/>
            <w:tcBorders>
              <w:top w:val="nil"/>
              <w:left w:val="nil"/>
              <w:bottom w:val="nil"/>
              <w:right w:val="nil"/>
            </w:tcBorders>
            <w:shd w:val="clear" w:color="auto" w:fill="auto"/>
            <w:noWrap/>
            <w:vAlign w:val="center"/>
          </w:tcPr>
          <w:p w14:paraId="06F7F132" w14:textId="77777777" w:rsidR="00182B6E" w:rsidRPr="009156D8"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9156D8">
              <w:rPr>
                <w:rFonts w:ascii="Book Antiqua" w:eastAsia="Malgun Gothic" w:hAnsi="Book Antiqua"/>
                <w:bCs/>
                <w:color w:val="000000" w:themeColor="text1"/>
                <w:kern w:val="0"/>
                <w:sz w:val="24"/>
              </w:rPr>
              <w:t>0.034</w:t>
            </w:r>
          </w:p>
        </w:tc>
      </w:tr>
      <w:tr w:rsidR="00EA037B" w:rsidRPr="00EA037B" w14:paraId="654858C2" w14:textId="77777777" w:rsidTr="009156D8">
        <w:trPr>
          <w:trHeight w:val="321"/>
        </w:trPr>
        <w:tc>
          <w:tcPr>
            <w:tcW w:w="4507" w:type="dxa"/>
            <w:tcBorders>
              <w:top w:val="nil"/>
              <w:left w:val="nil"/>
              <w:bottom w:val="nil"/>
              <w:right w:val="nil"/>
            </w:tcBorders>
            <w:shd w:val="clear" w:color="auto" w:fill="auto"/>
            <w:noWrap/>
            <w:vAlign w:val="center"/>
            <w:hideMark/>
          </w:tcPr>
          <w:p w14:paraId="45BF06B9" w14:textId="77777777" w:rsidR="00182B6E" w:rsidRPr="009156D8"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9156D8">
              <w:rPr>
                <w:rFonts w:ascii="Book Antiqua" w:eastAsia="Malgun Gothic" w:hAnsi="Book Antiqua"/>
                <w:bCs/>
                <w:color w:val="000000" w:themeColor="text1"/>
                <w:kern w:val="0"/>
                <w:sz w:val="24"/>
              </w:rPr>
              <w:t xml:space="preserve">     Reflux</w:t>
            </w:r>
          </w:p>
        </w:tc>
        <w:tc>
          <w:tcPr>
            <w:tcW w:w="3158" w:type="dxa"/>
            <w:tcBorders>
              <w:top w:val="nil"/>
              <w:left w:val="nil"/>
              <w:bottom w:val="nil"/>
              <w:right w:val="nil"/>
            </w:tcBorders>
            <w:shd w:val="clear" w:color="auto" w:fill="auto"/>
            <w:noWrap/>
            <w:vAlign w:val="center"/>
          </w:tcPr>
          <w:p w14:paraId="4C71C9E3" w14:textId="77777777" w:rsidR="00182B6E" w:rsidRPr="009156D8"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9156D8">
              <w:rPr>
                <w:rFonts w:ascii="Book Antiqua" w:eastAsia="Malgun Gothic" w:hAnsi="Book Antiqua"/>
                <w:bCs/>
                <w:color w:val="000000" w:themeColor="text1"/>
                <w:kern w:val="0"/>
                <w:sz w:val="24"/>
              </w:rPr>
              <w:t>11.1 (0, 22.2)</w:t>
            </w:r>
          </w:p>
        </w:tc>
        <w:tc>
          <w:tcPr>
            <w:tcW w:w="3428" w:type="dxa"/>
            <w:tcBorders>
              <w:top w:val="nil"/>
              <w:left w:val="nil"/>
              <w:bottom w:val="nil"/>
              <w:right w:val="nil"/>
            </w:tcBorders>
            <w:shd w:val="clear" w:color="auto" w:fill="auto"/>
            <w:noWrap/>
            <w:vAlign w:val="center"/>
          </w:tcPr>
          <w:p w14:paraId="445AEBC5" w14:textId="77777777" w:rsidR="00182B6E" w:rsidRPr="009156D8"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9156D8">
              <w:rPr>
                <w:rFonts w:ascii="Book Antiqua" w:eastAsia="Malgun Gothic" w:hAnsi="Book Antiqua"/>
                <w:bCs/>
                <w:color w:val="000000" w:themeColor="text1"/>
                <w:kern w:val="0"/>
                <w:sz w:val="24"/>
              </w:rPr>
              <w:t>11.1 (11.1, 33.3)</w:t>
            </w:r>
          </w:p>
        </w:tc>
        <w:tc>
          <w:tcPr>
            <w:tcW w:w="2079" w:type="dxa"/>
            <w:tcBorders>
              <w:top w:val="nil"/>
              <w:left w:val="nil"/>
              <w:bottom w:val="nil"/>
              <w:right w:val="nil"/>
            </w:tcBorders>
            <w:shd w:val="clear" w:color="auto" w:fill="auto"/>
            <w:noWrap/>
            <w:vAlign w:val="center"/>
          </w:tcPr>
          <w:p w14:paraId="6F13CA64" w14:textId="77777777" w:rsidR="00182B6E" w:rsidRPr="009156D8" w:rsidRDefault="00182B6E" w:rsidP="00EA037B">
            <w:pPr>
              <w:widowControl/>
              <w:wordWrap/>
              <w:autoSpaceDE/>
              <w:autoSpaceDN/>
              <w:spacing w:line="360" w:lineRule="auto"/>
              <w:rPr>
                <w:rFonts w:ascii="Book Antiqua" w:eastAsia="Malgun Gothic" w:hAnsi="Book Antiqua"/>
                <w:bCs/>
                <w:color w:val="000000" w:themeColor="text1"/>
                <w:kern w:val="0"/>
                <w:sz w:val="24"/>
              </w:rPr>
            </w:pPr>
            <w:r w:rsidRPr="009156D8">
              <w:rPr>
                <w:rFonts w:ascii="Book Antiqua" w:eastAsia="Malgun Gothic" w:hAnsi="Book Antiqua"/>
                <w:bCs/>
                <w:color w:val="000000" w:themeColor="text1"/>
                <w:kern w:val="0"/>
                <w:sz w:val="24"/>
              </w:rPr>
              <w:t>0.001</w:t>
            </w:r>
          </w:p>
        </w:tc>
      </w:tr>
      <w:tr w:rsidR="00EA037B" w:rsidRPr="00EA037B" w14:paraId="55B6E7DB" w14:textId="77777777" w:rsidTr="009156D8">
        <w:trPr>
          <w:trHeight w:val="321"/>
        </w:trPr>
        <w:tc>
          <w:tcPr>
            <w:tcW w:w="4507" w:type="dxa"/>
            <w:tcBorders>
              <w:top w:val="nil"/>
              <w:left w:val="nil"/>
              <w:bottom w:val="nil"/>
              <w:right w:val="nil"/>
            </w:tcBorders>
            <w:shd w:val="clear" w:color="auto" w:fill="auto"/>
            <w:noWrap/>
            <w:vAlign w:val="center"/>
            <w:hideMark/>
          </w:tcPr>
          <w:p w14:paraId="2382033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Eating restrictions</w:t>
            </w:r>
          </w:p>
        </w:tc>
        <w:tc>
          <w:tcPr>
            <w:tcW w:w="3158" w:type="dxa"/>
            <w:tcBorders>
              <w:top w:val="nil"/>
              <w:left w:val="nil"/>
              <w:bottom w:val="nil"/>
              <w:right w:val="nil"/>
            </w:tcBorders>
            <w:shd w:val="clear" w:color="auto" w:fill="auto"/>
            <w:noWrap/>
            <w:vAlign w:val="center"/>
          </w:tcPr>
          <w:p w14:paraId="4DC113D1"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8.3 (0, 16.7)</w:t>
            </w:r>
          </w:p>
        </w:tc>
        <w:tc>
          <w:tcPr>
            <w:tcW w:w="3428" w:type="dxa"/>
            <w:tcBorders>
              <w:top w:val="nil"/>
              <w:left w:val="nil"/>
              <w:bottom w:val="nil"/>
              <w:right w:val="nil"/>
            </w:tcBorders>
            <w:shd w:val="clear" w:color="auto" w:fill="auto"/>
            <w:noWrap/>
            <w:vAlign w:val="center"/>
          </w:tcPr>
          <w:p w14:paraId="0322086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8.3 (0, 25.0)</w:t>
            </w:r>
          </w:p>
        </w:tc>
        <w:tc>
          <w:tcPr>
            <w:tcW w:w="2079" w:type="dxa"/>
            <w:tcBorders>
              <w:top w:val="nil"/>
              <w:left w:val="nil"/>
              <w:bottom w:val="nil"/>
              <w:right w:val="nil"/>
            </w:tcBorders>
            <w:shd w:val="clear" w:color="auto" w:fill="auto"/>
            <w:noWrap/>
            <w:vAlign w:val="center"/>
          </w:tcPr>
          <w:p w14:paraId="4BAA0CB9"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0.599</w:t>
            </w:r>
          </w:p>
        </w:tc>
      </w:tr>
      <w:tr w:rsidR="00EA037B" w:rsidRPr="00EA037B" w14:paraId="61F8223F" w14:textId="77777777" w:rsidTr="009156D8">
        <w:trPr>
          <w:trHeight w:val="321"/>
        </w:trPr>
        <w:tc>
          <w:tcPr>
            <w:tcW w:w="4507" w:type="dxa"/>
            <w:tcBorders>
              <w:top w:val="nil"/>
              <w:left w:val="nil"/>
              <w:bottom w:val="nil"/>
              <w:right w:val="nil"/>
            </w:tcBorders>
            <w:shd w:val="clear" w:color="auto" w:fill="auto"/>
            <w:noWrap/>
            <w:vAlign w:val="center"/>
            <w:hideMark/>
          </w:tcPr>
          <w:p w14:paraId="64E9947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Anxiety</w:t>
            </w:r>
          </w:p>
        </w:tc>
        <w:tc>
          <w:tcPr>
            <w:tcW w:w="3158" w:type="dxa"/>
            <w:tcBorders>
              <w:top w:val="nil"/>
              <w:left w:val="nil"/>
              <w:bottom w:val="nil"/>
              <w:right w:val="nil"/>
            </w:tcBorders>
            <w:shd w:val="clear" w:color="auto" w:fill="auto"/>
            <w:noWrap/>
            <w:vAlign w:val="center"/>
          </w:tcPr>
          <w:p w14:paraId="6FF0DC1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22.2 (11.1, 33.3)</w:t>
            </w:r>
          </w:p>
        </w:tc>
        <w:tc>
          <w:tcPr>
            <w:tcW w:w="3428" w:type="dxa"/>
            <w:tcBorders>
              <w:top w:val="nil"/>
              <w:left w:val="nil"/>
              <w:bottom w:val="nil"/>
              <w:right w:val="nil"/>
            </w:tcBorders>
            <w:shd w:val="clear" w:color="auto" w:fill="auto"/>
            <w:noWrap/>
            <w:vAlign w:val="center"/>
          </w:tcPr>
          <w:p w14:paraId="06382FC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22.2 (11.1, 38.9)</w:t>
            </w:r>
          </w:p>
        </w:tc>
        <w:tc>
          <w:tcPr>
            <w:tcW w:w="2079" w:type="dxa"/>
            <w:tcBorders>
              <w:top w:val="nil"/>
              <w:left w:val="nil"/>
              <w:bottom w:val="nil"/>
              <w:right w:val="nil"/>
            </w:tcBorders>
            <w:shd w:val="clear" w:color="auto" w:fill="auto"/>
            <w:noWrap/>
            <w:vAlign w:val="center"/>
          </w:tcPr>
          <w:p w14:paraId="348EB66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0.949</w:t>
            </w:r>
          </w:p>
        </w:tc>
      </w:tr>
      <w:tr w:rsidR="00EA037B" w:rsidRPr="00EA037B" w14:paraId="751D5045" w14:textId="77777777" w:rsidTr="009156D8">
        <w:trPr>
          <w:trHeight w:val="321"/>
        </w:trPr>
        <w:tc>
          <w:tcPr>
            <w:tcW w:w="4507" w:type="dxa"/>
            <w:tcBorders>
              <w:top w:val="nil"/>
              <w:left w:val="nil"/>
              <w:bottom w:val="nil"/>
              <w:right w:val="nil"/>
            </w:tcBorders>
            <w:shd w:val="clear" w:color="auto" w:fill="auto"/>
            <w:noWrap/>
            <w:vAlign w:val="center"/>
            <w:hideMark/>
          </w:tcPr>
          <w:p w14:paraId="0746B7C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Dry mouth</w:t>
            </w:r>
          </w:p>
        </w:tc>
        <w:tc>
          <w:tcPr>
            <w:tcW w:w="3158" w:type="dxa"/>
            <w:tcBorders>
              <w:top w:val="nil"/>
              <w:left w:val="nil"/>
              <w:bottom w:val="nil"/>
              <w:right w:val="nil"/>
            </w:tcBorders>
            <w:shd w:val="clear" w:color="auto" w:fill="auto"/>
            <w:noWrap/>
            <w:vAlign w:val="center"/>
          </w:tcPr>
          <w:p w14:paraId="3F04646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33.3 (0, 33.3)</w:t>
            </w:r>
          </w:p>
        </w:tc>
        <w:tc>
          <w:tcPr>
            <w:tcW w:w="3428" w:type="dxa"/>
            <w:tcBorders>
              <w:top w:val="nil"/>
              <w:left w:val="nil"/>
              <w:bottom w:val="nil"/>
              <w:right w:val="nil"/>
            </w:tcBorders>
            <w:shd w:val="clear" w:color="auto" w:fill="auto"/>
            <w:noWrap/>
            <w:vAlign w:val="center"/>
          </w:tcPr>
          <w:p w14:paraId="268C452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33.3)</w:t>
            </w:r>
          </w:p>
        </w:tc>
        <w:tc>
          <w:tcPr>
            <w:tcW w:w="2079" w:type="dxa"/>
            <w:tcBorders>
              <w:top w:val="nil"/>
              <w:left w:val="nil"/>
              <w:bottom w:val="nil"/>
              <w:right w:val="nil"/>
            </w:tcBorders>
            <w:shd w:val="clear" w:color="auto" w:fill="auto"/>
            <w:noWrap/>
            <w:vAlign w:val="center"/>
          </w:tcPr>
          <w:p w14:paraId="6E4556B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0.204</w:t>
            </w:r>
          </w:p>
        </w:tc>
      </w:tr>
      <w:tr w:rsidR="00EA037B" w:rsidRPr="00EA037B" w14:paraId="56A47802" w14:textId="77777777" w:rsidTr="009156D8">
        <w:trPr>
          <w:trHeight w:val="321"/>
        </w:trPr>
        <w:tc>
          <w:tcPr>
            <w:tcW w:w="4507" w:type="dxa"/>
            <w:tcBorders>
              <w:top w:val="nil"/>
              <w:left w:val="nil"/>
              <w:bottom w:val="nil"/>
              <w:right w:val="nil"/>
            </w:tcBorders>
            <w:shd w:val="clear" w:color="auto" w:fill="auto"/>
            <w:noWrap/>
            <w:vAlign w:val="center"/>
            <w:hideMark/>
          </w:tcPr>
          <w:p w14:paraId="009D6F8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Taste</w:t>
            </w:r>
          </w:p>
        </w:tc>
        <w:tc>
          <w:tcPr>
            <w:tcW w:w="3158" w:type="dxa"/>
            <w:tcBorders>
              <w:top w:val="nil"/>
              <w:left w:val="nil"/>
              <w:bottom w:val="nil"/>
              <w:right w:val="nil"/>
            </w:tcBorders>
            <w:shd w:val="clear" w:color="auto" w:fill="auto"/>
            <w:noWrap/>
            <w:vAlign w:val="center"/>
          </w:tcPr>
          <w:p w14:paraId="32CBC597"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0)</w:t>
            </w:r>
          </w:p>
        </w:tc>
        <w:tc>
          <w:tcPr>
            <w:tcW w:w="3428" w:type="dxa"/>
            <w:tcBorders>
              <w:top w:val="nil"/>
              <w:left w:val="nil"/>
              <w:bottom w:val="nil"/>
              <w:right w:val="nil"/>
            </w:tcBorders>
            <w:shd w:val="clear" w:color="auto" w:fill="auto"/>
            <w:noWrap/>
            <w:vAlign w:val="center"/>
          </w:tcPr>
          <w:p w14:paraId="4E67F2E5"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0)</w:t>
            </w:r>
          </w:p>
        </w:tc>
        <w:tc>
          <w:tcPr>
            <w:tcW w:w="2079" w:type="dxa"/>
            <w:tcBorders>
              <w:top w:val="nil"/>
              <w:left w:val="nil"/>
              <w:bottom w:val="nil"/>
              <w:right w:val="nil"/>
            </w:tcBorders>
            <w:shd w:val="clear" w:color="auto" w:fill="auto"/>
            <w:noWrap/>
            <w:vAlign w:val="center"/>
          </w:tcPr>
          <w:p w14:paraId="04DE13A6"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0.091</w:t>
            </w:r>
          </w:p>
        </w:tc>
      </w:tr>
      <w:tr w:rsidR="00EA037B" w:rsidRPr="00EA037B" w14:paraId="22F4D4A0" w14:textId="77777777" w:rsidTr="009156D8">
        <w:trPr>
          <w:trHeight w:val="321"/>
        </w:trPr>
        <w:tc>
          <w:tcPr>
            <w:tcW w:w="4507" w:type="dxa"/>
            <w:tcBorders>
              <w:top w:val="nil"/>
              <w:left w:val="nil"/>
              <w:bottom w:val="nil"/>
              <w:right w:val="nil"/>
            </w:tcBorders>
            <w:shd w:val="clear" w:color="auto" w:fill="auto"/>
            <w:noWrap/>
            <w:vAlign w:val="center"/>
            <w:hideMark/>
          </w:tcPr>
          <w:p w14:paraId="7E9CC11C"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Body image</w:t>
            </w:r>
          </w:p>
        </w:tc>
        <w:tc>
          <w:tcPr>
            <w:tcW w:w="3158" w:type="dxa"/>
            <w:tcBorders>
              <w:top w:val="nil"/>
              <w:left w:val="nil"/>
              <w:bottom w:val="nil"/>
              <w:right w:val="nil"/>
            </w:tcBorders>
            <w:shd w:val="clear" w:color="auto" w:fill="auto"/>
            <w:noWrap/>
            <w:vAlign w:val="center"/>
          </w:tcPr>
          <w:p w14:paraId="5EA94DF3"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 (0, 33.3)</w:t>
            </w:r>
          </w:p>
        </w:tc>
        <w:tc>
          <w:tcPr>
            <w:tcW w:w="3428" w:type="dxa"/>
            <w:tcBorders>
              <w:top w:val="nil"/>
              <w:left w:val="nil"/>
              <w:bottom w:val="nil"/>
              <w:right w:val="nil"/>
            </w:tcBorders>
            <w:shd w:val="clear" w:color="auto" w:fill="auto"/>
            <w:noWrap/>
            <w:vAlign w:val="center"/>
          </w:tcPr>
          <w:p w14:paraId="20204A02"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33.3 (0, 33.3)</w:t>
            </w:r>
          </w:p>
        </w:tc>
        <w:tc>
          <w:tcPr>
            <w:tcW w:w="2079" w:type="dxa"/>
            <w:tcBorders>
              <w:top w:val="nil"/>
              <w:left w:val="nil"/>
              <w:bottom w:val="nil"/>
              <w:right w:val="nil"/>
            </w:tcBorders>
            <w:shd w:val="clear" w:color="auto" w:fill="auto"/>
            <w:noWrap/>
            <w:vAlign w:val="center"/>
          </w:tcPr>
          <w:p w14:paraId="11C3E354"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0.847</w:t>
            </w:r>
          </w:p>
        </w:tc>
      </w:tr>
      <w:tr w:rsidR="00EA037B" w:rsidRPr="00EA037B" w14:paraId="3AF9A1A4" w14:textId="77777777" w:rsidTr="009156D8">
        <w:trPr>
          <w:trHeight w:val="336"/>
        </w:trPr>
        <w:tc>
          <w:tcPr>
            <w:tcW w:w="4507" w:type="dxa"/>
            <w:tcBorders>
              <w:top w:val="nil"/>
              <w:left w:val="nil"/>
              <w:bottom w:val="single" w:sz="8" w:space="0" w:color="auto"/>
              <w:right w:val="nil"/>
            </w:tcBorders>
            <w:shd w:val="clear" w:color="auto" w:fill="auto"/>
            <w:noWrap/>
            <w:vAlign w:val="center"/>
            <w:hideMark/>
          </w:tcPr>
          <w:p w14:paraId="258DC01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 xml:space="preserve">     Hair loss</w:t>
            </w:r>
          </w:p>
        </w:tc>
        <w:tc>
          <w:tcPr>
            <w:tcW w:w="3158" w:type="dxa"/>
            <w:tcBorders>
              <w:top w:val="nil"/>
              <w:left w:val="nil"/>
              <w:bottom w:val="single" w:sz="8" w:space="0" w:color="auto"/>
              <w:right w:val="nil"/>
            </w:tcBorders>
            <w:shd w:val="clear" w:color="auto" w:fill="auto"/>
            <w:noWrap/>
            <w:vAlign w:val="center"/>
          </w:tcPr>
          <w:p w14:paraId="4A0DF9A8"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33.3 (0, 66.7)</w:t>
            </w:r>
          </w:p>
        </w:tc>
        <w:tc>
          <w:tcPr>
            <w:tcW w:w="3428" w:type="dxa"/>
            <w:tcBorders>
              <w:top w:val="nil"/>
              <w:left w:val="nil"/>
              <w:bottom w:val="single" w:sz="8" w:space="0" w:color="auto"/>
              <w:right w:val="nil"/>
            </w:tcBorders>
            <w:shd w:val="clear" w:color="auto" w:fill="auto"/>
            <w:noWrap/>
            <w:vAlign w:val="center"/>
          </w:tcPr>
          <w:p w14:paraId="152F85B0"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33.3 (16.7, 33.3)</w:t>
            </w:r>
          </w:p>
        </w:tc>
        <w:tc>
          <w:tcPr>
            <w:tcW w:w="2079" w:type="dxa"/>
            <w:tcBorders>
              <w:top w:val="nil"/>
              <w:left w:val="nil"/>
              <w:bottom w:val="single" w:sz="8" w:space="0" w:color="auto"/>
              <w:right w:val="nil"/>
            </w:tcBorders>
            <w:shd w:val="clear" w:color="auto" w:fill="auto"/>
            <w:noWrap/>
            <w:vAlign w:val="center"/>
          </w:tcPr>
          <w:p w14:paraId="5B287ABE" w14:textId="77777777" w:rsidR="00182B6E" w:rsidRPr="00EA037B" w:rsidRDefault="00182B6E" w:rsidP="00EA037B">
            <w:pPr>
              <w:widowControl/>
              <w:wordWrap/>
              <w:autoSpaceDE/>
              <w:autoSpaceDN/>
              <w:spacing w:line="360" w:lineRule="auto"/>
              <w:rPr>
                <w:rFonts w:ascii="Book Antiqua" w:eastAsia="Malgun Gothic" w:hAnsi="Book Antiqua"/>
                <w:color w:val="000000" w:themeColor="text1"/>
                <w:kern w:val="0"/>
                <w:sz w:val="24"/>
              </w:rPr>
            </w:pPr>
            <w:r w:rsidRPr="00EA037B">
              <w:rPr>
                <w:rFonts w:ascii="Book Antiqua" w:eastAsia="Malgun Gothic" w:hAnsi="Book Antiqua"/>
                <w:color w:val="000000" w:themeColor="text1"/>
                <w:kern w:val="0"/>
                <w:sz w:val="24"/>
              </w:rPr>
              <w:t>0.875</w:t>
            </w:r>
          </w:p>
        </w:tc>
      </w:tr>
    </w:tbl>
    <w:p w14:paraId="3E9D5E18" w14:textId="41551B71" w:rsidR="00182B6E" w:rsidRPr="00EA037B" w:rsidRDefault="00182B6E" w:rsidP="00EA037B">
      <w:pPr>
        <w:widowControl/>
        <w:wordWrap/>
        <w:autoSpaceDE/>
        <w:autoSpaceDN/>
        <w:spacing w:line="360" w:lineRule="auto"/>
        <w:rPr>
          <w:rFonts w:ascii="Book Antiqua" w:hAnsi="Book Antiqua"/>
          <w:color w:val="000000" w:themeColor="text1"/>
          <w:sz w:val="24"/>
        </w:rPr>
      </w:pPr>
      <w:r w:rsidRPr="00EA037B">
        <w:rPr>
          <w:rFonts w:ascii="Book Antiqua" w:hAnsi="Book Antiqua"/>
          <w:color w:val="000000" w:themeColor="text1"/>
          <w:sz w:val="24"/>
        </w:rPr>
        <w:t>LADG</w:t>
      </w:r>
      <w:r w:rsidR="00737453">
        <w:rPr>
          <w:rFonts w:ascii="Book Antiqua" w:hAnsi="Book Antiqua"/>
          <w:color w:val="000000" w:themeColor="text1"/>
          <w:sz w:val="24"/>
        </w:rPr>
        <w:t>:</w:t>
      </w:r>
      <w:r w:rsidRPr="00EA037B">
        <w:rPr>
          <w:rFonts w:ascii="Book Antiqua" w:hAnsi="Book Antiqua"/>
          <w:color w:val="000000" w:themeColor="text1"/>
          <w:sz w:val="24"/>
        </w:rPr>
        <w:t xml:space="preserve"> </w:t>
      </w:r>
      <w:r w:rsidR="00737453" w:rsidRPr="00EA037B">
        <w:rPr>
          <w:rFonts w:ascii="Book Antiqua" w:hAnsi="Book Antiqua"/>
          <w:color w:val="000000" w:themeColor="text1"/>
          <w:sz w:val="24"/>
        </w:rPr>
        <w:t>L</w:t>
      </w:r>
      <w:r w:rsidRPr="00EA037B">
        <w:rPr>
          <w:rFonts w:ascii="Book Antiqua" w:hAnsi="Book Antiqua"/>
          <w:color w:val="000000" w:themeColor="text1"/>
          <w:sz w:val="24"/>
        </w:rPr>
        <w:t>aparoscopy-assisted distal gastrectomy; LAPPG</w:t>
      </w:r>
      <w:r w:rsidR="00737453">
        <w:rPr>
          <w:rFonts w:ascii="Book Antiqua" w:hAnsi="Book Antiqua"/>
          <w:color w:val="000000" w:themeColor="text1"/>
          <w:sz w:val="24"/>
        </w:rPr>
        <w:t>:</w:t>
      </w:r>
      <w:r w:rsidRPr="00EA037B">
        <w:rPr>
          <w:rFonts w:ascii="Book Antiqua" w:hAnsi="Book Antiqua"/>
          <w:color w:val="000000" w:themeColor="text1"/>
          <w:sz w:val="24"/>
        </w:rPr>
        <w:t xml:space="preserve"> </w:t>
      </w:r>
      <w:r w:rsidR="00737453" w:rsidRPr="00EA037B">
        <w:rPr>
          <w:rFonts w:ascii="Book Antiqua" w:hAnsi="Book Antiqua"/>
          <w:color w:val="000000" w:themeColor="text1"/>
          <w:sz w:val="24"/>
        </w:rPr>
        <w:t>L</w:t>
      </w:r>
      <w:r w:rsidRPr="00EA037B">
        <w:rPr>
          <w:rFonts w:ascii="Book Antiqua" w:hAnsi="Book Antiqua"/>
          <w:color w:val="000000" w:themeColor="text1"/>
          <w:sz w:val="24"/>
        </w:rPr>
        <w:t>aparoscopy-assisted pylorus preserving gastrectomy</w:t>
      </w:r>
      <w:r w:rsidR="009C2F9A" w:rsidRPr="00EA037B">
        <w:rPr>
          <w:rFonts w:ascii="Book Antiqua" w:hAnsi="Book Antiqua"/>
          <w:color w:val="000000" w:themeColor="text1"/>
          <w:sz w:val="24"/>
        </w:rPr>
        <w:t>; EORTC</w:t>
      </w:r>
      <w:r w:rsidR="00737453">
        <w:rPr>
          <w:rFonts w:ascii="Book Antiqua" w:hAnsi="Book Antiqua"/>
          <w:color w:val="000000" w:themeColor="text1"/>
          <w:sz w:val="24"/>
        </w:rPr>
        <w:t>:</w:t>
      </w:r>
      <w:r w:rsidR="009C2F9A" w:rsidRPr="00EA037B">
        <w:rPr>
          <w:rFonts w:ascii="Book Antiqua" w:hAnsi="Book Antiqua"/>
          <w:color w:val="000000" w:themeColor="text1"/>
          <w:sz w:val="24"/>
        </w:rPr>
        <w:t xml:space="preserve"> European Organization for Research and Treatment of Cancer; QLQ</w:t>
      </w:r>
      <w:r w:rsidR="00737453">
        <w:rPr>
          <w:rFonts w:ascii="Book Antiqua" w:hAnsi="Book Antiqua"/>
          <w:color w:val="000000" w:themeColor="text1"/>
          <w:sz w:val="24"/>
        </w:rPr>
        <w:t>:</w:t>
      </w:r>
      <w:r w:rsidR="009C2F9A" w:rsidRPr="00EA037B">
        <w:rPr>
          <w:rFonts w:ascii="Book Antiqua" w:hAnsi="Book Antiqua"/>
          <w:color w:val="000000" w:themeColor="text1"/>
          <w:sz w:val="24"/>
        </w:rPr>
        <w:t xml:space="preserve"> </w:t>
      </w:r>
      <w:r w:rsidR="00737453" w:rsidRPr="00EA037B">
        <w:rPr>
          <w:rFonts w:ascii="Book Antiqua" w:hAnsi="Book Antiqua"/>
          <w:color w:val="000000" w:themeColor="text1"/>
          <w:sz w:val="24"/>
        </w:rPr>
        <w:t>Q</w:t>
      </w:r>
      <w:r w:rsidR="009C2F9A" w:rsidRPr="00EA037B">
        <w:rPr>
          <w:rFonts w:ascii="Book Antiqua" w:hAnsi="Book Antiqua"/>
          <w:color w:val="000000" w:themeColor="text1"/>
          <w:sz w:val="24"/>
        </w:rPr>
        <w:t>uality of life questionnaire</w:t>
      </w:r>
      <w:r w:rsidR="00737453">
        <w:rPr>
          <w:rFonts w:ascii="Book Antiqua" w:hAnsi="Book Antiqua"/>
          <w:color w:val="000000" w:themeColor="text1"/>
          <w:sz w:val="24"/>
        </w:rPr>
        <w:t>.</w:t>
      </w:r>
    </w:p>
    <w:sectPr w:rsidR="00182B6E" w:rsidRPr="00EA037B" w:rsidSect="001D780A">
      <w:headerReference w:type="default" r:id="rId12"/>
      <w:pgSz w:w="16838" w:h="11906" w:orient="landscape" w:code="9"/>
      <w:pgMar w:top="1701" w:right="1985"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23C3" w14:textId="77777777" w:rsidR="00F26789" w:rsidRDefault="00F26789">
      <w:r>
        <w:separator/>
      </w:r>
    </w:p>
  </w:endnote>
  <w:endnote w:type="continuationSeparator" w:id="0">
    <w:p w14:paraId="1814AFE4" w14:textId="77777777" w:rsidR="00F26789" w:rsidRDefault="00F2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Gulim">
    <w:altName w:val="Malgun Gothic Semilight"/>
    <w:panose1 w:val="020B0600000101010101"/>
    <w:charset w:val="81"/>
    <w:family w:val="swiss"/>
    <w:pitch w:val="variable"/>
    <w:sig w:usb0="00000000" w:usb1="69D77CFB" w:usb2="00000030" w:usb3="00000000" w:csb0="0008009F" w:csb1="00000000"/>
  </w:font>
  <w:font w:name="Dotum">
    <w:altName w:val="Malgun Gothic Semilight"/>
    <w:panose1 w:val="020B0600000101010101"/>
    <w:charset w:val="81"/>
    <w:family w:val="swiss"/>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calaLancetPro">
    <w:altName w:val="바탕"/>
    <w:panose1 w:val="00000000000000000000"/>
    <w:charset w:val="81"/>
    <w:family w:val="roman"/>
    <w:notTrueType/>
    <w:pitch w:val="default"/>
    <w:sig w:usb0="00000001" w:usb1="09060000" w:usb2="00000010" w:usb3="00000000" w:csb0="00080000"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Times">
    <w:altName w:val="Malgun Gothic Semilight"/>
    <w:panose1 w:val="00000000000000000000"/>
    <w:charset w:val="81"/>
    <w:family w:val="auto"/>
    <w:notTrueType/>
    <w:pitch w:val="default"/>
    <w:sig w:usb0="00000000" w:usb1="09060000" w:usb2="00000010" w:usb3="00000000" w:csb0="00080001" w:csb1="00000000"/>
  </w:font>
  <w:font w:name="ArialNarrow-BoldItalic">
    <w:altName w:val="Malgun Gothic"/>
    <w:panose1 w:val="00000000000000000000"/>
    <w:charset w:val="81"/>
    <w:family w:val="auto"/>
    <w:notTrueType/>
    <w:pitch w:val="default"/>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745378"/>
      <w:docPartObj>
        <w:docPartGallery w:val="Page Numbers (Bottom of Page)"/>
        <w:docPartUnique/>
      </w:docPartObj>
    </w:sdtPr>
    <w:sdtEndPr/>
    <w:sdtContent>
      <w:p w14:paraId="55A60790" w14:textId="505A83D3" w:rsidR="000600CD" w:rsidRDefault="000600CD" w:rsidP="00182B6E">
        <w:pPr>
          <w:pStyle w:val="a9"/>
          <w:tabs>
            <w:tab w:val="left" w:pos="3330"/>
          </w:tabs>
        </w:pPr>
        <w:r>
          <w:tab/>
        </w:r>
        <w:r>
          <w:tab/>
        </w:r>
        <w:r>
          <w:tab/>
        </w:r>
        <w:r>
          <w:fldChar w:fldCharType="begin"/>
        </w:r>
        <w:r>
          <w:instrText>PAGE   \* MERGEFORMAT</w:instrText>
        </w:r>
        <w:r>
          <w:fldChar w:fldCharType="separate"/>
        </w:r>
        <w:r w:rsidR="005C5EA0" w:rsidRPr="005C5EA0">
          <w:rPr>
            <w:noProof/>
            <w:lang w:val="ko-KR" w:eastAsia="ko-KR"/>
          </w:rPr>
          <w:t>28</w:t>
        </w:r>
        <w:r>
          <w:rPr>
            <w:noProof/>
            <w:lang w:val="ko-KR" w:eastAsia="ko-KR"/>
          </w:rPr>
          <w:fldChar w:fldCharType="end"/>
        </w:r>
      </w:p>
    </w:sdtContent>
  </w:sdt>
  <w:p w14:paraId="5D7CFF25" w14:textId="77777777" w:rsidR="000600CD" w:rsidRDefault="000600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A9ED" w14:textId="77777777" w:rsidR="00F26789" w:rsidRDefault="00F26789">
      <w:r>
        <w:separator/>
      </w:r>
    </w:p>
  </w:footnote>
  <w:footnote w:type="continuationSeparator" w:id="0">
    <w:p w14:paraId="6DBD5CC7" w14:textId="77777777" w:rsidR="00F26789" w:rsidRDefault="00F267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8B8B" w14:textId="77777777" w:rsidR="001D780A" w:rsidRDefault="001D780A">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7D2"/>
    <w:multiLevelType w:val="hybridMultilevel"/>
    <w:tmpl w:val="0E9011F6"/>
    <w:lvl w:ilvl="0" w:tplc="5EA0B024">
      <w:start w:val="1"/>
      <w:numFmt w:val="bullet"/>
      <w:lvlText w:val=""/>
      <w:lvlJc w:val="left"/>
      <w:pPr>
        <w:tabs>
          <w:tab w:val="num" w:pos="720"/>
        </w:tabs>
        <w:ind w:left="720" w:hanging="360"/>
      </w:pPr>
      <w:rPr>
        <w:rFonts w:ascii="Symbol" w:hAnsi="Symbol" w:hint="default"/>
        <w:sz w:val="20"/>
      </w:rPr>
    </w:lvl>
    <w:lvl w:ilvl="1" w:tplc="F4863C7E" w:tentative="1">
      <w:start w:val="1"/>
      <w:numFmt w:val="bullet"/>
      <w:lvlText w:val="o"/>
      <w:lvlJc w:val="left"/>
      <w:pPr>
        <w:tabs>
          <w:tab w:val="num" w:pos="1440"/>
        </w:tabs>
        <w:ind w:left="1440" w:hanging="360"/>
      </w:pPr>
      <w:rPr>
        <w:rFonts w:ascii="Courier New" w:hAnsi="Courier New" w:hint="default"/>
        <w:sz w:val="20"/>
      </w:rPr>
    </w:lvl>
    <w:lvl w:ilvl="2" w:tplc="040216A8" w:tentative="1">
      <w:start w:val="1"/>
      <w:numFmt w:val="bullet"/>
      <w:lvlText w:val=""/>
      <w:lvlJc w:val="left"/>
      <w:pPr>
        <w:tabs>
          <w:tab w:val="num" w:pos="2160"/>
        </w:tabs>
        <w:ind w:left="2160" w:hanging="360"/>
      </w:pPr>
      <w:rPr>
        <w:rFonts w:ascii="Wingdings" w:hAnsi="Wingdings" w:hint="default"/>
        <w:sz w:val="20"/>
      </w:rPr>
    </w:lvl>
    <w:lvl w:ilvl="3" w:tplc="7E227E5C" w:tentative="1">
      <w:start w:val="1"/>
      <w:numFmt w:val="bullet"/>
      <w:lvlText w:val=""/>
      <w:lvlJc w:val="left"/>
      <w:pPr>
        <w:tabs>
          <w:tab w:val="num" w:pos="2880"/>
        </w:tabs>
        <w:ind w:left="2880" w:hanging="360"/>
      </w:pPr>
      <w:rPr>
        <w:rFonts w:ascii="Wingdings" w:hAnsi="Wingdings" w:hint="default"/>
        <w:sz w:val="20"/>
      </w:rPr>
    </w:lvl>
    <w:lvl w:ilvl="4" w:tplc="F95A741E" w:tentative="1">
      <w:start w:val="1"/>
      <w:numFmt w:val="bullet"/>
      <w:lvlText w:val=""/>
      <w:lvlJc w:val="left"/>
      <w:pPr>
        <w:tabs>
          <w:tab w:val="num" w:pos="3600"/>
        </w:tabs>
        <w:ind w:left="3600" w:hanging="360"/>
      </w:pPr>
      <w:rPr>
        <w:rFonts w:ascii="Wingdings" w:hAnsi="Wingdings" w:hint="default"/>
        <w:sz w:val="20"/>
      </w:rPr>
    </w:lvl>
    <w:lvl w:ilvl="5" w:tplc="3A460C9E" w:tentative="1">
      <w:start w:val="1"/>
      <w:numFmt w:val="bullet"/>
      <w:lvlText w:val=""/>
      <w:lvlJc w:val="left"/>
      <w:pPr>
        <w:tabs>
          <w:tab w:val="num" w:pos="4320"/>
        </w:tabs>
        <w:ind w:left="4320" w:hanging="360"/>
      </w:pPr>
      <w:rPr>
        <w:rFonts w:ascii="Wingdings" w:hAnsi="Wingdings" w:hint="default"/>
        <w:sz w:val="20"/>
      </w:rPr>
    </w:lvl>
    <w:lvl w:ilvl="6" w:tplc="843C7D10" w:tentative="1">
      <w:start w:val="1"/>
      <w:numFmt w:val="bullet"/>
      <w:lvlText w:val=""/>
      <w:lvlJc w:val="left"/>
      <w:pPr>
        <w:tabs>
          <w:tab w:val="num" w:pos="5040"/>
        </w:tabs>
        <w:ind w:left="5040" w:hanging="360"/>
      </w:pPr>
      <w:rPr>
        <w:rFonts w:ascii="Wingdings" w:hAnsi="Wingdings" w:hint="default"/>
        <w:sz w:val="20"/>
      </w:rPr>
    </w:lvl>
    <w:lvl w:ilvl="7" w:tplc="6F905802" w:tentative="1">
      <w:start w:val="1"/>
      <w:numFmt w:val="bullet"/>
      <w:lvlText w:val=""/>
      <w:lvlJc w:val="left"/>
      <w:pPr>
        <w:tabs>
          <w:tab w:val="num" w:pos="5760"/>
        </w:tabs>
        <w:ind w:left="5760" w:hanging="360"/>
      </w:pPr>
      <w:rPr>
        <w:rFonts w:ascii="Wingdings" w:hAnsi="Wingdings" w:hint="default"/>
        <w:sz w:val="20"/>
      </w:rPr>
    </w:lvl>
    <w:lvl w:ilvl="8" w:tplc="9FDAFF9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C5E45"/>
    <w:multiLevelType w:val="hybridMultilevel"/>
    <w:tmpl w:val="8EEC9078"/>
    <w:lvl w:ilvl="0" w:tplc="BA862E04">
      <w:start w:val="1"/>
      <w:numFmt w:val="bullet"/>
      <w:lvlText w:val=""/>
      <w:lvlJc w:val="left"/>
      <w:pPr>
        <w:tabs>
          <w:tab w:val="num" w:pos="720"/>
        </w:tabs>
        <w:ind w:left="720" w:hanging="360"/>
      </w:pPr>
      <w:rPr>
        <w:rFonts w:ascii="Symbol" w:hAnsi="Symbol" w:hint="default"/>
        <w:sz w:val="20"/>
      </w:rPr>
    </w:lvl>
    <w:lvl w:ilvl="1" w:tplc="DD6C29FE" w:tentative="1">
      <w:start w:val="1"/>
      <w:numFmt w:val="bullet"/>
      <w:lvlText w:val="o"/>
      <w:lvlJc w:val="left"/>
      <w:pPr>
        <w:tabs>
          <w:tab w:val="num" w:pos="1440"/>
        </w:tabs>
        <w:ind w:left="1440" w:hanging="360"/>
      </w:pPr>
      <w:rPr>
        <w:rFonts w:ascii="Courier New" w:hAnsi="Courier New" w:hint="default"/>
        <w:sz w:val="20"/>
      </w:rPr>
    </w:lvl>
    <w:lvl w:ilvl="2" w:tplc="5678CCE8" w:tentative="1">
      <w:start w:val="1"/>
      <w:numFmt w:val="bullet"/>
      <w:lvlText w:val=""/>
      <w:lvlJc w:val="left"/>
      <w:pPr>
        <w:tabs>
          <w:tab w:val="num" w:pos="2160"/>
        </w:tabs>
        <w:ind w:left="2160" w:hanging="360"/>
      </w:pPr>
      <w:rPr>
        <w:rFonts w:ascii="Wingdings" w:hAnsi="Wingdings" w:hint="default"/>
        <w:sz w:val="20"/>
      </w:rPr>
    </w:lvl>
    <w:lvl w:ilvl="3" w:tplc="83C24D12" w:tentative="1">
      <w:start w:val="1"/>
      <w:numFmt w:val="bullet"/>
      <w:lvlText w:val=""/>
      <w:lvlJc w:val="left"/>
      <w:pPr>
        <w:tabs>
          <w:tab w:val="num" w:pos="2880"/>
        </w:tabs>
        <w:ind w:left="2880" w:hanging="360"/>
      </w:pPr>
      <w:rPr>
        <w:rFonts w:ascii="Wingdings" w:hAnsi="Wingdings" w:hint="default"/>
        <w:sz w:val="20"/>
      </w:rPr>
    </w:lvl>
    <w:lvl w:ilvl="4" w:tplc="05562C5A" w:tentative="1">
      <w:start w:val="1"/>
      <w:numFmt w:val="bullet"/>
      <w:lvlText w:val=""/>
      <w:lvlJc w:val="left"/>
      <w:pPr>
        <w:tabs>
          <w:tab w:val="num" w:pos="3600"/>
        </w:tabs>
        <w:ind w:left="3600" w:hanging="360"/>
      </w:pPr>
      <w:rPr>
        <w:rFonts w:ascii="Wingdings" w:hAnsi="Wingdings" w:hint="default"/>
        <w:sz w:val="20"/>
      </w:rPr>
    </w:lvl>
    <w:lvl w:ilvl="5" w:tplc="FFC01092" w:tentative="1">
      <w:start w:val="1"/>
      <w:numFmt w:val="bullet"/>
      <w:lvlText w:val=""/>
      <w:lvlJc w:val="left"/>
      <w:pPr>
        <w:tabs>
          <w:tab w:val="num" w:pos="4320"/>
        </w:tabs>
        <w:ind w:left="4320" w:hanging="360"/>
      </w:pPr>
      <w:rPr>
        <w:rFonts w:ascii="Wingdings" w:hAnsi="Wingdings" w:hint="default"/>
        <w:sz w:val="20"/>
      </w:rPr>
    </w:lvl>
    <w:lvl w:ilvl="6" w:tplc="F1307E90" w:tentative="1">
      <w:start w:val="1"/>
      <w:numFmt w:val="bullet"/>
      <w:lvlText w:val=""/>
      <w:lvlJc w:val="left"/>
      <w:pPr>
        <w:tabs>
          <w:tab w:val="num" w:pos="5040"/>
        </w:tabs>
        <w:ind w:left="5040" w:hanging="360"/>
      </w:pPr>
      <w:rPr>
        <w:rFonts w:ascii="Wingdings" w:hAnsi="Wingdings" w:hint="default"/>
        <w:sz w:val="20"/>
      </w:rPr>
    </w:lvl>
    <w:lvl w:ilvl="7" w:tplc="FA1EE326" w:tentative="1">
      <w:start w:val="1"/>
      <w:numFmt w:val="bullet"/>
      <w:lvlText w:val=""/>
      <w:lvlJc w:val="left"/>
      <w:pPr>
        <w:tabs>
          <w:tab w:val="num" w:pos="5760"/>
        </w:tabs>
        <w:ind w:left="5760" w:hanging="360"/>
      </w:pPr>
      <w:rPr>
        <w:rFonts w:ascii="Wingdings" w:hAnsi="Wingdings" w:hint="default"/>
        <w:sz w:val="20"/>
      </w:rPr>
    </w:lvl>
    <w:lvl w:ilvl="8" w:tplc="EAC62F0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06304"/>
    <w:multiLevelType w:val="hybridMultilevel"/>
    <w:tmpl w:val="CAF6F26C"/>
    <w:lvl w:ilvl="0" w:tplc="15863C3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D52793E"/>
    <w:multiLevelType w:val="hybridMultilevel"/>
    <w:tmpl w:val="DFB0E03E"/>
    <w:lvl w:ilvl="0" w:tplc="B04E1E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0DE1C88"/>
    <w:multiLevelType w:val="multilevel"/>
    <w:tmpl w:val="9900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E2972"/>
    <w:multiLevelType w:val="hybridMultilevel"/>
    <w:tmpl w:val="C5FE5C56"/>
    <w:lvl w:ilvl="0" w:tplc="72662C3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5D50DA8"/>
    <w:multiLevelType w:val="hybridMultilevel"/>
    <w:tmpl w:val="3A428754"/>
    <w:lvl w:ilvl="0" w:tplc="A49474E0">
      <w:numFmt w:val="bullet"/>
      <w:lvlText w:val=""/>
      <w:lvlJc w:val="left"/>
      <w:pPr>
        <w:ind w:left="760" w:hanging="360"/>
      </w:pPr>
      <w:rPr>
        <w:rFonts w:ascii="Wingdings" w:eastAsia="Batang" w:hAnsi="Wingdings"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AF071B9"/>
    <w:multiLevelType w:val="hybridMultilevel"/>
    <w:tmpl w:val="68A868D8"/>
    <w:lvl w:ilvl="0" w:tplc="962C7DF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15:restartNumberingAfterBreak="0">
    <w:nsid w:val="31A67A23"/>
    <w:multiLevelType w:val="hybridMultilevel"/>
    <w:tmpl w:val="C1346324"/>
    <w:lvl w:ilvl="0" w:tplc="C1B6F9CC">
      <w:start w:val="1"/>
      <w:numFmt w:val="bullet"/>
      <w:lvlText w:val=""/>
      <w:lvlJc w:val="left"/>
      <w:pPr>
        <w:tabs>
          <w:tab w:val="num" w:pos="720"/>
        </w:tabs>
        <w:ind w:left="720" w:hanging="360"/>
      </w:pPr>
      <w:rPr>
        <w:rFonts w:ascii="Symbol" w:hAnsi="Symbol" w:hint="default"/>
        <w:sz w:val="20"/>
      </w:rPr>
    </w:lvl>
    <w:lvl w:ilvl="1" w:tplc="B8B220DC" w:tentative="1">
      <w:start w:val="1"/>
      <w:numFmt w:val="bullet"/>
      <w:lvlText w:val="o"/>
      <w:lvlJc w:val="left"/>
      <w:pPr>
        <w:tabs>
          <w:tab w:val="num" w:pos="1440"/>
        </w:tabs>
        <w:ind w:left="1440" w:hanging="360"/>
      </w:pPr>
      <w:rPr>
        <w:rFonts w:ascii="Courier New" w:hAnsi="Courier New" w:hint="default"/>
        <w:sz w:val="20"/>
      </w:rPr>
    </w:lvl>
    <w:lvl w:ilvl="2" w:tplc="231E8A0E" w:tentative="1">
      <w:start w:val="1"/>
      <w:numFmt w:val="bullet"/>
      <w:lvlText w:val=""/>
      <w:lvlJc w:val="left"/>
      <w:pPr>
        <w:tabs>
          <w:tab w:val="num" w:pos="2160"/>
        </w:tabs>
        <w:ind w:left="2160" w:hanging="360"/>
      </w:pPr>
      <w:rPr>
        <w:rFonts w:ascii="Wingdings" w:hAnsi="Wingdings" w:hint="default"/>
        <w:sz w:val="20"/>
      </w:rPr>
    </w:lvl>
    <w:lvl w:ilvl="3" w:tplc="BF7CB05E" w:tentative="1">
      <w:start w:val="1"/>
      <w:numFmt w:val="bullet"/>
      <w:lvlText w:val=""/>
      <w:lvlJc w:val="left"/>
      <w:pPr>
        <w:tabs>
          <w:tab w:val="num" w:pos="2880"/>
        </w:tabs>
        <w:ind w:left="2880" w:hanging="360"/>
      </w:pPr>
      <w:rPr>
        <w:rFonts w:ascii="Wingdings" w:hAnsi="Wingdings" w:hint="default"/>
        <w:sz w:val="20"/>
      </w:rPr>
    </w:lvl>
    <w:lvl w:ilvl="4" w:tplc="93327C76" w:tentative="1">
      <w:start w:val="1"/>
      <w:numFmt w:val="bullet"/>
      <w:lvlText w:val=""/>
      <w:lvlJc w:val="left"/>
      <w:pPr>
        <w:tabs>
          <w:tab w:val="num" w:pos="3600"/>
        </w:tabs>
        <w:ind w:left="3600" w:hanging="360"/>
      </w:pPr>
      <w:rPr>
        <w:rFonts w:ascii="Wingdings" w:hAnsi="Wingdings" w:hint="default"/>
        <w:sz w:val="20"/>
      </w:rPr>
    </w:lvl>
    <w:lvl w:ilvl="5" w:tplc="39CE1F98" w:tentative="1">
      <w:start w:val="1"/>
      <w:numFmt w:val="bullet"/>
      <w:lvlText w:val=""/>
      <w:lvlJc w:val="left"/>
      <w:pPr>
        <w:tabs>
          <w:tab w:val="num" w:pos="4320"/>
        </w:tabs>
        <w:ind w:left="4320" w:hanging="360"/>
      </w:pPr>
      <w:rPr>
        <w:rFonts w:ascii="Wingdings" w:hAnsi="Wingdings" w:hint="default"/>
        <w:sz w:val="20"/>
      </w:rPr>
    </w:lvl>
    <w:lvl w:ilvl="6" w:tplc="9536B308" w:tentative="1">
      <w:start w:val="1"/>
      <w:numFmt w:val="bullet"/>
      <w:lvlText w:val=""/>
      <w:lvlJc w:val="left"/>
      <w:pPr>
        <w:tabs>
          <w:tab w:val="num" w:pos="5040"/>
        </w:tabs>
        <w:ind w:left="5040" w:hanging="360"/>
      </w:pPr>
      <w:rPr>
        <w:rFonts w:ascii="Wingdings" w:hAnsi="Wingdings" w:hint="default"/>
        <w:sz w:val="20"/>
      </w:rPr>
    </w:lvl>
    <w:lvl w:ilvl="7" w:tplc="BF7A525A" w:tentative="1">
      <w:start w:val="1"/>
      <w:numFmt w:val="bullet"/>
      <w:lvlText w:val=""/>
      <w:lvlJc w:val="left"/>
      <w:pPr>
        <w:tabs>
          <w:tab w:val="num" w:pos="5760"/>
        </w:tabs>
        <w:ind w:left="5760" w:hanging="360"/>
      </w:pPr>
      <w:rPr>
        <w:rFonts w:ascii="Wingdings" w:hAnsi="Wingdings" w:hint="default"/>
        <w:sz w:val="20"/>
      </w:rPr>
    </w:lvl>
    <w:lvl w:ilvl="8" w:tplc="AC98B4C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75ADD"/>
    <w:multiLevelType w:val="hybridMultilevel"/>
    <w:tmpl w:val="14BE23E4"/>
    <w:lvl w:ilvl="0" w:tplc="6CEE5902">
      <w:start w:val="1"/>
      <w:numFmt w:val="bullet"/>
      <w:lvlText w:val=""/>
      <w:lvlJc w:val="left"/>
      <w:pPr>
        <w:tabs>
          <w:tab w:val="num" w:pos="720"/>
        </w:tabs>
        <w:ind w:left="720" w:hanging="360"/>
      </w:pPr>
      <w:rPr>
        <w:rFonts w:ascii="Symbol" w:hAnsi="Symbol" w:hint="default"/>
        <w:sz w:val="20"/>
      </w:rPr>
    </w:lvl>
    <w:lvl w:ilvl="1" w:tplc="1520D90C" w:tentative="1">
      <w:start w:val="1"/>
      <w:numFmt w:val="bullet"/>
      <w:lvlText w:val="o"/>
      <w:lvlJc w:val="left"/>
      <w:pPr>
        <w:tabs>
          <w:tab w:val="num" w:pos="1440"/>
        </w:tabs>
        <w:ind w:left="1440" w:hanging="360"/>
      </w:pPr>
      <w:rPr>
        <w:rFonts w:ascii="Courier New" w:hAnsi="Courier New" w:hint="default"/>
        <w:sz w:val="20"/>
      </w:rPr>
    </w:lvl>
    <w:lvl w:ilvl="2" w:tplc="3F88AE62" w:tentative="1">
      <w:start w:val="1"/>
      <w:numFmt w:val="bullet"/>
      <w:lvlText w:val=""/>
      <w:lvlJc w:val="left"/>
      <w:pPr>
        <w:tabs>
          <w:tab w:val="num" w:pos="2160"/>
        </w:tabs>
        <w:ind w:left="2160" w:hanging="360"/>
      </w:pPr>
      <w:rPr>
        <w:rFonts w:ascii="Wingdings" w:hAnsi="Wingdings" w:hint="default"/>
        <w:sz w:val="20"/>
      </w:rPr>
    </w:lvl>
    <w:lvl w:ilvl="3" w:tplc="824ABC64" w:tentative="1">
      <w:start w:val="1"/>
      <w:numFmt w:val="bullet"/>
      <w:lvlText w:val=""/>
      <w:lvlJc w:val="left"/>
      <w:pPr>
        <w:tabs>
          <w:tab w:val="num" w:pos="2880"/>
        </w:tabs>
        <w:ind w:left="2880" w:hanging="360"/>
      </w:pPr>
      <w:rPr>
        <w:rFonts w:ascii="Wingdings" w:hAnsi="Wingdings" w:hint="default"/>
        <w:sz w:val="20"/>
      </w:rPr>
    </w:lvl>
    <w:lvl w:ilvl="4" w:tplc="CA84E616" w:tentative="1">
      <w:start w:val="1"/>
      <w:numFmt w:val="bullet"/>
      <w:lvlText w:val=""/>
      <w:lvlJc w:val="left"/>
      <w:pPr>
        <w:tabs>
          <w:tab w:val="num" w:pos="3600"/>
        </w:tabs>
        <w:ind w:left="3600" w:hanging="360"/>
      </w:pPr>
      <w:rPr>
        <w:rFonts w:ascii="Wingdings" w:hAnsi="Wingdings" w:hint="default"/>
        <w:sz w:val="20"/>
      </w:rPr>
    </w:lvl>
    <w:lvl w:ilvl="5" w:tplc="837E15C4" w:tentative="1">
      <w:start w:val="1"/>
      <w:numFmt w:val="bullet"/>
      <w:lvlText w:val=""/>
      <w:lvlJc w:val="left"/>
      <w:pPr>
        <w:tabs>
          <w:tab w:val="num" w:pos="4320"/>
        </w:tabs>
        <w:ind w:left="4320" w:hanging="360"/>
      </w:pPr>
      <w:rPr>
        <w:rFonts w:ascii="Wingdings" w:hAnsi="Wingdings" w:hint="default"/>
        <w:sz w:val="20"/>
      </w:rPr>
    </w:lvl>
    <w:lvl w:ilvl="6" w:tplc="6F9C33D6" w:tentative="1">
      <w:start w:val="1"/>
      <w:numFmt w:val="bullet"/>
      <w:lvlText w:val=""/>
      <w:lvlJc w:val="left"/>
      <w:pPr>
        <w:tabs>
          <w:tab w:val="num" w:pos="5040"/>
        </w:tabs>
        <w:ind w:left="5040" w:hanging="360"/>
      </w:pPr>
      <w:rPr>
        <w:rFonts w:ascii="Wingdings" w:hAnsi="Wingdings" w:hint="default"/>
        <w:sz w:val="20"/>
      </w:rPr>
    </w:lvl>
    <w:lvl w:ilvl="7" w:tplc="ED3A5F96" w:tentative="1">
      <w:start w:val="1"/>
      <w:numFmt w:val="bullet"/>
      <w:lvlText w:val=""/>
      <w:lvlJc w:val="left"/>
      <w:pPr>
        <w:tabs>
          <w:tab w:val="num" w:pos="5760"/>
        </w:tabs>
        <w:ind w:left="5760" w:hanging="360"/>
      </w:pPr>
      <w:rPr>
        <w:rFonts w:ascii="Wingdings" w:hAnsi="Wingdings" w:hint="default"/>
        <w:sz w:val="20"/>
      </w:rPr>
    </w:lvl>
    <w:lvl w:ilvl="8" w:tplc="55C84A5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15DC0"/>
    <w:multiLevelType w:val="hybridMultilevel"/>
    <w:tmpl w:val="65B43DC2"/>
    <w:lvl w:ilvl="0" w:tplc="E50EE3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F6D7CF8"/>
    <w:multiLevelType w:val="hybridMultilevel"/>
    <w:tmpl w:val="D5B2C0D2"/>
    <w:lvl w:ilvl="0" w:tplc="EC287A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0747336"/>
    <w:multiLevelType w:val="hybridMultilevel"/>
    <w:tmpl w:val="527E39DE"/>
    <w:lvl w:ilvl="0" w:tplc="AF920A0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15:restartNumberingAfterBreak="0">
    <w:nsid w:val="48511A5F"/>
    <w:multiLevelType w:val="hybridMultilevel"/>
    <w:tmpl w:val="BE76312C"/>
    <w:lvl w:ilvl="0" w:tplc="F62EF6FA">
      <w:start w:val="1"/>
      <w:numFmt w:val="bullet"/>
      <w:lvlText w:val=""/>
      <w:lvlJc w:val="left"/>
      <w:pPr>
        <w:tabs>
          <w:tab w:val="num" w:pos="720"/>
        </w:tabs>
        <w:ind w:left="720" w:hanging="360"/>
      </w:pPr>
      <w:rPr>
        <w:rFonts w:ascii="Symbol" w:hAnsi="Symbol" w:hint="default"/>
        <w:sz w:val="20"/>
      </w:rPr>
    </w:lvl>
    <w:lvl w:ilvl="1" w:tplc="8AFA2F88" w:tentative="1">
      <w:start w:val="1"/>
      <w:numFmt w:val="bullet"/>
      <w:lvlText w:val="o"/>
      <w:lvlJc w:val="left"/>
      <w:pPr>
        <w:tabs>
          <w:tab w:val="num" w:pos="1440"/>
        </w:tabs>
        <w:ind w:left="1440" w:hanging="360"/>
      </w:pPr>
      <w:rPr>
        <w:rFonts w:ascii="Courier New" w:hAnsi="Courier New" w:hint="default"/>
        <w:sz w:val="20"/>
      </w:rPr>
    </w:lvl>
    <w:lvl w:ilvl="2" w:tplc="02C6E660" w:tentative="1">
      <w:start w:val="1"/>
      <w:numFmt w:val="bullet"/>
      <w:lvlText w:val=""/>
      <w:lvlJc w:val="left"/>
      <w:pPr>
        <w:tabs>
          <w:tab w:val="num" w:pos="2160"/>
        </w:tabs>
        <w:ind w:left="2160" w:hanging="360"/>
      </w:pPr>
      <w:rPr>
        <w:rFonts w:ascii="Wingdings" w:hAnsi="Wingdings" w:hint="default"/>
        <w:sz w:val="20"/>
      </w:rPr>
    </w:lvl>
    <w:lvl w:ilvl="3" w:tplc="886E4806" w:tentative="1">
      <w:start w:val="1"/>
      <w:numFmt w:val="bullet"/>
      <w:lvlText w:val=""/>
      <w:lvlJc w:val="left"/>
      <w:pPr>
        <w:tabs>
          <w:tab w:val="num" w:pos="2880"/>
        </w:tabs>
        <w:ind w:left="2880" w:hanging="360"/>
      </w:pPr>
      <w:rPr>
        <w:rFonts w:ascii="Wingdings" w:hAnsi="Wingdings" w:hint="default"/>
        <w:sz w:val="20"/>
      </w:rPr>
    </w:lvl>
    <w:lvl w:ilvl="4" w:tplc="8BE2F0EA" w:tentative="1">
      <w:start w:val="1"/>
      <w:numFmt w:val="bullet"/>
      <w:lvlText w:val=""/>
      <w:lvlJc w:val="left"/>
      <w:pPr>
        <w:tabs>
          <w:tab w:val="num" w:pos="3600"/>
        </w:tabs>
        <w:ind w:left="3600" w:hanging="360"/>
      </w:pPr>
      <w:rPr>
        <w:rFonts w:ascii="Wingdings" w:hAnsi="Wingdings" w:hint="default"/>
        <w:sz w:val="20"/>
      </w:rPr>
    </w:lvl>
    <w:lvl w:ilvl="5" w:tplc="F45AC874" w:tentative="1">
      <w:start w:val="1"/>
      <w:numFmt w:val="bullet"/>
      <w:lvlText w:val=""/>
      <w:lvlJc w:val="left"/>
      <w:pPr>
        <w:tabs>
          <w:tab w:val="num" w:pos="4320"/>
        </w:tabs>
        <w:ind w:left="4320" w:hanging="360"/>
      </w:pPr>
      <w:rPr>
        <w:rFonts w:ascii="Wingdings" w:hAnsi="Wingdings" w:hint="default"/>
        <w:sz w:val="20"/>
      </w:rPr>
    </w:lvl>
    <w:lvl w:ilvl="6" w:tplc="A030E1AA" w:tentative="1">
      <w:start w:val="1"/>
      <w:numFmt w:val="bullet"/>
      <w:lvlText w:val=""/>
      <w:lvlJc w:val="left"/>
      <w:pPr>
        <w:tabs>
          <w:tab w:val="num" w:pos="5040"/>
        </w:tabs>
        <w:ind w:left="5040" w:hanging="360"/>
      </w:pPr>
      <w:rPr>
        <w:rFonts w:ascii="Wingdings" w:hAnsi="Wingdings" w:hint="default"/>
        <w:sz w:val="20"/>
      </w:rPr>
    </w:lvl>
    <w:lvl w:ilvl="7" w:tplc="EA6E1A2E" w:tentative="1">
      <w:start w:val="1"/>
      <w:numFmt w:val="bullet"/>
      <w:lvlText w:val=""/>
      <w:lvlJc w:val="left"/>
      <w:pPr>
        <w:tabs>
          <w:tab w:val="num" w:pos="5760"/>
        </w:tabs>
        <w:ind w:left="5760" w:hanging="360"/>
      </w:pPr>
      <w:rPr>
        <w:rFonts w:ascii="Wingdings" w:hAnsi="Wingdings" w:hint="default"/>
        <w:sz w:val="20"/>
      </w:rPr>
    </w:lvl>
    <w:lvl w:ilvl="8" w:tplc="97CCF9F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E49F8"/>
    <w:multiLevelType w:val="hybridMultilevel"/>
    <w:tmpl w:val="DF3481F2"/>
    <w:lvl w:ilvl="0" w:tplc="67D4B50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D490573"/>
    <w:multiLevelType w:val="hybridMultilevel"/>
    <w:tmpl w:val="31609316"/>
    <w:lvl w:ilvl="0" w:tplc="5888F0E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6" w15:restartNumberingAfterBreak="0">
    <w:nsid w:val="5F1324F0"/>
    <w:multiLevelType w:val="hybridMultilevel"/>
    <w:tmpl w:val="7116B8B0"/>
    <w:lvl w:ilvl="0" w:tplc="AA7E3DE6">
      <w:start w:val="1"/>
      <w:numFmt w:val="bullet"/>
      <w:lvlText w:val=""/>
      <w:lvlJc w:val="left"/>
      <w:pPr>
        <w:tabs>
          <w:tab w:val="num" w:pos="720"/>
        </w:tabs>
        <w:ind w:left="720" w:hanging="360"/>
      </w:pPr>
      <w:rPr>
        <w:rFonts w:ascii="Symbol" w:hAnsi="Symbol" w:hint="default"/>
        <w:sz w:val="20"/>
      </w:rPr>
    </w:lvl>
    <w:lvl w:ilvl="1" w:tplc="FBEE9DF6" w:tentative="1">
      <w:start w:val="1"/>
      <w:numFmt w:val="bullet"/>
      <w:lvlText w:val="o"/>
      <w:lvlJc w:val="left"/>
      <w:pPr>
        <w:tabs>
          <w:tab w:val="num" w:pos="1440"/>
        </w:tabs>
        <w:ind w:left="1440" w:hanging="360"/>
      </w:pPr>
      <w:rPr>
        <w:rFonts w:ascii="Courier New" w:hAnsi="Courier New" w:hint="default"/>
        <w:sz w:val="20"/>
      </w:rPr>
    </w:lvl>
    <w:lvl w:ilvl="2" w:tplc="8106637C" w:tentative="1">
      <w:start w:val="1"/>
      <w:numFmt w:val="bullet"/>
      <w:lvlText w:val=""/>
      <w:lvlJc w:val="left"/>
      <w:pPr>
        <w:tabs>
          <w:tab w:val="num" w:pos="2160"/>
        </w:tabs>
        <w:ind w:left="2160" w:hanging="360"/>
      </w:pPr>
      <w:rPr>
        <w:rFonts w:ascii="Wingdings" w:hAnsi="Wingdings" w:hint="default"/>
        <w:sz w:val="20"/>
      </w:rPr>
    </w:lvl>
    <w:lvl w:ilvl="3" w:tplc="1D4AE9B6" w:tentative="1">
      <w:start w:val="1"/>
      <w:numFmt w:val="bullet"/>
      <w:lvlText w:val=""/>
      <w:lvlJc w:val="left"/>
      <w:pPr>
        <w:tabs>
          <w:tab w:val="num" w:pos="2880"/>
        </w:tabs>
        <w:ind w:left="2880" w:hanging="360"/>
      </w:pPr>
      <w:rPr>
        <w:rFonts w:ascii="Wingdings" w:hAnsi="Wingdings" w:hint="default"/>
        <w:sz w:val="20"/>
      </w:rPr>
    </w:lvl>
    <w:lvl w:ilvl="4" w:tplc="A43886E0" w:tentative="1">
      <w:start w:val="1"/>
      <w:numFmt w:val="bullet"/>
      <w:lvlText w:val=""/>
      <w:lvlJc w:val="left"/>
      <w:pPr>
        <w:tabs>
          <w:tab w:val="num" w:pos="3600"/>
        </w:tabs>
        <w:ind w:left="3600" w:hanging="360"/>
      </w:pPr>
      <w:rPr>
        <w:rFonts w:ascii="Wingdings" w:hAnsi="Wingdings" w:hint="default"/>
        <w:sz w:val="20"/>
      </w:rPr>
    </w:lvl>
    <w:lvl w:ilvl="5" w:tplc="B952F1EC" w:tentative="1">
      <w:start w:val="1"/>
      <w:numFmt w:val="bullet"/>
      <w:lvlText w:val=""/>
      <w:lvlJc w:val="left"/>
      <w:pPr>
        <w:tabs>
          <w:tab w:val="num" w:pos="4320"/>
        </w:tabs>
        <w:ind w:left="4320" w:hanging="360"/>
      </w:pPr>
      <w:rPr>
        <w:rFonts w:ascii="Wingdings" w:hAnsi="Wingdings" w:hint="default"/>
        <w:sz w:val="20"/>
      </w:rPr>
    </w:lvl>
    <w:lvl w:ilvl="6" w:tplc="996434C8" w:tentative="1">
      <w:start w:val="1"/>
      <w:numFmt w:val="bullet"/>
      <w:lvlText w:val=""/>
      <w:lvlJc w:val="left"/>
      <w:pPr>
        <w:tabs>
          <w:tab w:val="num" w:pos="5040"/>
        </w:tabs>
        <w:ind w:left="5040" w:hanging="360"/>
      </w:pPr>
      <w:rPr>
        <w:rFonts w:ascii="Wingdings" w:hAnsi="Wingdings" w:hint="default"/>
        <w:sz w:val="20"/>
      </w:rPr>
    </w:lvl>
    <w:lvl w:ilvl="7" w:tplc="5B3C7A96" w:tentative="1">
      <w:start w:val="1"/>
      <w:numFmt w:val="bullet"/>
      <w:lvlText w:val=""/>
      <w:lvlJc w:val="left"/>
      <w:pPr>
        <w:tabs>
          <w:tab w:val="num" w:pos="5760"/>
        </w:tabs>
        <w:ind w:left="5760" w:hanging="360"/>
      </w:pPr>
      <w:rPr>
        <w:rFonts w:ascii="Wingdings" w:hAnsi="Wingdings" w:hint="default"/>
        <w:sz w:val="20"/>
      </w:rPr>
    </w:lvl>
    <w:lvl w:ilvl="8" w:tplc="70083FD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6B580C"/>
    <w:multiLevelType w:val="hybridMultilevel"/>
    <w:tmpl w:val="3782EDD0"/>
    <w:lvl w:ilvl="0" w:tplc="9C260B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2D372BB"/>
    <w:multiLevelType w:val="hybridMultilevel"/>
    <w:tmpl w:val="06985112"/>
    <w:lvl w:ilvl="0" w:tplc="33F2222A">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5EA2140"/>
    <w:multiLevelType w:val="hybridMultilevel"/>
    <w:tmpl w:val="9662CFB2"/>
    <w:lvl w:ilvl="0" w:tplc="5ECAF106">
      <w:start w:val="1"/>
      <w:numFmt w:val="bullet"/>
      <w:lvlText w:val=""/>
      <w:lvlJc w:val="left"/>
      <w:pPr>
        <w:tabs>
          <w:tab w:val="num" w:pos="720"/>
        </w:tabs>
        <w:ind w:left="720" w:hanging="360"/>
      </w:pPr>
      <w:rPr>
        <w:rFonts w:ascii="Symbol" w:hAnsi="Symbol" w:hint="default"/>
        <w:sz w:val="20"/>
      </w:rPr>
    </w:lvl>
    <w:lvl w:ilvl="1" w:tplc="FB6293DC" w:tentative="1">
      <w:start w:val="1"/>
      <w:numFmt w:val="bullet"/>
      <w:lvlText w:val="o"/>
      <w:lvlJc w:val="left"/>
      <w:pPr>
        <w:tabs>
          <w:tab w:val="num" w:pos="1440"/>
        </w:tabs>
        <w:ind w:left="1440" w:hanging="360"/>
      </w:pPr>
      <w:rPr>
        <w:rFonts w:ascii="Courier New" w:hAnsi="Courier New" w:hint="default"/>
        <w:sz w:val="20"/>
      </w:rPr>
    </w:lvl>
    <w:lvl w:ilvl="2" w:tplc="ECAC1F82" w:tentative="1">
      <w:start w:val="1"/>
      <w:numFmt w:val="bullet"/>
      <w:lvlText w:val=""/>
      <w:lvlJc w:val="left"/>
      <w:pPr>
        <w:tabs>
          <w:tab w:val="num" w:pos="2160"/>
        </w:tabs>
        <w:ind w:left="2160" w:hanging="360"/>
      </w:pPr>
      <w:rPr>
        <w:rFonts w:ascii="Wingdings" w:hAnsi="Wingdings" w:hint="default"/>
        <w:sz w:val="20"/>
      </w:rPr>
    </w:lvl>
    <w:lvl w:ilvl="3" w:tplc="360020BA" w:tentative="1">
      <w:start w:val="1"/>
      <w:numFmt w:val="bullet"/>
      <w:lvlText w:val=""/>
      <w:lvlJc w:val="left"/>
      <w:pPr>
        <w:tabs>
          <w:tab w:val="num" w:pos="2880"/>
        </w:tabs>
        <w:ind w:left="2880" w:hanging="360"/>
      </w:pPr>
      <w:rPr>
        <w:rFonts w:ascii="Wingdings" w:hAnsi="Wingdings" w:hint="default"/>
        <w:sz w:val="20"/>
      </w:rPr>
    </w:lvl>
    <w:lvl w:ilvl="4" w:tplc="C2E69162" w:tentative="1">
      <w:start w:val="1"/>
      <w:numFmt w:val="bullet"/>
      <w:lvlText w:val=""/>
      <w:lvlJc w:val="left"/>
      <w:pPr>
        <w:tabs>
          <w:tab w:val="num" w:pos="3600"/>
        </w:tabs>
        <w:ind w:left="3600" w:hanging="360"/>
      </w:pPr>
      <w:rPr>
        <w:rFonts w:ascii="Wingdings" w:hAnsi="Wingdings" w:hint="default"/>
        <w:sz w:val="20"/>
      </w:rPr>
    </w:lvl>
    <w:lvl w:ilvl="5" w:tplc="D5C6BC92" w:tentative="1">
      <w:start w:val="1"/>
      <w:numFmt w:val="bullet"/>
      <w:lvlText w:val=""/>
      <w:lvlJc w:val="left"/>
      <w:pPr>
        <w:tabs>
          <w:tab w:val="num" w:pos="4320"/>
        </w:tabs>
        <w:ind w:left="4320" w:hanging="360"/>
      </w:pPr>
      <w:rPr>
        <w:rFonts w:ascii="Wingdings" w:hAnsi="Wingdings" w:hint="default"/>
        <w:sz w:val="20"/>
      </w:rPr>
    </w:lvl>
    <w:lvl w:ilvl="6" w:tplc="E63C3374" w:tentative="1">
      <w:start w:val="1"/>
      <w:numFmt w:val="bullet"/>
      <w:lvlText w:val=""/>
      <w:lvlJc w:val="left"/>
      <w:pPr>
        <w:tabs>
          <w:tab w:val="num" w:pos="5040"/>
        </w:tabs>
        <w:ind w:left="5040" w:hanging="360"/>
      </w:pPr>
      <w:rPr>
        <w:rFonts w:ascii="Wingdings" w:hAnsi="Wingdings" w:hint="default"/>
        <w:sz w:val="20"/>
      </w:rPr>
    </w:lvl>
    <w:lvl w:ilvl="7" w:tplc="60FCF9AE" w:tentative="1">
      <w:start w:val="1"/>
      <w:numFmt w:val="bullet"/>
      <w:lvlText w:val=""/>
      <w:lvlJc w:val="left"/>
      <w:pPr>
        <w:tabs>
          <w:tab w:val="num" w:pos="5760"/>
        </w:tabs>
        <w:ind w:left="5760" w:hanging="360"/>
      </w:pPr>
      <w:rPr>
        <w:rFonts w:ascii="Wingdings" w:hAnsi="Wingdings" w:hint="default"/>
        <w:sz w:val="20"/>
      </w:rPr>
    </w:lvl>
    <w:lvl w:ilvl="8" w:tplc="15E65CF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26A3E"/>
    <w:multiLevelType w:val="hybridMultilevel"/>
    <w:tmpl w:val="C100B75E"/>
    <w:lvl w:ilvl="0" w:tplc="2FE4C1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770C5B98"/>
    <w:multiLevelType w:val="hybridMultilevel"/>
    <w:tmpl w:val="4C50ECF2"/>
    <w:lvl w:ilvl="0" w:tplc="917A866C">
      <w:start w:val="1"/>
      <w:numFmt w:val="bullet"/>
      <w:lvlText w:val=""/>
      <w:lvlJc w:val="left"/>
      <w:pPr>
        <w:tabs>
          <w:tab w:val="num" w:pos="720"/>
        </w:tabs>
        <w:ind w:left="720" w:hanging="360"/>
      </w:pPr>
      <w:rPr>
        <w:rFonts w:ascii="Symbol" w:hAnsi="Symbol" w:hint="default"/>
        <w:sz w:val="20"/>
      </w:rPr>
    </w:lvl>
    <w:lvl w:ilvl="1" w:tplc="40823A74" w:tentative="1">
      <w:start w:val="1"/>
      <w:numFmt w:val="bullet"/>
      <w:lvlText w:val="o"/>
      <w:lvlJc w:val="left"/>
      <w:pPr>
        <w:tabs>
          <w:tab w:val="num" w:pos="1440"/>
        </w:tabs>
        <w:ind w:left="1440" w:hanging="360"/>
      </w:pPr>
      <w:rPr>
        <w:rFonts w:ascii="Courier New" w:hAnsi="Courier New" w:hint="default"/>
        <w:sz w:val="20"/>
      </w:rPr>
    </w:lvl>
    <w:lvl w:ilvl="2" w:tplc="DB2CDF30" w:tentative="1">
      <w:start w:val="1"/>
      <w:numFmt w:val="bullet"/>
      <w:lvlText w:val=""/>
      <w:lvlJc w:val="left"/>
      <w:pPr>
        <w:tabs>
          <w:tab w:val="num" w:pos="2160"/>
        </w:tabs>
        <w:ind w:left="2160" w:hanging="360"/>
      </w:pPr>
      <w:rPr>
        <w:rFonts w:ascii="Wingdings" w:hAnsi="Wingdings" w:hint="default"/>
        <w:sz w:val="20"/>
      </w:rPr>
    </w:lvl>
    <w:lvl w:ilvl="3" w:tplc="AFC48C7A" w:tentative="1">
      <w:start w:val="1"/>
      <w:numFmt w:val="bullet"/>
      <w:lvlText w:val=""/>
      <w:lvlJc w:val="left"/>
      <w:pPr>
        <w:tabs>
          <w:tab w:val="num" w:pos="2880"/>
        </w:tabs>
        <w:ind w:left="2880" w:hanging="360"/>
      </w:pPr>
      <w:rPr>
        <w:rFonts w:ascii="Wingdings" w:hAnsi="Wingdings" w:hint="default"/>
        <w:sz w:val="20"/>
      </w:rPr>
    </w:lvl>
    <w:lvl w:ilvl="4" w:tplc="AC222F28" w:tentative="1">
      <w:start w:val="1"/>
      <w:numFmt w:val="bullet"/>
      <w:lvlText w:val=""/>
      <w:lvlJc w:val="left"/>
      <w:pPr>
        <w:tabs>
          <w:tab w:val="num" w:pos="3600"/>
        </w:tabs>
        <w:ind w:left="3600" w:hanging="360"/>
      </w:pPr>
      <w:rPr>
        <w:rFonts w:ascii="Wingdings" w:hAnsi="Wingdings" w:hint="default"/>
        <w:sz w:val="20"/>
      </w:rPr>
    </w:lvl>
    <w:lvl w:ilvl="5" w:tplc="9738AE6E" w:tentative="1">
      <w:start w:val="1"/>
      <w:numFmt w:val="bullet"/>
      <w:lvlText w:val=""/>
      <w:lvlJc w:val="left"/>
      <w:pPr>
        <w:tabs>
          <w:tab w:val="num" w:pos="4320"/>
        </w:tabs>
        <w:ind w:left="4320" w:hanging="360"/>
      </w:pPr>
      <w:rPr>
        <w:rFonts w:ascii="Wingdings" w:hAnsi="Wingdings" w:hint="default"/>
        <w:sz w:val="20"/>
      </w:rPr>
    </w:lvl>
    <w:lvl w:ilvl="6" w:tplc="47503C54" w:tentative="1">
      <w:start w:val="1"/>
      <w:numFmt w:val="bullet"/>
      <w:lvlText w:val=""/>
      <w:lvlJc w:val="left"/>
      <w:pPr>
        <w:tabs>
          <w:tab w:val="num" w:pos="5040"/>
        </w:tabs>
        <w:ind w:left="5040" w:hanging="360"/>
      </w:pPr>
      <w:rPr>
        <w:rFonts w:ascii="Wingdings" w:hAnsi="Wingdings" w:hint="default"/>
        <w:sz w:val="20"/>
      </w:rPr>
    </w:lvl>
    <w:lvl w:ilvl="7" w:tplc="AC245E70" w:tentative="1">
      <w:start w:val="1"/>
      <w:numFmt w:val="bullet"/>
      <w:lvlText w:val=""/>
      <w:lvlJc w:val="left"/>
      <w:pPr>
        <w:tabs>
          <w:tab w:val="num" w:pos="5760"/>
        </w:tabs>
        <w:ind w:left="5760" w:hanging="360"/>
      </w:pPr>
      <w:rPr>
        <w:rFonts w:ascii="Wingdings" w:hAnsi="Wingdings" w:hint="default"/>
        <w:sz w:val="20"/>
      </w:rPr>
    </w:lvl>
    <w:lvl w:ilvl="8" w:tplc="67BAAB2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3116A"/>
    <w:multiLevelType w:val="hybridMultilevel"/>
    <w:tmpl w:val="D1FA00A4"/>
    <w:lvl w:ilvl="0" w:tplc="8F7623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79685426"/>
    <w:multiLevelType w:val="hybridMultilevel"/>
    <w:tmpl w:val="856C0292"/>
    <w:lvl w:ilvl="0" w:tplc="2C342DA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AC11777"/>
    <w:multiLevelType w:val="hybridMultilevel"/>
    <w:tmpl w:val="A5EE30E8"/>
    <w:lvl w:ilvl="0" w:tplc="8BC482C6">
      <w:start w:val="1"/>
      <w:numFmt w:val="bullet"/>
      <w:lvlText w:val=""/>
      <w:lvlJc w:val="left"/>
      <w:pPr>
        <w:tabs>
          <w:tab w:val="num" w:pos="720"/>
        </w:tabs>
        <w:ind w:left="720" w:hanging="360"/>
      </w:pPr>
      <w:rPr>
        <w:rFonts w:ascii="Symbol" w:hAnsi="Symbol" w:hint="default"/>
        <w:sz w:val="20"/>
      </w:rPr>
    </w:lvl>
    <w:lvl w:ilvl="1" w:tplc="51B645C6" w:tentative="1">
      <w:start w:val="1"/>
      <w:numFmt w:val="bullet"/>
      <w:lvlText w:val="o"/>
      <w:lvlJc w:val="left"/>
      <w:pPr>
        <w:tabs>
          <w:tab w:val="num" w:pos="1440"/>
        </w:tabs>
        <w:ind w:left="1440" w:hanging="360"/>
      </w:pPr>
      <w:rPr>
        <w:rFonts w:ascii="Courier New" w:hAnsi="Courier New" w:hint="default"/>
        <w:sz w:val="20"/>
      </w:rPr>
    </w:lvl>
    <w:lvl w:ilvl="2" w:tplc="2A08DBA4" w:tentative="1">
      <w:start w:val="1"/>
      <w:numFmt w:val="bullet"/>
      <w:lvlText w:val=""/>
      <w:lvlJc w:val="left"/>
      <w:pPr>
        <w:tabs>
          <w:tab w:val="num" w:pos="2160"/>
        </w:tabs>
        <w:ind w:left="2160" w:hanging="360"/>
      </w:pPr>
      <w:rPr>
        <w:rFonts w:ascii="Wingdings" w:hAnsi="Wingdings" w:hint="default"/>
        <w:sz w:val="20"/>
      </w:rPr>
    </w:lvl>
    <w:lvl w:ilvl="3" w:tplc="DFD4548E" w:tentative="1">
      <w:start w:val="1"/>
      <w:numFmt w:val="bullet"/>
      <w:lvlText w:val=""/>
      <w:lvlJc w:val="left"/>
      <w:pPr>
        <w:tabs>
          <w:tab w:val="num" w:pos="2880"/>
        </w:tabs>
        <w:ind w:left="2880" w:hanging="360"/>
      </w:pPr>
      <w:rPr>
        <w:rFonts w:ascii="Wingdings" w:hAnsi="Wingdings" w:hint="default"/>
        <w:sz w:val="20"/>
      </w:rPr>
    </w:lvl>
    <w:lvl w:ilvl="4" w:tplc="3586B4D0" w:tentative="1">
      <w:start w:val="1"/>
      <w:numFmt w:val="bullet"/>
      <w:lvlText w:val=""/>
      <w:lvlJc w:val="left"/>
      <w:pPr>
        <w:tabs>
          <w:tab w:val="num" w:pos="3600"/>
        </w:tabs>
        <w:ind w:left="3600" w:hanging="360"/>
      </w:pPr>
      <w:rPr>
        <w:rFonts w:ascii="Wingdings" w:hAnsi="Wingdings" w:hint="default"/>
        <w:sz w:val="20"/>
      </w:rPr>
    </w:lvl>
    <w:lvl w:ilvl="5" w:tplc="FC329366" w:tentative="1">
      <w:start w:val="1"/>
      <w:numFmt w:val="bullet"/>
      <w:lvlText w:val=""/>
      <w:lvlJc w:val="left"/>
      <w:pPr>
        <w:tabs>
          <w:tab w:val="num" w:pos="4320"/>
        </w:tabs>
        <w:ind w:left="4320" w:hanging="360"/>
      </w:pPr>
      <w:rPr>
        <w:rFonts w:ascii="Wingdings" w:hAnsi="Wingdings" w:hint="default"/>
        <w:sz w:val="20"/>
      </w:rPr>
    </w:lvl>
    <w:lvl w:ilvl="6" w:tplc="365A935A" w:tentative="1">
      <w:start w:val="1"/>
      <w:numFmt w:val="bullet"/>
      <w:lvlText w:val=""/>
      <w:lvlJc w:val="left"/>
      <w:pPr>
        <w:tabs>
          <w:tab w:val="num" w:pos="5040"/>
        </w:tabs>
        <w:ind w:left="5040" w:hanging="360"/>
      </w:pPr>
      <w:rPr>
        <w:rFonts w:ascii="Wingdings" w:hAnsi="Wingdings" w:hint="default"/>
        <w:sz w:val="20"/>
      </w:rPr>
    </w:lvl>
    <w:lvl w:ilvl="7" w:tplc="7B829C98" w:tentative="1">
      <w:start w:val="1"/>
      <w:numFmt w:val="bullet"/>
      <w:lvlText w:val=""/>
      <w:lvlJc w:val="left"/>
      <w:pPr>
        <w:tabs>
          <w:tab w:val="num" w:pos="5760"/>
        </w:tabs>
        <w:ind w:left="5760" w:hanging="360"/>
      </w:pPr>
      <w:rPr>
        <w:rFonts w:ascii="Wingdings" w:hAnsi="Wingdings" w:hint="default"/>
        <w:sz w:val="20"/>
      </w:rPr>
    </w:lvl>
    <w:lvl w:ilvl="8" w:tplc="1B24982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25798"/>
    <w:multiLevelType w:val="hybridMultilevel"/>
    <w:tmpl w:val="58203BBA"/>
    <w:lvl w:ilvl="0" w:tplc="A5AC5052">
      <w:start w:val="1"/>
      <w:numFmt w:val="bullet"/>
      <w:lvlText w:val=""/>
      <w:lvlJc w:val="left"/>
      <w:pPr>
        <w:tabs>
          <w:tab w:val="num" w:pos="720"/>
        </w:tabs>
        <w:ind w:left="720" w:hanging="360"/>
      </w:pPr>
      <w:rPr>
        <w:rFonts w:ascii="Symbol" w:hAnsi="Symbol" w:hint="default"/>
        <w:sz w:val="20"/>
      </w:rPr>
    </w:lvl>
    <w:lvl w:ilvl="1" w:tplc="B9207E2E" w:tentative="1">
      <w:start w:val="1"/>
      <w:numFmt w:val="bullet"/>
      <w:lvlText w:val="o"/>
      <w:lvlJc w:val="left"/>
      <w:pPr>
        <w:tabs>
          <w:tab w:val="num" w:pos="1440"/>
        </w:tabs>
        <w:ind w:left="1440" w:hanging="360"/>
      </w:pPr>
      <w:rPr>
        <w:rFonts w:ascii="Courier New" w:hAnsi="Courier New" w:hint="default"/>
        <w:sz w:val="20"/>
      </w:rPr>
    </w:lvl>
    <w:lvl w:ilvl="2" w:tplc="16AE7342" w:tentative="1">
      <w:start w:val="1"/>
      <w:numFmt w:val="bullet"/>
      <w:lvlText w:val=""/>
      <w:lvlJc w:val="left"/>
      <w:pPr>
        <w:tabs>
          <w:tab w:val="num" w:pos="2160"/>
        </w:tabs>
        <w:ind w:left="2160" w:hanging="360"/>
      </w:pPr>
      <w:rPr>
        <w:rFonts w:ascii="Wingdings" w:hAnsi="Wingdings" w:hint="default"/>
        <w:sz w:val="20"/>
      </w:rPr>
    </w:lvl>
    <w:lvl w:ilvl="3" w:tplc="3844FC64" w:tentative="1">
      <w:start w:val="1"/>
      <w:numFmt w:val="bullet"/>
      <w:lvlText w:val=""/>
      <w:lvlJc w:val="left"/>
      <w:pPr>
        <w:tabs>
          <w:tab w:val="num" w:pos="2880"/>
        </w:tabs>
        <w:ind w:left="2880" w:hanging="360"/>
      </w:pPr>
      <w:rPr>
        <w:rFonts w:ascii="Wingdings" w:hAnsi="Wingdings" w:hint="default"/>
        <w:sz w:val="20"/>
      </w:rPr>
    </w:lvl>
    <w:lvl w:ilvl="4" w:tplc="14542670" w:tentative="1">
      <w:start w:val="1"/>
      <w:numFmt w:val="bullet"/>
      <w:lvlText w:val=""/>
      <w:lvlJc w:val="left"/>
      <w:pPr>
        <w:tabs>
          <w:tab w:val="num" w:pos="3600"/>
        </w:tabs>
        <w:ind w:left="3600" w:hanging="360"/>
      </w:pPr>
      <w:rPr>
        <w:rFonts w:ascii="Wingdings" w:hAnsi="Wingdings" w:hint="default"/>
        <w:sz w:val="20"/>
      </w:rPr>
    </w:lvl>
    <w:lvl w:ilvl="5" w:tplc="F7447E0A" w:tentative="1">
      <w:start w:val="1"/>
      <w:numFmt w:val="bullet"/>
      <w:lvlText w:val=""/>
      <w:lvlJc w:val="left"/>
      <w:pPr>
        <w:tabs>
          <w:tab w:val="num" w:pos="4320"/>
        </w:tabs>
        <w:ind w:left="4320" w:hanging="360"/>
      </w:pPr>
      <w:rPr>
        <w:rFonts w:ascii="Wingdings" w:hAnsi="Wingdings" w:hint="default"/>
        <w:sz w:val="20"/>
      </w:rPr>
    </w:lvl>
    <w:lvl w:ilvl="6" w:tplc="D5FA7FA4" w:tentative="1">
      <w:start w:val="1"/>
      <w:numFmt w:val="bullet"/>
      <w:lvlText w:val=""/>
      <w:lvlJc w:val="left"/>
      <w:pPr>
        <w:tabs>
          <w:tab w:val="num" w:pos="5040"/>
        </w:tabs>
        <w:ind w:left="5040" w:hanging="360"/>
      </w:pPr>
      <w:rPr>
        <w:rFonts w:ascii="Wingdings" w:hAnsi="Wingdings" w:hint="default"/>
        <w:sz w:val="20"/>
      </w:rPr>
    </w:lvl>
    <w:lvl w:ilvl="7" w:tplc="1964528A" w:tentative="1">
      <w:start w:val="1"/>
      <w:numFmt w:val="bullet"/>
      <w:lvlText w:val=""/>
      <w:lvlJc w:val="left"/>
      <w:pPr>
        <w:tabs>
          <w:tab w:val="num" w:pos="5760"/>
        </w:tabs>
        <w:ind w:left="5760" w:hanging="360"/>
      </w:pPr>
      <w:rPr>
        <w:rFonts w:ascii="Wingdings" w:hAnsi="Wingdings" w:hint="default"/>
        <w:sz w:val="20"/>
      </w:rPr>
    </w:lvl>
    <w:lvl w:ilvl="8" w:tplc="D3F4BC4A"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2"/>
  </w:num>
  <w:num w:numId="4">
    <w:abstractNumId w:val="24"/>
  </w:num>
  <w:num w:numId="5">
    <w:abstractNumId w:val="1"/>
  </w:num>
  <w:num w:numId="6">
    <w:abstractNumId w:val="13"/>
  </w:num>
  <w:num w:numId="7">
    <w:abstractNumId w:val="21"/>
  </w:num>
  <w:num w:numId="8">
    <w:abstractNumId w:val="8"/>
  </w:num>
  <w:num w:numId="9">
    <w:abstractNumId w:val="9"/>
  </w:num>
  <w:num w:numId="10">
    <w:abstractNumId w:val="25"/>
  </w:num>
  <w:num w:numId="11">
    <w:abstractNumId w:val="16"/>
  </w:num>
  <w:num w:numId="12">
    <w:abstractNumId w:val="0"/>
  </w:num>
  <w:num w:numId="13">
    <w:abstractNumId w:val="19"/>
  </w:num>
  <w:num w:numId="14">
    <w:abstractNumId w:val="18"/>
  </w:num>
  <w:num w:numId="15">
    <w:abstractNumId w:val="14"/>
  </w:num>
  <w:num w:numId="16">
    <w:abstractNumId w:val="22"/>
  </w:num>
  <w:num w:numId="17">
    <w:abstractNumId w:val="11"/>
  </w:num>
  <w:num w:numId="18">
    <w:abstractNumId w:val="17"/>
  </w:num>
  <w:num w:numId="19">
    <w:abstractNumId w:val="3"/>
  </w:num>
  <w:num w:numId="20">
    <w:abstractNumId w:val="20"/>
  </w:num>
  <w:num w:numId="21">
    <w:abstractNumId w:val="10"/>
  </w:num>
  <w:num w:numId="22">
    <w:abstractNumId w:val="6"/>
  </w:num>
  <w:num w:numId="23">
    <w:abstractNumId w:val="5"/>
  </w:num>
  <w:num w:numId="24">
    <w:abstractNumId w:val="23"/>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82B6E"/>
    <w:rsid w:val="00001452"/>
    <w:rsid w:val="0001799B"/>
    <w:rsid w:val="000600CD"/>
    <w:rsid w:val="00094714"/>
    <w:rsid w:val="0009524F"/>
    <w:rsid w:val="001343C1"/>
    <w:rsid w:val="0013664D"/>
    <w:rsid w:val="00182B6E"/>
    <w:rsid w:val="001B6CB3"/>
    <w:rsid w:val="001D1ECB"/>
    <w:rsid w:val="001D780A"/>
    <w:rsid w:val="002070FB"/>
    <w:rsid w:val="002128D6"/>
    <w:rsid w:val="00225CEE"/>
    <w:rsid w:val="00260C14"/>
    <w:rsid w:val="002B0C34"/>
    <w:rsid w:val="00305F33"/>
    <w:rsid w:val="0032158B"/>
    <w:rsid w:val="0032407D"/>
    <w:rsid w:val="00391640"/>
    <w:rsid w:val="003937A8"/>
    <w:rsid w:val="00412FB1"/>
    <w:rsid w:val="0042775B"/>
    <w:rsid w:val="004D070C"/>
    <w:rsid w:val="005551BB"/>
    <w:rsid w:val="005624D9"/>
    <w:rsid w:val="00564527"/>
    <w:rsid w:val="0058097E"/>
    <w:rsid w:val="005C3E06"/>
    <w:rsid w:val="005C40A6"/>
    <w:rsid w:val="005C5EA0"/>
    <w:rsid w:val="005E393E"/>
    <w:rsid w:val="005E6660"/>
    <w:rsid w:val="006301E0"/>
    <w:rsid w:val="006820BC"/>
    <w:rsid w:val="006E310F"/>
    <w:rsid w:val="006F16DB"/>
    <w:rsid w:val="006F6F1B"/>
    <w:rsid w:val="0070122F"/>
    <w:rsid w:val="0070662F"/>
    <w:rsid w:val="00736A33"/>
    <w:rsid w:val="00737453"/>
    <w:rsid w:val="007434EC"/>
    <w:rsid w:val="00762F9B"/>
    <w:rsid w:val="007B78DF"/>
    <w:rsid w:val="007E1679"/>
    <w:rsid w:val="007E1F02"/>
    <w:rsid w:val="00820F3C"/>
    <w:rsid w:val="0082648B"/>
    <w:rsid w:val="00835EA1"/>
    <w:rsid w:val="00851B77"/>
    <w:rsid w:val="00893D7D"/>
    <w:rsid w:val="008D5769"/>
    <w:rsid w:val="008D6E97"/>
    <w:rsid w:val="009156D8"/>
    <w:rsid w:val="009211C2"/>
    <w:rsid w:val="00977432"/>
    <w:rsid w:val="009A2E8B"/>
    <w:rsid w:val="009C2F9A"/>
    <w:rsid w:val="009F2CFE"/>
    <w:rsid w:val="00A24340"/>
    <w:rsid w:val="00A27E8F"/>
    <w:rsid w:val="00A336B8"/>
    <w:rsid w:val="00A34D66"/>
    <w:rsid w:val="00A40AE6"/>
    <w:rsid w:val="00A430FC"/>
    <w:rsid w:val="00A60302"/>
    <w:rsid w:val="00AC5670"/>
    <w:rsid w:val="00AF70FB"/>
    <w:rsid w:val="00B05DAF"/>
    <w:rsid w:val="00B33468"/>
    <w:rsid w:val="00B678CE"/>
    <w:rsid w:val="00BD6E75"/>
    <w:rsid w:val="00C61D12"/>
    <w:rsid w:val="00C74A86"/>
    <w:rsid w:val="00C751EA"/>
    <w:rsid w:val="00C84E0F"/>
    <w:rsid w:val="00C87F10"/>
    <w:rsid w:val="00D023D9"/>
    <w:rsid w:val="00D37644"/>
    <w:rsid w:val="00D614D7"/>
    <w:rsid w:val="00D85C5A"/>
    <w:rsid w:val="00D96D72"/>
    <w:rsid w:val="00DD0544"/>
    <w:rsid w:val="00DE32E0"/>
    <w:rsid w:val="00E56E6E"/>
    <w:rsid w:val="00E95576"/>
    <w:rsid w:val="00EA037B"/>
    <w:rsid w:val="00EA6D79"/>
    <w:rsid w:val="00EB10DB"/>
    <w:rsid w:val="00EC7849"/>
    <w:rsid w:val="00F26789"/>
    <w:rsid w:val="00F33B2A"/>
    <w:rsid w:val="00F34F8A"/>
    <w:rsid w:val="00F90B49"/>
    <w:rsid w:val="00FC30E2"/>
    <w:rsid w:val="00FE0D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DB60F"/>
  <w15:docId w15:val="{72118C3F-1AE3-4A1D-B435-51948F9E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A"/>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basedOn w:val="a"/>
    <w:next w:val="a"/>
    <w:link w:val="10"/>
    <w:uiPriority w:val="9"/>
    <w:qFormat/>
    <w:rsid w:val="00182B6E"/>
    <w:pPr>
      <w:widowControl/>
      <w:wordWrap/>
      <w:autoSpaceDE/>
      <w:autoSpaceDN/>
      <w:spacing w:before="480" w:line="276" w:lineRule="auto"/>
      <w:contextualSpacing/>
      <w:jc w:val="left"/>
      <w:outlineLvl w:val="0"/>
    </w:pPr>
    <w:rPr>
      <w:rFonts w:ascii="Malgun Gothic" w:eastAsia="Malgun Gothic" w:hAnsi="Malgun Gothic"/>
      <w:b/>
      <w:bCs/>
      <w:kern w:val="0"/>
      <w:sz w:val="28"/>
      <w:szCs w:val="28"/>
      <w:lang w:eastAsia="en-US" w:bidi="en-US"/>
    </w:rPr>
  </w:style>
  <w:style w:type="paragraph" w:styleId="2">
    <w:name w:val="heading 2"/>
    <w:basedOn w:val="a"/>
    <w:next w:val="a"/>
    <w:link w:val="20"/>
    <w:uiPriority w:val="9"/>
    <w:unhideWhenUsed/>
    <w:qFormat/>
    <w:rsid w:val="00182B6E"/>
    <w:pPr>
      <w:widowControl/>
      <w:wordWrap/>
      <w:autoSpaceDE/>
      <w:autoSpaceDN/>
      <w:spacing w:before="200" w:line="276" w:lineRule="auto"/>
      <w:jc w:val="left"/>
      <w:outlineLvl w:val="1"/>
    </w:pPr>
    <w:rPr>
      <w:rFonts w:ascii="Malgun Gothic" w:eastAsia="Malgun Gothic" w:hAnsi="Malgun Gothic"/>
      <w:b/>
      <w:bCs/>
      <w:kern w:val="0"/>
      <w:sz w:val="26"/>
      <w:szCs w:val="26"/>
      <w:lang w:eastAsia="en-US" w:bidi="en-US"/>
    </w:rPr>
  </w:style>
  <w:style w:type="paragraph" w:styleId="3">
    <w:name w:val="heading 3"/>
    <w:basedOn w:val="a"/>
    <w:next w:val="a"/>
    <w:link w:val="30"/>
    <w:uiPriority w:val="9"/>
    <w:unhideWhenUsed/>
    <w:qFormat/>
    <w:rsid w:val="00182B6E"/>
    <w:pPr>
      <w:widowControl/>
      <w:wordWrap/>
      <w:autoSpaceDE/>
      <w:autoSpaceDN/>
      <w:spacing w:before="200" w:line="271" w:lineRule="auto"/>
      <w:jc w:val="left"/>
      <w:outlineLvl w:val="2"/>
    </w:pPr>
    <w:rPr>
      <w:rFonts w:ascii="Malgun Gothic" w:eastAsia="Malgun Gothic" w:hAnsi="Malgun Gothic"/>
      <w:b/>
      <w:bCs/>
      <w:kern w:val="0"/>
      <w:sz w:val="22"/>
      <w:szCs w:val="22"/>
      <w:lang w:eastAsia="en-US" w:bidi="en-US"/>
    </w:rPr>
  </w:style>
  <w:style w:type="paragraph" w:styleId="4">
    <w:name w:val="heading 4"/>
    <w:basedOn w:val="a"/>
    <w:next w:val="a"/>
    <w:link w:val="40"/>
    <w:uiPriority w:val="9"/>
    <w:unhideWhenUsed/>
    <w:qFormat/>
    <w:rsid w:val="00182B6E"/>
    <w:pPr>
      <w:widowControl/>
      <w:wordWrap/>
      <w:autoSpaceDE/>
      <w:autoSpaceDN/>
      <w:spacing w:before="200" w:line="276" w:lineRule="auto"/>
      <w:jc w:val="left"/>
      <w:outlineLvl w:val="3"/>
    </w:pPr>
    <w:rPr>
      <w:rFonts w:ascii="Malgun Gothic" w:eastAsia="Malgun Gothic" w:hAnsi="Malgun Gothic"/>
      <w:b/>
      <w:bCs/>
      <w:i/>
      <w:iCs/>
      <w:kern w:val="0"/>
      <w:sz w:val="22"/>
      <w:szCs w:val="22"/>
      <w:lang w:eastAsia="en-US" w:bidi="en-US"/>
    </w:rPr>
  </w:style>
  <w:style w:type="paragraph" w:styleId="5">
    <w:name w:val="heading 5"/>
    <w:basedOn w:val="a"/>
    <w:next w:val="a"/>
    <w:link w:val="50"/>
    <w:uiPriority w:val="9"/>
    <w:semiHidden/>
    <w:unhideWhenUsed/>
    <w:qFormat/>
    <w:rsid w:val="00182B6E"/>
    <w:pPr>
      <w:widowControl/>
      <w:wordWrap/>
      <w:autoSpaceDE/>
      <w:autoSpaceDN/>
      <w:spacing w:before="200" w:line="276" w:lineRule="auto"/>
      <w:jc w:val="left"/>
      <w:outlineLvl w:val="4"/>
    </w:pPr>
    <w:rPr>
      <w:rFonts w:ascii="Malgun Gothic" w:eastAsia="Malgun Gothic" w:hAnsi="Malgun Gothic"/>
      <w:b/>
      <w:bCs/>
      <w:color w:val="7F7F7F"/>
      <w:kern w:val="0"/>
      <w:sz w:val="22"/>
      <w:szCs w:val="22"/>
      <w:lang w:eastAsia="en-US" w:bidi="en-US"/>
    </w:rPr>
  </w:style>
  <w:style w:type="paragraph" w:styleId="6">
    <w:name w:val="heading 6"/>
    <w:basedOn w:val="a"/>
    <w:next w:val="a"/>
    <w:link w:val="60"/>
    <w:uiPriority w:val="9"/>
    <w:semiHidden/>
    <w:unhideWhenUsed/>
    <w:qFormat/>
    <w:rsid w:val="00182B6E"/>
    <w:pPr>
      <w:widowControl/>
      <w:wordWrap/>
      <w:autoSpaceDE/>
      <w:autoSpaceDN/>
      <w:spacing w:line="271" w:lineRule="auto"/>
      <w:jc w:val="left"/>
      <w:outlineLvl w:val="5"/>
    </w:pPr>
    <w:rPr>
      <w:rFonts w:ascii="Malgun Gothic" w:eastAsia="Malgun Gothic" w:hAnsi="Malgun Gothic"/>
      <w:b/>
      <w:bCs/>
      <w:i/>
      <w:iCs/>
      <w:color w:val="7F7F7F"/>
      <w:kern w:val="0"/>
      <w:sz w:val="22"/>
      <w:szCs w:val="22"/>
      <w:lang w:eastAsia="en-US" w:bidi="en-US"/>
    </w:rPr>
  </w:style>
  <w:style w:type="paragraph" w:styleId="7">
    <w:name w:val="heading 7"/>
    <w:basedOn w:val="a"/>
    <w:next w:val="a"/>
    <w:link w:val="70"/>
    <w:uiPriority w:val="9"/>
    <w:semiHidden/>
    <w:unhideWhenUsed/>
    <w:qFormat/>
    <w:rsid w:val="00182B6E"/>
    <w:pPr>
      <w:widowControl/>
      <w:wordWrap/>
      <w:autoSpaceDE/>
      <w:autoSpaceDN/>
      <w:spacing w:line="276" w:lineRule="auto"/>
      <w:jc w:val="left"/>
      <w:outlineLvl w:val="6"/>
    </w:pPr>
    <w:rPr>
      <w:rFonts w:ascii="Malgun Gothic" w:eastAsia="Malgun Gothic" w:hAnsi="Malgun Gothic"/>
      <w:i/>
      <w:iCs/>
      <w:kern w:val="0"/>
      <w:sz w:val="22"/>
      <w:szCs w:val="22"/>
      <w:lang w:eastAsia="en-US" w:bidi="en-US"/>
    </w:rPr>
  </w:style>
  <w:style w:type="paragraph" w:styleId="8">
    <w:name w:val="heading 8"/>
    <w:basedOn w:val="a"/>
    <w:next w:val="a"/>
    <w:link w:val="80"/>
    <w:uiPriority w:val="9"/>
    <w:semiHidden/>
    <w:unhideWhenUsed/>
    <w:qFormat/>
    <w:rsid w:val="00182B6E"/>
    <w:pPr>
      <w:widowControl/>
      <w:wordWrap/>
      <w:autoSpaceDE/>
      <w:autoSpaceDN/>
      <w:spacing w:line="276" w:lineRule="auto"/>
      <w:jc w:val="left"/>
      <w:outlineLvl w:val="7"/>
    </w:pPr>
    <w:rPr>
      <w:rFonts w:ascii="Malgun Gothic" w:eastAsia="Malgun Gothic" w:hAnsi="Malgun Gothic"/>
      <w:kern w:val="0"/>
      <w:szCs w:val="20"/>
      <w:lang w:eastAsia="en-US" w:bidi="en-US"/>
    </w:rPr>
  </w:style>
  <w:style w:type="paragraph" w:styleId="9">
    <w:name w:val="heading 9"/>
    <w:basedOn w:val="a"/>
    <w:next w:val="a"/>
    <w:link w:val="90"/>
    <w:uiPriority w:val="9"/>
    <w:semiHidden/>
    <w:unhideWhenUsed/>
    <w:qFormat/>
    <w:rsid w:val="00182B6E"/>
    <w:pPr>
      <w:widowControl/>
      <w:wordWrap/>
      <w:autoSpaceDE/>
      <w:autoSpaceDN/>
      <w:spacing w:line="276" w:lineRule="auto"/>
      <w:jc w:val="left"/>
      <w:outlineLvl w:val="8"/>
    </w:pPr>
    <w:rPr>
      <w:rFonts w:ascii="Malgun Gothic" w:eastAsia="Malgun Gothic" w:hAnsi="Malgun Gothic"/>
      <w:i/>
      <w:iCs/>
      <w:spacing w:val="5"/>
      <w:kern w:val="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82B6E"/>
    <w:rPr>
      <w:rFonts w:ascii="Malgun Gothic" w:eastAsia="Malgun Gothic" w:hAnsi="Malgun Gothic" w:cs="Times New Roman"/>
      <w:b/>
      <w:bCs/>
      <w:kern w:val="0"/>
      <w:sz w:val="28"/>
      <w:szCs w:val="28"/>
      <w:lang w:eastAsia="en-US" w:bidi="en-US"/>
    </w:rPr>
  </w:style>
  <w:style w:type="character" w:customStyle="1" w:styleId="20">
    <w:name w:val="标题 2 字符"/>
    <w:basedOn w:val="a0"/>
    <w:link w:val="2"/>
    <w:uiPriority w:val="9"/>
    <w:rsid w:val="00182B6E"/>
    <w:rPr>
      <w:rFonts w:ascii="Malgun Gothic" w:eastAsia="Malgun Gothic" w:hAnsi="Malgun Gothic" w:cs="Times New Roman"/>
      <w:b/>
      <w:bCs/>
      <w:kern w:val="0"/>
      <w:sz w:val="26"/>
      <w:szCs w:val="26"/>
      <w:lang w:eastAsia="en-US" w:bidi="en-US"/>
    </w:rPr>
  </w:style>
  <w:style w:type="character" w:customStyle="1" w:styleId="30">
    <w:name w:val="标题 3 字符"/>
    <w:basedOn w:val="a0"/>
    <w:link w:val="3"/>
    <w:uiPriority w:val="9"/>
    <w:rsid w:val="00182B6E"/>
    <w:rPr>
      <w:rFonts w:ascii="Malgun Gothic" w:eastAsia="Malgun Gothic" w:hAnsi="Malgun Gothic" w:cs="Times New Roman"/>
      <w:b/>
      <w:bCs/>
      <w:kern w:val="0"/>
      <w:sz w:val="22"/>
      <w:lang w:eastAsia="en-US" w:bidi="en-US"/>
    </w:rPr>
  </w:style>
  <w:style w:type="character" w:customStyle="1" w:styleId="40">
    <w:name w:val="标题 4 字符"/>
    <w:basedOn w:val="a0"/>
    <w:link w:val="4"/>
    <w:uiPriority w:val="9"/>
    <w:rsid w:val="00182B6E"/>
    <w:rPr>
      <w:rFonts w:ascii="Malgun Gothic" w:eastAsia="Malgun Gothic" w:hAnsi="Malgun Gothic" w:cs="Times New Roman"/>
      <w:b/>
      <w:bCs/>
      <w:i/>
      <w:iCs/>
      <w:kern w:val="0"/>
      <w:sz w:val="22"/>
      <w:lang w:eastAsia="en-US" w:bidi="en-US"/>
    </w:rPr>
  </w:style>
  <w:style w:type="character" w:customStyle="1" w:styleId="50">
    <w:name w:val="标题 5 字符"/>
    <w:basedOn w:val="a0"/>
    <w:link w:val="5"/>
    <w:uiPriority w:val="9"/>
    <w:semiHidden/>
    <w:rsid w:val="00182B6E"/>
    <w:rPr>
      <w:rFonts w:ascii="Malgun Gothic" w:eastAsia="Malgun Gothic" w:hAnsi="Malgun Gothic" w:cs="Times New Roman"/>
      <w:b/>
      <w:bCs/>
      <w:color w:val="7F7F7F"/>
      <w:kern w:val="0"/>
      <w:sz w:val="22"/>
      <w:lang w:eastAsia="en-US" w:bidi="en-US"/>
    </w:rPr>
  </w:style>
  <w:style w:type="character" w:customStyle="1" w:styleId="60">
    <w:name w:val="标题 6 字符"/>
    <w:basedOn w:val="a0"/>
    <w:link w:val="6"/>
    <w:uiPriority w:val="9"/>
    <w:semiHidden/>
    <w:rsid w:val="00182B6E"/>
    <w:rPr>
      <w:rFonts w:ascii="Malgun Gothic" w:eastAsia="Malgun Gothic" w:hAnsi="Malgun Gothic" w:cs="Times New Roman"/>
      <w:b/>
      <w:bCs/>
      <w:i/>
      <w:iCs/>
      <w:color w:val="7F7F7F"/>
      <w:kern w:val="0"/>
      <w:sz w:val="22"/>
      <w:lang w:eastAsia="en-US" w:bidi="en-US"/>
    </w:rPr>
  </w:style>
  <w:style w:type="character" w:customStyle="1" w:styleId="70">
    <w:name w:val="标题 7 字符"/>
    <w:basedOn w:val="a0"/>
    <w:link w:val="7"/>
    <w:uiPriority w:val="9"/>
    <w:semiHidden/>
    <w:rsid w:val="00182B6E"/>
    <w:rPr>
      <w:rFonts w:ascii="Malgun Gothic" w:eastAsia="Malgun Gothic" w:hAnsi="Malgun Gothic" w:cs="Times New Roman"/>
      <w:i/>
      <w:iCs/>
      <w:kern w:val="0"/>
      <w:sz w:val="22"/>
      <w:lang w:eastAsia="en-US" w:bidi="en-US"/>
    </w:rPr>
  </w:style>
  <w:style w:type="character" w:customStyle="1" w:styleId="80">
    <w:name w:val="标题 8 字符"/>
    <w:basedOn w:val="a0"/>
    <w:link w:val="8"/>
    <w:uiPriority w:val="9"/>
    <w:semiHidden/>
    <w:rsid w:val="00182B6E"/>
    <w:rPr>
      <w:rFonts w:ascii="Malgun Gothic" w:eastAsia="Malgun Gothic" w:hAnsi="Malgun Gothic" w:cs="Times New Roman"/>
      <w:kern w:val="0"/>
      <w:szCs w:val="20"/>
      <w:lang w:eastAsia="en-US" w:bidi="en-US"/>
    </w:rPr>
  </w:style>
  <w:style w:type="character" w:customStyle="1" w:styleId="90">
    <w:name w:val="标题 9 字符"/>
    <w:basedOn w:val="a0"/>
    <w:link w:val="9"/>
    <w:uiPriority w:val="9"/>
    <w:semiHidden/>
    <w:rsid w:val="00182B6E"/>
    <w:rPr>
      <w:rFonts w:ascii="Malgun Gothic" w:eastAsia="Malgun Gothic" w:hAnsi="Malgun Gothic" w:cs="Times New Roman"/>
      <w:i/>
      <w:iCs/>
      <w:spacing w:val="5"/>
      <w:kern w:val="0"/>
      <w:szCs w:val="20"/>
      <w:lang w:eastAsia="en-US" w:bidi="en-US"/>
    </w:rPr>
  </w:style>
  <w:style w:type="character" w:styleId="a3">
    <w:name w:val="Hyperlink"/>
    <w:basedOn w:val="a0"/>
    <w:rsid w:val="00182B6E"/>
    <w:rPr>
      <w:color w:val="0000FF"/>
      <w:u w:val="single"/>
    </w:rPr>
  </w:style>
  <w:style w:type="character" w:customStyle="1" w:styleId="jrnl">
    <w:name w:val="jrnl"/>
    <w:basedOn w:val="a0"/>
    <w:rsid w:val="00182B6E"/>
  </w:style>
  <w:style w:type="paragraph" w:customStyle="1" w:styleId="11">
    <w:name w:val="제목1"/>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lang w:eastAsia="en-US" w:bidi="en-US"/>
    </w:rPr>
  </w:style>
  <w:style w:type="paragraph" w:styleId="a4">
    <w:name w:val="Body Text"/>
    <w:basedOn w:val="a"/>
    <w:link w:val="a5"/>
    <w:rsid w:val="00182B6E"/>
    <w:pPr>
      <w:widowControl/>
      <w:wordWrap/>
      <w:autoSpaceDE/>
      <w:autoSpaceDN/>
      <w:spacing w:after="200" w:line="276" w:lineRule="auto"/>
      <w:jc w:val="left"/>
    </w:pPr>
    <w:rPr>
      <w:rFonts w:ascii="Malgun Gothic" w:eastAsia="Dotum" w:hAnsi="Batang" w:cs="Tahoma"/>
      <w:color w:val="000000"/>
      <w:kern w:val="0"/>
      <w:sz w:val="22"/>
      <w:szCs w:val="52"/>
      <w:lang w:eastAsia="en-US" w:bidi="en-US"/>
    </w:rPr>
  </w:style>
  <w:style w:type="character" w:customStyle="1" w:styleId="a5">
    <w:name w:val="正文文本 字符"/>
    <w:basedOn w:val="a0"/>
    <w:link w:val="a4"/>
    <w:rsid w:val="00182B6E"/>
    <w:rPr>
      <w:rFonts w:ascii="Malgun Gothic" w:eastAsia="Dotum" w:hAnsi="Batang" w:cs="Tahoma"/>
      <w:color w:val="000000"/>
      <w:kern w:val="0"/>
      <w:sz w:val="22"/>
      <w:szCs w:val="52"/>
      <w:lang w:eastAsia="en-US" w:bidi="en-US"/>
    </w:rPr>
  </w:style>
  <w:style w:type="character" w:styleId="a6">
    <w:name w:val="FollowedHyperlink"/>
    <w:basedOn w:val="a0"/>
    <w:rsid w:val="00182B6E"/>
    <w:rPr>
      <w:color w:val="800080"/>
      <w:u w:val="single"/>
    </w:rPr>
  </w:style>
  <w:style w:type="paragraph" w:styleId="21">
    <w:name w:val="Body Text 2"/>
    <w:basedOn w:val="a"/>
    <w:link w:val="22"/>
    <w:rsid w:val="00182B6E"/>
    <w:pPr>
      <w:widowControl/>
      <w:wordWrap/>
      <w:autoSpaceDE/>
      <w:autoSpaceDN/>
      <w:spacing w:after="200" w:line="276" w:lineRule="auto"/>
      <w:jc w:val="center"/>
    </w:pPr>
    <w:rPr>
      <w:rFonts w:ascii="Malgun Gothic" w:eastAsia="Malgun Gothic" w:hAnsi="Batang"/>
      <w:bCs/>
      <w:kern w:val="0"/>
      <w:sz w:val="22"/>
      <w:szCs w:val="20"/>
      <w:lang w:eastAsia="en-US" w:bidi="en-US"/>
    </w:rPr>
  </w:style>
  <w:style w:type="character" w:customStyle="1" w:styleId="22">
    <w:name w:val="正文文本 2 字符"/>
    <w:basedOn w:val="a0"/>
    <w:link w:val="21"/>
    <w:rsid w:val="00182B6E"/>
    <w:rPr>
      <w:rFonts w:ascii="Malgun Gothic" w:eastAsia="Malgun Gothic" w:hAnsi="Batang" w:cs="Times New Roman"/>
      <w:bCs/>
      <w:kern w:val="0"/>
      <w:sz w:val="22"/>
      <w:szCs w:val="20"/>
      <w:lang w:eastAsia="en-US" w:bidi="en-US"/>
    </w:rPr>
  </w:style>
  <w:style w:type="paragraph" w:customStyle="1" w:styleId="pmid">
    <w:name w:val="pmid"/>
    <w:basedOn w:val="a"/>
    <w:rsid w:val="00182B6E"/>
    <w:pPr>
      <w:widowControl/>
      <w:wordWrap/>
      <w:autoSpaceDE/>
      <w:autoSpaceDN/>
      <w:spacing w:after="240" w:line="276" w:lineRule="auto"/>
      <w:jc w:val="left"/>
    </w:pPr>
    <w:rPr>
      <w:rFonts w:ascii="Arial Unicode MS" w:eastAsia="Arial Unicode MS" w:hAnsi="Arial Unicode MS" w:cs="Arial Unicode MS"/>
      <w:color w:val="000000"/>
      <w:kern w:val="0"/>
      <w:sz w:val="24"/>
      <w:szCs w:val="22"/>
      <w:lang w:eastAsia="en-US" w:bidi="en-US"/>
    </w:rPr>
  </w:style>
  <w:style w:type="character" w:customStyle="1" w:styleId="ti2">
    <w:name w:val="ti2"/>
    <w:basedOn w:val="a0"/>
    <w:rsid w:val="00182B6E"/>
  </w:style>
  <w:style w:type="character" w:customStyle="1" w:styleId="linkbar">
    <w:name w:val="linkbar"/>
    <w:basedOn w:val="a0"/>
    <w:rsid w:val="00182B6E"/>
  </w:style>
  <w:style w:type="paragraph" w:customStyle="1" w:styleId="abstract">
    <w:name w:val="abstract"/>
    <w:basedOn w:val="a"/>
    <w:rsid w:val="00182B6E"/>
    <w:pPr>
      <w:widowControl/>
      <w:wordWrap/>
      <w:autoSpaceDE/>
      <w:autoSpaceDN/>
      <w:spacing w:after="200" w:line="276" w:lineRule="auto"/>
      <w:jc w:val="left"/>
    </w:pPr>
    <w:rPr>
      <w:rFonts w:ascii="Arial Unicode MS" w:eastAsia="Arial Unicode MS" w:hAnsi="Arial Unicode MS" w:cs="Arial Unicode MS"/>
      <w:color w:val="000000"/>
      <w:kern w:val="0"/>
      <w:sz w:val="24"/>
      <w:szCs w:val="22"/>
      <w:lang w:eastAsia="en-US" w:bidi="en-US"/>
    </w:rPr>
  </w:style>
  <w:style w:type="paragraph" w:customStyle="1" w:styleId="affiliation">
    <w:name w:val="affiliation"/>
    <w:basedOn w:val="a"/>
    <w:rsid w:val="00182B6E"/>
    <w:pPr>
      <w:widowControl/>
      <w:wordWrap/>
      <w:autoSpaceDE/>
      <w:autoSpaceDN/>
      <w:spacing w:after="200" w:line="276" w:lineRule="auto"/>
      <w:jc w:val="left"/>
    </w:pPr>
    <w:rPr>
      <w:rFonts w:ascii="Arial Unicode MS" w:eastAsia="Arial Unicode MS" w:hAnsi="Arial Unicode MS" w:cs="Arial Unicode MS"/>
      <w:color w:val="000000"/>
      <w:kern w:val="0"/>
      <w:sz w:val="24"/>
      <w:szCs w:val="22"/>
      <w:lang w:eastAsia="en-US" w:bidi="en-US"/>
    </w:rPr>
  </w:style>
  <w:style w:type="character" w:customStyle="1" w:styleId="featuredlinkouts">
    <w:name w:val="featured_linkouts"/>
    <w:basedOn w:val="a0"/>
    <w:rsid w:val="00182B6E"/>
  </w:style>
  <w:style w:type="paragraph" w:styleId="a7">
    <w:name w:val="Body Text Indent"/>
    <w:basedOn w:val="a"/>
    <w:link w:val="a8"/>
    <w:rsid w:val="00182B6E"/>
    <w:pPr>
      <w:widowControl/>
      <w:wordWrap/>
      <w:autoSpaceDE/>
      <w:autoSpaceDN/>
      <w:spacing w:after="200" w:line="276" w:lineRule="auto"/>
      <w:ind w:firstLineChars="300" w:firstLine="480"/>
      <w:jc w:val="left"/>
    </w:pPr>
    <w:rPr>
      <w:rFonts w:ascii="Malgun Gothic" w:eastAsia="Malgun Gothic" w:hAnsi="Malgun Gothic"/>
      <w:kern w:val="0"/>
      <w:sz w:val="16"/>
      <w:szCs w:val="20"/>
      <w:lang w:eastAsia="en-US" w:bidi="en-US"/>
    </w:rPr>
  </w:style>
  <w:style w:type="character" w:customStyle="1" w:styleId="a8">
    <w:name w:val="正文文本缩进 字符"/>
    <w:basedOn w:val="a0"/>
    <w:link w:val="a7"/>
    <w:rsid w:val="00182B6E"/>
    <w:rPr>
      <w:rFonts w:ascii="Malgun Gothic" w:eastAsia="Malgun Gothic" w:hAnsi="Malgun Gothic" w:cs="Times New Roman"/>
      <w:kern w:val="0"/>
      <w:sz w:val="16"/>
      <w:szCs w:val="20"/>
      <w:lang w:eastAsia="en-US" w:bidi="en-US"/>
    </w:rPr>
  </w:style>
  <w:style w:type="character" w:customStyle="1" w:styleId="bodytext1">
    <w:name w:val="bodytext1"/>
    <w:basedOn w:val="a0"/>
    <w:rsid w:val="00182B6E"/>
    <w:rPr>
      <w:rFonts w:ascii="Verdana" w:hAnsi="Verdana" w:hint="default"/>
      <w:color w:val="000000"/>
      <w:spacing w:val="319"/>
      <w:sz w:val="20"/>
      <w:szCs w:val="20"/>
    </w:rPr>
  </w:style>
  <w:style w:type="character" w:customStyle="1" w:styleId="articletitle1">
    <w:name w:val="articletitle1"/>
    <w:basedOn w:val="a0"/>
    <w:rsid w:val="00182B6E"/>
    <w:rPr>
      <w:rFonts w:ascii="Verdana" w:hAnsi="Verdana" w:hint="default"/>
      <w:b/>
      <w:bCs/>
      <w:color w:val="000000"/>
      <w:sz w:val="26"/>
      <w:szCs w:val="26"/>
    </w:rPr>
  </w:style>
  <w:style w:type="character" w:customStyle="1" w:styleId="smalltext1">
    <w:name w:val="smalltext1"/>
    <w:basedOn w:val="a0"/>
    <w:rsid w:val="00182B6E"/>
    <w:rPr>
      <w:rFonts w:ascii="Verdana" w:hAnsi="Verdana" w:hint="default"/>
      <w:strike w:val="0"/>
      <w:dstrike w:val="0"/>
      <w:color w:val="000000"/>
      <w:sz w:val="15"/>
      <w:szCs w:val="15"/>
      <w:u w:val="none"/>
      <w:effect w:val="none"/>
    </w:rPr>
  </w:style>
  <w:style w:type="paragraph" w:styleId="a9">
    <w:name w:val="footer"/>
    <w:basedOn w:val="a"/>
    <w:link w:val="aa"/>
    <w:uiPriority w:val="99"/>
    <w:rsid w:val="00182B6E"/>
    <w:pPr>
      <w:widowControl/>
      <w:tabs>
        <w:tab w:val="center" w:pos="4252"/>
        <w:tab w:val="right" w:pos="8504"/>
      </w:tabs>
      <w:wordWrap/>
      <w:autoSpaceDE/>
      <w:autoSpaceDN/>
      <w:snapToGrid w:val="0"/>
      <w:spacing w:after="200" w:line="276" w:lineRule="auto"/>
      <w:jc w:val="left"/>
    </w:pPr>
    <w:rPr>
      <w:rFonts w:ascii="Malgun Gothic" w:eastAsia="Malgun Gothic" w:hAnsi="Malgun Gothic"/>
      <w:kern w:val="0"/>
      <w:sz w:val="22"/>
      <w:szCs w:val="22"/>
      <w:lang w:eastAsia="en-US" w:bidi="en-US"/>
    </w:rPr>
  </w:style>
  <w:style w:type="character" w:customStyle="1" w:styleId="aa">
    <w:name w:val="页脚 字符"/>
    <w:basedOn w:val="a0"/>
    <w:link w:val="a9"/>
    <w:uiPriority w:val="99"/>
    <w:rsid w:val="00182B6E"/>
    <w:rPr>
      <w:rFonts w:ascii="Malgun Gothic" w:eastAsia="Malgun Gothic" w:hAnsi="Malgun Gothic" w:cs="Times New Roman"/>
      <w:kern w:val="0"/>
      <w:sz w:val="22"/>
      <w:lang w:eastAsia="en-US" w:bidi="en-US"/>
    </w:rPr>
  </w:style>
  <w:style w:type="character" w:styleId="ab">
    <w:name w:val="page number"/>
    <w:basedOn w:val="a0"/>
    <w:rsid w:val="00182B6E"/>
  </w:style>
  <w:style w:type="paragraph" w:styleId="23">
    <w:name w:val="Body Text Indent 2"/>
    <w:basedOn w:val="a"/>
    <w:link w:val="24"/>
    <w:rsid w:val="00182B6E"/>
    <w:pPr>
      <w:widowControl/>
      <w:wordWrap/>
      <w:autoSpaceDE/>
      <w:autoSpaceDN/>
      <w:spacing w:after="200" w:line="480" w:lineRule="auto"/>
      <w:ind w:firstLineChars="90" w:firstLine="180"/>
      <w:jc w:val="left"/>
    </w:pPr>
    <w:rPr>
      <w:rFonts w:ascii="Malgun Gothic" w:eastAsia="Malgun Gothic" w:hAnsi="Malgun Gothic"/>
      <w:kern w:val="0"/>
      <w:sz w:val="22"/>
      <w:szCs w:val="22"/>
      <w:lang w:eastAsia="en-US" w:bidi="en-US"/>
    </w:rPr>
  </w:style>
  <w:style w:type="character" w:customStyle="1" w:styleId="24">
    <w:name w:val="正文文本缩进 2 字符"/>
    <w:basedOn w:val="a0"/>
    <w:link w:val="23"/>
    <w:rsid w:val="00182B6E"/>
    <w:rPr>
      <w:rFonts w:ascii="Malgun Gothic" w:eastAsia="Malgun Gothic" w:hAnsi="Malgun Gothic" w:cs="Times New Roman"/>
      <w:kern w:val="0"/>
      <w:sz w:val="22"/>
      <w:lang w:eastAsia="en-US" w:bidi="en-US"/>
    </w:rPr>
  </w:style>
  <w:style w:type="character" w:customStyle="1" w:styleId="ac">
    <w:name w:val="批注文字 字符"/>
    <w:basedOn w:val="a0"/>
    <w:link w:val="ad"/>
    <w:uiPriority w:val="99"/>
    <w:semiHidden/>
    <w:rsid w:val="00182B6E"/>
    <w:rPr>
      <w:kern w:val="0"/>
      <w:sz w:val="22"/>
      <w:lang w:eastAsia="en-US" w:bidi="en-US"/>
    </w:rPr>
  </w:style>
  <w:style w:type="paragraph" w:styleId="ad">
    <w:name w:val="annotation text"/>
    <w:basedOn w:val="a"/>
    <w:link w:val="ac"/>
    <w:uiPriority w:val="99"/>
    <w:semiHidden/>
    <w:rsid w:val="00182B6E"/>
    <w:pPr>
      <w:widowControl/>
      <w:wordWrap/>
      <w:autoSpaceDE/>
      <w:autoSpaceDN/>
      <w:spacing w:after="200" w:line="276" w:lineRule="auto"/>
      <w:jc w:val="left"/>
    </w:pPr>
    <w:rPr>
      <w:rFonts w:asciiTheme="minorHAnsi" w:eastAsiaTheme="minorEastAsia" w:hAnsiTheme="minorHAnsi" w:cstheme="minorBidi"/>
      <w:kern w:val="0"/>
      <w:sz w:val="22"/>
      <w:szCs w:val="22"/>
      <w:lang w:eastAsia="en-US" w:bidi="en-US"/>
    </w:rPr>
  </w:style>
  <w:style w:type="character" w:customStyle="1" w:styleId="Char1">
    <w:name w:val="메모 텍스트 Char1"/>
    <w:basedOn w:val="a0"/>
    <w:uiPriority w:val="99"/>
    <w:semiHidden/>
    <w:rsid w:val="00182B6E"/>
    <w:rPr>
      <w:rFonts w:ascii="Batang" w:eastAsia="Batang" w:hAnsi="Times New Roman" w:cs="Times New Roman"/>
      <w:szCs w:val="24"/>
    </w:rPr>
  </w:style>
  <w:style w:type="character" w:customStyle="1" w:styleId="ae">
    <w:name w:val="批注主题 字符"/>
    <w:basedOn w:val="ac"/>
    <w:link w:val="af"/>
    <w:semiHidden/>
    <w:rsid w:val="00182B6E"/>
    <w:rPr>
      <w:b/>
      <w:bCs/>
      <w:kern w:val="0"/>
      <w:sz w:val="22"/>
      <w:lang w:eastAsia="en-US" w:bidi="en-US"/>
    </w:rPr>
  </w:style>
  <w:style w:type="paragraph" w:styleId="af">
    <w:name w:val="annotation subject"/>
    <w:basedOn w:val="ad"/>
    <w:next w:val="ad"/>
    <w:link w:val="ae"/>
    <w:semiHidden/>
    <w:rsid w:val="00182B6E"/>
    <w:rPr>
      <w:b/>
      <w:bCs/>
    </w:rPr>
  </w:style>
  <w:style w:type="character" w:customStyle="1" w:styleId="Char10">
    <w:name w:val="메모 주제 Char1"/>
    <w:basedOn w:val="Char1"/>
    <w:uiPriority w:val="99"/>
    <w:semiHidden/>
    <w:rsid w:val="00182B6E"/>
    <w:rPr>
      <w:rFonts w:ascii="Batang" w:eastAsia="Batang" w:hAnsi="Times New Roman" w:cs="Times New Roman"/>
      <w:b/>
      <w:bCs/>
      <w:szCs w:val="24"/>
    </w:rPr>
  </w:style>
  <w:style w:type="paragraph" w:styleId="af0">
    <w:name w:val="Balloon Text"/>
    <w:basedOn w:val="a"/>
    <w:link w:val="af1"/>
    <w:semiHidden/>
    <w:rsid w:val="00182B6E"/>
    <w:pPr>
      <w:widowControl/>
      <w:wordWrap/>
      <w:autoSpaceDE/>
      <w:autoSpaceDN/>
      <w:spacing w:after="200" w:line="276" w:lineRule="auto"/>
      <w:jc w:val="left"/>
    </w:pPr>
    <w:rPr>
      <w:rFonts w:ascii="Arial" w:eastAsia="Dotum" w:hAnsi="Arial"/>
      <w:kern w:val="0"/>
      <w:sz w:val="18"/>
      <w:szCs w:val="18"/>
      <w:lang w:eastAsia="en-US" w:bidi="en-US"/>
    </w:rPr>
  </w:style>
  <w:style w:type="character" w:customStyle="1" w:styleId="af1">
    <w:name w:val="批注框文本 字符"/>
    <w:basedOn w:val="a0"/>
    <w:link w:val="af0"/>
    <w:semiHidden/>
    <w:rsid w:val="00182B6E"/>
    <w:rPr>
      <w:rFonts w:ascii="Arial" w:eastAsia="Dotum" w:hAnsi="Arial" w:cs="Times New Roman"/>
      <w:kern w:val="0"/>
      <w:sz w:val="18"/>
      <w:szCs w:val="18"/>
      <w:lang w:eastAsia="en-US" w:bidi="en-US"/>
    </w:rPr>
  </w:style>
  <w:style w:type="character" w:customStyle="1" w:styleId="ti">
    <w:name w:val="ti"/>
    <w:basedOn w:val="a0"/>
    <w:rsid w:val="00182B6E"/>
  </w:style>
  <w:style w:type="character" w:styleId="af2">
    <w:name w:val="Strong"/>
    <w:uiPriority w:val="22"/>
    <w:qFormat/>
    <w:rsid w:val="00182B6E"/>
    <w:rPr>
      <w:b/>
      <w:bCs/>
    </w:rPr>
  </w:style>
  <w:style w:type="paragraph" w:styleId="af3">
    <w:name w:val="header"/>
    <w:basedOn w:val="a"/>
    <w:link w:val="af4"/>
    <w:rsid w:val="00182B6E"/>
    <w:pPr>
      <w:widowControl/>
      <w:tabs>
        <w:tab w:val="center" w:pos="4513"/>
        <w:tab w:val="right" w:pos="9026"/>
      </w:tabs>
      <w:wordWrap/>
      <w:autoSpaceDE/>
      <w:autoSpaceDN/>
      <w:snapToGrid w:val="0"/>
      <w:spacing w:after="200" w:line="276" w:lineRule="auto"/>
      <w:jc w:val="left"/>
    </w:pPr>
    <w:rPr>
      <w:rFonts w:ascii="Malgun Gothic" w:eastAsia="Malgun Gothic" w:hAnsi="Malgun Gothic"/>
      <w:kern w:val="0"/>
      <w:sz w:val="22"/>
      <w:szCs w:val="22"/>
      <w:lang w:eastAsia="en-US" w:bidi="en-US"/>
    </w:rPr>
  </w:style>
  <w:style w:type="character" w:customStyle="1" w:styleId="af4">
    <w:name w:val="页眉 字符"/>
    <w:basedOn w:val="a0"/>
    <w:link w:val="af3"/>
    <w:rsid w:val="00182B6E"/>
    <w:rPr>
      <w:rFonts w:ascii="Malgun Gothic" w:eastAsia="Malgun Gothic" w:hAnsi="Malgun Gothic" w:cs="Times New Roman"/>
      <w:kern w:val="0"/>
      <w:sz w:val="22"/>
      <w:lang w:eastAsia="en-US" w:bidi="en-US"/>
    </w:rPr>
  </w:style>
  <w:style w:type="character" w:styleId="af5">
    <w:name w:val="Emphasis"/>
    <w:uiPriority w:val="20"/>
    <w:qFormat/>
    <w:rsid w:val="00182B6E"/>
    <w:rPr>
      <w:b/>
      <w:bCs/>
      <w:i/>
      <w:iCs/>
      <w:spacing w:val="10"/>
      <w:bdr w:val="none" w:sz="0" w:space="0" w:color="auto"/>
      <w:shd w:val="clear" w:color="auto" w:fill="auto"/>
    </w:rPr>
  </w:style>
  <w:style w:type="paragraph" w:customStyle="1" w:styleId="title1">
    <w:name w:val="title1"/>
    <w:basedOn w:val="a"/>
    <w:rsid w:val="00182B6E"/>
    <w:pPr>
      <w:widowControl/>
      <w:wordWrap/>
      <w:autoSpaceDE/>
      <w:autoSpaceDN/>
      <w:spacing w:before="100" w:beforeAutospacing="1" w:after="200" w:line="276" w:lineRule="auto"/>
      <w:ind w:left="825"/>
      <w:jc w:val="left"/>
    </w:pPr>
    <w:rPr>
      <w:rFonts w:ascii="Gulim" w:eastAsia="Gulim" w:hAnsi="Gulim" w:cs="Gulim"/>
      <w:kern w:val="0"/>
      <w:sz w:val="22"/>
      <w:szCs w:val="22"/>
      <w:lang w:eastAsia="en-US" w:bidi="en-US"/>
    </w:rPr>
  </w:style>
  <w:style w:type="paragraph" w:customStyle="1" w:styleId="authors1">
    <w:name w:val="authors1"/>
    <w:basedOn w:val="a"/>
    <w:rsid w:val="00182B6E"/>
    <w:pPr>
      <w:widowControl/>
      <w:wordWrap/>
      <w:autoSpaceDE/>
      <w:autoSpaceDN/>
      <w:spacing w:before="72" w:after="200" w:line="240" w:lineRule="atLeast"/>
      <w:ind w:left="825"/>
      <w:jc w:val="left"/>
    </w:pPr>
    <w:rPr>
      <w:rFonts w:ascii="Gulim" w:eastAsia="Gulim" w:hAnsi="Gulim" w:cs="Gulim"/>
      <w:kern w:val="0"/>
      <w:sz w:val="22"/>
      <w:szCs w:val="22"/>
      <w:lang w:eastAsia="en-US" w:bidi="en-US"/>
    </w:rPr>
  </w:style>
  <w:style w:type="paragraph" w:customStyle="1" w:styleId="source1">
    <w:name w:val="source1"/>
    <w:basedOn w:val="a"/>
    <w:rsid w:val="00182B6E"/>
    <w:pPr>
      <w:widowControl/>
      <w:wordWrap/>
      <w:autoSpaceDE/>
      <w:autoSpaceDN/>
      <w:spacing w:before="120" w:after="200" w:line="240" w:lineRule="atLeast"/>
      <w:ind w:left="825"/>
      <w:jc w:val="left"/>
    </w:pPr>
    <w:rPr>
      <w:rFonts w:ascii="Gulim" w:eastAsia="Gulim" w:hAnsi="Gulim" w:cs="Gulim"/>
      <w:kern w:val="0"/>
      <w:sz w:val="18"/>
      <w:szCs w:val="18"/>
      <w:lang w:eastAsia="en-US" w:bidi="en-US"/>
    </w:rPr>
  </w:style>
  <w:style w:type="character" w:customStyle="1" w:styleId="journalname">
    <w:name w:val="journalname"/>
    <w:basedOn w:val="a0"/>
    <w:rsid w:val="00182B6E"/>
  </w:style>
  <w:style w:type="paragraph" w:customStyle="1" w:styleId="pmid1">
    <w:name w:val="pmid1"/>
    <w:basedOn w:val="a"/>
    <w:rsid w:val="00182B6E"/>
    <w:pPr>
      <w:widowControl/>
      <w:wordWrap/>
      <w:autoSpaceDE/>
      <w:autoSpaceDN/>
      <w:spacing w:before="100" w:beforeAutospacing="1" w:after="100" w:afterAutospacing="1" w:line="60" w:lineRule="atLeast"/>
      <w:ind w:left="550"/>
      <w:jc w:val="left"/>
    </w:pPr>
    <w:rPr>
      <w:rFonts w:ascii="Gulim" w:eastAsia="Gulim" w:hAnsi="Gulim" w:cs="Gulim"/>
      <w:color w:val="696969"/>
      <w:kern w:val="0"/>
      <w:sz w:val="18"/>
      <w:szCs w:val="18"/>
      <w:lang w:eastAsia="en-US" w:bidi="en-US"/>
    </w:rPr>
  </w:style>
  <w:style w:type="paragraph" w:customStyle="1" w:styleId="desc1">
    <w:name w:val="desc1"/>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8"/>
      <w:szCs w:val="28"/>
      <w:lang w:eastAsia="en-US" w:bidi="en-US"/>
    </w:rPr>
  </w:style>
  <w:style w:type="paragraph" w:customStyle="1" w:styleId="details1">
    <w:name w:val="details1"/>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szCs w:val="22"/>
      <w:lang w:eastAsia="en-US" w:bidi="en-US"/>
    </w:rPr>
  </w:style>
  <w:style w:type="character" w:customStyle="1" w:styleId="highlight">
    <w:name w:val="highlight"/>
    <w:basedOn w:val="a0"/>
    <w:rsid w:val="00182B6E"/>
  </w:style>
  <w:style w:type="paragraph" w:customStyle="1" w:styleId="desc">
    <w:name w:val="desc"/>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szCs w:val="22"/>
      <w:lang w:eastAsia="en-US" w:bidi="en-US"/>
    </w:rPr>
  </w:style>
  <w:style w:type="paragraph" w:customStyle="1" w:styleId="details">
    <w:name w:val="details"/>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szCs w:val="22"/>
      <w:lang w:eastAsia="en-US" w:bidi="en-US"/>
    </w:rPr>
  </w:style>
  <w:style w:type="paragraph" w:customStyle="1" w:styleId="desc2">
    <w:name w:val="desc2"/>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8"/>
      <w:szCs w:val="28"/>
      <w:lang w:eastAsia="en-US" w:bidi="en-US"/>
    </w:rPr>
  </w:style>
  <w:style w:type="paragraph" w:styleId="af6">
    <w:name w:val="Title"/>
    <w:basedOn w:val="a"/>
    <w:next w:val="a"/>
    <w:link w:val="af7"/>
    <w:uiPriority w:val="10"/>
    <w:qFormat/>
    <w:rsid w:val="00182B6E"/>
    <w:pPr>
      <w:widowControl/>
      <w:pBdr>
        <w:bottom w:val="single" w:sz="4" w:space="1" w:color="auto"/>
      </w:pBdr>
      <w:wordWrap/>
      <w:autoSpaceDE/>
      <w:autoSpaceDN/>
      <w:spacing w:after="200"/>
      <w:contextualSpacing/>
      <w:jc w:val="left"/>
    </w:pPr>
    <w:rPr>
      <w:rFonts w:ascii="Malgun Gothic" w:eastAsia="Malgun Gothic" w:hAnsi="Malgun Gothic"/>
      <w:spacing w:val="5"/>
      <w:kern w:val="0"/>
      <w:sz w:val="52"/>
      <w:szCs w:val="52"/>
      <w:lang w:eastAsia="en-US" w:bidi="en-US"/>
    </w:rPr>
  </w:style>
  <w:style w:type="character" w:customStyle="1" w:styleId="af7">
    <w:name w:val="标题 字符"/>
    <w:basedOn w:val="a0"/>
    <w:link w:val="af6"/>
    <w:uiPriority w:val="10"/>
    <w:rsid w:val="00182B6E"/>
    <w:rPr>
      <w:rFonts w:ascii="Malgun Gothic" w:eastAsia="Malgun Gothic" w:hAnsi="Malgun Gothic" w:cs="Times New Roman"/>
      <w:spacing w:val="5"/>
      <w:kern w:val="0"/>
      <w:sz w:val="52"/>
      <w:szCs w:val="52"/>
      <w:lang w:eastAsia="en-US" w:bidi="en-US"/>
    </w:rPr>
  </w:style>
  <w:style w:type="paragraph" w:styleId="af8">
    <w:name w:val="Subtitle"/>
    <w:basedOn w:val="a"/>
    <w:next w:val="a"/>
    <w:link w:val="af9"/>
    <w:uiPriority w:val="11"/>
    <w:qFormat/>
    <w:rsid w:val="00182B6E"/>
    <w:pPr>
      <w:widowControl/>
      <w:wordWrap/>
      <w:autoSpaceDE/>
      <w:autoSpaceDN/>
      <w:spacing w:after="600" w:line="276" w:lineRule="auto"/>
      <w:jc w:val="left"/>
    </w:pPr>
    <w:rPr>
      <w:rFonts w:ascii="Malgun Gothic" w:eastAsia="Malgun Gothic" w:hAnsi="Malgun Gothic"/>
      <w:i/>
      <w:iCs/>
      <w:spacing w:val="13"/>
      <w:kern w:val="0"/>
      <w:sz w:val="24"/>
      <w:lang w:eastAsia="en-US" w:bidi="en-US"/>
    </w:rPr>
  </w:style>
  <w:style w:type="character" w:customStyle="1" w:styleId="af9">
    <w:name w:val="副标题 字符"/>
    <w:basedOn w:val="a0"/>
    <w:link w:val="af8"/>
    <w:uiPriority w:val="11"/>
    <w:rsid w:val="00182B6E"/>
    <w:rPr>
      <w:rFonts w:ascii="Malgun Gothic" w:eastAsia="Malgun Gothic" w:hAnsi="Malgun Gothic" w:cs="Times New Roman"/>
      <w:i/>
      <w:iCs/>
      <w:spacing w:val="13"/>
      <w:kern w:val="0"/>
      <w:sz w:val="24"/>
      <w:szCs w:val="24"/>
      <w:lang w:eastAsia="en-US" w:bidi="en-US"/>
    </w:rPr>
  </w:style>
  <w:style w:type="paragraph" w:styleId="afa">
    <w:name w:val="No Spacing"/>
    <w:basedOn w:val="a"/>
    <w:link w:val="afb"/>
    <w:uiPriority w:val="1"/>
    <w:qFormat/>
    <w:rsid w:val="00182B6E"/>
    <w:pPr>
      <w:widowControl/>
      <w:wordWrap/>
      <w:autoSpaceDE/>
      <w:autoSpaceDN/>
      <w:jc w:val="left"/>
    </w:pPr>
    <w:rPr>
      <w:rFonts w:ascii="Malgun Gothic" w:eastAsia="Malgun Gothic" w:hAnsi="Malgun Gothic"/>
      <w:kern w:val="0"/>
      <w:sz w:val="22"/>
      <w:szCs w:val="22"/>
      <w:lang w:eastAsia="en-US" w:bidi="en-US"/>
    </w:rPr>
  </w:style>
  <w:style w:type="character" w:customStyle="1" w:styleId="afb">
    <w:name w:val="无间隔 字符"/>
    <w:basedOn w:val="a0"/>
    <w:link w:val="afa"/>
    <w:uiPriority w:val="1"/>
    <w:rsid w:val="00182B6E"/>
    <w:rPr>
      <w:rFonts w:ascii="Malgun Gothic" w:eastAsia="Malgun Gothic" w:hAnsi="Malgun Gothic" w:cs="Times New Roman"/>
      <w:kern w:val="0"/>
      <w:sz w:val="22"/>
      <w:lang w:eastAsia="en-US" w:bidi="en-US"/>
    </w:rPr>
  </w:style>
  <w:style w:type="paragraph" w:styleId="afc">
    <w:name w:val="List Paragraph"/>
    <w:basedOn w:val="a"/>
    <w:uiPriority w:val="34"/>
    <w:qFormat/>
    <w:rsid w:val="00182B6E"/>
    <w:pPr>
      <w:widowControl/>
      <w:wordWrap/>
      <w:autoSpaceDE/>
      <w:autoSpaceDN/>
      <w:spacing w:after="200" w:line="276" w:lineRule="auto"/>
      <w:ind w:left="720"/>
      <w:contextualSpacing/>
      <w:jc w:val="left"/>
    </w:pPr>
    <w:rPr>
      <w:rFonts w:ascii="Malgun Gothic" w:eastAsia="Malgun Gothic" w:hAnsi="Malgun Gothic"/>
      <w:kern w:val="0"/>
      <w:sz w:val="22"/>
      <w:szCs w:val="22"/>
      <w:lang w:eastAsia="en-US" w:bidi="en-US"/>
    </w:rPr>
  </w:style>
  <w:style w:type="paragraph" w:styleId="afd">
    <w:name w:val="Quote"/>
    <w:basedOn w:val="a"/>
    <w:next w:val="a"/>
    <w:link w:val="afe"/>
    <w:uiPriority w:val="29"/>
    <w:qFormat/>
    <w:rsid w:val="00182B6E"/>
    <w:pPr>
      <w:widowControl/>
      <w:wordWrap/>
      <w:autoSpaceDE/>
      <w:autoSpaceDN/>
      <w:spacing w:before="200" w:line="276" w:lineRule="auto"/>
      <w:ind w:left="360" w:right="360"/>
      <w:jc w:val="left"/>
    </w:pPr>
    <w:rPr>
      <w:rFonts w:ascii="Malgun Gothic" w:eastAsia="Malgun Gothic" w:hAnsi="Malgun Gothic"/>
      <w:i/>
      <w:iCs/>
      <w:kern w:val="0"/>
      <w:sz w:val="22"/>
      <w:szCs w:val="22"/>
      <w:lang w:eastAsia="en-US" w:bidi="en-US"/>
    </w:rPr>
  </w:style>
  <w:style w:type="character" w:customStyle="1" w:styleId="afe">
    <w:name w:val="引用 字符"/>
    <w:basedOn w:val="a0"/>
    <w:link w:val="afd"/>
    <w:uiPriority w:val="29"/>
    <w:rsid w:val="00182B6E"/>
    <w:rPr>
      <w:rFonts w:ascii="Malgun Gothic" w:eastAsia="Malgun Gothic" w:hAnsi="Malgun Gothic" w:cs="Times New Roman"/>
      <w:i/>
      <w:iCs/>
      <w:kern w:val="0"/>
      <w:sz w:val="22"/>
      <w:lang w:eastAsia="en-US" w:bidi="en-US"/>
    </w:rPr>
  </w:style>
  <w:style w:type="paragraph" w:styleId="aff">
    <w:name w:val="Intense Quote"/>
    <w:basedOn w:val="a"/>
    <w:next w:val="a"/>
    <w:link w:val="aff0"/>
    <w:uiPriority w:val="30"/>
    <w:qFormat/>
    <w:rsid w:val="00182B6E"/>
    <w:pPr>
      <w:widowControl/>
      <w:pBdr>
        <w:bottom w:val="single" w:sz="4" w:space="1" w:color="auto"/>
      </w:pBdr>
      <w:wordWrap/>
      <w:autoSpaceDE/>
      <w:autoSpaceDN/>
      <w:spacing w:before="200" w:after="280" w:line="276" w:lineRule="auto"/>
      <w:ind w:left="1008" w:right="1152"/>
    </w:pPr>
    <w:rPr>
      <w:rFonts w:ascii="Malgun Gothic" w:eastAsia="Malgun Gothic" w:hAnsi="Malgun Gothic"/>
      <w:b/>
      <w:bCs/>
      <w:i/>
      <w:iCs/>
      <w:kern w:val="0"/>
      <w:sz w:val="22"/>
      <w:szCs w:val="22"/>
      <w:lang w:eastAsia="en-US" w:bidi="en-US"/>
    </w:rPr>
  </w:style>
  <w:style w:type="character" w:customStyle="1" w:styleId="aff0">
    <w:name w:val="明显引用 字符"/>
    <w:basedOn w:val="a0"/>
    <w:link w:val="aff"/>
    <w:uiPriority w:val="30"/>
    <w:rsid w:val="00182B6E"/>
    <w:rPr>
      <w:rFonts w:ascii="Malgun Gothic" w:eastAsia="Malgun Gothic" w:hAnsi="Malgun Gothic" w:cs="Times New Roman"/>
      <w:b/>
      <w:bCs/>
      <w:i/>
      <w:iCs/>
      <w:kern w:val="0"/>
      <w:sz w:val="22"/>
      <w:lang w:eastAsia="en-US" w:bidi="en-US"/>
    </w:rPr>
  </w:style>
  <w:style w:type="character" w:styleId="aff1">
    <w:name w:val="Subtle Emphasis"/>
    <w:uiPriority w:val="19"/>
    <w:qFormat/>
    <w:rsid w:val="00182B6E"/>
    <w:rPr>
      <w:i/>
      <w:iCs/>
    </w:rPr>
  </w:style>
  <w:style w:type="character" w:styleId="aff2">
    <w:name w:val="Intense Emphasis"/>
    <w:uiPriority w:val="21"/>
    <w:qFormat/>
    <w:rsid w:val="00182B6E"/>
    <w:rPr>
      <w:b/>
      <w:bCs/>
    </w:rPr>
  </w:style>
  <w:style w:type="character" w:styleId="aff3">
    <w:name w:val="Subtle Reference"/>
    <w:uiPriority w:val="31"/>
    <w:qFormat/>
    <w:rsid w:val="00182B6E"/>
    <w:rPr>
      <w:smallCaps/>
    </w:rPr>
  </w:style>
  <w:style w:type="character" w:styleId="aff4">
    <w:name w:val="Intense Reference"/>
    <w:uiPriority w:val="32"/>
    <w:qFormat/>
    <w:rsid w:val="00182B6E"/>
    <w:rPr>
      <w:smallCaps/>
      <w:spacing w:val="5"/>
      <w:u w:val="single"/>
    </w:rPr>
  </w:style>
  <w:style w:type="character" w:styleId="aff5">
    <w:name w:val="Book Title"/>
    <w:uiPriority w:val="33"/>
    <w:qFormat/>
    <w:rsid w:val="00182B6E"/>
    <w:rPr>
      <w:i/>
      <w:iCs/>
      <w:smallCaps/>
      <w:spacing w:val="5"/>
    </w:rPr>
  </w:style>
  <w:style w:type="paragraph" w:customStyle="1" w:styleId="EndNoteBibliographyTitle">
    <w:name w:val="EndNote Bibliography Title"/>
    <w:basedOn w:val="a"/>
    <w:link w:val="EndNoteBibliographyTitleChar"/>
    <w:rsid w:val="00182B6E"/>
    <w:pPr>
      <w:jc w:val="center"/>
    </w:pPr>
    <w:rPr>
      <w:rFonts w:hAnsi="Batang"/>
      <w:noProof/>
    </w:rPr>
  </w:style>
  <w:style w:type="character" w:customStyle="1" w:styleId="EndNoteBibliographyTitleChar">
    <w:name w:val="EndNote Bibliography Title Char"/>
    <w:basedOn w:val="a0"/>
    <w:link w:val="EndNoteBibliographyTitle"/>
    <w:rsid w:val="00182B6E"/>
    <w:rPr>
      <w:rFonts w:ascii="Batang" w:eastAsia="Batang" w:hAnsi="Batang" w:cs="Times New Roman"/>
      <w:noProof/>
      <w:szCs w:val="24"/>
    </w:rPr>
  </w:style>
  <w:style w:type="paragraph" w:customStyle="1" w:styleId="EndNoteBibliography">
    <w:name w:val="EndNote Bibliography"/>
    <w:basedOn w:val="a"/>
    <w:link w:val="EndNoteBibliographyChar"/>
    <w:rsid w:val="00182B6E"/>
    <w:rPr>
      <w:rFonts w:hAnsi="Batang"/>
      <w:noProof/>
    </w:rPr>
  </w:style>
  <w:style w:type="character" w:customStyle="1" w:styleId="EndNoteBibliographyChar">
    <w:name w:val="EndNote Bibliography Char"/>
    <w:basedOn w:val="a0"/>
    <w:link w:val="EndNoteBibliography"/>
    <w:rsid w:val="00182B6E"/>
    <w:rPr>
      <w:rFonts w:ascii="Batang" w:eastAsia="Batang" w:hAnsi="Batang" w:cs="Times New Roman"/>
      <w:noProof/>
      <w:szCs w:val="24"/>
    </w:rPr>
  </w:style>
  <w:style w:type="character" w:styleId="aff6">
    <w:name w:val="annotation reference"/>
    <w:uiPriority w:val="99"/>
    <w:semiHidden/>
    <w:unhideWhenUsed/>
    <w:rsid w:val="00182B6E"/>
    <w:rPr>
      <w:sz w:val="18"/>
      <w:szCs w:val="18"/>
    </w:rPr>
  </w:style>
  <w:style w:type="table" w:styleId="aff7">
    <w:name w:val="Table Grid"/>
    <w:basedOn w:val="a1"/>
    <w:uiPriority w:val="59"/>
    <w:rsid w:val="00182B6E"/>
    <w:pPr>
      <w:spacing w:after="0" w:line="240" w:lineRule="auto"/>
      <w:jc w:val="left"/>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제목2"/>
    <w:basedOn w:val="a"/>
    <w:rsid w:val="00182B6E"/>
    <w:pPr>
      <w:widowControl/>
      <w:wordWrap/>
      <w:autoSpaceDE/>
      <w:autoSpaceDN/>
      <w:spacing w:before="100" w:beforeAutospacing="1" w:after="100" w:afterAutospacing="1" w:line="276" w:lineRule="auto"/>
      <w:jc w:val="left"/>
    </w:pPr>
    <w:rPr>
      <w:rFonts w:ascii="Gulim" w:eastAsia="Gulim" w:hAnsi="Gulim" w:cs="Gulim"/>
      <w:kern w:val="0"/>
      <w:sz w:val="24"/>
      <w:lang w:eastAsia="en-US" w:bidi="en-US"/>
    </w:rPr>
  </w:style>
  <w:style w:type="character" w:customStyle="1" w:styleId="st">
    <w:name w:val="st"/>
    <w:basedOn w:val="a0"/>
    <w:rsid w:val="00182B6E"/>
  </w:style>
  <w:style w:type="paragraph" w:styleId="aff8">
    <w:name w:val="Normal (Web)"/>
    <w:basedOn w:val="a"/>
    <w:uiPriority w:val="99"/>
    <w:semiHidden/>
    <w:unhideWhenUsed/>
    <w:rsid w:val="00182B6E"/>
    <w:pPr>
      <w:widowControl/>
      <w:wordWrap/>
      <w:autoSpaceDE/>
      <w:autoSpaceDN/>
      <w:spacing w:before="100" w:beforeAutospacing="1" w:after="100" w:afterAutospacing="1"/>
      <w:jc w:val="left"/>
    </w:pPr>
    <w:rPr>
      <w:rFonts w:ascii="Gulim" w:eastAsia="Gulim" w:hAnsi="Gulim" w:cs="Gulim"/>
      <w:kern w:val="0"/>
      <w:sz w:val="24"/>
    </w:rPr>
  </w:style>
  <w:style w:type="paragraph" w:styleId="aff9">
    <w:name w:val="Revision"/>
    <w:hidden/>
    <w:uiPriority w:val="99"/>
    <w:semiHidden/>
    <w:rsid w:val="00182B6E"/>
    <w:pPr>
      <w:spacing w:after="0" w:line="240" w:lineRule="auto"/>
      <w:jc w:val="left"/>
    </w:pPr>
    <w:rPr>
      <w:rFonts w:ascii="Batang" w:eastAsia="Batang" w:hAnsi="Times New Roman" w:cs="Times New Roman"/>
      <w:szCs w:val="24"/>
    </w:rPr>
  </w:style>
  <w:style w:type="paragraph" w:customStyle="1" w:styleId="Pa9">
    <w:name w:val="Pa9"/>
    <w:basedOn w:val="a"/>
    <w:next w:val="a"/>
    <w:uiPriority w:val="99"/>
    <w:rsid w:val="00182B6E"/>
    <w:pPr>
      <w:wordWrap/>
      <w:adjustRightInd w:val="0"/>
      <w:spacing w:line="180" w:lineRule="atLeast"/>
      <w:jc w:val="left"/>
    </w:pPr>
    <w:rPr>
      <w:rFonts w:ascii="ScalaLancetPro" w:eastAsia="ScalaLancetPro" w:hAnsiTheme="minorHAnsi" w:cstheme="minorBidi"/>
      <w:kern w:val="0"/>
      <w:sz w:val="24"/>
    </w:rPr>
  </w:style>
  <w:style w:type="character" w:customStyle="1" w:styleId="A70">
    <w:name w:val="A7"/>
    <w:uiPriority w:val="99"/>
    <w:rsid w:val="00182B6E"/>
    <w:rPr>
      <w:rFonts w:cs="ScalaLancetPro"/>
      <w:color w:val="000000"/>
      <w:sz w:val="9"/>
      <w:szCs w:val="9"/>
    </w:rPr>
  </w:style>
  <w:style w:type="character" w:customStyle="1" w:styleId="author-list">
    <w:name w:val="author-list"/>
    <w:basedOn w:val="a0"/>
    <w:rsid w:val="00182B6E"/>
  </w:style>
  <w:style w:type="character" w:customStyle="1" w:styleId="more-authors-label">
    <w:name w:val="more-authors-label"/>
    <w:basedOn w:val="a0"/>
    <w:rsid w:val="00182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5488</Words>
  <Characters>31284</Characters>
  <Application>Microsoft Office Word</Application>
  <DocSecurity>0</DocSecurity>
  <Lines>260</Lines>
  <Paragraphs>73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진료용</dc:creator>
  <cp:lastModifiedBy>HP</cp:lastModifiedBy>
  <cp:revision>2</cp:revision>
  <dcterms:created xsi:type="dcterms:W3CDTF">2019-09-10T20:01:00Z</dcterms:created>
  <dcterms:modified xsi:type="dcterms:W3CDTF">2019-09-10T20:01:00Z</dcterms:modified>
</cp:coreProperties>
</file>