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FB" w:rsidRPr="00D3653F" w:rsidRDefault="006A1FFB" w:rsidP="00D3653F">
      <w:pPr>
        <w:snapToGrid w:val="0"/>
        <w:spacing w:line="360" w:lineRule="auto"/>
        <w:rPr>
          <w:rFonts w:ascii="Book Antiqua" w:eastAsia="BatangChe" w:hAnsi="Book Antiqua"/>
          <w:i/>
          <w:szCs w:val="24"/>
        </w:rPr>
      </w:pPr>
      <w:r w:rsidRPr="00D3653F">
        <w:rPr>
          <w:rFonts w:ascii="Book Antiqua" w:eastAsia="BatangChe" w:hAnsi="Book Antiqua"/>
          <w:b/>
          <w:szCs w:val="24"/>
        </w:rPr>
        <w:t xml:space="preserve">Name of journal: </w:t>
      </w:r>
      <w:r w:rsidRPr="00D3653F">
        <w:rPr>
          <w:rFonts w:ascii="Book Antiqua" w:eastAsia="BatangChe" w:hAnsi="Book Antiqua"/>
          <w:i/>
          <w:szCs w:val="24"/>
        </w:rPr>
        <w:t>World Journal of Gastroenterology</w:t>
      </w:r>
    </w:p>
    <w:p w:rsidR="006A1FFB" w:rsidRPr="00D3653F" w:rsidRDefault="006A1FFB" w:rsidP="00D3653F">
      <w:pPr>
        <w:snapToGrid w:val="0"/>
        <w:spacing w:line="360" w:lineRule="auto"/>
        <w:rPr>
          <w:rFonts w:ascii="Book Antiqua" w:eastAsia="宋体" w:hAnsi="Book Antiqua"/>
          <w:b/>
          <w:szCs w:val="24"/>
          <w:lang w:eastAsia="zh-CN"/>
        </w:rPr>
      </w:pPr>
      <w:r w:rsidRPr="00D3653F">
        <w:rPr>
          <w:rFonts w:ascii="Book Antiqua" w:eastAsia="BatangChe" w:hAnsi="Book Antiqua"/>
          <w:b/>
          <w:szCs w:val="24"/>
        </w:rPr>
        <w:t>ESPS Manuscript NO:</w:t>
      </w:r>
      <w:r w:rsidRPr="00D3653F">
        <w:rPr>
          <w:rFonts w:ascii="Book Antiqua" w:hAnsi="Book Antiqua"/>
          <w:b/>
          <w:szCs w:val="24"/>
        </w:rPr>
        <w:t xml:space="preserve"> </w:t>
      </w:r>
      <w:r w:rsidRPr="00D3653F">
        <w:rPr>
          <w:rFonts w:ascii="Book Antiqua" w:eastAsia="宋体" w:hAnsi="Book Antiqua"/>
          <w:b/>
          <w:szCs w:val="24"/>
          <w:lang w:eastAsia="zh-CN"/>
        </w:rPr>
        <w:t>4947</w:t>
      </w:r>
    </w:p>
    <w:p w:rsidR="006A1FFB" w:rsidRPr="00D3653F" w:rsidRDefault="006A1FFB" w:rsidP="00D3653F">
      <w:pPr>
        <w:snapToGrid w:val="0"/>
        <w:spacing w:line="360" w:lineRule="auto"/>
        <w:rPr>
          <w:rFonts w:ascii="Book Antiqua" w:eastAsia="宋体" w:hAnsi="Book Antiqua"/>
          <w:b/>
          <w:szCs w:val="24"/>
          <w:lang w:eastAsia="zh-CN"/>
        </w:rPr>
      </w:pPr>
      <w:r w:rsidRPr="00D3653F">
        <w:rPr>
          <w:rFonts w:ascii="Book Antiqua" w:eastAsia="BatangChe" w:hAnsi="Book Antiqua"/>
          <w:b/>
          <w:szCs w:val="24"/>
        </w:rPr>
        <w:t>Columns:</w:t>
      </w:r>
      <w:r w:rsidRPr="00D3653F">
        <w:rPr>
          <w:rFonts w:ascii="Book Antiqua" w:hAnsi="Book Antiqua"/>
          <w:szCs w:val="24"/>
        </w:rPr>
        <w:t xml:space="preserve"> </w:t>
      </w:r>
      <w:r w:rsidRPr="00D3653F">
        <w:rPr>
          <w:rFonts w:ascii="Book Antiqua" w:hAnsi="Book Antiqua"/>
          <w:b/>
          <w:szCs w:val="24"/>
        </w:rPr>
        <w:t>BRIEF ARTICLE</w:t>
      </w:r>
    </w:p>
    <w:p w:rsidR="006A1FFB" w:rsidRPr="00D3653F" w:rsidRDefault="006A1FFB" w:rsidP="00D3653F">
      <w:pPr>
        <w:snapToGrid w:val="0"/>
        <w:spacing w:line="360" w:lineRule="auto"/>
        <w:rPr>
          <w:rFonts w:ascii="Book Antiqua" w:eastAsia="宋体" w:hAnsi="Book Antiqua"/>
          <w:b/>
          <w:szCs w:val="24"/>
          <w:lang w:eastAsia="zh-CN"/>
        </w:rPr>
      </w:pPr>
    </w:p>
    <w:p w:rsidR="006A1FFB" w:rsidRPr="00D3653F" w:rsidRDefault="006A1FFB" w:rsidP="00D3653F">
      <w:pPr>
        <w:spacing w:line="360" w:lineRule="auto"/>
        <w:rPr>
          <w:rFonts w:ascii="Book Antiqua" w:hAnsi="Book Antiqua"/>
          <w:b/>
          <w:spacing w:val="0"/>
          <w:szCs w:val="24"/>
        </w:rPr>
      </w:pPr>
      <w:r w:rsidRPr="00D3653F">
        <w:rPr>
          <w:rFonts w:ascii="Book Antiqua" w:hAnsi="Book Antiqua"/>
          <w:b/>
          <w:spacing w:val="0"/>
          <w:szCs w:val="24"/>
        </w:rPr>
        <w:t xml:space="preserve">Impairment of secondary peristalsis in Barrett’s esophagus by </w:t>
      </w:r>
      <w:proofErr w:type="spellStart"/>
      <w:r w:rsidRPr="00D3653F">
        <w:rPr>
          <w:rFonts w:ascii="Book Antiqua" w:hAnsi="Book Antiqua"/>
          <w:b/>
          <w:spacing w:val="0"/>
          <w:szCs w:val="24"/>
        </w:rPr>
        <w:t>transnasal</w:t>
      </w:r>
      <w:proofErr w:type="spellEnd"/>
      <w:r w:rsidRPr="00D3653F">
        <w:rPr>
          <w:rFonts w:ascii="Book Antiqua" w:hAnsi="Book Antiqua"/>
          <w:b/>
          <w:spacing w:val="0"/>
          <w:szCs w:val="24"/>
        </w:rPr>
        <w:t xml:space="preserve"> endoscopy-based testing</w:t>
      </w: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zCs w:val="24"/>
        </w:rPr>
      </w:pPr>
      <w:r w:rsidRPr="00D3653F">
        <w:rPr>
          <w:rFonts w:ascii="Book Antiqua" w:hAnsi="Book Antiqua"/>
          <w:szCs w:val="24"/>
        </w:rPr>
        <w:t xml:space="preserve">Kobayashi </w:t>
      </w:r>
      <w:r w:rsidRPr="00D3653F">
        <w:rPr>
          <w:rFonts w:ascii="Book Antiqua" w:eastAsia="宋体" w:hAnsi="Book Antiqua"/>
          <w:szCs w:val="24"/>
          <w:lang w:eastAsia="zh-CN"/>
        </w:rPr>
        <w:t>G</w:t>
      </w:r>
      <w:r w:rsidRPr="00D3653F">
        <w:rPr>
          <w:rFonts w:ascii="Book Antiqua" w:eastAsia="宋体" w:hAnsi="Book Antiqua"/>
          <w:i/>
          <w:szCs w:val="24"/>
          <w:lang w:eastAsia="zh-CN"/>
        </w:rPr>
        <w:t xml:space="preserve"> et al</w:t>
      </w:r>
      <w:r w:rsidRPr="00D3653F">
        <w:rPr>
          <w:rFonts w:ascii="Book Antiqua" w:eastAsia="宋体" w:hAnsi="Book Antiqua"/>
          <w:szCs w:val="24"/>
          <w:lang w:eastAsia="zh-CN"/>
        </w:rPr>
        <w:t xml:space="preserve">. </w:t>
      </w:r>
      <w:r w:rsidRPr="00D3653F">
        <w:rPr>
          <w:rFonts w:ascii="Book Antiqua" w:hAnsi="Book Antiqua"/>
          <w:szCs w:val="24"/>
        </w:rPr>
        <w:t>A</w:t>
      </w:r>
      <w:r w:rsidRPr="00D3653F">
        <w:rPr>
          <w:rFonts w:ascii="Book Antiqua" w:eastAsia="MS PGothic" w:hAnsi="Book Antiqua"/>
          <w:szCs w:val="24"/>
        </w:rPr>
        <w:t xml:space="preserve">cid </w:t>
      </w:r>
      <w:r w:rsidRPr="00D3653F">
        <w:rPr>
          <w:rFonts w:ascii="Book Antiqua" w:hAnsi="Book Antiqua"/>
          <w:szCs w:val="24"/>
        </w:rPr>
        <w:t>in</w:t>
      </w:r>
      <w:r w:rsidRPr="00D3653F">
        <w:rPr>
          <w:rFonts w:ascii="Book Antiqua" w:eastAsia="MS PGothic" w:hAnsi="Book Antiqua"/>
          <w:szCs w:val="24"/>
        </w:rPr>
        <w:t>fusion study</w:t>
      </w:r>
      <w:r w:rsidRPr="00D3653F">
        <w:rPr>
          <w:rFonts w:ascii="Book Antiqua" w:hAnsi="Book Antiqua"/>
          <w:szCs w:val="24"/>
        </w:rPr>
        <w:t xml:space="preserve"> by </w:t>
      </w:r>
      <w:proofErr w:type="spellStart"/>
      <w:r w:rsidRPr="00D3653F">
        <w:rPr>
          <w:rFonts w:ascii="Book Antiqua" w:hAnsi="Book Antiqua"/>
          <w:szCs w:val="24"/>
        </w:rPr>
        <w:t>transnasal</w:t>
      </w:r>
      <w:proofErr w:type="spellEnd"/>
      <w:r w:rsidRPr="00D3653F">
        <w:rPr>
          <w:rFonts w:ascii="Book Antiqua" w:hAnsi="Book Antiqua"/>
          <w:szCs w:val="24"/>
        </w:rPr>
        <w:t xml:space="preserve"> endoscopy</w:t>
      </w:r>
    </w:p>
    <w:p w:rsidR="006A1FFB" w:rsidRPr="00D3653F" w:rsidRDefault="006A1FFB" w:rsidP="00D3653F">
      <w:pPr>
        <w:spacing w:line="360" w:lineRule="auto"/>
        <w:rPr>
          <w:rFonts w:ascii="Book Antiqua" w:hAnsi="Book Antiqua"/>
          <w:szCs w:val="24"/>
        </w:rPr>
      </w:pPr>
    </w:p>
    <w:p w:rsidR="006A1FFB" w:rsidRPr="00D3653F" w:rsidRDefault="006A1FFB" w:rsidP="00D3653F">
      <w:pPr>
        <w:spacing w:line="360" w:lineRule="auto"/>
        <w:ind w:rightChars="572" w:right="1258"/>
        <w:rPr>
          <w:rFonts w:ascii="Book Antiqua" w:hAnsi="Book Antiqua"/>
          <w:szCs w:val="24"/>
        </w:rPr>
      </w:pPr>
      <w:r w:rsidRPr="00D3653F">
        <w:rPr>
          <w:rFonts w:ascii="Book Antiqua" w:hAnsi="Book Antiqua"/>
          <w:szCs w:val="24"/>
        </w:rPr>
        <w:t xml:space="preserve">Go Kobayashi, Mitsuru </w:t>
      </w:r>
      <w:proofErr w:type="spellStart"/>
      <w:r w:rsidRPr="00D3653F">
        <w:rPr>
          <w:rFonts w:ascii="Book Antiqua" w:hAnsi="Book Antiqua"/>
          <w:szCs w:val="24"/>
        </w:rPr>
        <w:t>Kaise</w:t>
      </w:r>
      <w:proofErr w:type="spellEnd"/>
      <w:r w:rsidRPr="00D3653F">
        <w:rPr>
          <w:rFonts w:ascii="Book Antiqua" w:hAnsi="Book Antiqua"/>
          <w:szCs w:val="24"/>
        </w:rPr>
        <w:t>, Hiroshi Arakawa</w:t>
      </w:r>
      <w:r w:rsidRPr="00D3653F">
        <w:rPr>
          <w:rFonts w:ascii="Book Antiqua" w:eastAsia="宋体" w:hAnsi="Book Antiqua"/>
          <w:szCs w:val="24"/>
          <w:lang w:eastAsia="zh-CN"/>
        </w:rPr>
        <w:t>,</w:t>
      </w:r>
      <w:r w:rsidRPr="00D3653F">
        <w:rPr>
          <w:rFonts w:ascii="Book Antiqua" w:hAnsi="Book Antiqua"/>
          <w:szCs w:val="24"/>
        </w:rPr>
        <w:t xml:space="preserve"> </w:t>
      </w:r>
      <w:proofErr w:type="spellStart"/>
      <w:r w:rsidRPr="00D3653F">
        <w:rPr>
          <w:rFonts w:ascii="Book Antiqua" w:hAnsi="Book Antiqua"/>
          <w:szCs w:val="24"/>
        </w:rPr>
        <w:t>Hisao</w:t>
      </w:r>
      <w:proofErr w:type="spellEnd"/>
      <w:r w:rsidRPr="00D3653F">
        <w:rPr>
          <w:rFonts w:ascii="Book Antiqua" w:hAnsi="Book Antiqua"/>
          <w:szCs w:val="24"/>
        </w:rPr>
        <w:t xml:space="preserve"> </w:t>
      </w:r>
      <w:proofErr w:type="spellStart"/>
      <w:r w:rsidRPr="00D3653F">
        <w:rPr>
          <w:rFonts w:ascii="Book Antiqua" w:hAnsi="Book Antiqua"/>
          <w:szCs w:val="24"/>
        </w:rPr>
        <w:t>Tajiri</w:t>
      </w:r>
      <w:proofErr w:type="spellEnd"/>
    </w:p>
    <w:p w:rsidR="006A1FFB" w:rsidRPr="00D3653F" w:rsidRDefault="006A1FFB" w:rsidP="00D3653F">
      <w:pPr>
        <w:spacing w:line="360" w:lineRule="auto"/>
        <w:ind w:rightChars="572" w:right="1258"/>
        <w:rPr>
          <w:rFonts w:ascii="Book Antiqua" w:hAnsi="Book Antiqua"/>
          <w:szCs w:val="24"/>
          <w:vertAlign w:val="superscript"/>
        </w:rPr>
      </w:pPr>
    </w:p>
    <w:p w:rsidR="006A1FFB" w:rsidRPr="00D3653F" w:rsidRDefault="006A1FFB" w:rsidP="00D3653F">
      <w:pPr>
        <w:spacing w:line="360" w:lineRule="auto"/>
        <w:rPr>
          <w:rFonts w:ascii="Book Antiqua" w:eastAsia="宋体" w:hAnsi="Book Antiqua"/>
          <w:szCs w:val="24"/>
          <w:lang w:eastAsia="zh-CN"/>
        </w:rPr>
      </w:pPr>
      <w:r w:rsidRPr="00D3653F">
        <w:rPr>
          <w:rFonts w:ascii="Book Antiqua" w:hAnsi="Book Antiqua"/>
          <w:b/>
          <w:szCs w:val="24"/>
        </w:rPr>
        <w:t>Go Kobayashi</w:t>
      </w:r>
      <w:r w:rsidRPr="00D3653F">
        <w:rPr>
          <w:rFonts w:ascii="Book Antiqua" w:eastAsia="宋体" w:hAnsi="Book Antiqua"/>
          <w:b/>
          <w:szCs w:val="24"/>
          <w:lang w:eastAsia="zh-CN"/>
        </w:rPr>
        <w:t>,</w:t>
      </w:r>
      <w:r w:rsidRPr="00D3653F">
        <w:rPr>
          <w:rFonts w:ascii="Book Antiqua" w:eastAsia="宋体" w:hAnsi="Book Antiqua"/>
          <w:szCs w:val="24"/>
          <w:lang w:eastAsia="zh-CN"/>
        </w:rPr>
        <w:t xml:space="preserve"> </w:t>
      </w:r>
      <w:r w:rsidRPr="00D3653F">
        <w:rPr>
          <w:rFonts w:ascii="Book Antiqua" w:eastAsia="MS PGothic" w:hAnsi="Book Antiqua"/>
          <w:szCs w:val="24"/>
        </w:rPr>
        <w:t>D</w:t>
      </w:r>
      <w:r w:rsidRPr="00D3653F">
        <w:rPr>
          <w:rFonts w:ascii="Book Antiqua" w:hAnsi="Book Antiqua"/>
          <w:szCs w:val="24"/>
        </w:rPr>
        <w:t>epartment</w:t>
      </w:r>
      <w:r w:rsidRPr="00D3653F">
        <w:rPr>
          <w:rFonts w:ascii="Book Antiqua" w:eastAsia="MS PGothic" w:hAnsi="Book Antiqua"/>
          <w:szCs w:val="24"/>
        </w:rPr>
        <w:t xml:space="preserve"> of Gastroenterology and </w:t>
      </w:r>
      <w:proofErr w:type="spellStart"/>
      <w:r w:rsidRPr="00D3653F">
        <w:rPr>
          <w:rFonts w:ascii="Book Antiqua" w:eastAsia="MS PGothic" w:hAnsi="Book Antiqua"/>
          <w:szCs w:val="24"/>
        </w:rPr>
        <w:t>Hepatology</w:t>
      </w:r>
      <w:proofErr w:type="spellEnd"/>
      <w:r w:rsidRPr="00D3653F">
        <w:rPr>
          <w:rFonts w:ascii="Book Antiqua" w:eastAsia="MS PGothic" w:hAnsi="Book Antiqua"/>
          <w:szCs w:val="24"/>
        </w:rPr>
        <w:t xml:space="preserve">, </w:t>
      </w:r>
      <w:proofErr w:type="spellStart"/>
      <w:r w:rsidRPr="00D3653F">
        <w:rPr>
          <w:rFonts w:ascii="Book Antiqua" w:eastAsia="MS PGothic" w:hAnsi="Book Antiqua"/>
          <w:szCs w:val="24"/>
        </w:rPr>
        <w:t>Jikei</w:t>
      </w:r>
      <w:proofErr w:type="spellEnd"/>
      <w:r w:rsidRPr="00D3653F">
        <w:rPr>
          <w:rFonts w:ascii="Book Antiqua" w:eastAsia="MS PGothic" w:hAnsi="Book Antiqua"/>
          <w:szCs w:val="24"/>
        </w:rPr>
        <w:t xml:space="preserve"> University </w:t>
      </w:r>
      <w:proofErr w:type="spellStart"/>
      <w:r w:rsidRPr="00D3653F">
        <w:rPr>
          <w:rFonts w:ascii="Book Antiqua" w:eastAsia="MS PGothic" w:hAnsi="Book Antiqua"/>
          <w:szCs w:val="24"/>
        </w:rPr>
        <w:t>Daisan</w:t>
      </w:r>
      <w:proofErr w:type="spellEnd"/>
      <w:r w:rsidRPr="00D3653F">
        <w:rPr>
          <w:rFonts w:ascii="Book Antiqua" w:eastAsia="MS PGothic" w:hAnsi="Book Antiqua"/>
          <w:szCs w:val="24"/>
        </w:rPr>
        <w:t xml:space="preserve"> Hospital, Tokyo 201-8601, Japan</w:t>
      </w:r>
    </w:p>
    <w:p w:rsidR="006A1FFB" w:rsidRPr="00D3653F" w:rsidRDefault="006A1FFB" w:rsidP="00D3653F">
      <w:pPr>
        <w:spacing w:line="360" w:lineRule="auto"/>
        <w:rPr>
          <w:rFonts w:ascii="Book Antiqua" w:eastAsia="宋体" w:hAnsi="Book Antiqua"/>
          <w:szCs w:val="24"/>
          <w:lang w:eastAsia="zh-CN"/>
        </w:rPr>
      </w:pPr>
    </w:p>
    <w:p w:rsidR="006A1FFB" w:rsidRPr="00D3653F" w:rsidRDefault="006A1FFB" w:rsidP="00D3653F">
      <w:pPr>
        <w:spacing w:line="360" w:lineRule="auto"/>
        <w:rPr>
          <w:rFonts w:ascii="Book Antiqua" w:eastAsia="宋体" w:hAnsi="Book Antiqua"/>
          <w:szCs w:val="24"/>
          <w:lang w:eastAsia="zh-CN"/>
        </w:rPr>
      </w:pPr>
      <w:r w:rsidRPr="00D3653F">
        <w:rPr>
          <w:rFonts w:ascii="Book Antiqua" w:eastAsia="MS PGothic" w:hAnsi="Book Antiqua"/>
          <w:b/>
          <w:szCs w:val="24"/>
        </w:rPr>
        <w:t xml:space="preserve">Mitsuru </w:t>
      </w:r>
      <w:proofErr w:type="spellStart"/>
      <w:r w:rsidRPr="00D3653F">
        <w:rPr>
          <w:rFonts w:ascii="Book Antiqua" w:eastAsia="MS PGothic" w:hAnsi="Book Antiqua"/>
          <w:b/>
          <w:szCs w:val="24"/>
        </w:rPr>
        <w:t>Kaise</w:t>
      </w:r>
      <w:proofErr w:type="spellEnd"/>
      <w:r w:rsidRPr="00D3653F">
        <w:rPr>
          <w:rFonts w:ascii="Book Antiqua" w:eastAsia="宋体" w:hAnsi="Book Antiqua"/>
          <w:b/>
          <w:szCs w:val="24"/>
          <w:lang w:eastAsia="zh-CN"/>
        </w:rPr>
        <w:t>,</w:t>
      </w:r>
      <w:r w:rsidRPr="00D3653F">
        <w:rPr>
          <w:rFonts w:ascii="Book Antiqua" w:eastAsia="宋体" w:hAnsi="Book Antiqua"/>
          <w:szCs w:val="24"/>
          <w:lang w:eastAsia="zh-CN"/>
        </w:rPr>
        <w:t xml:space="preserve"> </w:t>
      </w:r>
      <w:r w:rsidRPr="00D3653F">
        <w:rPr>
          <w:rFonts w:ascii="Book Antiqua" w:hAnsi="Book Antiqua"/>
          <w:szCs w:val="24"/>
        </w:rPr>
        <w:t xml:space="preserve">Department of Gastroenterology, </w:t>
      </w:r>
      <w:proofErr w:type="spellStart"/>
      <w:r w:rsidRPr="00D3653F">
        <w:rPr>
          <w:rFonts w:ascii="Book Antiqua" w:hAnsi="Book Antiqua"/>
          <w:szCs w:val="24"/>
        </w:rPr>
        <w:t>Toranomon</w:t>
      </w:r>
      <w:proofErr w:type="spellEnd"/>
      <w:r w:rsidRPr="00D3653F">
        <w:rPr>
          <w:rFonts w:ascii="Book Antiqua" w:hAnsi="Book Antiqua"/>
          <w:szCs w:val="24"/>
        </w:rPr>
        <w:t xml:space="preserve"> Hospital, </w:t>
      </w:r>
      <w:r w:rsidRPr="00D3653F">
        <w:rPr>
          <w:rFonts w:ascii="Book Antiqua" w:eastAsia="MS PGothic" w:hAnsi="Book Antiqua"/>
          <w:szCs w:val="24"/>
        </w:rPr>
        <w:t>Tokyo 105-8470, Japan</w:t>
      </w:r>
    </w:p>
    <w:p w:rsidR="006A1FFB" w:rsidRPr="00D3653F" w:rsidRDefault="006A1FFB" w:rsidP="00D3653F">
      <w:pPr>
        <w:spacing w:line="360" w:lineRule="auto"/>
        <w:rPr>
          <w:rFonts w:ascii="Book Antiqua" w:eastAsia="宋体" w:hAnsi="Book Antiqua"/>
          <w:szCs w:val="24"/>
          <w:lang w:eastAsia="zh-CN"/>
        </w:rPr>
      </w:pPr>
    </w:p>
    <w:p w:rsidR="006A1FFB" w:rsidRPr="00A258DF" w:rsidRDefault="006A1FFB" w:rsidP="00D3653F">
      <w:pPr>
        <w:spacing w:line="360" w:lineRule="auto"/>
        <w:rPr>
          <w:rFonts w:ascii="Book Antiqua" w:eastAsia="宋体" w:hAnsi="Book Antiqua"/>
          <w:szCs w:val="24"/>
          <w:lang w:eastAsia="zh-CN"/>
        </w:rPr>
      </w:pPr>
      <w:r w:rsidRPr="00D3653F">
        <w:rPr>
          <w:rFonts w:ascii="Book Antiqua" w:eastAsia="MS PGothic" w:hAnsi="Book Antiqua"/>
          <w:b/>
          <w:szCs w:val="24"/>
        </w:rPr>
        <w:t>Hiroshi Arakawa</w:t>
      </w:r>
      <w:r w:rsidRPr="00D3653F">
        <w:rPr>
          <w:rFonts w:ascii="Book Antiqua" w:eastAsia="宋体" w:hAnsi="Book Antiqua"/>
          <w:b/>
          <w:szCs w:val="24"/>
          <w:lang w:eastAsia="zh-CN"/>
        </w:rPr>
        <w:t>,</w:t>
      </w:r>
      <w:r w:rsidRPr="00D3653F">
        <w:rPr>
          <w:rFonts w:ascii="Book Antiqua" w:eastAsia="MS PGothic" w:hAnsi="Book Antiqua"/>
          <w:b/>
          <w:szCs w:val="24"/>
        </w:rPr>
        <w:t xml:space="preserve"> </w:t>
      </w:r>
      <w:r w:rsidRPr="00D3653F">
        <w:rPr>
          <w:rFonts w:ascii="Book Antiqua" w:eastAsia="MS PGothic" w:hAnsi="Book Antiqua"/>
          <w:szCs w:val="24"/>
        </w:rPr>
        <w:t>D</w:t>
      </w:r>
      <w:r w:rsidRPr="00D3653F">
        <w:rPr>
          <w:rFonts w:ascii="Book Antiqua" w:hAnsi="Book Antiqua"/>
          <w:szCs w:val="24"/>
        </w:rPr>
        <w:t>epartment</w:t>
      </w:r>
      <w:r w:rsidRPr="00D3653F">
        <w:rPr>
          <w:rFonts w:ascii="Book Antiqua" w:eastAsia="MS PGothic" w:hAnsi="Book Antiqua"/>
          <w:szCs w:val="24"/>
        </w:rPr>
        <w:t xml:space="preserve"> of Endoscopy, </w:t>
      </w:r>
      <w:proofErr w:type="spellStart"/>
      <w:r w:rsidRPr="00D3653F">
        <w:rPr>
          <w:rFonts w:ascii="Book Antiqua" w:eastAsia="MS PGothic" w:hAnsi="Book Antiqua"/>
          <w:szCs w:val="24"/>
        </w:rPr>
        <w:t>Jikei</w:t>
      </w:r>
      <w:proofErr w:type="spellEnd"/>
      <w:r w:rsidRPr="00D3653F">
        <w:rPr>
          <w:rFonts w:ascii="Book Antiqua" w:eastAsia="MS PGothic" w:hAnsi="Book Antiqua"/>
          <w:szCs w:val="24"/>
        </w:rPr>
        <w:t xml:space="preserve"> University Kashiwa Hospital, Chiba</w:t>
      </w:r>
      <w:r>
        <w:rPr>
          <w:rFonts w:ascii="Book Antiqua" w:eastAsia="MS PGothic" w:hAnsi="Book Antiqua"/>
          <w:szCs w:val="24"/>
        </w:rPr>
        <w:t xml:space="preserve"> 277-8567, Japan</w:t>
      </w:r>
    </w:p>
    <w:p w:rsidR="006A1FFB" w:rsidRPr="00D3653F" w:rsidRDefault="006A1FFB" w:rsidP="00D3653F">
      <w:pPr>
        <w:spacing w:line="360" w:lineRule="auto"/>
        <w:rPr>
          <w:rFonts w:ascii="Book Antiqua" w:eastAsia="宋体" w:hAnsi="Book Antiqua"/>
          <w:szCs w:val="24"/>
          <w:lang w:eastAsia="zh-CN"/>
        </w:rPr>
      </w:pPr>
    </w:p>
    <w:p w:rsidR="006A1FFB" w:rsidRPr="00A258DF" w:rsidRDefault="006A1FFB" w:rsidP="00553348">
      <w:pPr>
        <w:adjustRightInd/>
        <w:spacing w:line="360" w:lineRule="auto"/>
        <w:ind w:rightChars="572" w:right="1258"/>
        <w:contextualSpacing/>
        <w:textAlignment w:val="auto"/>
        <w:rPr>
          <w:rFonts w:ascii="Book Antiqua" w:eastAsia="宋体" w:hAnsi="Book Antiqua"/>
          <w:szCs w:val="24"/>
          <w:lang w:eastAsia="zh-CN"/>
        </w:rPr>
      </w:pPr>
      <w:proofErr w:type="spellStart"/>
      <w:r w:rsidRPr="00D3653F">
        <w:rPr>
          <w:rFonts w:ascii="Book Antiqua" w:hAnsi="Book Antiqua"/>
          <w:b/>
          <w:szCs w:val="24"/>
        </w:rPr>
        <w:t>Hisao</w:t>
      </w:r>
      <w:proofErr w:type="spellEnd"/>
      <w:r w:rsidRPr="00D3653F">
        <w:rPr>
          <w:rFonts w:ascii="Book Antiqua" w:hAnsi="Book Antiqua"/>
          <w:b/>
          <w:szCs w:val="24"/>
        </w:rPr>
        <w:t xml:space="preserve"> </w:t>
      </w:r>
      <w:proofErr w:type="spellStart"/>
      <w:r w:rsidRPr="00D3653F">
        <w:rPr>
          <w:rFonts w:ascii="Book Antiqua" w:hAnsi="Book Antiqua"/>
          <w:b/>
          <w:szCs w:val="24"/>
        </w:rPr>
        <w:t>Tajiri</w:t>
      </w:r>
      <w:proofErr w:type="spellEnd"/>
      <w:r w:rsidRPr="00D3653F">
        <w:rPr>
          <w:rFonts w:ascii="Book Antiqua" w:eastAsia="宋体" w:hAnsi="Book Antiqua"/>
          <w:b/>
          <w:szCs w:val="24"/>
          <w:lang w:eastAsia="zh-CN"/>
        </w:rPr>
        <w:t>,</w:t>
      </w:r>
      <w:r w:rsidRPr="00D3653F">
        <w:rPr>
          <w:rFonts w:ascii="Book Antiqua" w:hAnsi="Book Antiqua"/>
          <w:b/>
          <w:szCs w:val="24"/>
        </w:rPr>
        <w:t xml:space="preserve"> </w:t>
      </w:r>
      <w:r w:rsidRPr="00D3653F">
        <w:rPr>
          <w:rFonts w:ascii="Book Antiqua" w:eastAsia="MS PGothic" w:hAnsi="Book Antiqua"/>
          <w:szCs w:val="24"/>
        </w:rPr>
        <w:t>D</w:t>
      </w:r>
      <w:r w:rsidRPr="00D3653F">
        <w:rPr>
          <w:rFonts w:ascii="Book Antiqua" w:hAnsi="Book Antiqua"/>
          <w:szCs w:val="24"/>
        </w:rPr>
        <w:t>epartment</w:t>
      </w:r>
      <w:r w:rsidRPr="00D3653F">
        <w:rPr>
          <w:rFonts w:ascii="Book Antiqua" w:eastAsia="MS PGothic" w:hAnsi="Book Antiqua"/>
          <w:szCs w:val="24"/>
        </w:rPr>
        <w:t xml:space="preserve"> of Gastroenterology and </w:t>
      </w:r>
      <w:proofErr w:type="spellStart"/>
      <w:r w:rsidRPr="00D3653F">
        <w:rPr>
          <w:rFonts w:ascii="Book Antiqua" w:eastAsia="MS PGothic" w:hAnsi="Book Antiqua"/>
          <w:szCs w:val="24"/>
        </w:rPr>
        <w:t>Hepatology</w:t>
      </w:r>
      <w:proofErr w:type="spellEnd"/>
      <w:r w:rsidRPr="00D3653F">
        <w:rPr>
          <w:rFonts w:ascii="Book Antiqua" w:eastAsia="MS PGothic" w:hAnsi="Book Antiqua"/>
          <w:szCs w:val="24"/>
        </w:rPr>
        <w:t xml:space="preserve">, </w:t>
      </w:r>
      <w:proofErr w:type="spellStart"/>
      <w:r w:rsidRPr="00D3653F">
        <w:rPr>
          <w:rFonts w:ascii="Book Antiqua" w:eastAsia="MS PGothic" w:hAnsi="Book Antiqua"/>
          <w:szCs w:val="24"/>
        </w:rPr>
        <w:t>Jikei</w:t>
      </w:r>
      <w:proofErr w:type="spellEnd"/>
      <w:r w:rsidRPr="00D3653F">
        <w:rPr>
          <w:rFonts w:ascii="Book Antiqua" w:eastAsia="MS PGothic" w:hAnsi="Book Antiqua"/>
          <w:szCs w:val="24"/>
        </w:rPr>
        <w:t xml:space="preserve"> University School of </w:t>
      </w:r>
      <w:r>
        <w:rPr>
          <w:rFonts w:ascii="Book Antiqua" w:eastAsia="MS PGothic" w:hAnsi="Book Antiqua"/>
          <w:szCs w:val="24"/>
        </w:rPr>
        <w:t>Medicine, Tokyo 105-8461, Japan</w:t>
      </w:r>
    </w:p>
    <w:p w:rsidR="006A1FFB" w:rsidRPr="00D3653F" w:rsidRDefault="006A1FFB" w:rsidP="00D3653F">
      <w:pPr>
        <w:spacing w:line="360" w:lineRule="auto"/>
        <w:rPr>
          <w:rFonts w:ascii="Book Antiqua" w:hAnsi="Book Antiqua"/>
          <w:szCs w:val="24"/>
        </w:rPr>
      </w:pPr>
    </w:p>
    <w:p w:rsidR="006A1FFB" w:rsidRPr="00D3653F" w:rsidRDefault="006A1FFB" w:rsidP="00D3653F">
      <w:pPr>
        <w:autoSpaceDE w:val="0"/>
        <w:autoSpaceDN w:val="0"/>
        <w:spacing w:line="360" w:lineRule="auto"/>
        <w:textAlignment w:val="auto"/>
        <w:rPr>
          <w:rFonts w:ascii="Book Antiqua" w:hAnsi="Book Antiqua"/>
          <w:spacing w:val="0"/>
          <w:szCs w:val="24"/>
        </w:rPr>
      </w:pPr>
      <w:r w:rsidRPr="00D3653F">
        <w:rPr>
          <w:rFonts w:ascii="Book Antiqua" w:hAnsi="Book Antiqua"/>
          <w:b/>
          <w:bCs/>
          <w:spacing w:val="0"/>
          <w:szCs w:val="24"/>
        </w:rPr>
        <w:t xml:space="preserve">Author contributions: </w:t>
      </w:r>
      <w:r w:rsidRPr="00D3653F">
        <w:rPr>
          <w:rFonts w:ascii="Book Antiqua" w:hAnsi="Book Antiqua"/>
          <w:spacing w:val="0"/>
          <w:szCs w:val="24"/>
        </w:rPr>
        <w:t xml:space="preserve">Kobayashi G and </w:t>
      </w:r>
      <w:proofErr w:type="spellStart"/>
      <w:r w:rsidRPr="00D3653F">
        <w:rPr>
          <w:rFonts w:ascii="Book Antiqua" w:hAnsi="Book Antiqua"/>
          <w:spacing w:val="0"/>
          <w:szCs w:val="24"/>
        </w:rPr>
        <w:t>Kaise</w:t>
      </w:r>
      <w:proofErr w:type="spellEnd"/>
      <w:r w:rsidRPr="00D3653F">
        <w:rPr>
          <w:rFonts w:ascii="Book Antiqua" w:hAnsi="Book Antiqua"/>
          <w:spacing w:val="0"/>
          <w:szCs w:val="24"/>
        </w:rPr>
        <w:t xml:space="preserve"> M contributed equally to this work; Kobayashi G, Arakawa H, </w:t>
      </w:r>
      <w:proofErr w:type="spellStart"/>
      <w:r w:rsidRPr="00D3653F">
        <w:rPr>
          <w:rFonts w:ascii="Book Antiqua" w:hAnsi="Book Antiqua"/>
          <w:spacing w:val="0"/>
          <w:szCs w:val="24"/>
        </w:rPr>
        <w:t>Kaise</w:t>
      </w:r>
      <w:proofErr w:type="spellEnd"/>
      <w:r w:rsidRPr="00D3653F">
        <w:rPr>
          <w:rFonts w:ascii="Book Antiqua" w:hAnsi="Book Antiqua"/>
          <w:spacing w:val="0"/>
          <w:szCs w:val="24"/>
        </w:rPr>
        <w:t xml:space="preserve"> M and </w:t>
      </w:r>
      <w:proofErr w:type="spellStart"/>
      <w:r w:rsidRPr="00D3653F">
        <w:rPr>
          <w:rFonts w:ascii="Book Antiqua" w:hAnsi="Book Antiqua"/>
          <w:spacing w:val="0"/>
          <w:szCs w:val="24"/>
        </w:rPr>
        <w:t>Tajiri</w:t>
      </w:r>
      <w:proofErr w:type="spellEnd"/>
      <w:r w:rsidRPr="00D3653F">
        <w:rPr>
          <w:rFonts w:ascii="Book Antiqua" w:hAnsi="Book Antiqua"/>
          <w:spacing w:val="0"/>
          <w:szCs w:val="24"/>
        </w:rPr>
        <w:t xml:space="preserve"> H designed the research; Kobayashi G, </w:t>
      </w:r>
      <w:proofErr w:type="spellStart"/>
      <w:r w:rsidRPr="00D3653F">
        <w:rPr>
          <w:rFonts w:ascii="Book Antiqua" w:hAnsi="Book Antiqua"/>
          <w:spacing w:val="0"/>
          <w:szCs w:val="24"/>
        </w:rPr>
        <w:t>Kaise</w:t>
      </w:r>
      <w:proofErr w:type="spellEnd"/>
      <w:r w:rsidRPr="00D3653F">
        <w:rPr>
          <w:rFonts w:ascii="Book Antiqua" w:hAnsi="Book Antiqua"/>
          <w:spacing w:val="0"/>
          <w:szCs w:val="24"/>
        </w:rPr>
        <w:t xml:space="preserve"> M performed the research; Kobayashi G, Arakawa H and </w:t>
      </w:r>
      <w:proofErr w:type="spellStart"/>
      <w:r w:rsidRPr="00D3653F">
        <w:rPr>
          <w:rFonts w:ascii="Book Antiqua" w:hAnsi="Book Antiqua"/>
          <w:spacing w:val="0"/>
          <w:szCs w:val="24"/>
        </w:rPr>
        <w:t>Kaise</w:t>
      </w:r>
      <w:proofErr w:type="spellEnd"/>
      <w:r w:rsidRPr="00D3653F">
        <w:rPr>
          <w:rFonts w:ascii="Book Antiqua" w:hAnsi="Book Antiqua"/>
          <w:spacing w:val="0"/>
          <w:szCs w:val="24"/>
        </w:rPr>
        <w:t xml:space="preserve"> M analyzed the data; Kobayashi G, </w:t>
      </w:r>
      <w:proofErr w:type="spellStart"/>
      <w:r w:rsidRPr="00D3653F">
        <w:rPr>
          <w:rFonts w:ascii="Book Antiqua" w:hAnsi="Book Antiqua"/>
          <w:spacing w:val="0"/>
          <w:szCs w:val="24"/>
        </w:rPr>
        <w:t>Kaise</w:t>
      </w:r>
      <w:proofErr w:type="spellEnd"/>
      <w:r w:rsidRPr="00D3653F">
        <w:rPr>
          <w:rFonts w:ascii="Book Antiqua" w:hAnsi="Book Antiqua"/>
          <w:spacing w:val="0"/>
          <w:szCs w:val="24"/>
        </w:rPr>
        <w:t xml:space="preserve"> M and </w:t>
      </w:r>
      <w:proofErr w:type="spellStart"/>
      <w:r w:rsidRPr="00D3653F">
        <w:rPr>
          <w:rFonts w:ascii="Book Antiqua" w:hAnsi="Book Antiqua"/>
          <w:spacing w:val="0"/>
          <w:szCs w:val="24"/>
        </w:rPr>
        <w:t>Tajiri</w:t>
      </w:r>
      <w:proofErr w:type="spellEnd"/>
      <w:r w:rsidRPr="00D3653F">
        <w:rPr>
          <w:rFonts w:ascii="Book Antiqua" w:hAnsi="Book Antiqua"/>
          <w:spacing w:val="0"/>
          <w:szCs w:val="24"/>
        </w:rPr>
        <w:t xml:space="preserve"> H wrote the paper.</w:t>
      </w:r>
    </w:p>
    <w:p w:rsidR="006A1FFB" w:rsidRPr="00D3653F" w:rsidRDefault="006A1FFB" w:rsidP="00D3653F">
      <w:pPr>
        <w:spacing w:line="360" w:lineRule="auto"/>
        <w:rPr>
          <w:rFonts w:ascii="Book Antiqua" w:hAnsi="Book Antiqua"/>
          <w:szCs w:val="24"/>
        </w:rPr>
      </w:pPr>
    </w:p>
    <w:p w:rsidR="006A1FFB" w:rsidRPr="00D3653F" w:rsidRDefault="006A1FFB" w:rsidP="00D3653F">
      <w:pPr>
        <w:spacing w:line="360" w:lineRule="auto"/>
        <w:rPr>
          <w:rFonts w:ascii="Book Antiqua" w:eastAsia="宋体" w:hAnsi="Book Antiqua"/>
          <w:szCs w:val="24"/>
          <w:lang w:eastAsia="zh-CN"/>
        </w:rPr>
      </w:pPr>
      <w:r w:rsidRPr="00D3653F">
        <w:rPr>
          <w:rFonts w:ascii="Book Antiqua" w:hAnsi="Book Antiqua"/>
          <w:b/>
          <w:szCs w:val="24"/>
        </w:rPr>
        <w:t xml:space="preserve">Correspondence to: Mitsuru </w:t>
      </w:r>
      <w:proofErr w:type="spellStart"/>
      <w:r w:rsidRPr="00D3653F">
        <w:rPr>
          <w:rFonts w:ascii="Book Antiqua" w:hAnsi="Book Antiqua"/>
          <w:b/>
          <w:szCs w:val="24"/>
        </w:rPr>
        <w:t>Kaise</w:t>
      </w:r>
      <w:proofErr w:type="spellEnd"/>
      <w:r w:rsidRPr="00D3653F">
        <w:rPr>
          <w:rFonts w:ascii="Book Antiqua" w:hAnsi="Book Antiqua"/>
          <w:b/>
          <w:szCs w:val="24"/>
        </w:rPr>
        <w:t xml:space="preserve">, </w:t>
      </w:r>
      <w:r w:rsidRPr="00D3653F">
        <w:rPr>
          <w:rFonts w:ascii="Book Antiqua" w:eastAsia="宋体" w:hAnsi="Book Antiqua"/>
          <w:b/>
          <w:szCs w:val="24"/>
          <w:lang w:eastAsia="zh-CN"/>
        </w:rPr>
        <w:t>MD,</w:t>
      </w:r>
      <w:r w:rsidRPr="00D3653F">
        <w:rPr>
          <w:rFonts w:ascii="Book Antiqua" w:eastAsia="宋体" w:hAnsi="Book Antiqua"/>
          <w:szCs w:val="24"/>
          <w:lang w:eastAsia="zh-CN"/>
        </w:rPr>
        <w:t xml:space="preserve"> </w:t>
      </w:r>
      <w:r w:rsidRPr="00D3653F">
        <w:rPr>
          <w:rFonts w:ascii="Book Antiqua" w:hAnsi="Book Antiqua"/>
          <w:szCs w:val="24"/>
        </w:rPr>
        <w:t xml:space="preserve">Department of Gastroenterology, </w:t>
      </w:r>
      <w:proofErr w:type="spellStart"/>
      <w:r w:rsidRPr="00D3653F">
        <w:rPr>
          <w:rFonts w:ascii="Book Antiqua" w:hAnsi="Book Antiqua"/>
          <w:szCs w:val="24"/>
        </w:rPr>
        <w:t>Toranomon</w:t>
      </w:r>
      <w:proofErr w:type="spellEnd"/>
      <w:r w:rsidRPr="00D3653F">
        <w:rPr>
          <w:rFonts w:ascii="Book Antiqua" w:hAnsi="Book Antiqua"/>
          <w:szCs w:val="24"/>
        </w:rPr>
        <w:t xml:space="preserve"> Hospital, </w:t>
      </w:r>
      <w:r w:rsidRPr="00D3653F">
        <w:rPr>
          <w:rFonts w:ascii="Book Antiqua" w:eastAsia="MS PGothic" w:hAnsi="Book Antiqua"/>
          <w:szCs w:val="24"/>
        </w:rPr>
        <w:t xml:space="preserve">2-2-2 </w:t>
      </w:r>
      <w:proofErr w:type="spellStart"/>
      <w:r w:rsidRPr="00D3653F">
        <w:rPr>
          <w:rFonts w:ascii="Book Antiqua" w:eastAsia="MS PGothic" w:hAnsi="Book Antiqua"/>
          <w:szCs w:val="24"/>
        </w:rPr>
        <w:t>Toranomon</w:t>
      </w:r>
      <w:proofErr w:type="spellEnd"/>
      <w:r w:rsidRPr="00D3653F">
        <w:rPr>
          <w:rFonts w:ascii="Book Antiqua" w:eastAsia="MS PGothic" w:hAnsi="Book Antiqua"/>
          <w:szCs w:val="24"/>
        </w:rPr>
        <w:t xml:space="preserve">, Minato- </w:t>
      </w:r>
      <w:proofErr w:type="spellStart"/>
      <w:r w:rsidRPr="00D3653F">
        <w:rPr>
          <w:rFonts w:ascii="Book Antiqua" w:eastAsia="MS PGothic" w:hAnsi="Book Antiqua"/>
          <w:szCs w:val="24"/>
        </w:rPr>
        <w:t>ku</w:t>
      </w:r>
      <w:proofErr w:type="spellEnd"/>
      <w:r w:rsidRPr="00D3653F">
        <w:rPr>
          <w:rFonts w:ascii="Book Antiqua" w:eastAsia="宋体" w:hAnsi="Book Antiqua"/>
          <w:szCs w:val="24"/>
          <w:lang w:eastAsia="zh-CN"/>
        </w:rPr>
        <w:t>,</w:t>
      </w:r>
      <w:r w:rsidRPr="00D3653F">
        <w:rPr>
          <w:rFonts w:ascii="Book Antiqua" w:eastAsia="MS PGothic" w:hAnsi="Book Antiqua"/>
          <w:szCs w:val="24"/>
        </w:rPr>
        <w:t xml:space="preserve"> Tokyo 105-8470, Japan.</w:t>
      </w:r>
      <w:r w:rsidRPr="00D3653F">
        <w:rPr>
          <w:rFonts w:ascii="Book Antiqua" w:hAnsi="Book Antiqua"/>
          <w:szCs w:val="24"/>
        </w:rPr>
        <w:t xml:space="preserve"> </w:t>
      </w:r>
      <w:hyperlink r:id="rId8" w:history="1">
        <w:r w:rsidRPr="00D3653F">
          <w:rPr>
            <w:rStyle w:val="a5"/>
            <w:rFonts w:ascii="Book Antiqua" w:hAnsi="Book Antiqua"/>
            <w:color w:val="auto"/>
            <w:szCs w:val="24"/>
            <w:u w:val="none"/>
          </w:rPr>
          <w:t>kaise@toranomon.gr.jp</w:t>
        </w:r>
      </w:hyperlink>
    </w:p>
    <w:p w:rsidR="006A1FFB" w:rsidRPr="00D3653F" w:rsidRDefault="006A1FFB" w:rsidP="00D3653F">
      <w:pPr>
        <w:spacing w:line="360" w:lineRule="auto"/>
        <w:rPr>
          <w:rFonts w:ascii="Book Antiqua" w:eastAsia="宋体" w:hAnsi="Book Antiqua"/>
          <w:szCs w:val="24"/>
          <w:lang w:eastAsia="zh-CN"/>
        </w:rPr>
      </w:pPr>
    </w:p>
    <w:p w:rsidR="006A1FFB" w:rsidRPr="00D3653F" w:rsidRDefault="006A1FFB" w:rsidP="00D3653F">
      <w:pPr>
        <w:spacing w:line="360" w:lineRule="auto"/>
        <w:rPr>
          <w:rFonts w:ascii="Book Antiqua" w:eastAsia="宋体" w:hAnsi="Book Antiqua"/>
          <w:szCs w:val="24"/>
          <w:lang w:eastAsia="zh-CN"/>
        </w:rPr>
      </w:pPr>
      <w:r w:rsidRPr="00D3653F">
        <w:rPr>
          <w:rFonts w:ascii="Book Antiqua" w:hAnsi="Book Antiqua"/>
          <w:b/>
          <w:szCs w:val="24"/>
        </w:rPr>
        <w:t>Telephone</w:t>
      </w:r>
      <w:r w:rsidRPr="00D3653F">
        <w:rPr>
          <w:rFonts w:ascii="Book Antiqua" w:eastAsia="MS PGothic" w:hAnsi="Book Antiqua"/>
          <w:b/>
          <w:szCs w:val="24"/>
        </w:rPr>
        <w:t>:</w:t>
      </w:r>
      <w:r w:rsidRPr="00D3653F">
        <w:rPr>
          <w:rFonts w:ascii="Book Antiqua" w:eastAsia="MS PGothic" w:hAnsi="Book Antiqua"/>
          <w:szCs w:val="24"/>
        </w:rPr>
        <w:t xml:space="preserve"> </w:t>
      </w:r>
      <w:r w:rsidRPr="00D3653F">
        <w:rPr>
          <w:rFonts w:ascii="Book Antiqua" w:hAnsi="Book Antiqua"/>
          <w:szCs w:val="24"/>
        </w:rPr>
        <w:t>+81-</w:t>
      </w:r>
      <w:r w:rsidRPr="00D3653F">
        <w:rPr>
          <w:rFonts w:ascii="Book Antiqua" w:eastAsia="MS PGothic" w:hAnsi="Book Antiqua"/>
          <w:szCs w:val="24"/>
        </w:rPr>
        <w:t>3-35881111</w:t>
      </w:r>
      <w:r w:rsidRPr="00D3653F">
        <w:rPr>
          <w:rFonts w:ascii="Book Antiqua" w:eastAsia="MS PGothic" w:hAnsi="Book Antiqua"/>
          <w:b/>
          <w:szCs w:val="24"/>
        </w:rPr>
        <w:t xml:space="preserve"> Fax:</w:t>
      </w:r>
      <w:r w:rsidRPr="00D3653F">
        <w:rPr>
          <w:rFonts w:ascii="Book Antiqua" w:eastAsia="MS PGothic" w:hAnsi="Book Antiqua"/>
          <w:szCs w:val="24"/>
        </w:rPr>
        <w:t xml:space="preserve"> </w:t>
      </w:r>
      <w:r w:rsidRPr="00D3653F">
        <w:rPr>
          <w:rFonts w:ascii="Book Antiqua" w:hAnsi="Book Antiqua"/>
          <w:szCs w:val="24"/>
        </w:rPr>
        <w:t>+81-</w:t>
      </w:r>
      <w:r w:rsidRPr="00D3653F">
        <w:rPr>
          <w:rFonts w:ascii="Book Antiqua" w:eastAsia="MS PGothic" w:hAnsi="Book Antiqua"/>
          <w:szCs w:val="24"/>
        </w:rPr>
        <w:t>3-35827068</w:t>
      </w:r>
    </w:p>
    <w:p w:rsidR="006A1FFB" w:rsidRPr="00D3653F" w:rsidRDefault="006A1FFB" w:rsidP="00D3653F">
      <w:pPr>
        <w:spacing w:line="360" w:lineRule="auto"/>
        <w:rPr>
          <w:rFonts w:ascii="Book Antiqua" w:eastAsia="宋体" w:hAnsi="Book Antiqua"/>
          <w:szCs w:val="24"/>
          <w:lang w:eastAsia="zh-CN"/>
        </w:rPr>
      </w:pPr>
    </w:p>
    <w:p w:rsidR="006A1FFB" w:rsidRPr="00D3653F" w:rsidRDefault="006A1FFB" w:rsidP="00D3653F">
      <w:pPr>
        <w:spacing w:line="360" w:lineRule="auto"/>
        <w:rPr>
          <w:rFonts w:ascii="Book Antiqua" w:eastAsia="宋体" w:hAnsi="Book Antiqua"/>
          <w:szCs w:val="24"/>
          <w:lang w:eastAsia="zh-CN"/>
        </w:rPr>
      </w:pPr>
      <w:r w:rsidRPr="00D3653F">
        <w:rPr>
          <w:rFonts w:ascii="Book Antiqua" w:hAnsi="Book Antiqua"/>
          <w:b/>
          <w:szCs w:val="24"/>
        </w:rPr>
        <w:t xml:space="preserve">Received: </w:t>
      </w:r>
      <w:r w:rsidRPr="00D3653F">
        <w:rPr>
          <w:rFonts w:ascii="Book Antiqua" w:eastAsia="宋体" w:hAnsi="Book Antiqua"/>
          <w:szCs w:val="24"/>
          <w:lang w:eastAsia="zh-CN"/>
        </w:rPr>
        <w:t>August 4, 2013</w:t>
      </w:r>
      <w:r w:rsidRPr="00D3653F">
        <w:rPr>
          <w:rFonts w:ascii="Book Antiqua" w:hAnsi="Book Antiqua"/>
          <w:b/>
          <w:szCs w:val="24"/>
        </w:rPr>
        <w:t xml:space="preserve"> Revised: </w:t>
      </w:r>
      <w:r>
        <w:rPr>
          <w:rFonts w:ascii="Book Antiqua" w:eastAsia="宋体" w:hAnsi="Book Antiqua"/>
          <w:szCs w:val="24"/>
          <w:lang w:eastAsia="zh-CN"/>
        </w:rPr>
        <w:t>Nove</w:t>
      </w:r>
      <w:r w:rsidRPr="00D3653F">
        <w:rPr>
          <w:rFonts w:ascii="Book Antiqua" w:eastAsia="宋体" w:hAnsi="Book Antiqua"/>
          <w:szCs w:val="24"/>
          <w:lang w:eastAsia="zh-CN"/>
        </w:rPr>
        <w:t>mber 6, 2013</w:t>
      </w:r>
    </w:p>
    <w:p w:rsidR="00337D6C" w:rsidRPr="00BB7947" w:rsidRDefault="006A1FFB" w:rsidP="00337D6C">
      <w:pPr>
        <w:rPr>
          <w:rFonts w:ascii="Book Antiqua" w:hAnsi="Book Antiqua"/>
          <w:szCs w:val="24"/>
        </w:rPr>
      </w:pPr>
      <w:r w:rsidRPr="00D3653F">
        <w:rPr>
          <w:rFonts w:ascii="Book Antiqua" w:hAnsi="Book Antiqua"/>
          <w:b/>
          <w:szCs w:val="24"/>
        </w:rPr>
        <w:t xml:space="preserve">Accepted: </w:t>
      </w:r>
      <w:r w:rsidR="00337D6C" w:rsidRPr="00BB7947">
        <w:rPr>
          <w:rFonts w:ascii="Book Antiqua" w:hAnsi="Book Antiqua"/>
          <w:szCs w:val="24"/>
        </w:rPr>
        <w:t>December 3, 2013</w:t>
      </w:r>
    </w:p>
    <w:p w:rsidR="006A1FFB" w:rsidRPr="00D3653F" w:rsidRDefault="006A1FFB" w:rsidP="00D3653F">
      <w:pPr>
        <w:spacing w:line="360" w:lineRule="auto"/>
        <w:rPr>
          <w:rFonts w:ascii="Book Antiqua" w:hAnsi="Book Antiqua"/>
          <w:b/>
          <w:szCs w:val="24"/>
        </w:rPr>
      </w:pPr>
      <w:bookmarkStart w:id="0" w:name="_GoBack"/>
      <w:bookmarkEnd w:id="0"/>
    </w:p>
    <w:p w:rsidR="006A1FFB" w:rsidRPr="00D3653F" w:rsidRDefault="006A1FFB" w:rsidP="00D3653F">
      <w:pPr>
        <w:spacing w:line="360" w:lineRule="auto"/>
        <w:rPr>
          <w:rFonts w:ascii="Book Antiqua" w:hAnsi="Book Antiqua"/>
          <w:b/>
          <w:szCs w:val="24"/>
        </w:rPr>
      </w:pPr>
      <w:r w:rsidRPr="00D3653F">
        <w:rPr>
          <w:rFonts w:ascii="Book Antiqua" w:hAnsi="Book Antiqua"/>
          <w:b/>
          <w:szCs w:val="24"/>
        </w:rPr>
        <w:t xml:space="preserve">Published online: </w:t>
      </w:r>
    </w:p>
    <w:p w:rsidR="006A1FFB" w:rsidRPr="00D3653F" w:rsidRDefault="006A1FFB" w:rsidP="00D3653F">
      <w:pPr>
        <w:spacing w:line="360" w:lineRule="auto"/>
        <w:rPr>
          <w:rFonts w:ascii="Book Antiqua" w:eastAsia="宋体" w:hAnsi="Book Antiqua"/>
          <w:szCs w:val="24"/>
          <w:lang w:eastAsia="zh-CN"/>
        </w:rPr>
      </w:pPr>
    </w:p>
    <w:p w:rsidR="006A1FFB" w:rsidRPr="00D3653F" w:rsidRDefault="006A1FFB" w:rsidP="00D3653F">
      <w:pPr>
        <w:adjustRightInd/>
        <w:spacing w:line="360" w:lineRule="auto"/>
        <w:ind w:rightChars="572" w:right="1258"/>
        <w:textAlignment w:val="auto"/>
        <w:rPr>
          <w:rFonts w:ascii="Book Antiqua" w:hAnsi="Book Antiqua"/>
          <w:b/>
          <w:spacing w:val="0"/>
          <w:szCs w:val="24"/>
        </w:rPr>
      </w:pPr>
      <w:r w:rsidRPr="00D3653F">
        <w:rPr>
          <w:rFonts w:ascii="Book Antiqua" w:hAnsi="Book Antiqua"/>
          <w:b/>
          <w:spacing w:val="0"/>
          <w:szCs w:val="24"/>
        </w:rPr>
        <w:t>Abstract</w:t>
      </w:r>
    </w:p>
    <w:p w:rsidR="006A1FFB" w:rsidRPr="00D3653F" w:rsidRDefault="006A1FFB" w:rsidP="00D3653F">
      <w:pPr>
        <w:spacing w:line="360" w:lineRule="auto"/>
        <w:rPr>
          <w:rFonts w:ascii="Book Antiqua" w:eastAsia="宋体" w:hAnsi="Book Antiqua"/>
          <w:spacing w:val="0"/>
          <w:szCs w:val="24"/>
          <w:lang w:eastAsia="zh-CN"/>
        </w:rPr>
      </w:pPr>
      <w:r w:rsidRPr="00D3653F">
        <w:rPr>
          <w:rFonts w:ascii="Book Antiqua" w:hAnsi="Book Antiqua"/>
          <w:b/>
          <w:bCs/>
          <w:spacing w:val="0"/>
          <w:szCs w:val="24"/>
        </w:rPr>
        <w:t>AIM</w:t>
      </w:r>
      <w:r w:rsidRPr="00D3653F">
        <w:rPr>
          <w:rFonts w:ascii="Book Antiqua" w:eastAsia="MS PGothic" w:hAnsi="Book Antiqua"/>
          <w:b/>
          <w:bCs/>
          <w:spacing w:val="0"/>
          <w:szCs w:val="24"/>
        </w:rPr>
        <w:t xml:space="preserve">: </w:t>
      </w:r>
      <w:r w:rsidRPr="00D3653F">
        <w:rPr>
          <w:rFonts w:ascii="Book Antiqua" w:hAnsi="Book Antiqua"/>
          <w:spacing w:val="0"/>
          <w:szCs w:val="24"/>
        </w:rPr>
        <w:t>To investigate dysfunctions in esophageal peristalsis and sensation in patients with Barrett’s esophagus following acid infusion using endoscopy-based testing.</w:t>
      </w:r>
    </w:p>
    <w:p w:rsidR="006A1FFB" w:rsidRPr="00D3653F" w:rsidRDefault="006A1FFB" w:rsidP="00D3653F">
      <w:pPr>
        <w:spacing w:line="360" w:lineRule="auto"/>
        <w:rPr>
          <w:rFonts w:ascii="Book Antiqua" w:eastAsia="宋体" w:hAnsi="Book Antiqua"/>
          <w:b/>
          <w:bCs/>
          <w:spacing w:val="0"/>
          <w:szCs w:val="24"/>
          <w:lang w:eastAsia="zh-CN"/>
        </w:rPr>
      </w:pPr>
    </w:p>
    <w:p w:rsidR="006A1FFB" w:rsidRPr="00D3653F" w:rsidRDefault="006A1FFB" w:rsidP="00D3653F">
      <w:pPr>
        <w:spacing w:line="360" w:lineRule="auto"/>
        <w:rPr>
          <w:rStyle w:val="apple-converted-space"/>
          <w:rFonts w:ascii="Book Antiqua" w:eastAsia="宋体" w:hAnsi="Book Antiqua"/>
          <w:spacing w:val="0"/>
          <w:szCs w:val="24"/>
          <w:lang w:eastAsia="zh-CN"/>
        </w:rPr>
      </w:pPr>
      <w:r w:rsidRPr="00D3653F">
        <w:rPr>
          <w:rFonts w:ascii="Book Antiqua" w:eastAsia="MS PGothic" w:hAnsi="Book Antiqua"/>
          <w:b/>
          <w:bCs/>
          <w:spacing w:val="0"/>
          <w:szCs w:val="24"/>
        </w:rPr>
        <w:t>METHODS:</w:t>
      </w:r>
      <w:r w:rsidRPr="00D3653F">
        <w:rPr>
          <w:rFonts w:ascii="Book Antiqua" w:eastAsia="宋体" w:hAnsi="Book Antiqua"/>
          <w:b/>
          <w:bCs/>
          <w:spacing w:val="0"/>
          <w:szCs w:val="24"/>
          <w:lang w:eastAsia="zh-CN"/>
        </w:rPr>
        <w:t xml:space="preserve"> </w:t>
      </w:r>
      <w:r w:rsidRPr="00D3653F">
        <w:rPr>
          <w:rFonts w:ascii="Book Antiqua" w:hAnsi="Book Antiqua"/>
          <w:spacing w:val="0"/>
          <w:szCs w:val="24"/>
        </w:rPr>
        <w:t xml:space="preserve">First, </w:t>
      </w:r>
      <w:r w:rsidRPr="00D3653F">
        <w:rPr>
          <w:rFonts w:ascii="Book Antiqua" w:hAnsi="Book Antiqua"/>
          <w:bCs/>
          <w:spacing w:val="0"/>
          <w:szCs w:val="24"/>
        </w:rPr>
        <w:t>p</w:t>
      </w:r>
      <w:r w:rsidRPr="00D3653F">
        <w:rPr>
          <w:rFonts w:ascii="Book Antiqua" w:hAnsi="Book Antiqua"/>
          <w:spacing w:val="0"/>
          <w:szCs w:val="24"/>
        </w:rPr>
        <w:t xml:space="preserve">hysiological saline was infused into the esophagus </w:t>
      </w:r>
      <w:r w:rsidRPr="00D3653F">
        <w:rPr>
          <w:rFonts w:ascii="Book Antiqua" w:eastAsia="MS PGothic" w:hAnsi="Book Antiqua"/>
          <w:bCs/>
          <w:spacing w:val="0"/>
          <w:szCs w:val="24"/>
        </w:rPr>
        <w:t>of five healthy subjects</w:t>
      </w:r>
      <w:r w:rsidRPr="00D3653F">
        <w:rPr>
          <w:rFonts w:ascii="Book Antiqua" w:hAnsi="Book Antiqua"/>
          <w:bCs/>
          <w:spacing w:val="0"/>
          <w:szCs w:val="24"/>
        </w:rPr>
        <w:t xml:space="preserve">, </w:t>
      </w:r>
      <w:r w:rsidRPr="00D3653F">
        <w:rPr>
          <w:rFonts w:ascii="Book Antiqua" w:hAnsi="Book Antiqua"/>
          <w:spacing w:val="0"/>
          <w:szCs w:val="24"/>
        </w:rPr>
        <w:t>at a rate of 10 mL/min for 10 min</w:t>
      </w:r>
      <w:r w:rsidRPr="00D3653F">
        <w:rPr>
          <w:rFonts w:ascii="Book Antiqua" w:hAnsi="Book Antiqua"/>
          <w:bCs/>
          <w:spacing w:val="0"/>
          <w:szCs w:val="24"/>
        </w:rPr>
        <w:t xml:space="preserve">, </w:t>
      </w:r>
      <w:r w:rsidRPr="00D3653F">
        <w:rPr>
          <w:rFonts w:ascii="Book Antiqua" w:hAnsi="Book Antiqua"/>
          <w:spacing w:val="0"/>
          <w:szCs w:val="24"/>
        </w:rPr>
        <w:t xml:space="preserve">followed by infusion of </w:t>
      </w:r>
      <w:proofErr w:type="spellStart"/>
      <w:r w:rsidRPr="00D3653F">
        <w:rPr>
          <w:rFonts w:ascii="Book Antiqua" w:hAnsi="Book Antiqua"/>
          <w:spacing w:val="0"/>
          <w:szCs w:val="24"/>
        </w:rPr>
        <w:t>HCl</w:t>
      </w:r>
      <w:proofErr w:type="spellEnd"/>
      <w:r w:rsidRPr="00D3653F">
        <w:rPr>
          <w:rFonts w:ascii="Book Antiqua" w:hAnsi="Book Antiqua"/>
          <w:spacing w:val="0"/>
          <w:szCs w:val="24"/>
        </w:rPr>
        <w:t>. Esophageal contractions were analyzed to determine whether the contractions observed by endoscopy and ultrasonography</w:t>
      </w:r>
      <w:r w:rsidRPr="00D3653F">
        <w:rPr>
          <w:rFonts w:ascii="Book Antiqua" w:eastAsia="MS PGothic" w:hAnsi="Book Antiqua"/>
          <w:bCs/>
          <w:spacing w:val="0"/>
          <w:szCs w:val="24"/>
        </w:rPr>
        <w:t xml:space="preserve"> </w:t>
      </w:r>
      <w:r w:rsidRPr="00D3653F">
        <w:rPr>
          <w:rFonts w:ascii="Book Antiqua" w:hAnsi="Book Antiqua"/>
          <w:spacing w:val="0"/>
          <w:szCs w:val="24"/>
        </w:rPr>
        <w:t xml:space="preserve">corresponded to the esophageal peristaltic waves diagnosed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Next, using nasal endoscopy, </w:t>
      </w:r>
      <w:r w:rsidRPr="00D3653F">
        <w:rPr>
          <w:rStyle w:val="apple-converted-space"/>
          <w:rFonts w:ascii="Book Antiqua" w:hAnsi="Book Antiqua"/>
          <w:spacing w:val="0"/>
          <w:szCs w:val="24"/>
        </w:rPr>
        <w:t xml:space="preserve">esophageal sensations and contractions were investigated in patients with, as well as controls without, Barrett’s esophagus using the same infusion protocol. </w:t>
      </w:r>
    </w:p>
    <w:p w:rsidR="006A1FFB" w:rsidRPr="00D3653F" w:rsidRDefault="006A1FFB" w:rsidP="00D3653F">
      <w:pPr>
        <w:spacing w:line="360" w:lineRule="auto"/>
        <w:rPr>
          <w:rStyle w:val="apple-converted-space"/>
          <w:rFonts w:ascii="Book Antiqua" w:eastAsia="宋体" w:hAnsi="Book Antiqua"/>
          <w:b/>
          <w:bCs/>
          <w:spacing w:val="0"/>
          <w:szCs w:val="24"/>
          <w:lang w:eastAsia="zh-CN"/>
        </w:rPr>
      </w:pPr>
    </w:p>
    <w:p w:rsidR="006A1FFB" w:rsidRPr="00D3653F" w:rsidRDefault="006A1FFB" w:rsidP="00D3653F">
      <w:pPr>
        <w:spacing w:line="360" w:lineRule="auto"/>
        <w:rPr>
          <w:rFonts w:ascii="Book Antiqua" w:eastAsia="宋体" w:hAnsi="Book Antiqua"/>
          <w:spacing w:val="0"/>
          <w:szCs w:val="24"/>
          <w:lang w:eastAsia="zh-CN"/>
        </w:rPr>
      </w:pPr>
      <w:r w:rsidRPr="00D3653F">
        <w:rPr>
          <w:rFonts w:ascii="Book Antiqua" w:hAnsi="Book Antiqua"/>
          <w:b/>
          <w:spacing w:val="0"/>
          <w:szCs w:val="24"/>
        </w:rPr>
        <w:t>RESULTS:</w:t>
      </w:r>
      <w:r w:rsidRPr="00D3653F">
        <w:rPr>
          <w:rFonts w:ascii="Book Antiqua" w:eastAsia="宋体" w:hAnsi="Book Antiqua"/>
          <w:b/>
          <w:spacing w:val="0"/>
          <w:szCs w:val="24"/>
          <w:lang w:eastAsia="zh-CN"/>
        </w:rPr>
        <w:t xml:space="preserve"> </w:t>
      </w:r>
      <w:r w:rsidRPr="00D3653F">
        <w:rPr>
          <w:rFonts w:ascii="Book Antiqua" w:hAnsi="Book Antiqua"/>
          <w:spacing w:val="0"/>
          <w:szCs w:val="24"/>
        </w:rPr>
        <w:t xml:space="preserve">All except one of the propulsive contractions identified </w:t>
      </w:r>
      <w:proofErr w:type="spellStart"/>
      <w:r w:rsidRPr="00D3653F">
        <w:rPr>
          <w:rFonts w:ascii="Book Antiqua" w:hAnsi="Book Antiqua"/>
          <w:spacing w:val="0"/>
          <w:szCs w:val="24"/>
        </w:rPr>
        <w:t>endoscopically</w:t>
      </w:r>
      <w:proofErr w:type="spellEnd"/>
      <w:r w:rsidRPr="00D3653F">
        <w:rPr>
          <w:rFonts w:ascii="Book Antiqua" w:hAnsi="Book Antiqua"/>
          <w:spacing w:val="0"/>
          <w:szCs w:val="24"/>
        </w:rPr>
        <w:t xml:space="preserve"> were recorded as secondary peristaltic waves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Patients with long segment Barrett’s esophagus (LSBE) tended to have a shorter lag time than the </w:t>
      </w:r>
      <w:r w:rsidRPr="00D3653F">
        <w:rPr>
          <w:rFonts w:ascii="Book Antiqua" w:hAnsi="Book Antiqua"/>
          <w:spacing w:val="0"/>
          <w:szCs w:val="24"/>
        </w:rPr>
        <w:lastRenderedPageBreak/>
        <w:t xml:space="preserve">control group, although the difference did not reach statistical significance (88 ± 54 s </w:t>
      </w:r>
      <w:proofErr w:type="spellStart"/>
      <w:r w:rsidRPr="00D3653F">
        <w:rPr>
          <w:rFonts w:ascii="Book Antiqua" w:hAnsi="Book Antiqua"/>
          <w:i/>
          <w:spacing w:val="0"/>
          <w:szCs w:val="24"/>
        </w:rPr>
        <w:t>vs</w:t>
      </w:r>
      <w:proofErr w:type="spellEnd"/>
      <w:r w:rsidRPr="00D3653F">
        <w:rPr>
          <w:rFonts w:ascii="Book Antiqua" w:hAnsi="Book Antiqua"/>
          <w:i/>
          <w:spacing w:val="0"/>
          <w:szCs w:val="24"/>
        </w:rPr>
        <w:t xml:space="preserve"> </w:t>
      </w:r>
      <w:r w:rsidRPr="00D3653F">
        <w:rPr>
          <w:rFonts w:ascii="Book Antiqua" w:hAnsi="Book Antiqua"/>
          <w:spacing w:val="0"/>
          <w:szCs w:val="24"/>
        </w:rPr>
        <w:t>162 ± 150 s respectively</w:t>
      </w:r>
      <w:r w:rsidRPr="00D3653F">
        <w:rPr>
          <w:rFonts w:ascii="Book Antiqua" w:eastAsia="宋体" w:hAnsi="Book Antiqua"/>
          <w:spacing w:val="0"/>
          <w:szCs w:val="24"/>
          <w:lang w:eastAsia="zh-CN"/>
        </w:rPr>
        <w:t>,</w:t>
      </w:r>
      <w:r w:rsidRPr="00D3653F">
        <w:rPr>
          <w:rFonts w:ascii="Book Antiqua" w:hAnsi="Book Antiqua"/>
          <w:spacing w:val="0"/>
          <w:szCs w:val="24"/>
        </w:rPr>
        <w:t xml:space="preserve"> </w:t>
      </w:r>
      <w:r w:rsidRPr="00D3653F">
        <w:rPr>
          <w:rFonts w:ascii="Book Antiqua" w:hAnsi="Book Antiqua"/>
          <w:i/>
          <w:spacing w:val="0"/>
          <w:szCs w:val="24"/>
        </w:rPr>
        <w:t xml:space="preserve">P </w:t>
      </w:r>
      <w:r w:rsidRPr="00D3653F">
        <w:rPr>
          <w:rFonts w:ascii="Book Antiqua" w:hAnsi="Book Antiqua"/>
          <w:spacing w:val="0"/>
          <w:szCs w:val="24"/>
        </w:rPr>
        <w:t xml:space="preserve">= 0.14). Furthermore, patients with LSBE had significantly fewer secondary contractions following the infusion of both saline and </w:t>
      </w:r>
      <w:proofErr w:type="spellStart"/>
      <w:r w:rsidRPr="00D3653F">
        <w:rPr>
          <w:rFonts w:ascii="Book Antiqua" w:hAnsi="Book Antiqua"/>
          <w:spacing w:val="0"/>
          <w:szCs w:val="24"/>
        </w:rPr>
        <w:t>HCl</w:t>
      </w:r>
      <w:proofErr w:type="spellEnd"/>
      <w:r w:rsidRPr="00D3653F">
        <w:rPr>
          <w:rFonts w:ascii="Book Antiqua" w:hAnsi="Book Antiqua"/>
          <w:spacing w:val="0"/>
          <w:szCs w:val="24"/>
        </w:rPr>
        <w:t xml:space="preserve"> than did either the control group or patients with short segment Barrett’s esophagus (4.1 ± 1.2 </w:t>
      </w:r>
      <w:proofErr w:type="spellStart"/>
      <w:r w:rsidRPr="00D3653F">
        <w:rPr>
          <w:rFonts w:ascii="Book Antiqua" w:hAnsi="Book Antiqua"/>
          <w:i/>
          <w:spacing w:val="0"/>
          <w:szCs w:val="24"/>
        </w:rPr>
        <w:t>vs</w:t>
      </w:r>
      <w:proofErr w:type="spellEnd"/>
      <w:r w:rsidRPr="00D3653F">
        <w:rPr>
          <w:rFonts w:ascii="Book Antiqua" w:hAnsi="Book Antiqua"/>
          <w:i/>
          <w:spacing w:val="0"/>
          <w:szCs w:val="24"/>
        </w:rPr>
        <w:t xml:space="preserve"> </w:t>
      </w:r>
      <w:r w:rsidRPr="00D3653F">
        <w:rPr>
          <w:rFonts w:ascii="Book Antiqua" w:hAnsi="Book Antiqua"/>
          <w:spacing w:val="0"/>
          <w:szCs w:val="24"/>
        </w:rPr>
        <w:t>8.0 ± 2.8</w:t>
      </w:r>
      <w:r w:rsidRPr="00D3653F">
        <w:rPr>
          <w:rFonts w:ascii="Book Antiqua" w:eastAsia="宋体" w:hAnsi="Book Antiqua"/>
          <w:spacing w:val="0"/>
          <w:szCs w:val="24"/>
          <w:lang w:eastAsia="zh-CN"/>
        </w:rPr>
        <w:t xml:space="preserve">, </w:t>
      </w:r>
      <w:r w:rsidRPr="00D3653F">
        <w:rPr>
          <w:rFonts w:ascii="Book Antiqua" w:hAnsi="Book Antiqua"/>
          <w:i/>
          <w:iCs/>
          <w:spacing w:val="0"/>
          <w:szCs w:val="24"/>
        </w:rPr>
        <w:t>P</w:t>
      </w:r>
      <w:r w:rsidRPr="00D3653F">
        <w:rPr>
          <w:rFonts w:ascii="Book Antiqua" w:hAnsi="Book Antiqua"/>
          <w:spacing w:val="0"/>
          <w:szCs w:val="24"/>
        </w:rPr>
        <w:t xml:space="preserve"> &lt; 0.001 and 7.3 ± 3.2</w:t>
      </w:r>
      <w:r w:rsidRPr="00D3653F">
        <w:rPr>
          <w:rFonts w:ascii="Book Antiqua" w:eastAsia="宋体" w:hAnsi="Book Antiqua"/>
          <w:spacing w:val="0"/>
          <w:szCs w:val="24"/>
          <w:lang w:eastAsia="zh-CN"/>
        </w:rPr>
        <w:t xml:space="preserve">, </w:t>
      </w:r>
      <w:r w:rsidRPr="00D3653F">
        <w:rPr>
          <w:rFonts w:ascii="Book Antiqua" w:hAnsi="Book Antiqua"/>
          <w:i/>
          <w:iCs/>
          <w:spacing w:val="0"/>
          <w:szCs w:val="24"/>
        </w:rPr>
        <w:t>P</w:t>
      </w:r>
      <w:r w:rsidRPr="00D3653F">
        <w:rPr>
          <w:rFonts w:ascii="Book Antiqua" w:hAnsi="Book Antiqua"/>
          <w:spacing w:val="0"/>
          <w:szCs w:val="24"/>
        </w:rPr>
        <w:t xml:space="preserve"> &lt; 0.01, respectively</w:t>
      </w:r>
      <w:r w:rsidRPr="00D3653F">
        <w:rPr>
          <w:rFonts w:ascii="Book Antiqua" w:eastAsia="宋体" w:hAnsi="Book Antiqua"/>
          <w:spacing w:val="0"/>
          <w:szCs w:val="24"/>
          <w:lang w:eastAsia="zh-CN"/>
        </w:rPr>
        <w:t xml:space="preserve">, </w:t>
      </w:r>
      <w:r w:rsidRPr="00D3653F">
        <w:rPr>
          <w:rFonts w:ascii="Book Antiqua" w:hAnsi="Book Antiqua"/>
          <w:spacing w:val="0"/>
          <w:szCs w:val="24"/>
        </w:rPr>
        <w:t xml:space="preserve">following saline infusion; 5.3 ± 1.2 </w:t>
      </w:r>
      <w:proofErr w:type="spellStart"/>
      <w:r w:rsidRPr="00D3653F">
        <w:rPr>
          <w:rFonts w:ascii="Book Antiqua" w:hAnsi="Book Antiqua"/>
          <w:i/>
          <w:spacing w:val="0"/>
          <w:szCs w:val="24"/>
        </w:rPr>
        <w:t>vs</w:t>
      </w:r>
      <w:proofErr w:type="spellEnd"/>
      <w:r w:rsidRPr="00D3653F">
        <w:rPr>
          <w:rFonts w:ascii="Book Antiqua" w:hAnsi="Book Antiqua"/>
          <w:i/>
          <w:spacing w:val="0"/>
          <w:szCs w:val="24"/>
        </w:rPr>
        <w:t xml:space="preserve"> </w:t>
      </w:r>
      <w:r w:rsidRPr="00D3653F">
        <w:rPr>
          <w:rFonts w:ascii="Book Antiqua" w:hAnsi="Book Antiqua"/>
          <w:spacing w:val="0"/>
          <w:szCs w:val="24"/>
        </w:rPr>
        <w:t xml:space="preserve">8.4 ± 2.4 and 8.1 ± 2.9 respectively, </w:t>
      </w:r>
      <w:r w:rsidRPr="00D3653F">
        <w:rPr>
          <w:rFonts w:ascii="Book Antiqua" w:hAnsi="Book Antiqua"/>
          <w:i/>
          <w:iCs/>
          <w:spacing w:val="0"/>
          <w:szCs w:val="24"/>
        </w:rPr>
        <w:t>P</w:t>
      </w:r>
      <w:r w:rsidRPr="00D3653F">
        <w:rPr>
          <w:rFonts w:ascii="Book Antiqua" w:hAnsi="Book Antiqua"/>
          <w:spacing w:val="0"/>
          <w:szCs w:val="24"/>
        </w:rPr>
        <w:t xml:space="preserve"> &lt; 0.01 for both, following infusion of </w:t>
      </w:r>
      <w:proofErr w:type="spellStart"/>
      <w:r w:rsidRPr="00D3653F">
        <w:rPr>
          <w:rFonts w:ascii="Book Antiqua" w:hAnsi="Book Antiqua"/>
          <w:spacing w:val="0"/>
          <w:szCs w:val="24"/>
        </w:rPr>
        <w:t>HCl</w:t>
      </w:r>
      <w:proofErr w:type="spellEnd"/>
      <w:r w:rsidRPr="00D3653F">
        <w:rPr>
          <w:rFonts w:ascii="Book Antiqua" w:hAnsi="Book Antiqua"/>
          <w:spacing w:val="0"/>
          <w:szCs w:val="24"/>
        </w:rPr>
        <w:t xml:space="preserve">). </w:t>
      </w:r>
    </w:p>
    <w:p w:rsidR="006A1FFB" w:rsidRPr="00D3653F" w:rsidRDefault="006A1FFB" w:rsidP="00D3653F">
      <w:pPr>
        <w:spacing w:line="360" w:lineRule="auto"/>
        <w:rPr>
          <w:rStyle w:val="apple-converted-space"/>
          <w:rFonts w:ascii="Book Antiqua" w:eastAsia="宋体" w:hAnsi="Book Antiqua"/>
          <w:b/>
          <w:spacing w:val="0"/>
          <w:szCs w:val="24"/>
          <w:lang w:eastAsia="zh-CN"/>
        </w:rPr>
      </w:pPr>
    </w:p>
    <w:p w:rsidR="006A1FFB" w:rsidRPr="00D3653F" w:rsidRDefault="006A1FFB" w:rsidP="00D3653F">
      <w:pPr>
        <w:spacing w:line="360" w:lineRule="auto"/>
        <w:rPr>
          <w:rFonts w:ascii="Book Antiqua" w:eastAsia="宋体" w:hAnsi="Book Antiqua"/>
          <w:spacing w:val="0"/>
          <w:szCs w:val="24"/>
          <w:lang w:eastAsia="zh-CN"/>
        </w:rPr>
      </w:pPr>
      <w:r w:rsidRPr="00D3653F">
        <w:rPr>
          <w:rFonts w:ascii="Book Antiqua" w:eastAsia="MS PGothic" w:hAnsi="Book Antiqua"/>
          <w:b/>
          <w:bCs/>
          <w:spacing w:val="0"/>
          <w:szCs w:val="24"/>
        </w:rPr>
        <w:t>CONCLUSION:</w:t>
      </w:r>
      <w:r w:rsidRPr="00D3653F">
        <w:rPr>
          <w:rFonts w:ascii="Book Antiqua" w:hAnsi="Book Antiqua"/>
          <w:spacing w:val="0"/>
          <w:szCs w:val="24"/>
        </w:rPr>
        <w:t xml:space="preserve"> </w:t>
      </w:r>
      <w:r w:rsidRPr="00D3653F">
        <w:rPr>
          <w:rFonts w:ascii="Book Antiqua" w:eastAsia="MS PGothic" w:hAnsi="Book Antiqua"/>
          <w:spacing w:val="0"/>
          <w:szCs w:val="24"/>
        </w:rPr>
        <w:t>Using nasal endoscopy and a simple acid-perfusion study, we were able to demonstrate disorders in secondary peristalsis in patients with LSBE.</w:t>
      </w:r>
    </w:p>
    <w:p w:rsidR="006A1FFB" w:rsidRPr="00D3653F" w:rsidRDefault="006A1FFB" w:rsidP="00D3653F">
      <w:pPr>
        <w:spacing w:line="360" w:lineRule="auto"/>
        <w:rPr>
          <w:rFonts w:ascii="Book Antiqua" w:eastAsia="宋体" w:hAnsi="Book Antiqua"/>
          <w:spacing w:val="0"/>
          <w:szCs w:val="24"/>
          <w:lang w:eastAsia="zh-CN"/>
        </w:rPr>
      </w:pPr>
    </w:p>
    <w:p w:rsidR="006A1FFB" w:rsidRPr="00D3653F" w:rsidRDefault="006A1FFB" w:rsidP="00D3653F">
      <w:pPr>
        <w:spacing w:line="360" w:lineRule="auto"/>
        <w:rPr>
          <w:rFonts w:ascii="Book Antiqua" w:hAnsi="Book Antiqua"/>
          <w:szCs w:val="24"/>
        </w:rPr>
      </w:pPr>
      <w:bookmarkStart w:id="1" w:name="OLE_LINK1"/>
      <w:bookmarkStart w:id="2" w:name="OLE_LINK23"/>
      <w:r w:rsidRPr="00D3653F">
        <w:rPr>
          <w:rFonts w:ascii="Book Antiqua" w:hAnsi="Book Antiqua"/>
          <w:szCs w:val="24"/>
        </w:rPr>
        <w:sym w:font="Symbol" w:char="F0D3"/>
      </w:r>
      <w:proofErr w:type="gramStart"/>
      <w:r w:rsidRPr="00D3653F">
        <w:rPr>
          <w:rFonts w:ascii="Book Antiqua" w:hAnsi="Book Antiqua"/>
          <w:szCs w:val="24"/>
        </w:rPr>
        <w:t xml:space="preserve">2013 </w:t>
      </w:r>
      <w:proofErr w:type="spellStart"/>
      <w:r w:rsidRPr="00D3653F">
        <w:rPr>
          <w:rFonts w:ascii="Book Antiqua" w:hAnsi="Book Antiqua"/>
          <w:szCs w:val="24"/>
        </w:rPr>
        <w:t>Baishideng</w:t>
      </w:r>
      <w:proofErr w:type="spellEnd"/>
      <w:r w:rsidRPr="00D3653F">
        <w:rPr>
          <w:rFonts w:ascii="Book Antiqua" w:hAnsi="Book Antiqua"/>
          <w:szCs w:val="24"/>
        </w:rPr>
        <w:t xml:space="preserve"> Publishing Group Co., Limited.</w:t>
      </w:r>
      <w:proofErr w:type="gramEnd"/>
      <w:r w:rsidRPr="00D3653F">
        <w:rPr>
          <w:rFonts w:ascii="Book Antiqua" w:hAnsi="Book Antiqua"/>
          <w:szCs w:val="24"/>
        </w:rPr>
        <w:t xml:space="preserve"> All rights reserved.</w:t>
      </w:r>
    </w:p>
    <w:p w:rsidR="006A1FFB" w:rsidRPr="00D3653F" w:rsidRDefault="006A1FFB" w:rsidP="00D3653F">
      <w:pPr>
        <w:spacing w:line="360" w:lineRule="auto"/>
        <w:rPr>
          <w:rFonts w:ascii="Book Antiqua" w:hAnsi="Book Antiqua"/>
          <w:iCs/>
          <w:szCs w:val="24"/>
        </w:rPr>
      </w:pPr>
    </w:p>
    <w:bookmarkEnd w:id="1"/>
    <w:bookmarkEnd w:id="2"/>
    <w:p w:rsidR="006A1FFB" w:rsidRPr="00D3653F" w:rsidRDefault="006A1FFB" w:rsidP="00D3653F">
      <w:pPr>
        <w:spacing w:line="360" w:lineRule="auto"/>
        <w:rPr>
          <w:rFonts w:ascii="Book Antiqua" w:hAnsi="Book Antiqua"/>
          <w:spacing w:val="0"/>
          <w:szCs w:val="24"/>
        </w:rPr>
      </w:pPr>
      <w:r w:rsidRPr="00D3653F">
        <w:rPr>
          <w:rFonts w:ascii="Book Antiqua" w:eastAsia="MS PGothic" w:hAnsi="Book Antiqua"/>
          <w:b/>
          <w:bCs/>
          <w:spacing w:val="0"/>
          <w:szCs w:val="24"/>
        </w:rPr>
        <w:t>Keywords:</w:t>
      </w:r>
      <w:r w:rsidRPr="00D3653F">
        <w:rPr>
          <w:rFonts w:ascii="Book Antiqua" w:hAnsi="Book Antiqua"/>
          <w:b/>
          <w:bCs/>
          <w:spacing w:val="0"/>
          <w:szCs w:val="24"/>
        </w:rPr>
        <w:t xml:space="preserve"> </w:t>
      </w:r>
      <w:r w:rsidRPr="00D3653F">
        <w:rPr>
          <w:rFonts w:ascii="Book Antiqua" w:hAnsi="Book Antiqua"/>
          <w:spacing w:val="0"/>
          <w:szCs w:val="24"/>
        </w:rPr>
        <w:t xml:space="preserve">Barrett’s esophagus; </w:t>
      </w:r>
      <w:proofErr w:type="spellStart"/>
      <w:r w:rsidRPr="00D3653F">
        <w:rPr>
          <w:rFonts w:ascii="Book Antiqua" w:hAnsi="Book Antiqua"/>
          <w:spacing w:val="0"/>
          <w:szCs w:val="24"/>
        </w:rPr>
        <w:t>Transnasal</w:t>
      </w:r>
      <w:proofErr w:type="spellEnd"/>
      <w:r w:rsidRPr="00D3653F">
        <w:rPr>
          <w:rFonts w:ascii="Book Antiqua" w:hAnsi="Book Antiqua"/>
          <w:spacing w:val="0"/>
          <w:szCs w:val="24"/>
        </w:rPr>
        <w:t xml:space="preserve"> endoscopy</w:t>
      </w:r>
      <w:r w:rsidRPr="008D2B01">
        <w:rPr>
          <w:rFonts w:ascii="Book Antiqua" w:hAnsi="Book Antiqua"/>
          <w:bCs/>
          <w:spacing w:val="0"/>
          <w:szCs w:val="24"/>
        </w:rPr>
        <w:t xml:space="preserve">; </w:t>
      </w:r>
      <w:r w:rsidRPr="00D3653F">
        <w:rPr>
          <w:rFonts w:ascii="Book Antiqua" w:hAnsi="Book Antiqua"/>
          <w:spacing w:val="0"/>
          <w:szCs w:val="24"/>
        </w:rPr>
        <w:t>Acid infusion test</w:t>
      </w:r>
      <w:r w:rsidRPr="00D3653F">
        <w:rPr>
          <w:rFonts w:ascii="Book Antiqua" w:hAnsi="Book Antiqua"/>
          <w:bCs/>
          <w:spacing w:val="0"/>
          <w:szCs w:val="24"/>
        </w:rPr>
        <w:t xml:space="preserve">; </w:t>
      </w:r>
      <w:proofErr w:type="gramStart"/>
      <w:r w:rsidRPr="00D3653F">
        <w:rPr>
          <w:rFonts w:ascii="Book Antiqua" w:hAnsi="Book Antiqua"/>
          <w:bCs/>
          <w:spacing w:val="0"/>
          <w:szCs w:val="24"/>
        </w:rPr>
        <w:t>E</w:t>
      </w:r>
      <w:r w:rsidRPr="00D3653F">
        <w:rPr>
          <w:rFonts w:ascii="Book Antiqua" w:hAnsi="Book Antiqua"/>
          <w:spacing w:val="0"/>
          <w:szCs w:val="24"/>
        </w:rPr>
        <w:t>sophageal</w:t>
      </w:r>
      <w:proofErr w:type="gramEnd"/>
      <w:r w:rsidRPr="00D3653F">
        <w:rPr>
          <w:rFonts w:ascii="Book Antiqua" w:hAnsi="Book Antiqua"/>
          <w:spacing w:val="0"/>
          <w:szCs w:val="24"/>
        </w:rPr>
        <w:t xml:space="preserve"> sensation; </w:t>
      </w:r>
      <w:r w:rsidRPr="00D3653F">
        <w:rPr>
          <w:rFonts w:ascii="Book Antiqua" w:hAnsi="Book Antiqua"/>
          <w:bCs/>
          <w:spacing w:val="0"/>
          <w:szCs w:val="24"/>
        </w:rPr>
        <w:t>S</w:t>
      </w:r>
      <w:r w:rsidRPr="00D3653F">
        <w:rPr>
          <w:rFonts w:ascii="Book Antiqua" w:eastAsia="MS PGothic" w:hAnsi="Book Antiqua"/>
          <w:bCs/>
          <w:spacing w:val="0"/>
          <w:szCs w:val="24"/>
        </w:rPr>
        <w:t>econdary peristalsis</w:t>
      </w:r>
      <w:r w:rsidRPr="00D3653F">
        <w:rPr>
          <w:rFonts w:ascii="Book Antiqua" w:hAnsi="Book Antiqua"/>
          <w:spacing w:val="0"/>
          <w:szCs w:val="24"/>
        </w:rPr>
        <w:t xml:space="preserve"> </w:t>
      </w: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eastAsia="宋体" w:hAnsi="Book Antiqua"/>
          <w:spacing w:val="0"/>
          <w:szCs w:val="24"/>
          <w:lang w:eastAsia="zh-CN"/>
        </w:rPr>
      </w:pPr>
      <w:r w:rsidRPr="00D3653F">
        <w:rPr>
          <w:rFonts w:ascii="Book Antiqua" w:hAnsi="Book Antiqua"/>
          <w:b/>
          <w:spacing w:val="0"/>
          <w:szCs w:val="24"/>
        </w:rPr>
        <w:t>Core tip:</w:t>
      </w:r>
      <w:r w:rsidRPr="00D3653F">
        <w:rPr>
          <w:rFonts w:ascii="Book Antiqua" w:eastAsia="宋体" w:hAnsi="Book Antiqua"/>
          <w:b/>
          <w:spacing w:val="0"/>
          <w:szCs w:val="24"/>
          <w:lang w:eastAsia="zh-CN"/>
        </w:rPr>
        <w:t xml:space="preserve"> </w:t>
      </w:r>
      <w:r w:rsidRPr="00D3653F">
        <w:rPr>
          <w:rFonts w:ascii="Book Antiqua" w:hAnsi="Book Antiqua"/>
          <w:spacing w:val="0"/>
          <w:szCs w:val="24"/>
        </w:rPr>
        <w:t xml:space="preserve">We have developed a simple technique for esophageal examination based on </w:t>
      </w:r>
      <w:proofErr w:type="spellStart"/>
      <w:r w:rsidRPr="00D3653F">
        <w:rPr>
          <w:rFonts w:ascii="Book Antiqua" w:hAnsi="Book Antiqua"/>
          <w:spacing w:val="0"/>
          <w:szCs w:val="24"/>
        </w:rPr>
        <w:t>transnasal</w:t>
      </w:r>
      <w:proofErr w:type="spellEnd"/>
      <w:r w:rsidRPr="00D3653F">
        <w:rPr>
          <w:rFonts w:ascii="Book Antiqua" w:hAnsi="Book Antiqua"/>
          <w:spacing w:val="0"/>
          <w:szCs w:val="24"/>
        </w:rPr>
        <w:t xml:space="preserve"> endoscopy in </w:t>
      </w:r>
      <w:proofErr w:type="spellStart"/>
      <w:r w:rsidRPr="00D3653F">
        <w:rPr>
          <w:rFonts w:ascii="Book Antiqua" w:hAnsi="Book Antiqua"/>
          <w:spacing w:val="0"/>
          <w:szCs w:val="24"/>
        </w:rPr>
        <w:t>unsedated</w:t>
      </w:r>
      <w:proofErr w:type="spellEnd"/>
      <w:r w:rsidRPr="00D3653F">
        <w:rPr>
          <w:rFonts w:ascii="Book Antiqua" w:hAnsi="Book Antiqua"/>
          <w:spacing w:val="0"/>
          <w:szCs w:val="24"/>
        </w:rPr>
        <w:t xml:space="preserve"> patients. First, </w:t>
      </w:r>
      <w:proofErr w:type="spellStart"/>
      <w:r w:rsidRPr="00D3653F">
        <w:rPr>
          <w:rFonts w:ascii="Book Antiqua" w:hAnsi="Book Antiqua"/>
          <w:spacing w:val="0"/>
          <w:szCs w:val="24"/>
        </w:rPr>
        <w:t>manometric</w:t>
      </w:r>
      <w:proofErr w:type="spellEnd"/>
      <w:r w:rsidRPr="00D3653F">
        <w:rPr>
          <w:rFonts w:ascii="Book Antiqua" w:hAnsi="Book Antiqua"/>
          <w:spacing w:val="0"/>
          <w:szCs w:val="24"/>
        </w:rPr>
        <w:t xml:space="preserve"> waves and esophageal contractions </w:t>
      </w:r>
      <w:r w:rsidRPr="00D3653F">
        <w:rPr>
          <w:rFonts w:ascii="Book Antiqua" w:eastAsia="MS PGothic" w:hAnsi="Book Antiqua"/>
          <w:bCs/>
          <w:spacing w:val="0"/>
          <w:szCs w:val="24"/>
        </w:rPr>
        <w:t xml:space="preserve">were evaluated using </w:t>
      </w:r>
      <w:r w:rsidRPr="00D3653F">
        <w:rPr>
          <w:rFonts w:ascii="Book Antiqua" w:hAnsi="Book Antiqua"/>
          <w:spacing w:val="0"/>
          <w:szCs w:val="24"/>
        </w:rPr>
        <w:t xml:space="preserve">three different modalities </w:t>
      </w:r>
      <w:r w:rsidRPr="00D3653F">
        <w:rPr>
          <w:rStyle w:val="apple-converted-space"/>
          <w:rFonts w:ascii="Book Antiqua" w:hAnsi="Book Antiqua"/>
          <w:spacing w:val="0"/>
          <w:szCs w:val="24"/>
        </w:rPr>
        <w:t>following the infusion of</w:t>
      </w:r>
      <w:r w:rsidRPr="00D3653F">
        <w:rPr>
          <w:rStyle w:val="apple-style-span"/>
          <w:rFonts w:ascii="Book Antiqua" w:hAnsi="Book Antiqua"/>
          <w:spacing w:val="0"/>
          <w:szCs w:val="24"/>
        </w:rPr>
        <w:t xml:space="preserve"> acid into the lower esophagus. </w:t>
      </w:r>
      <w:r w:rsidRPr="00D3653F">
        <w:rPr>
          <w:rFonts w:ascii="Book Antiqua" w:hAnsi="Book Antiqua"/>
          <w:spacing w:val="0"/>
          <w:szCs w:val="24"/>
        </w:rPr>
        <w:t xml:space="preserve">Next, using nasal endoscopy, </w:t>
      </w:r>
      <w:r w:rsidRPr="00D3653F">
        <w:rPr>
          <w:rStyle w:val="apple-converted-space"/>
          <w:rFonts w:ascii="Book Antiqua" w:hAnsi="Book Antiqua"/>
          <w:spacing w:val="0"/>
          <w:szCs w:val="24"/>
        </w:rPr>
        <w:t xml:space="preserve">esophageal contractions and sensations were investigated in patients with Barrett’s esophagus. </w:t>
      </w:r>
      <w:r w:rsidRPr="00D3653F">
        <w:rPr>
          <w:rFonts w:ascii="Book Antiqua" w:eastAsia="MS PGothic" w:hAnsi="Book Antiqua"/>
          <w:spacing w:val="0"/>
          <w:szCs w:val="24"/>
        </w:rPr>
        <w:t xml:space="preserve">It was possible to observe secondary peristalsis </w:t>
      </w:r>
      <w:proofErr w:type="spellStart"/>
      <w:r w:rsidRPr="00D3653F">
        <w:rPr>
          <w:rFonts w:ascii="Book Antiqua" w:eastAsia="MS PGothic" w:hAnsi="Book Antiqua"/>
          <w:spacing w:val="0"/>
          <w:szCs w:val="24"/>
        </w:rPr>
        <w:t>endoscopically</w:t>
      </w:r>
      <w:proofErr w:type="spellEnd"/>
      <w:r w:rsidRPr="00D3653F">
        <w:rPr>
          <w:rFonts w:ascii="Book Antiqua" w:hAnsi="Book Antiqua"/>
          <w:spacing w:val="0"/>
          <w:szCs w:val="24"/>
        </w:rPr>
        <w:t>, u</w:t>
      </w:r>
      <w:r w:rsidRPr="00D3653F">
        <w:rPr>
          <w:rFonts w:ascii="Book Antiqua" w:eastAsia="MS PGothic" w:hAnsi="Book Antiqua"/>
          <w:spacing w:val="0"/>
          <w:szCs w:val="24"/>
        </w:rPr>
        <w:t xml:space="preserve">sing nasal endoscopy and a simple acid-perfusion </w:t>
      </w:r>
      <w:proofErr w:type="gramStart"/>
      <w:r w:rsidRPr="00D3653F">
        <w:rPr>
          <w:rFonts w:ascii="Book Antiqua" w:eastAsia="MS PGothic" w:hAnsi="Book Antiqua"/>
          <w:spacing w:val="0"/>
          <w:szCs w:val="24"/>
        </w:rPr>
        <w:t>study,</w:t>
      </w:r>
      <w:proofErr w:type="gramEnd"/>
      <w:r w:rsidRPr="00D3653F">
        <w:rPr>
          <w:rFonts w:ascii="Book Antiqua" w:eastAsia="MS PGothic" w:hAnsi="Book Antiqua"/>
          <w:spacing w:val="0"/>
          <w:szCs w:val="24"/>
        </w:rPr>
        <w:t xml:space="preserve"> we were able to demonstrate disorders in secondary peristalsis in patients with LSBE.</w:t>
      </w:r>
      <w:r w:rsidRPr="00D3653F">
        <w:rPr>
          <w:rFonts w:ascii="Book Antiqua" w:hAnsi="Book Antiqua"/>
          <w:spacing w:val="0"/>
          <w:szCs w:val="24"/>
        </w:rPr>
        <w:t xml:space="preserve"> </w:t>
      </w:r>
    </w:p>
    <w:p w:rsidR="006A1FFB" w:rsidRPr="00D3653F" w:rsidRDefault="006A1FFB" w:rsidP="00D3653F">
      <w:pPr>
        <w:spacing w:line="360" w:lineRule="auto"/>
        <w:rPr>
          <w:rFonts w:ascii="Book Antiqua" w:eastAsia="宋体" w:hAnsi="Book Antiqua"/>
          <w:b/>
          <w:spacing w:val="0"/>
          <w:szCs w:val="24"/>
          <w:lang w:eastAsia="zh-CN"/>
        </w:rPr>
      </w:pPr>
    </w:p>
    <w:p w:rsidR="006A1FFB" w:rsidRPr="00D3653F" w:rsidRDefault="006A1FFB" w:rsidP="00D3653F">
      <w:pPr>
        <w:spacing w:line="360" w:lineRule="auto"/>
        <w:ind w:rightChars="572" w:right="1258"/>
        <w:rPr>
          <w:rFonts w:ascii="Book Antiqua" w:eastAsia="宋体" w:hAnsi="Book Antiqua"/>
          <w:szCs w:val="24"/>
          <w:lang w:eastAsia="zh-CN"/>
        </w:rPr>
      </w:pPr>
      <w:r w:rsidRPr="00D3653F">
        <w:rPr>
          <w:rFonts w:ascii="Book Antiqua" w:hAnsi="Book Antiqua"/>
          <w:szCs w:val="24"/>
        </w:rPr>
        <w:t>Kobayashi G,</w:t>
      </w:r>
      <w:r w:rsidRPr="00D3653F">
        <w:rPr>
          <w:rFonts w:ascii="Book Antiqua" w:eastAsia="宋体" w:hAnsi="Book Antiqua"/>
          <w:szCs w:val="24"/>
          <w:lang w:eastAsia="zh-CN"/>
        </w:rPr>
        <w:t xml:space="preserve"> </w:t>
      </w:r>
      <w:proofErr w:type="spellStart"/>
      <w:r w:rsidRPr="00D3653F">
        <w:rPr>
          <w:rFonts w:ascii="Book Antiqua" w:hAnsi="Book Antiqua"/>
          <w:szCs w:val="24"/>
        </w:rPr>
        <w:t>Kaise</w:t>
      </w:r>
      <w:proofErr w:type="spellEnd"/>
      <w:r w:rsidRPr="00D3653F">
        <w:rPr>
          <w:rFonts w:ascii="Book Antiqua" w:hAnsi="Book Antiqua"/>
          <w:szCs w:val="24"/>
        </w:rPr>
        <w:t xml:space="preserve"> M, Arakawa H</w:t>
      </w:r>
      <w:r w:rsidRPr="00D3653F">
        <w:rPr>
          <w:rFonts w:ascii="Book Antiqua" w:eastAsia="宋体" w:hAnsi="Book Antiqua"/>
          <w:szCs w:val="24"/>
          <w:lang w:eastAsia="zh-CN"/>
        </w:rPr>
        <w:t>,</w:t>
      </w:r>
      <w:r w:rsidRPr="00D3653F">
        <w:rPr>
          <w:rFonts w:ascii="Book Antiqua" w:hAnsi="Book Antiqua"/>
          <w:szCs w:val="24"/>
        </w:rPr>
        <w:t xml:space="preserve"> </w:t>
      </w:r>
      <w:proofErr w:type="spellStart"/>
      <w:r w:rsidRPr="00D3653F">
        <w:rPr>
          <w:rFonts w:ascii="Book Antiqua" w:hAnsi="Book Antiqua"/>
          <w:szCs w:val="24"/>
        </w:rPr>
        <w:t>Tajiri</w:t>
      </w:r>
      <w:proofErr w:type="spellEnd"/>
      <w:r w:rsidRPr="00D3653F">
        <w:rPr>
          <w:rFonts w:ascii="Book Antiqua" w:hAnsi="Book Antiqua"/>
          <w:szCs w:val="24"/>
        </w:rPr>
        <w:t xml:space="preserve"> H</w:t>
      </w:r>
      <w:r w:rsidRPr="00D3653F">
        <w:rPr>
          <w:rFonts w:ascii="Book Antiqua" w:eastAsia="宋体" w:hAnsi="Book Antiqua"/>
          <w:szCs w:val="24"/>
          <w:lang w:eastAsia="zh-CN"/>
        </w:rPr>
        <w:t xml:space="preserve">. Impairment of secondary peristalsis </w:t>
      </w:r>
      <w:r w:rsidRPr="00D3653F">
        <w:rPr>
          <w:rFonts w:ascii="Book Antiqua" w:eastAsia="宋体" w:hAnsi="Book Antiqua"/>
          <w:szCs w:val="24"/>
          <w:lang w:eastAsia="zh-CN"/>
        </w:rPr>
        <w:lastRenderedPageBreak/>
        <w:t xml:space="preserve">in Barrett’s esophagus by </w:t>
      </w:r>
      <w:proofErr w:type="spellStart"/>
      <w:r w:rsidRPr="00D3653F">
        <w:rPr>
          <w:rFonts w:ascii="Book Antiqua" w:eastAsia="宋体" w:hAnsi="Book Antiqua"/>
          <w:szCs w:val="24"/>
          <w:lang w:eastAsia="zh-CN"/>
        </w:rPr>
        <w:t>transnasal</w:t>
      </w:r>
      <w:proofErr w:type="spellEnd"/>
      <w:r w:rsidRPr="00D3653F">
        <w:rPr>
          <w:rFonts w:ascii="Book Antiqua" w:eastAsia="宋体" w:hAnsi="Book Antiqua"/>
          <w:szCs w:val="24"/>
          <w:lang w:eastAsia="zh-CN"/>
        </w:rPr>
        <w:t xml:space="preserve"> endoscopy-based testing</w:t>
      </w:r>
      <w:r>
        <w:rPr>
          <w:rFonts w:ascii="Book Antiqua" w:eastAsia="宋体" w:hAnsi="Book Antiqua"/>
          <w:szCs w:val="24"/>
          <w:lang w:eastAsia="zh-CN"/>
        </w:rPr>
        <w:t>.</w:t>
      </w:r>
    </w:p>
    <w:p w:rsidR="006A1FFB" w:rsidRPr="00D3653F" w:rsidRDefault="006A1FFB" w:rsidP="00D3653F">
      <w:pPr>
        <w:spacing w:line="360" w:lineRule="auto"/>
        <w:rPr>
          <w:rFonts w:ascii="Book Antiqua" w:eastAsia="宋体" w:hAnsi="Book Antiqua"/>
          <w:spacing w:val="0"/>
          <w:szCs w:val="24"/>
          <w:lang w:eastAsia="zh-CN"/>
        </w:rPr>
      </w:pPr>
    </w:p>
    <w:p w:rsidR="006A1FFB" w:rsidRPr="00D3653F" w:rsidRDefault="006A1FFB" w:rsidP="00D3653F">
      <w:pPr>
        <w:spacing w:line="360" w:lineRule="auto"/>
        <w:rPr>
          <w:rFonts w:ascii="Book Antiqua" w:hAnsi="Book Antiqua"/>
          <w:iCs/>
          <w:szCs w:val="24"/>
        </w:rPr>
      </w:pPr>
      <w:bookmarkStart w:id="3" w:name="OLE_LINK17"/>
      <w:bookmarkStart w:id="4" w:name="OLE_LINK18"/>
      <w:r w:rsidRPr="00D3653F">
        <w:rPr>
          <w:rFonts w:ascii="Book Antiqua" w:hAnsi="Book Antiqua"/>
          <w:b/>
          <w:iCs/>
          <w:szCs w:val="24"/>
        </w:rPr>
        <w:t xml:space="preserve">Available from: </w:t>
      </w:r>
    </w:p>
    <w:p w:rsidR="006A1FFB" w:rsidRPr="00D3653F" w:rsidRDefault="006A1FFB" w:rsidP="00D3653F">
      <w:pPr>
        <w:spacing w:line="360" w:lineRule="auto"/>
        <w:rPr>
          <w:rFonts w:ascii="Book Antiqua" w:hAnsi="Book Antiqua"/>
          <w:szCs w:val="24"/>
        </w:rPr>
      </w:pPr>
      <w:r w:rsidRPr="00D3653F">
        <w:rPr>
          <w:rFonts w:ascii="Book Antiqua" w:hAnsi="Book Antiqua"/>
          <w:b/>
          <w:iCs/>
          <w:szCs w:val="24"/>
        </w:rPr>
        <w:t xml:space="preserve">DOI: </w:t>
      </w:r>
    </w:p>
    <w:bookmarkEnd w:id="3"/>
    <w:bookmarkEnd w:id="4"/>
    <w:p w:rsidR="006A1FFB" w:rsidRPr="00D3653F" w:rsidRDefault="006A1FFB" w:rsidP="00D3653F">
      <w:pPr>
        <w:spacing w:line="360" w:lineRule="auto"/>
        <w:rPr>
          <w:rFonts w:ascii="Book Antiqua" w:hAnsi="Book Antiqua"/>
          <w:b/>
          <w:bCs/>
          <w:spacing w:val="0"/>
          <w:szCs w:val="24"/>
        </w:rPr>
      </w:pPr>
    </w:p>
    <w:p w:rsidR="006A1FFB" w:rsidRPr="00D3653F" w:rsidRDefault="006A1FFB" w:rsidP="00D3653F">
      <w:pPr>
        <w:spacing w:line="360" w:lineRule="auto"/>
        <w:rPr>
          <w:rFonts w:ascii="Book Antiqua" w:hAnsi="Book Antiqua"/>
          <w:b/>
          <w:bCs/>
          <w:spacing w:val="0"/>
          <w:szCs w:val="24"/>
        </w:rPr>
      </w:pPr>
      <w:r w:rsidRPr="00D3653F">
        <w:rPr>
          <w:rFonts w:ascii="Book Antiqua" w:hAnsi="Book Antiqua"/>
          <w:b/>
          <w:spacing w:val="0"/>
          <w:szCs w:val="24"/>
        </w:rPr>
        <w:t>INTRODUCTION</w:t>
      </w:r>
    </w:p>
    <w:p w:rsidR="006A1FFB" w:rsidRPr="00D3653F" w:rsidRDefault="006A1FFB" w:rsidP="00D3653F">
      <w:pPr>
        <w:spacing w:line="360" w:lineRule="auto"/>
        <w:rPr>
          <w:rFonts w:ascii="Book Antiqua" w:hAnsi="Book Antiqua"/>
          <w:spacing w:val="0"/>
          <w:szCs w:val="24"/>
        </w:rPr>
      </w:pPr>
      <w:r w:rsidRPr="00D3653F">
        <w:rPr>
          <w:rFonts w:ascii="Book Antiqua" w:eastAsia="MS PGothic" w:hAnsi="Book Antiqua"/>
          <w:bCs/>
          <w:spacing w:val="0"/>
          <w:szCs w:val="24"/>
        </w:rPr>
        <w:t xml:space="preserve">Because of its increasing prevalence in Asian </w:t>
      </w:r>
      <w:proofErr w:type="gramStart"/>
      <w:r w:rsidRPr="00D3653F">
        <w:rPr>
          <w:rFonts w:ascii="Book Antiqua" w:eastAsia="MS PGothic" w:hAnsi="Book Antiqua"/>
          <w:bCs/>
          <w:spacing w:val="0"/>
          <w:szCs w:val="24"/>
        </w:rPr>
        <w:t>countries</w:t>
      </w:r>
      <w:r w:rsidRPr="00D3653F">
        <w:rPr>
          <w:rFonts w:ascii="Book Antiqua" w:hAnsi="Book Antiqua"/>
          <w:bCs/>
          <w:spacing w:val="0"/>
          <w:szCs w:val="24"/>
          <w:vertAlign w:val="superscript"/>
        </w:rPr>
        <w:t>[</w:t>
      </w:r>
      <w:proofErr w:type="gramEnd"/>
      <w:r w:rsidRPr="00D3653F">
        <w:rPr>
          <w:rFonts w:ascii="Book Antiqua" w:hAnsi="Book Antiqua"/>
          <w:bCs/>
          <w:spacing w:val="0"/>
          <w:szCs w:val="24"/>
          <w:vertAlign w:val="superscript"/>
        </w:rPr>
        <w:t>1,2]</w:t>
      </w:r>
      <w:r w:rsidRPr="00D3653F">
        <w:rPr>
          <w:rFonts w:ascii="Book Antiqua" w:eastAsia="MS PGothic" w:hAnsi="Book Antiqua"/>
          <w:bCs/>
          <w:spacing w:val="0"/>
          <w:szCs w:val="24"/>
        </w:rPr>
        <w:t xml:space="preserve">, the clinical impact of </w:t>
      </w:r>
      <w:proofErr w:type="spellStart"/>
      <w:r w:rsidRPr="00D3653F">
        <w:rPr>
          <w:rFonts w:ascii="Book Antiqua" w:eastAsia="MS PGothic" w:hAnsi="Book Antiqua"/>
          <w:bCs/>
          <w:spacing w:val="0"/>
          <w:szCs w:val="24"/>
        </w:rPr>
        <w:t>gastroesophageal</w:t>
      </w:r>
      <w:proofErr w:type="spellEnd"/>
      <w:r w:rsidRPr="00D3653F">
        <w:rPr>
          <w:rFonts w:ascii="Book Antiqua" w:eastAsia="MS PGothic" w:hAnsi="Book Antiqua"/>
          <w:bCs/>
          <w:spacing w:val="0"/>
          <w:szCs w:val="24"/>
        </w:rPr>
        <w:t xml:space="preserve"> reflux disease (GERD) is also increasing. Furthermore, some of the patients with GERD will go on to </w:t>
      </w:r>
      <w:r w:rsidRPr="00D3653F">
        <w:rPr>
          <w:rFonts w:ascii="Book Antiqua" w:hAnsi="Book Antiqua"/>
          <w:spacing w:val="0"/>
          <w:szCs w:val="24"/>
        </w:rPr>
        <w:t xml:space="preserve">develop Barrett’s esophagus, which itself can progress to </w:t>
      </w:r>
      <w:proofErr w:type="gramStart"/>
      <w:r w:rsidRPr="00D3653F">
        <w:rPr>
          <w:rFonts w:ascii="Book Antiqua" w:hAnsi="Book Antiqua"/>
          <w:spacing w:val="0"/>
          <w:szCs w:val="24"/>
        </w:rPr>
        <w:t>adenocarcinoma</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3]</w:t>
      </w:r>
      <w:r w:rsidRPr="00D3653F">
        <w:rPr>
          <w:rFonts w:ascii="Book Antiqua" w:hAnsi="Book Antiqua"/>
          <w:spacing w:val="0"/>
          <w:szCs w:val="24"/>
        </w:rPr>
        <w:t xml:space="preserve">. Both GERD and Barrett’s esophagus result from chronic injury following long-term exposure of the squamous mucosa to gastric acid or bile. Pathogenic exposure to </w:t>
      </w:r>
      <w:proofErr w:type="spellStart"/>
      <w:r w:rsidRPr="00D3653F">
        <w:rPr>
          <w:rFonts w:ascii="Book Antiqua" w:hAnsi="Book Antiqua"/>
          <w:spacing w:val="0"/>
          <w:szCs w:val="24"/>
        </w:rPr>
        <w:t>refluxate</w:t>
      </w:r>
      <w:proofErr w:type="spellEnd"/>
      <w:r w:rsidRPr="00D3653F">
        <w:rPr>
          <w:rFonts w:ascii="Book Antiqua" w:hAnsi="Book Antiqua"/>
          <w:spacing w:val="0"/>
          <w:szCs w:val="24"/>
        </w:rPr>
        <w:t xml:space="preserve"> may be due to disturbances in anti-reflux barriers or delayed luminal acid clearance because of abnormalities in esophageal motility or the sensory system. However, the precise causative dysfunction varies between patients; thus, esophageal function tests are needed to determine the cause to enable cause-specific treatment. However, such examinations, including </w:t>
      </w:r>
      <w:proofErr w:type="spellStart"/>
      <w:r w:rsidRPr="00D3653F">
        <w:rPr>
          <w:rFonts w:ascii="Book Antiqua" w:hAnsi="Book Antiqua"/>
          <w:spacing w:val="0"/>
          <w:szCs w:val="24"/>
        </w:rPr>
        <w:t>manometry</w:t>
      </w:r>
      <w:proofErr w:type="spellEnd"/>
      <w:r w:rsidRPr="00D3653F">
        <w:rPr>
          <w:rFonts w:ascii="Book Antiqua" w:hAnsi="Book Antiqua"/>
          <w:spacing w:val="0"/>
          <w:szCs w:val="24"/>
          <w:vertAlign w:val="superscript"/>
        </w:rPr>
        <w:t>[4-7]</w:t>
      </w:r>
      <w:r w:rsidRPr="00D3653F">
        <w:rPr>
          <w:rFonts w:ascii="Book Antiqua" w:hAnsi="Book Antiqua"/>
          <w:spacing w:val="0"/>
          <w:szCs w:val="24"/>
        </w:rPr>
        <w:t>, sensory testing</w:t>
      </w:r>
      <w:r w:rsidRPr="00D3653F">
        <w:rPr>
          <w:rFonts w:ascii="Book Antiqua" w:hAnsi="Book Antiqua"/>
          <w:spacing w:val="0"/>
          <w:szCs w:val="24"/>
          <w:vertAlign w:val="superscript"/>
        </w:rPr>
        <w:t>[8-10]</w:t>
      </w:r>
      <w:r w:rsidRPr="00D3653F">
        <w:rPr>
          <w:rFonts w:ascii="Book Antiqua" w:hAnsi="Book Antiqua"/>
          <w:spacing w:val="0"/>
          <w:szCs w:val="24"/>
        </w:rPr>
        <w:t>, and pH monitoring</w:t>
      </w:r>
      <w:r w:rsidRPr="00D3653F">
        <w:rPr>
          <w:rFonts w:ascii="Book Antiqua" w:hAnsi="Book Antiqua"/>
          <w:spacing w:val="0"/>
          <w:szCs w:val="24"/>
          <w:vertAlign w:val="superscript"/>
        </w:rPr>
        <w:t>[11-14]</w:t>
      </w:r>
      <w:r w:rsidRPr="00D3653F">
        <w:rPr>
          <w:rFonts w:ascii="Book Antiqua" w:hAnsi="Book Antiqua"/>
          <w:spacing w:val="0"/>
          <w:szCs w:val="24"/>
        </w:rPr>
        <w:t>, are not routinely used in clinical practice because they are tedious, complicated, and invasive.</w:t>
      </w:r>
    </w:p>
    <w:p w:rsidR="006A1FFB" w:rsidRPr="00D3653F" w:rsidRDefault="006A1FFB" w:rsidP="00D3653F">
      <w:pPr>
        <w:spacing w:line="360" w:lineRule="auto"/>
        <w:rPr>
          <w:rFonts w:ascii="Book Antiqua" w:hAnsi="Book Antiqua"/>
          <w:b/>
          <w:spacing w:val="0"/>
          <w:szCs w:val="24"/>
        </w:rPr>
      </w:pPr>
      <w:r w:rsidRPr="00D3653F">
        <w:rPr>
          <w:rFonts w:ascii="Book Antiqua" w:hAnsi="Book Antiqua"/>
          <w:b/>
          <w:spacing w:val="0"/>
          <w:szCs w:val="24"/>
        </w:rPr>
        <w:t xml:space="preserve">  </w:t>
      </w:r>
      <w:r w:rsidRPr="00D3653F">
        <w:rPr>
          <w:rFonts w:ascii="Book Antiqua" w:hAnsi="Book Antiqua"/>
          <w:spacing w:val="0"/>
          <w:szCs w:val="24"/>
        </w:rPr>
        <w:t xml:space="preserve">We have developed a simple and versatile technique for esophageal examination based on </w:t>
      </w:r>
      <w:proofErr w:type="spellStart"/>
      <w:r w:rsidRPr="00D3653F">
        <w:rPr>
          <w:rFonts w:ascii="Book Antiqua" w:hAnsi="Book Antiqua"/>
          <w:spacing w:val="0"/>
          <w:szCs w:val="24"/>
        </w:rPr>
        <w:t>transnasal</w:t>
      </w:r>
      <w:proofErr w:type="spellEnd"/>
      <w:r w:rsidRPr="00D3653F">
        <w:rPr>
          <w:rFonts w:ascii="Book Antiqua" w:hAnsi="Book Antiqua"/>
          <w:spacing w:val="0"/>
          <w:szCs w:val="24"/>
        </w:rPr>
        <w:t xml:space="preserve"> endoscopy in </w:t>
      </w:r>
      <w:proofErr w:type="spellStart"/>
      <w:r w:rsidRPr="00D3653F">
        <w:rPr>
          <w:rFonts w:ascii="Book Antiqua" w:hAnsi="Book Antiqua"/>
          <w:spacing w:val="0"/>
          <w:szCs w:val="24"/>
        </w:rPr>
        <w:t>unsedated</w:t>
      </w:r>
      <w:proofErr w:type="spellEnd"/>
      <w:r w:rsidRPr="00D3653F">
        <w:rPr>
          <w:rFonts w:ascii="Book Antiqua" w:hAnsi="Book Antiqua"/>
          <w:spacing w:val="0"/>
          <w:szCs w:val="24"/>
        </w:rPr>
        <w:t xml:space="preserve"> patients. The test can simultaneously evaluate either structural abnormalities of the lumen and anti-reflux barriers or dysfunctions in esophageal peristalsis and sensation induced by acid infusion. Using this endoscopy-based test in the present study, we examined patients with Barrett’s esophagus and healthy controls to identify abnormalities in esophageal function related to Barrett’s esophagus.</w:t>
      </w: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spacing w:val="0"/>
          <w:szCs w:val="24"/>
        </w:rPr>
      </w:pPr>
      <w:r w:rsidRPr="00D3653F">
        <w:rPr>
          <w:rFonts w:ascii="Book Antiqua" w:hAnsi="Book Antiqua"/>
          <w:b/>
          <w:spacing w:val="0"/>
          <w:szCs w:val="24"/>
        </w:rPr>
        <w:t>MATERIALS AND METHODS</w:t>
      </w:r>
    </w:p>
    <w:p w:rsidR="006A1FFB" w:rsidRPr="00D3653F" w:rsidRDefault="006A1FFB" w:rsidP="00D3653F">
      <w:pPr>
        <w:spacing w:line="360" w:lineRule="auto"/>
        <w:rPr>
          <w:rFonts w:ascii="Book Antiqua" w:hAnsi="Book Antiqua"/>
          <w:b/>
          <w:i/>
          <w:spacing w:val="0"/>
          <w:szCs w:val="24"/>
        </w:rPr>
      </w:pPr>
      <w:r w:rsidRPr="00D3653F">
        <w:rPr>
          <w:rFonts w:ascii="Book Antiqua" w:hAnsi="Book Antiqua"/>
          <w:b/>
          <w:i/>
          <w:spacing w:val="0"/>
          <w:szCs w:val="24"/>
        </w:rPr>
        <w:t>Study design and subjects</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The present study was approved by the Ethics Committee of The </w:t>
      </w:r>
      <w:proofErr w:type="spellStart"/>
      <w:r w:rsidRPr="00D3653F">
        <w:rPr>
          <w:rFonts w:ascii="Book Antiqua" w:hAnsi="Book Antiqua"/>
          <w:spacing w:val="0"/>
          <w:szCs w:val="24"/>
        </w:rPr>
        <w:t>Jikei</w:t>
      </w:r>
      <w:proofErr w:type="spellEnd"/>
      <w:r w:rsidRPr="00D3653F">
        <w:rPr>
          <w:rFonts w:ascii="Book Antiqua" w:hAnsi="Book Antiqua"/>
          <w:spacing w:val="0"/>
          <w:szCs w:val="24"/>
        </w:rPr>
        <w:t xml:space="preserve"> University School of Medicine (Tokyo, Japan) and was conducted at </w:t>
      </w:r>
      <w:proofErr w:type="spellStart"/>
      <w:r w:rsidRPr="00D3653F">
        <w:rPr>
          <w:rFonts w:ascii="Book Antiqua" w:hAnsi="Book Antiqua"/>
          <w:spacing w:val="0"/>
          <w:szCs w:val="24"/>
        </w:rPr>
        <w:t>Jikei</w:t>
      </w:r>
      <w:proofErr w:type="spellEnd"/>
      <w:r w:rsidRPr="00D3653F">
        <w:rPr>
          <w:rFonts w:ascii="Book Antiqua" w:hAnsi="Book Antiqua"/>
          <w:spacing w:val="0"/>
          <w:szCs w:val="24"/>
        </w:rPr>
        <w:t xml:space="preserve"> University Hospital.</w:t>
      </w:r>
    </w:p>
    <w:p w:rsidR="006A1FFB" w:rsidRPr="00D3653F" w:rsidRDefault="006A1FFB" w:rsidP="00D3653F">
      <w:pPr>
        <w:spacing w:line="360" w:lineRule="auto"/>
        <w:rPr>
          <w:rFonts w:ascii="Book Antiqua" w:hAnsi="Book Antiqua"/>
          <w:i/>
          <w:iCs/>
          <w:spacing w:val="0"/>
          <w:szCs w:val="24"/>
        </w:rPr>
      </w:pPr>
    </w:p>
    <w:p w:rsidR="006A1FFB" w:rsidRPr="00D3653F" w:rsidRDefault="006A1FFB" w:rsidP="00D3653F">
      <w:pPr>
        <w:spacing w:line="360" w:lineRule="auto"/>
        <w:rPr>
          <w:rFonts w:ascii="Book Antiqua" w:hAnsi="Book Antiqua"/>
          <w:b/>
          <w:i/>
          <w:iCs/>
          <w:spacing w:val="0"/>
          <w:szCs w:val="24"/>
        </w:rPr>
      </w:pPr>
      <w:r w:rsidRPr="00D3653F">
        <w:rPr>
          <w:rFonts w:ascii="Book Antiqua" w:hAnsi="Book Antiqua"/>
          <w:b/>
          <w:i/>
          <w:iCs/>
          <w:spacing w:val="0"/>
          <w:szCs w:val="24"/>
        </w:rPr>
        <w:t xml:space="preserve">Preliminary study evaluating </w:t>
      </w:r>
      <w:proofErr w:type="spellStart"/>
      <w:r w:rsidRPr="00D3653F">
        <w:rPr>
          <w:rFonts w:ascii="Book Antiqua" w:hAnsi="Book Antiqua"/>
          <w:b/>
          <w:i/>
          <w:iCs/>
          <w:spacing w:val="0"/>
          <w:szCs w:val="24"/>
        </w:rPr>
        <w:t>manometric</w:t>
      </w:r>
      <w:proofErr w:type="spellEnd"/>
      <w:r w:rsidRPr="00D3653F">
        <w:rPr>
          <w:rFonts w:ascii="Book Antiqua" w:hAnsi="Book Antiqua"/>
          <w:b/>
          <w:i/>
          <w:iCs/>
          <w:spacing w:val="0"/>
          <w:szCs w:val="24"/>
        </w:rPr>
        <w:t xml:space="preserve"> and endoscopic assessments of peristalsis and propulsive contractions, respectively</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Five healthy subjects without obvious GERD symptoms </w:t>
      </w:r>
      <w:r w:rsidRPr="00D3653F">
        <w:rPr>
          <w:rFonts w:ascii="Book Antiqua" w:eastAsia="宋体" w:hAnsi="Book Antiqua"/>
          <w:spacing w:val="0"/>
          <w:szCs w:val="24"/>
          <w:lang w:eastAsia="zh-CN"/>
        </w:rPr>
        <w:t>[</w:t>
      </w:r>
      <w:r w:rsidRPr="00D3653F">
        <w:rPr>
          <w:rFonts w:ascii="Book Antiqua" w:hAnsi="Book Antiqua"/>
          <w:spacing w:val="0"/>
          <w:szCs w:val="24"/>
        </w:rPr>
        <w:t xml:space="preserve">all men; age </w:t>
      </w:r>
      <w:r w:rsidRPr="00D3653F">
        <w:rPr>
          <w:rFonts w:ascii="Book Antiqua" w:eastAsia="宋体" w:hAnsi="Book Antiqua"/>
          <w:spacing w:val="0"/>
          <w:szCs w:val="24"/>
          <w:lang w:eastAsia="zh-CN"/>
        </w:rPr>
        <w:t>(</w:t>
      </w:r>
      <w:r w:rsidRPr="00D3653F">
        <w:rPr>
          <w:rFonts w:ascii="Book Antiqua" w:hAnsi="Book Antiqua"/>
          <w:spacing w:val="0"/>
          <w:szCs w:val="24"/>
        </w:rPr>
        <w:t>mean</w:t>
      </w:r>
      <w:r w:rsidRPr="00D3653F">
        <w:rPr>
          <w:rFonts w:ascii="Book Antiqua" w:eastAsia="宋体" w:hAnsi="Book Antiqua"/>
          <w:spacing w:val="0"/>
          <w:szCs w:val="24"/>
          <w:lang w:eastAsia="zh-CN"/>
        </w:rPr>
        <w:t xml:space="preserve"> </w:t>
      </w:r>
      <w:r w:rsidRPr="00D3653F">
        <w:rPr>
          <w:rFonts w:ascii="Book Antiqua" w:hAnsi="Book Antiqua"/>
          <w:spacing w:val="0"/>
          <w:szCs w:val="24"/>
        </w:rPr>
        <w:t>±</w:t>
      </w:r>
      <w:r w:rsidRPr="00D3653F">
        <w:rPr>
          <w:rFonts w:ascii="Book Antiqua" w:eastAsia="宋体" w:hAnsi="Book Antiqua"/>
          <w:spacing w:val="0"/>
          <w:szCs w:val="24"/>
          <w:lang w:eastAsia="zh-CN"/>
        </w:rPr>
        <w:t xml:space="preserve"> </w:t>
      </w:r>
      <w:r w:rsidRPr="00D3653F">
        <w:rPr>
          <w:rFonts w:ascii="Book Antiqua" w:hAnsi="Book Antiqua"/>
          <w:spacing w:val="0"/>
          <w:szCs w:val="24"/>
        </w:rPr>
        <w:t>SD</w:t>
      </w:r>
      <w:r w:rsidRPr="00D3653F">
        <w:rPr>
          <w:rFonts w:ascii="Book Antiqua" w:eastAsia="宋体" w:hAnsi="Book Antiqua"/>
          <w:spacing w:val="0"/>
          <w:szCs w:val="24"/>
          <w:lang w:eastAsia="zh-CN"/>
        </w:rPr>
        <w:t>)</w:t>
      </w:r>
      <w:r w:rsidRPr="00D3653F">
        <w:rPr>
          <w:rFonts w:ascii="Book Antiqua" w:hAnsi="Book Antiqua"/>
          <w:spacing w:val="0"/>
          <w:szCs w:val="24"/>
        </w:rPr>
        <w:t xml:space="preserve"> 29 ± 3 years</w:t>
      </w:r>
      <w:r w:rsidRPr="00D3653F">
        <w:rPr>
          <w:rFonts w:ascii="Book Antiqua" w:eastAsia="宋体" w:hAnsi="Book Antiqua"/>
          <w:spacing w:val="0"/>
          <w:szCs w:val="24"/>
          <w:lang w:eastAsia="zh-CN"/>
        </w:rPr>
        <w:t xml:space="preserve">] </w:t>
      </w:r>
      <w:r w:rsidRPr="00D3653F">
        <w:rPr>
          <w:rFonts w:ascii="Book Antiqua" w:hAnsi="Book Antiqua"/>
          <w:spacing w:val="0"/>
          <w:szCs w:val="24"/>
        </w:rPr>
        <w:t xml:space="preserve">were recruited for the preliminary study. All subjects provided written informed consent before participating in the study. Simultaneous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and endoscopy-based testing were performed in these subjects to evaluate physiological saline and acid infusion-induced contractions of the esophagus (Figure 1). An ultrathin endoscope (XP 260 N; Olympus Medical Systems, Tokyo, Japan) was inserted </w:t>
      </w:r>
      <w:proofErr w:type="spellStart"/>
      <w:r w:rsidRPr="00D3653F">
        <w:rPr>
          <w:rFonts w:ascii="Book Antiqua" w:hAnsi="Book Antiqua"/>
          <w:spacing w:val="0"/>
          <w:szCs w:val="24"/>
        </w:rPr>
        <w:t>transnasally</w:t>
      </w:r>
      <w:proofErr w:type="spellEnd"/>
      <w:r w:rsidRPr="00D3653F">
        <w:rPr>
          <w:rFonts w:ascii="Book Antiqua" w:hAnsi="Book Antiqua"/>
          <w:spacing w:val="0"/>
          <w:szCs w:val="24"/>
        </w:rPr>
        <w:t xml:space="preserve">, without sedation, with the tip of the scope located in the lower esophagus, approximately </w:t>
      </w:r>
      <w:r w:rsidRPr="00D3653F">
        <w:rPr>
          <w:rFonts w:ascii="Book Antiqua" w:eastAsia="MS PGothic" w:hAnsi="Book Antiqua"/>
          <w:bCs/>
          <w:spacing w:val="0"/>
          <w:szCs w:val="24"/>
        </w:rPr>
        <w:t xml:space="preserve">5cm oral from the </w:t>
      </w:r>
      <w:proofErr w:type="spellStart"/>
      <w:r w:rsidRPr="00D3653F">
        <w:rPr>
          <w:rFonts w:ascii="Book Antiqua" w:eastAsia="MS PGothic" w:hAnsi="Book Antiqua"/>
          <w:bCs/>
          <w:spacing w:val="0"/>
          <w:szCs w:val="24"/>
        </w:rPr>
        <w:t>esophagogastric</w:t>
      </w:r>
      <w:proofErr w:type="spellEnd"/>
      <w:r w:rsidRPr="00D3653F">
        <w:rPr>
          <w:rFonts w:ascii="Book Antiqua" w:eastAsia="MS PGothic" w:hAnsi="Book Antiqua"/>
          <w:bCs/>
          <w:spacing w:val="0"/>
          <w:szCs w:val="24"/>
        </w:rPr>
        <w:t xml:space="preserve"> junction (EGJ)</w:t>
      </w:r>
      <w:r w:rsidRPr="00D3653F">
        <w:rPr>
          <w:rFonts w:ascii="Book Antiqua" w:hAnsi="Book Antiqua"/>
          <w:spacing w:val="0"/>
          <w:szCs w:val="24"/>
        </w:rPr>
        <w:t>. Endoscopic ultrasonography was performed using a radial-type miniature probe (Model UM-S20-17S, 20 MHz; Olympus Medical Systems). The probe was inserted via the endoscope</w:t>
      </w:r>
      <w:r w:rsidRPr="00D3653F">
        <w:rPr>
          <w:rFonts w:ascii="Book Antiqua" w:eastAsia="MS PGothic" w:hAnsi="Book Antiqua"/>
          <w:bCs/>
          <w:spacing w:val="0"/>
          <w:szCs w:val="24"/>
        </w:rPr>
        <w:t xml:space="preserve"> channel and </w:t>
      </w:r>
      <w:r w:rsidRPr="00D3653F">
        <w:rPr>
          <w:rFonts w:ascii="Book Antiqua" w:hAnsi="Book Antiqua"/>
          <w:spacing w:val="0"/>
          <w:szCs w:val="24"/>
        </w:rPr>
        <w:t>positioned in the lower esophagus approximately 2 cm oral from</w:t>
      </w:r>
      <w:r w:rsidRPr="00D3653F">
        <w:rPr>
          <w:rFonts w:ascii="Book Antiqua" w:eastAsia="MS PGothic" w:hAnsi="Book Antiqua"/>
          <w:bCs/>
          <w:spacing w:val="0"/>
          <w:szCs w:val="24"/>
        </w:rPr>
        <w:t xml:space="preserve"> the EGJ</w:t>
      </w:r>
      <w:r w:rsidRPr="00D3653F">
        <w:rPr>
          <w:rFonts w:ascii="Book Antiqua" w:hAnsi="Book Antiqua"/>
          <w:spacing w:val="0"/>
          <w:szCs w:val="24"/>
        </w:rPr>
        <w:t xml:space="preserve">. Conventional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was performed using a </w:t>
      </w:r>
      <w:r w:rsidRPr="00D3653F">
        <w:rPr>
          <w:rFonts w:ascii="Book Antiqua" w:eastAsia="MS PGothic" w:hAnsi="Book Antiqua"/>
          <w:bCs/>
          <w:spacing w:val="0"/>
          <w:szCs w:val="24"/>
        </w:rPr>
        <w:t>POLYGRAF ID (</w:t>
      </w:r>
      <w:proofErr w:type="spellStart"/>
      <w:r w:rsidRPr="00D3653F">
        <w:rPr>
          <w:rFonts w:ascii="Book Antiqua" w:eastAsia="MS PGothic" w:hAnsi="Book Antiqua"/>
          <w:bCs/>
          <w:spacing w:val="0"/>
          <w:szCs w:val="24"/>
        </w:rPr>
        <w:t>Alpinebiomed</w:t>
      </w:r>
      <w:proofErr w:type="spellEnd"/>
      <w:r w:rsidRPr="00D3653F">
        <w:rPr>
          <w:rFonts w:ascii="Book Antiqua" w:eastAsia="MS PGothic" w:hAnsi="Book Antiqua"/>
          <w:bCs/>
          <w:spacing w:val="0"/>
          <w:szCs w:val="24"/>
        </w:rPr>
        <w:t>, Los Angeles, CA, U</w:t>
      </w:r>
      <w:r w:rsidRPr="00D3653F">
        <w:rPr>
          <w:rFonts w:ascii="Book Antiqua" w:eastAsia="宋体" w:hAnsi="Book Antiqua"/>
          <w:bCs/>
          <w:spacing w:val="0"/>
          <w:szCs w:val="24"/>
          <w:lang w:eastAsia="zh-CN"/>
        </w:rPr>
        <w:t>nited States</w:t>
      </w:r>
      <w:r w:rsidRPr="00D3653F">
        <w:rPr>
          <w:rFonts w:ascii="Book Antiqua" w:eastAsia="MS PGothic" w:hAnsi="Book Antiqua"/>
          <w:bCs/>
          <w:spacing w:val="0"/>
          <w:szCs w:val="24"/>
        </w:rPr>
        <w:t>) and an infusion pressure four-channel catheter (4.5 mm OD), with an aperture and pressure converter in the 5-cm space (</w:t>
      </w:r>
      <w:proofErr w:type="spellStart"/>
      <w:r w:rsidRPr="00D3653F">
        <w:rPr>
          <w:rFonts w:ascii="Book Antiqua" w:eastAsia="MS PGothic" w:hAnsi="Book Antiqua"/>
          <w:bCs/>
          <w:spacing w:val="0"/>
          <w:szCs w:val="24"/>
        </w:rPr>
        <w:t>Zinetics</w:t>
      </w:r>
      <w:proofErr w:type="spellEnd"/>
      <w:r w:rsidRPr="00D3653F">
        <w:rPr>
          <w:rFonts w:ascii="Book Antiqua" w:eastAsia="MS PGothic" w:hAnsi="Book Antiqua"/>
          <w:bCs/>
          <w:spacing w:val="0"/>
          <w:szCs w:val="24"/>
        </w:rPr>
        <w:t>, Salt Lake City, UT, U</w:t>
      </w:r>
      <w:r w:rsidRPr="00D3653F">
        <w:rPr>
          <w:rFonts w:ascii="Book Antiqua" w:eastAsia="宋体" w:hAnsi="Book Antiqua"/>
          <w:bCs/>
          <w:spacing w:val="0"/>
          <w:szCs w:val="24"/>
          <w:lang w:eastAsia="zh-CN"/>
        </w:rPr>
        <w:t>nited States</w:t>
      </w:r>
      <w:r w:rsidRPr="00D3653F">
        <w:rPr>
          <w:rFonts w:ascii="Book Antiqua" w:eastAsia="MS PGothic" w:hAnsi="Book Antiqua"/>
          <w:bCs/>
          <w:spacing w:val="0"/>
          <w:szCs w:val="24"/>
        </w:rPr>
        <w:t>).</w:t>
      </w:r>
      <w:r w:rsidRPr="00D3653F">
        <w:rPr>
          <w:rFonts w:ascii="Book Antiqua" w:hAnsi="Book Antiqua"/>
          <w:spacing w:val="0"/>
          <w:szCs w:val="24"/>
        </w:rPr>
        <w:t xml:space="preserve"> To evaluate contractions elicited by the infusion of physiological saline and acid, indigo carmine was used to color both the physiological saline and acid solution. The colored physiological saline </w:t>
      </w:r>
      <w:r w:rsidRPr="00D3653F">
        <w:rPr>
          <w:rFonts w:ascii="Book Antiqua" w:hAnsi="Book Antiqua"/>
          <w:spacing w:val="0"/>
          <w:szCs w:val="24"/>
        </w:rPr>
        <w:lastRenderedPageBreak/>
        <w:t xml:space="preserve">was infused initially into the esophagus at a rate of 10 mL/min for 10 min </w:t>
      </w:r>
      <w:r w:rsidRPr="00D3653F">
        <w:rPr>
          <w:rFonts w:ascii="Book Antiqua" w:eastAsia="MS PGothic" w:hAnsi="Book Antiqua"/>
          <w:bCs/>
          <w:spacing w:val="0"/>
          <w:szCs w:val="24"/>
        </w:rPr>
        <w:t xml:space="preserve">via the working channel of the scope using an </w:t>
      </w:r>
      <w:proofErr w:type="spellStart"/>
      <w:r w:rsidRPr="00D3653F">
        <w:rPr>
          <w:rFonts w:ascii="Book Antiqua" w:eastAsia="MS PGothic" w:hAnsi="Book Antiqua"/>
          <w:bCs/>
          <w:spacing w:val="0"/>
          <w:szCs w:val="24"/>
        </w:rPr>
        <w:t>autoinfusion</w:t>
      </w:r>
      <w:proofErr w:type="spellEnd"/>
      <w:r w:rsidRPr="00D3653F">
        <w:rPr>
          <w:rFonts w:ascii="Book Antiqua" w:eastAsia="MS PGothic" w:hAnsi="Book Antiqua"/>
          <w:bCs/>
          <w:spacing w:val="0"/>
          <w:szCs w:val="24"/>
        </w:rPr>
        <w:t xml:space="preserve"> pump (TE-171; </w:t>
      </w:r>
      <w:r w:rsidRPr="00D3653F">
        <w:rPr>
          <w:rFonts w:ascii="Book Antiqua" w:hAnsi="Book Antiqua"/>
          <w:spacing w:val="0"/>
          <w:szCs w:val="24"/>
        </w:rPr>
        <w:t>TERUMO, Tokyo, Japan)</w:t>
      </w:r>
      <w:r w:rsidRPr="00D3653F">
        <w:rPr>
          <w:rFonts w:ascii="Book Antiqua" w:eastAsia="MS PGothic" w:hAnsi="Book Antiqua"/>
          <w:bCs/>
          <w:spacing w:val="0"/>
          <w:szCs w:val="24"/>
        </w:rPr>
        <w:t>.</w:t>
      </w:r>
      <w:r w:rsidRPr="00D3653F">
        <w:rPr>
          <w:rFonts w:ascii="Book Antiqua" w:hAnsi="Book Antiqua"/>
          <w:spacing w:val="0"/>
          <w:szCs w:val="24"/>
        </w:rPr>
        <w:t xml:space="preserve"> Subsequently, and without alerting the healthy subject to the change, the colored </w:t>
      </w:r>
      <w:proofErr w:type="spellStart"/>
      <w:r w:rsidRPr="00D3653F">
        <w:rPr>
          <w:rFonts w:ascii="Book Antiqua" w:hAnsi="Book Antiqua"/>
          <w:spacing w:val="0"/>
          <w:szCs w:val="24"/>
        </w:rPr>
        <w:t>HCl</w:t>
      </w:r>
      <w:proofErr w:type="spellEnd"/>
      <w:r w:rsidRPr="00D3653F">
        <w:rPr>
          <w:rFonts w:ascii="Book Antiqua" w:hAnsi="Book Antiqua"/>
          <w:spacing w:val="0"/>
          <w:szCs w:val="24"/>
        </w:rPr>
        <w:t xml:space="preserve"> (pH 1) was infused for another 10 min at the same </w:t>
      </w:r>
      <w:proofErr w:type="gramStart"/>
      <w:r w:rsidRPr="00D3653F">
        <w:rPr>
          <w:rFonts w:ascii="Book Antiqua" w:hAnsi="Book Antiqua"/>
          <w:spacing w:val="0"/>
          <w:szCs w:val="24"/>
        </w:rPr>
        <w:t>rate</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15]</w:t>
      </w:r>
      <w:r w:rsidRPr="00D3653F">
        <w:rPr>
          <w:rFonts w:ascii="Book Antiqua" w:hAnsi="Book Antiqua"/>
          <w:spacing w:val="0"/>
          <w:szCs w:val="24"/>
        </w:rPr>
        <w:t>.</w:t>
      </w:r>
      <w:r w:rsidRPr="00D3653F">
        <w:rPr>
          <w:rFonts w:ascii="Book Antiqua" w:eastAsia="MS PGothic" w:hAnsi="Book Antiqua"/>
          <w:bCs/>
          <w:spacing w:val="0"/>
          <w:szCs w:val="24"/>
        </w:rPr>
        <w:t xml:space="preserve"> </w:t>
      </w:r>
      <w:proofErr w:type="gramStart"/>
      <w:r w:rsidRPr="00D3653F">
        <w:rPr>
          <w:rFonts w:ascii="Book Antiqua" w:eastAsia="MS PGothic" w:hAnsi="Book Antiqua"/>
          <w:bCs/>
          <w:spacing w:val="0"/>
          <w:szCs w:val="24"/>
        </w:rPr>
        <w:t>he</w:t>
      </w:r>
      <w:proofErr w:type="gramEnd"/>
      <w:r w:rsidRPr="00D3653F">
        <w:rPr>
          <w:rFonts w:ascii="Book Antiqua" w:eastAsia="MS PGothic" w:hAnsi="Book Antiqua"/>
          <w:bCs/>
          <w:spacing w:val="0"/>
          <w:szCs w:val="24"/>
        </w:rPr>
        <w:t xml:space="preserve"> </w:t>
      </w:r>
      <w:proofErr w:type="spellStart"/>
      <w:r w:rsidRPr="00D3653F">
        <w:rPr>
          <w:rFonts w:ascii="Book Antiqua" w:eastAsia="MS PGothic" w:hAnsi="Book Antiqua"/>
          <w:bCs/>
          <w:spacing w:val="0"/>
          <w:szCs w:val="24"/>
        </w:rPr>
        <w:t>manometric</w:t>
      </w:r>
      <w:proofErr w:type="spellEnd"/>
      <w:r w:rsidRPr="00D3653F">
        <w:rPr>
          <w:rFonts w:ascii="Book Antiqua" w:eastAsia="MS PGothic" w:hAnsi="Book Antiqua"/>
          <w:bCs/>
          <w:spacing w:val="0"/>
          <w:szCs w:val="24"/>
        </w:rPr>
        <w:t xml:space="preserve"> waves and </w:t>
      </w:r>
      <w:proofErr w:type="spellStart"/>
      <w:r w:rsidRPr="00D3653F">
        <w:rPr>
          <w:rFonts w:ascii="Book Antiqua" w:eastAsia="MS PGothic" w:hAnsi="Book Antiqua"/>
          <w:bCs/>
          <w:spacing w:val="0"/>
          <w:szCs w:val="24"/>
        </w:rPr>
        <w:t>ultrasonographic</w:t>
      </w:r>
      <w:proofErr w:type="spellEnd"/>
      <w:r w:rsidRPr="00D3653F">
        <w:rPr>
          <w:rFonts w:ascii="Book Antiqua" w:eastAsia="MS PGothic" w:hAnsi="Book Antiqua"/>
          <w:bCs/>
          <w:spacing w:val="0"/>
          <w:szCs w:val="24"/>
        </w:rPr>
        <w:t xml:space="preserve"> and endoscopic views were displayed on the same monitor using a screen separation device (MV-410RGB; HOUEI, Tokyo, Japan).</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  Esophageal contractions induced by the infusion of physiological saline and acid were analyzed simultaneously by all three modalities, namely conventional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endoscopic ultrasonography, and endoscopic observation. This was done to determine whether the esophageal peristaltic waves diagnosed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corresponded to the propulsive contractions identified by endoscopy. </w:t>
      </w:r>
      <w:r w:rsidRPr="00D3653F">
        <w:rPr>
          <w:rFonts w:ascii="Book Antiqua" w:eastAsia="MS PGothic" w:hAnsi="Book Antiqua"/>
          <w:bCs/>
          <w:spacing w:val="0"/>
          <w:szCs w:val="24"/>
        </w:rPr>
        <w:t xml:space="preserve">In the present study, </w:t>
      </w:r>
      <w:r w:rsidRPr="00D3653F">
        <w:rPr>
          <w:rFonts w:ascii="Book Antiqua" w:hAnsi="Book Antiqua"/>
          <w:bCs/>
          <w:spacing w:val="0"/>
          <w:szCs w:val="24"/>
        </w:rPr>
        <w:t>primary and secondary peristalsis were defined as successful if a pressure wave &gt;</w:t>
      </w:r>
      <w:r w:rsidRPr="00D3653F">
        <w:rPr>
          <w:rFonts w:ascii="Book Antiqua" w:eastAsia="宋体" w:hAnsi="Book Antiqua"/>
          <w:bCs/>
          <w:spacing w:val="0"/>
          <w:szCs w:val="24"/>
          <w:lang w:eastAsia="zh-CN"/>
        </w:rPr>
        <w:t xml:space="preserve"> </w:t>
      </w:r>
      <w:r w:rsidRPr="00D3653F">
        <w:rPr>
          <w:rFonts w:ascii="Book Antiqua" w:hAnsi="Book Antiqua"/>
          <w:bCs/>
          <w:spacing w:val="0"/>
          <w:szCs w:val="24"/>
        </w:rPr>
        <w:t>12 mmHg at the two proximal esophageal recording sites (12 and 17 cm above the LES) and &gt;</w:t>
      </w:r>
      <w:r w:rsidRPr="00D3653F">
        <w:rPr>
          <w:rFonts w:ascii="Book Antiqua" w:eastAsia="宋体" w:hAnsi="Book Antiqua"/>
          <w:bCs/>
          <w:spacing w:val="0"/>
          <w:szCs w:val="24"/>
          <w:lang w:eastAsia="zh-CN"/>
        </w:rPr>
        <w:t xml:space="preserve"> </w:t>
      </w:r>
      <w:r w:rsidRPr="00D3653F">
        <w:rPr>
          <w:rFonts w:ascii="Book Antiqua" w:hAnsi="Book Antiqua"/>
          <w:bCs/>
          <w:spacing w:val="0"/>
          <w:szCs w:val="24"/>
        </w:rPr>
        <w:t>25 mmHg at the middle and distal esophageal recording sites progressively traversed all the esophageal recording sites</w:t>
      </w:r>
      <w:r w:rsidRPr="00D3653F">
        <w:rPr>
          <w:rFonts w:ascii="Book Antiqua" w:hAnsi="Book Antiqua"/>
          <w:bCs/>
          <w:spacing w:val="0"/>
          <w:szCs w:val="24"/>
          <w:vertAlign w:val="superscript"/>
        </w:rPr>
        <w:t>[16]</w:t>
      </w:r>
      <w:r w:rsidRPr="00D3653F">
        <w:rPr>
          <w:rFonts w:ascii="Book Antiqua" w:hAnsi="Book Antiqua"/>
          <w:bCs/>
          <w:spacing w:val="0"/>
          <w:szCs w:val="24"/>
        </w:rPr>
        <w:t>. Peristaltic progression was defined as a peristaltic velocity of ≤6 cm/</w:t>
      </w:r>
      <w:proofErr w:type="gramStart"/>
      <w:r w:rsidRPr="00D3653F">
        <w:rPr>
          <w:rFonts w:ascii="Book Antiqua" w:hAnsi="Book Antiqua"/>
          <w:bCs/>
          <w:spacing w:val="0"/>
          <w:szCs w:val="24"/>
        </w:rPr>
        <w:t>s</w:t>
      </w:r>
      <w:r w:rsidRPr="00D3653F">
        <w:rPr>
          <w:rFonts w:ascii="Book Antiqua" w:hAnsi="Book Antiqua"/>
          <w:bCs/>
          <w:spacing w:val="0"/>
          <w:szCs w:val="24"/>
          <w:vertAlign w:val="superscript"/>
        </w:rPr>
        <w:t>[</w:t>
      </w:r>
      <w:proofErr w:type="gramEnd"/>
      <w:r w:rsidRPr="00D3653F">
        <w:rPr>
          <w:rFonts w:ascii="Book Antiqua" w:hAnsi="Book Antiqua"/>
          <w:bCs/>
          <w:spacing w:val="0"/>
          <w:szCs w:val="24"/>
          <w:vertAlign w:val="superscript"/>
        </w:rPr>
        <w:t>17]</w:t>
      </w:r>
      <w:r w:rsidRPr="00D3653F">
        <w:rPr>
          <w:rFonts w:ascii="Book Antiqua" w:hAnsi="Book Antiqua"/>
          <w:bCs/>
          <w:spacing w:val="0"/>
          <w:szCs w:val="24"/>
        </w:rPr>
        <w:t>. Failed peristalsis was defined as either failure to generate a pressure wave &gt;</w:t>
      </w:r>
      <w:r w:rsidRPr="00D3653F">
        <w:rPr>
          <w:rFonts w:ascii="Book Antiqua" w:eastAsia="宋体" w:hAnsi="Book Antiqua"/>
          <w:bCs/>
          <w:spacing w:val="0"/>
          <w:szCs w:val="24"/>
          <w:lang w:eastAsia="zh-CN"/>
        </w:rPr>
        <w:t xml:space="preserve"> </w:t>
      </w:r>
      <w:r w:rsidRPr="00D3653F">
        <w:rPr>
          <w:rFonts w:ascii="Book Antiqua" w:hAnsi="Book Antiqua"/>
          <w:bCs/>
          <w:spacing w:val="0"/>
          <w:szCs w:val="24"/>
        </w:rPr>
        <w:t>12 mmHg at the two proximal esophageal recording sites and &gt;</w:t>
      </w:r>
      <w:r w:rsidRPr="00D3653F">
        <w:rPr>
          <w:rFonts w:ascii="Book Antiqua" w:eastAsia="宋体" w:hAnsi="Book Antiqua"/>
          <w:bCs/>
          <w:spacing w:val="0"/>
          <w:szCs w:val="24"/>
          <w:lang w:eastAsia="zh-CN"/>
        </w:rPr>
        <w:t xml:space="preserve"> </w:t>
      </w:r>
      <w:r w:rsidRPr="00D3653F">
        <w:rPr>
          <w:rFonts w:ascii="Book Antiqua" w:hAnsi="Book Antiqua"/>
          <w:bCs/>
          <w:spacing w:val="0"/>
          <w:szCs w:val="24"/>
        </w:rPr>
        <w:t>25 mmHg at the middle and distal esophageal recording sites, a failure of the wave to traverse each of the esophageal recording sites, or a peristaltic velocity &gt;</w:t>
      </w:r>
      <w:r w:rsidRPr="00D3653F">
        <w:rPr>
          <w:rFonts w:ascii="Book Antiqua" w:eastAsia="宋体" w:hAnsi="Book Antiqua"/>
          <w:bCs/>
          <w:spacing w:val="0"/>
          <w:szCs w:val="24"/>
          <w:lang w:eastAsia="zh-CN"/>
        </w:rPr>
        <w:t xml:space="preserve"> </w:t>
      </w:r>
      <w:r w:rsidRPr="00D3653F">
        <w:rPr>
          <w:rFonts w:ascii="Book Antiqua" w:hAnsi="Book Antiqua"/>
          <w:bCs/>
          <w:spacing w:val="0"/>
          <w:szCs w:val="24"/>
        </w:rPr>
        <w:t xml:space="preserve">6 cm/s between the recording sites 2 and 17 cm above the </w:t>
      </w:r>
      <w:proofErr w:type="gramStart"/>
      <w:r w:rsidRPr="00D3653F">
        <w:rPr>
          <w:rFonts w:ascii="Book Antiqua" w:hAnsi="Book Antiqua"/>
          <w:bCs/>
          <w:spacing w:val="0"/>
          <w:szCs w:val="24"/>
        </w:rPr>
        <w:t>LES</w:t>
      </w:r>
      <w:r w:rsidRPr="00D3653F">
        <w:rPr>
          <w:rFonts w:ascii="Book Antiqua" w:hAnsi="Book Antiqua"/>
          <w:bCs/>
          <w:spacing w:val="0"/>
          <w:szCs w:val="24"/>
          <w:vertAlign w:val="superscript"/>
        </w:rPr>
        <w:t>[</w:t>
      </w:r>
      <w:proofErr w:type="gramEnd"/>
      <w:r w:rsidRPr="00D3653F">
        <w:rPr>
          <w:rFonts w:ascii="Book Antiqua" w:hAnsi="Book Antiqua"/>
          <w:bCs/>
          <w:spacing w:val="0"/>
          <w:szCs w:val="24"/>
          <w:vertAlign w:val="superscript"/>
        </w:rPr>
        <w:t>16]</w:t>
      </w:r>
      <w:r w:rsidRPr="00D3653F">
        <w:rPr>
          <w:rFonts w:ascii="Book Antiqua" w:hAnsi="Book Antiqua"/>
          <w:bCs/>
          <w:spacing w:val="0"/>
          <w:szCs w:val="24"/>
        </w:rPr>
        <w:t xml:space="preserve">. </w:t>
      </w:r>
      <w:r w:rsidRPr="00D3653F">
        <w:rPr>
          <w:rFonts w:ascii="Book Antiqua" w:eastAsia="MS PGothic" w:hAnsi="Book Antiqua"/>
          <w:bCs/>
          <w:spacing w:val="0"/>
          <w:szCs w:val="24"/>
        </w:rPr>
        <w:t xml:space="preserve">Esophageal contractions were determined to be propulsive if a full contraction observed by endoscopic </w:t>
      </w:r>
      <w:proofErr w:type="spellStart"/>
      <w:r w:rsidRPr="00D3653F">
        <w:rPr>
          <w:rFonts w:ascii="Book Antiqua" w:eastAsia="MS PGothic" w:hAnsi="Book Antiqua"/>
          <w:bCs/>
          <w:spacing w:val="0"/>
          <w:szCs w:val="24"/>
        </w:rPr>
        <w:t>sonography</w:t>
      </w:r>
      <w:proofErr w:type="spellEnd"/>
      <w:r w:rsidRPr="00D3653F">
        <w:rPr>
          <w:rFonts w:ascii="Book Antiqua" w:eastAsia="MS PGothic" w:hAnsi="Book Antiqua"/>
          <w:bCs/>
          <w:spacing w:val="0"/>
          <w:szCs w:val="24"/>
        </w:rPr>
        <w:t xml:space="preserve"> propelled the indigo carmine-stained acid retained in the esophagus into the stomach. Esophageal contractions were determined to be non-propulsive if an incomplete contraction did not propel the acid into the stomach. Peristaltic waves and propulsive contractions </w:t>
      </w:r>
      <w:r w:rsidRPr="00D3653F">
        <w:rPr>
          <w:rFonts w:ascii="Book Antiqua" w:eastAsia="MS PGothic" w:hAnsi="Book Antiqua"/>
          <w:bCs/>
          <w:spacing w:val="0"/>
          <w:szCs w:val="24"/>
        </w:rPr>
        <w:lastRenderedPageBreak/>
        <w:t>were identified as primary or secondary on the basis of the presence or absence of deglutition, respectively.</w:t>
      </w:r>
    </w:p>
    <w:p w:rsidR="006A1FFB" w:rsidRPr="00D3653F" w:rsidRDefault="006A1FFB" w:rsidP="00D3653F">
      <w:pPr>
        <w:spacing w:line="360" w:lineRule="auto"/>
        <w:rPr>
          <w:rFonts w:ascii="Book Antiqua" w:hAnsi="Book Antiqua"/>
          <w:bCs/>
          <w:spacing w:val="0"/>
          <w:szCs w:val="24"/>
        </w:rPr>
      </w:pPr>
    </w:p>
    <w:p w:rsidR="006A1FFB" w:rsidRPr="003C381B" w:rsidRDefault="006A1FFB" w:rsidP="00D3653F">
      <w:pPr>
        <w:spacing w:line="360" w:lineRule="auto"/>
        <w:rPr>
          <w:rFonts w:ascii="Book Antiqua" w:hAnsi="Book Antiqua"/>
          <w:b/>
          <w:i/>
          <w:iCs/>
          <w:spacing w:val="0"/>
          <w:szCs w:val="24"/>
        </w:rPr>
      </w:pPr>
      <w:r w:rsidRPr="003C381B">
        <w:rPr>
          <w:rFonts w:ascii="Book Antiqua" w:hAnsi="Book Antiqua"/>
          <w:b/>
          <w:i/>
          <w:iCs/>
          <w:spacing w:val="0"/>
          <w:szCs w:val="24"/>
        </w:rPr>
        <w:t>Primary study evaluating acid-induced peristalsis and sensation in the esophagus</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After we confirmed the concordance of esophageal peristalsis as assessed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and propulsive contraction determined </w:t>
      </w:r>
      <w:proofErr w:type="spellStart"/>
      <w:r w:rsidRPr="00D3653F">
        <w:rPr>
          <w:rFonts w:ascii="Book Antiqua" w:hAnsi="Book Antiqua"/>
          <w:spacing w:val="0"/>
          <w:szCs w:val="24"/>
        </w:rPr>
        <w:t>endoscopically</w:t>
      </w:r>
      <w:proofErr w:type="spellEnd"/>
      <w:r w:rsidRPr="00D3653F">
        <w:rPr>
          <w:rFonts w:ascii="Book Antiqua" w:hAnsi="Book Antiqua"/>
          <w:spacing w:val="0"/>
          <w:szCs w:val="24"/>
        </w:rPr>
        <w:t xml:space="preserve">, we performed the primary study using endoscopy-based testing without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The ultrathin endoscope was inserted </w:t>
      </w:r>
      <w:proofErr w:type="spellStart"/>
      <w:r w:rsidRPr="00D3653F">
        <w:rPr>
          <w:rFonts w:ascii="Book Antiqua" w:hAnsi="Book Antiqua"/>
          <w:spacing w:val="0"/>
          <w:szCs w:val="24"/>
        </w:rPr>
        <w:t>transnasally</w:t>
      </w:r>
      <w:proofErr w:type="spellEnd"/>
      <w:r w:rsidRPr="00D3653F">
        <w:rPr>
          <w:rFonts w:ascii="Book Antiqua" w:hAnsi="Book Antiqua"/>
          <w:spacing w:val="0"/>
          <w:szCs w:val="24"/>
        </w:rPr>
        <w:t xml:space="preserve"> in </w:t>
      </w:r>
      <w:proofErr w:type="spellStart"/>
      <w:r w:rsidRPr="00D3653F">
        <w:rPr>
          <w:rFonts w:ascii="Book Antiqua" w:hAnsi="Book Antiqua"/>
          <w:spacing w:val="0"/>
          <w:szCs w:val="24"/>
        </w:rPr>
        <w:t>unsedated</w:t>
      </w:r>
      <w:proofErr w:type="spellEnd"/>
      <w:r w:rsidRPr="00D3653F">
        <w:rPr>
          <w:rFonts w:ascii="Book Antiqua" w:hAnsi="Book Antiqua"/>
          <w:spacing w:val="0"/>
          <w:szCs w:val="24"/>
        </w:rPr>
        <w:t xml:space="preserve"> patients to allow for endoscopic observation of the esophagus and </w:t>
      </w:r>
      <w:proofErr w:type="spellStart"/>
      <w:r w:rsidRPr="00D3653F">
        <w:rPr>
          <w:rFonts w:ascii="Book Antiqua" w:hAnsi="Book Antiqua"/>
          <w:spacing w:val="0"/>
          <w:szCs w:val="24"/>
        </w:rPr>
        <w:t>cardia</w:t>
      </w:r>
      <w:proofErr w:type="spellEnd"/>
      <w:r w:rsidRPr="00D3653F">
        <w:rPr>
          <w:rFonts w:ascii="Book Antiqua" w:hAnsi="Book Antiqua"/>
          <w:spacing w:val="0"/>
          <w:szCs w:val="24"/>
        </w:rPr>
        <w:t xml:space="preserve">. Then, esophageal propulsive contractions and esophageal sensations were assessed simultaneously during infusion of physiological saline and </w:t>
      </w:r>
      <w:proofErr w:type="spellStart"/>
      <w:r w:rsidRPr="00D3653F">
        <w:rPr>
          <w:rFonts w:ascii="Book Antiqua" w:hAnsi="Book Antiqua"/>
          <w:spacing w:val="0"/>
          <w:szCs w:val="24"/>
        </w:rPr>
        <w:t>HCl</w:t>
      </w:r>
      <w:proofErr w:type="spellEnd"/>
      <w:r w:rsidRPr="00D3653F">
        <w:rPr>
          <w:rFonts w:ascii="Book Antiqua" w:hAnsi="Book Antiqua"/>
          <w:spacing w:val="0"/>
          <w:szCs w:val="24"/>
        </w:rPr>
        <w:t xml:space="preserve"> (pH </w:t>
      </w:r>
      <w:r w:rsidRPr="00D3653F">
        <w:rPr>
          <w:rFonts w:ascii="Book Antiqua" w:eastAsia="宋体" w:hAnsi="Book Antiqua"/>
          <w:spacing w:val="0"/>
          <w:szCs w:val="24"/>
          <w:lang w:eastAsia="zh-CN"/>
        </w:rPr>
        <w:t xml:space="preserve">= </w:t>
      </w:r>
      <w:r w:rsidRPr="00D3653F">
        <w:rPr>
          <w:rFonts w:ascii="Book Antiqua" w:hAnsi="Book Antiqua"/>
          <w:spacing w:val="0"/>
          <w:szCs w:val="24"/>
        </w:rPr>
        <w:t xml:space="preserve">1) (10 min each; 10 mL/min) via the endoscope channel. A 5-min interval was allowed between the acid and saline infusions. </w:t>
      </w:r>
    </w:p>
    <w:p w:rsidR="006A1FFB" w:rsidRPr="00D3653F" w:rsidRDefault="006A1FFB" w:rsidP="00D3653F">
      <w:pPr>
        <w:spacing w:line="360" w:lineRule="auto"/>
        <w:ind w:firstLineChars="200" w:firstLine="480"/>
        <w:rPr>
          <w:rFonts w:ascii="Book Antiqua" w:hAnsi="Book Antiqua"/>
          <w:spacing w:val="0"/>
          <w:szCs w:val="24"/>
        </w:rPr>
      </w:pPr>
      <w:r w:rsidRPr="00D3653F">
        <w:rPr>
          <w:rFonts w:ascii="Book Antiqua" w:eastAsia="MS PGothic" w:hAnsi="Book Antiqua"/>
          <w:bCs/>
          <w:spacing w:val="0"/>
          <w:szCs w:val="24"/>
        </w:rPr>
        <w:t xml:space="preserve">The endpoints used to assess esophageal sensations following infusion were </w:t>
      </w:r>
      <w:r w:rsidRPr="00D3653F">
        <w:rPr>
          <w:rFonts w:ascii="Book Antiqua" w:hAnsi="Book Antiqua"/>
          <w:bCs/>
          <w:spacing w:val="0"/>
          <w:szCs w:val="24"/>
        </w:rPr>
        <w:t>l</w:t>
      </w:r>
      <w:r w:rsidRPr="00D3653F">
        <w:rPr>
          <w:rFonts w:ascii="Book Antiqua" w:eastAsia="MS PGothic" w:hAnsi="Book Antiqua"/>
          <w:bCs/>
          <w:spacing w:val="0"/>
          <w:szCs w:val="24"/>
        </w:rPr>
        <w:t>ag time, intensity rat</w:t>
      </w:r>
      <w:r w:rsidRPr="00D3653F">
        <w:rPr>
          <w:rFonts w:ascii="Book Antiqua" w:hAnsi="Book Antiqua"/>
          <w:bCs/>
          <w:spacing w:val="0"/>
          <w:szCs w:val="24"/>
        </w:rPr>
        <w:t>e</w:t>
      </w:r>
      <w:r w:rsidRPr="00D3653F">
        <w:rPr>
          <w:rFonts w:ascii="Book Antiqua" w:eastAsia="MS PGothic" w:hAnsi="Book Antiqua"/>
          <w:bCs/>
          <w:spacing w:val="0"/>
          <w:szCs w:val="24"/>
        </w:rPr>
        <w:t xml:space="preserve">, and </w:t>
      </w:r>
      <w:r w:rsidRPr="00D3653F">
        <w:rPr>
          <w:rFonts w:ascii="Book Antiqua" w:hAnsi="Book Antiqua"/>
          <w:bCs/>
          <w:spacing w:val="0"/>
          <w:szCs w:val="24"/>
        </w:rPr>
        <w:t>t</w:t>
      </w:r>
      <w:r w:rsidRPr="00D3653F">
        <w:rPr>
          <w:rFonts w:ascii="Book Antiqua" w:eastAsia="MS PGothic" w:hAnsi="Book Antiqua"/>
          <w:bCs/>
          <w:spacing w:val="0"/>
          <w:szCs w:val="24"/>
        </w:rPr>
        <w:t xml:space="preserve">he acid perfusion </w:t>
      </w:r>
      <w:r w:rsidRPr="00D3653F">
        <w:rPr>
          <w:rFonts w:ascii="Book Antiqua" w:hAnsi="Book Antiqua"/>
          <w:bCs/>
          <w:spacing w:val="0"/>
          <w:szCs w:val="24"/>
        </w:rPr>
        <w:t>sensitivity</w:t>
      </w:r>
      <w:r w:rsidRPr="00D3653F">
        <w:rPr>
          <w:rFonts w:ascii="Book Antiqua" w:eastAsia="MS PGothic" w:hAnsi="Book Antiqua"/>
          <w:bCs/>
          <w:spacing w:val="0"/>
          <w:szCs w:val="24"/>
        </w:rPr>
        <w:t xml:space="preserve"> score </w:t>
      </w:r>
      <w:r w:rsidRPr="00D3653F">
        <w:rPr>
          <w:rFonts w:ascii="Book Antiqua" w:hAnsi="Book Antiqua"/>
          <w:bCs/>
          <w:spacing w:val="0"/>
          <w:szCs w:val="24"/>
        </w:rPr>
        <w:t>(</w:t>
      </w:r>
      <w:r w:rsidRPr="00D3653F">
        <w:rPr>
          <w:rFonts w:ascii="Book Antiqua" w:eastAsia="MS PGothic" w:hAnsi="Book Antiqua"/>
          <w:bCs/>
          <w:spacing w:val="0"/>
          <w:szCs w:val="24"/>
        </w:rPr>
        <w:t xml:space="preserve">APSS). </w:t>
      </w:r>
      <w:r w:rsidRPr="00D3653F">
        <w:rPr>
          <w:rFonts w:ascii="Book Antiqua" w:hAnsi="Book Antiqua"/>
          <w:bCs/>
          <w:spacing w:val="0"/>
          <w:szCs w:val="24"/>
        </w:rPr>
        <w:t>Lag time was defined as the time (in seconds) to the initial perception of typical symptoms, such as heartburn. The intensity of symptoms associated with acid perfusion was evaluated using a previously validated verbal descriptor scale, with symptoms scored on a scale of 0–10, where 0 means no symptoms and 10 means strong symptoms.</w:t>
      </w:r>
      <w:r w:rsidRPr="00D3653F">
        <w:rPr>
          <w:rFonts w:ascii="Book Antiqua" w:hAnsi="Book Antiqua"/>
          <w:bCs/>
          <w:spacing w:val="0"/>
          <w:szCs w:val="24"/>
          <w:vertAlign w:val="superscript"/>
        </w:rPr>
        <w:t>1</w:t>
      </w:r>
      <w:r w:rsidRPr="00D3653F">
        <w:rPr>
          <w:rFonts w:ascii="Book Antiqua" w:hAnsi="Book Antiqua"/>
          <w:spacing w:val="0"/>
          <w:szCs w:val="24"/>
        </w:rPr>
        <w:t xml:space="preserve"> </w:t>
      </w:r>
      <w:r w:rsidRPr="00D3653F">
        <w:rPr>
          <w:rFonts w:ascii="Book Antiqua" w:hAnsi="Book Antiqua"/>
          <w:bCs/>
          <w:spacing w:val="0"/>
          <w:szCs w:val="24"/>
        </w:rPr>
        <w:t xml:space="preserve">The APSS was calculated from the duration of typical symptom perception, expressed in seconds, and the sensory intensity rating at the end of the acid perfusion. The APSS was divided by 100 for </w:t>
      </w:r>
      <w:proofErr w:type="gramStart"/>
      <w:r w:rsidRPr="00D3653F">
        <w:rPr>
          <w:rFonts w:ascii="Book Antiqua" w:hAnsi="Book Antiqua"/>
          <w:bCs/>
          <w:spacing w:val="0"/>
          <w:szCs w:val="24"/>
        </w:rPr>
        <w:t>convenience</w:t>
      </w:r>
      <w:r w:rsidRPr="00D3653F">
        <w:rPr>
          <w:rFonts w:ascii="Book Antiqua" w:hAnsi="Book Antiqua"/>
          <w:bCs/>
          <w:spacing w:val="0"/>
          <w:szCs w:val="24"/>
          <w:vertAlign w:val="superscript"/>
        </w:rPr>
        <w:t>[</w:t>
      </w:r>
      <w:proofErr w:type="gramEnd"/>
      <w:r w:rsidRPr="00D3653F">
        <w:rPr>
          <w:rFonts w:ascii="Book Antiqua" w:hAnsi="Book Antiqua"/>
          <w:bCs/>
          <w:spacing w:val="0"/>
          <w:szCs w:val="24"/>
          <w:vertAlign w:val="superscript"/>
        </w:rPr>
        <w:t>15]</w:t>
      </w:r>
      <w:r w:rsidRPr="00D3653F">
        <w:rPr>
          <w:rFonts w:ascii="Book Antiqua" w:hAnsi="Book Antiqua"/>
          <w:bCs/>
          <w:spacing w:val="0"/>
          <w:szCs w:val="24"/>
        </w:rPr>
        <w:t>.</w:t>
      </w:r>
    </w:p>
    <w:p w:rsidR="006A1FFB" w:rsidRPr="00D3653F" w:rsidRDefault="006A1FFB" w:rsidP="00D3653F">
      <w:pPr>
        <w:spacing w:line="360" w:lineRule="auto"/>
        <w:ind w:firstLineChars="200" w:firstLine="480"/>
        <w:rPr>
          <w:rFonts w:ascii="Book Antiqua" w:hAnsi="Book Antiqua"/>
          <w:spacing w:val="0"/>
          <w:szCs w:val="24"/>
        </w:rPr>
      </w:pPr>
      <w:r w:rsidRPr="00D3653F">
        <w:rPr>
          <w:rFonts w:ascii="Book Antiqua" w:eastAsia="MS PGothic" w:hAnsi="Book Antiqua"/>
          <w:bCs/>
          <w:spacing w:val="0"/>
          <w:szCs w:val="24"/>
        </w:rPr>
        <w:t xml:space="preserve">This primary study was conducted in patients with </w:t>
      </w:r>
      <w:r w:rsidRPr="00D3653F">
        <w:rPr>
          <w:rFonts w:ascii="Book Antiqua" w:hAnsi="Book Antiqua"/>
          <w:spacing w:val="0"/>
          <w:szCs w:val="24"/>
        </w:rPr>
        <w:t xml:space="preserve">Barrett’s esophagus and subjects undergoing a planned endoscopic examination as part of a routine health check. All subjects provided written informed consent. Using endoscopy-based testing, we evaluated propulsive contractions and acid-induced sensations in these subjects to identify any abnormalities related to Barrett’s esophagus. Furthermore, </w:t>
      </w:r>
      <w:r w:rsidRPr="00D3653F">
        <w:rPr>
          <w:rFonts w:ascii="Book Antiqua" w:hAnsi="Book Antiqua"/>
          <w:spacing w:val="0"/>
          <w:szCs w:val="24"/>
        </w:rPr>
        <w:lastRenderedPageBreak/>
        <w:t xml:space="preserve">sera from all subjects were tested for the presence of </w:t>
      </w:r>
      <w:r w:rsidRPr="00D3653F">
        <w:rPr>
          <w:rFonts w:ascii="Book Antiqua" w:hAnsi="Book Antiqua"/>
          <w:i/>
          <w:spacing w:val="0"/>
          <w:szCs w:val="24"/>
        </w:rPr>
        <w:t>Helicobacter pylori</w:t>
      </w:r>
      <w:r w:rsidRPr="00D3653F">
        <w:rPr>
          <w:rFonts w:ascii="Book Antiqua" w:hAnsi="Book Antiqua"/>
          <w:spacing w:val="0"/>
          <w:szCs w:val="24"/>
        </w:rPr>
        <w:t xml:space="preserve"> antibody. Subjects were asked to stop any acid inhibitory drugs or </w:t>
      </w:r>
      <w:proofErr w:type="spellStart"/>
      <w:r w:rsidRPr="00D3653F">
        <w:rPr>
          <w:rFonts w:ascii="Book Antiqua" w:hAnsi="Book Antiqua"/>
          <w:spacing w:val="0"/>
          <w:szCs w:val="24"/>
        </w:rPr>
        <w:t>prokinetics</w:t>
      </w:r>
      <w:proofErr w:type="spellEnd"/>
      <w:r w:rsidRPr="00D3653F">
        <w:rPr>
          <w:rFonts w:ascii="Book Antiqua" w:hAnsi="Book Antiqua"/>
          <w:spacing w:val="0"/>
          <w:szCs w:val="24"/>
        </w:rPr>
        <w:t xml:space="preserve"> 2 weeks before the examination. If, for any reason, subjects could not stop their medication, they were not included in the study. Furthermore, subjects with a previous history of upper gastrointestinal surgery were excluded from the study. </w:t>
      </w:r>
    </w:p>
    <w:p w:rsidR="006A1FFB" w:rsidRPr="00D3653F" w:rsidRDefault="006A1FFB" w:rsidP="00D3653F">
      <w:pPr>
        <w:spacing w:line="360" w:lineRule="auto"/>
        <w:ind w:firstLineChars="200" w:firstLine="440"/>
        <w:rPr>
          <w:rFonts w:ascii="Book Antiqua" w:hAnsi="Book Antiqua"/>
          <w:spacing w:val="0"/>
          <w:szCs w:val="24"/>
        </w:rPr>
      </w:pPr>
      <w:r w:rsidRPr="00D3653F">
        <w:rPr>
          <w:rFonts w:ascii="Book Antiqua" w:hAnsi="Book Antiqua"/>
          <w:szCs w:val="24"/>
        </w:rPr>
        <w:t xml:space="preserve">Barrett’s esophagus was diagnosed on the basis of endoscopic detection of columnar epithelium extending continuously from the EGJ into the esophagus, without obtaining histological confirmation of the presence of intestinal </w:t>
      </w:r>
      <w:proofErr w:type="gramStart"/>
      <w:r w:rsidRPr="00D3653F">
        <w:rPr>
          <w:rFonts w:ascii="Book Antiqua" w:hAnsi="Book Antiqua"/>
          <w:szCs w:val="24"/>
        </w:rPr>
        <w:t>metaplasia</w:t>
      </w:r>
      <w:r w:rsidRPr="00D3653F">
        <w:rPr>
          <w:rFonts w:ascii="Book Antiqua" w:hAnsi="Book Antiqua"/>
          <w:szCs w:val="24"/>
          <w:vertAlign w:val="superscript"/>
        </w:rPr>
        <w:t>[</w:t>
      </w:r>
      <w:proofErr w:type="gramEnd"/>
      <w:r w:rsidRPr="00D3653F">
        <w:rPr>
          <w:rFonts w:ascii="Book Antiqua" w:hAnsi="Book Antiqua"/>
          <w:szCs w:val="24"/>
          <w:vertAlign w:val="superscript"/>
        </w:rPr>
        <w:t>18]</w:t>
      </w:r>
      <w:r w:rsidRPr="00D3653F">
        <w:rPr>
          <w:rFonts w:ascii="Book Antiqua" w:hAnsi="Book Antiqua"/>
          <w:szCs w:val="24"/>
        </w:rPr>
        <w:t>.</w:t>
      </w:r>
      <w:r w:rsidRPr="00D3653F">
        <w:rPr>
          <w:rFonts w:ascii="Book Antiqua" w:hAnsi="Book Antiqua"/>
          <w:szCs w:val="24"/>
          <w:vertAlign w:val="superscript"/>
        </w:rPr>
        <w:t xml:space="preserve"> </w:t>
      </w:r>
      <w:r w:rsidRPr="00D3653F">
        <w:rPr>
          <w:rFonts w:ascii="Book Antiqua" w:hAnsi="Book Antiqua"/>
          <w:szCs w:val="24"/>
        </w:rPr>
        <w:t xml:space="preserve">The EGJ was defined as the end of the palisading vessels of the lower </w:t>
      </w:r>
      <w:proofErr w:type="gramStart"/>
      <w:r w:rsidRPr="00D3653F">
        <w:rPr>
          <w:rFonts w:ascii="Book Antiqua" w:hAnsi="Book Antiqua"/>
          <w:szCs w:val="24"/>
        </w:rPr>
        <w:t>esophagus</w:t>
      </w:r>
      <w:r w:rsidRPr="00D3653F">
        <w:rPr>
          <w:rFonts w:ascii="Book Antiqua" w:hAnsi="Book Antiqua"/>
          <w:szCs w:val="24"/>
          <w:vertAlign w:val="superscript"/>
        </w:rPr>
        <w:t>[</w:t>
      </w:r>
      <w:proofErr w:type="gramEnd"/>
      <w:r w:rsidRPr="00D3653F">
        <w:rPr>
          <w:rFonts w:ascii="Book Antiqua" w:hAnsi="Book Antiqua"/>
          <w:szCs w:val="24"/>
          <w:vertAlign w:val="superscript"/>
        </w:rPr>
        <w:t>18]</w:t>
      </w:r>
      <w:r w:rsidRPr="00D3653F">
        <w:rPr>
          <w:rFonts w:ascii="Book Antiqua" w:hAnsi="Book Antiqua"/>
          <w:szCs w:val="24"/>
        </w:rPr>
        <w:t xml:space="preserve">. </w:t>
      </w:r>
      <w:r w:rsidRPr="00D3653F">
        <w:rPr>
          <w:rFonts w:ascii="Book Antiqua" w:hAnsi="Book Antiqua"/>
          <w:spacing w:val="0"/>
          <w:szCs w:val="24"/>
        </w:rPr>
        <w:t>Short segment Barrett’s esophagus</w:t>
      </w:r>
      <w:r w:rsidRPr="00D3653F">
        <w:rPr>
          <w:rFonts w:ascii="Book Antiqua" w:hAnsi="Book Antiqua"/>
          <w:szCs w:val="24"/>
        </w:rPr>
        <w:t xml:space="preserve"> (SSBE) was defined as the presence of a columnar epithelium covering &lt;</w:t>
      </w:r>
      <w:r w:rsidRPr="00D3653F">
        <w:rPr>
          <w:rFonts w:ascii="Book Antiqua" w:eastAsia="宋体" w:hAnsi="Book Antiqua"/>
          <w:szCs w:val="24"/>
          <w:lang w:eastAsia="zh-CN"/>
        </w:rPr>
        <w:t xml:space="preserve"> </w:t>
      </w:r>
      <w:r w:rsidRPr="00D3653F">
        <w:rPr>
          <w:rFonts w:ascii="Book Antiqua" w:hAnsi="Book Antiqua"/>
          <w:szCs w:val="24"/>
        </w:rPr>
        <w:t xml:space="preserve">3 cm of at least one segment from the EGJ. </w:t>
      </w:r>
      <w:r w:rsidRPr="00D3653F">
        <w:rPr>
          <w:rFonts w:ascii="Book Antiqua" w:hAnsi="Book Antiqua"/>
          <w:spacing w:val="0"/>
          <w:szCs w:val="24"/>
        </w:rPr>
        <w:t>Long segment Barrett’s esophagus (</w:t>
      </w:r>
      <w:r w:rsidRPr="00D3653F">
        <w:rPr>
          <w:rFonts w:ascii="Book Antiqua" w:hAnsi="Book Antiqua"/>
          <w:szCs w:val="24"/>
        </w:rPr>
        <w:t>LSBE) was defined as the presence of columnar epithelium &gt;</w:t>
      </w:r>
      <w:r w:rsidRPr="00D3653F">
        <w:rPr>
          <w:rFonts w:ascii="Book Antiqua" w:eastAsia="宋体" w:hAnsi="Book Antiqua"/>
          <w:szCs w:val="24"/>
          <w:lang w:eastAsia="zh-CN"/>
        </w:rPr>
        <w:t xml:space="preserve"> </w:t>
      </w:r>
      <w:r w:rsidRPr="00D3653F">
        <w:rPr>
          <w:rFonts w:ascii="Book Antiqua" w:hAnsi="Book Antiqua"/>
          <w:szCs w:val="24"/>
        </w:rPr>
        <w:t xml:space="preserve">3 cm from the EGJ and always covering the entire </w:t>
      </w:r>
      <w:proofErr w:type="gramStart"/>
      <w:r w:rsidRPr="00D3653F">
        <w:rPr>
          <w:rFonts w:ascii="Book Antiqua" w:hAnsi="Book Antiqua"/>
          <w:szCs w:val="24"/>
        </w:rPr>
        <w:t>circumference</w:t>
      </w:r>
      <w:r w:rsidRPr="00D3653F">
        <w:rPr>
          <w:rFonts w:ascii="Book Antiqua" w:hAnsi="Book Antiqua"/>
          <w:szCs w:val="24"/>
          <w:vertAlign w:val="superscript"/>
        </w:rPr>
        <w:t>[</w:t>
      </w:r>
      <w:proofErr w:type="gramEnd"/>
      <w:r w:rsidRPr="00D3653F">
        <w:rPr>
          <w:rFonts w:ascii="Book Antiqua" w:hAnsi="Book Antiqua"/>
          <w:szCs w:val="24"/>
          <w:vertAlign w:val="superscript"/>
        </w:rPr>
        <w:t>19]</w:t>
      </w:r>
      <w:r w:rsidRPr="00D3653F">
        <w:rPr>
          <w:rFonts w:ascii="Book Antiqua" w:hAnsi="Book Antiqua"/>
          <w:szCs w:val="24"/>
        </w:rPr>
        <w:t>.</w:t>
      </w:r>
    </w:p>
    <w:p w:rsidR="006A1FFB" w:rsidRPr="00D3653F" w:rsidRDefault="006A1FFB" w:rsidP="00D3653F">
      <w:pPr>
        <w:spacing w:line="360" w:lineRule="auto"/>
        <w:rPr>
          <w:rFonts w:ascii="Book Antiqua" w:hAnsi="Book Antiqua"/>
          <w:bCs/>
          <w:spacing w:val="0"/>
          <w:szCs w:val="24"/>
        </w:rPr>
      </w:pPr>
    </w:p>
    <w:p w:rsidR="006A1FFB" w:rsidRPr="00D3653F" w:rsidRDefault="006A1FFB" w:rsidP="00D3653F">
      <w:pPr>
        <w:widowControl/>
        <w:spacing w:line="360" w:lineRule="auto"/>
        <w:rPr>
          <w:rFonts w:ascii="Book Antiqua" w:hAnsi="Book Antiqua"/>
          <w:b/>
          <w:bCs/>
          <w:i/>
          <w:spacing w:val="0"/>
          <w:szCs w:val="24"/>
        </w:rPr>
      </w:pPr>
      <w:r w:rsidRPr="00D3653F">
        <w:rPr>
          <w:rFonts w:ascii="Book Antiqua" w:eastAsia="MS PGothic" w:hAnsi="Book Antiqua"/>
          <w:b/>
          <w:bCs/>
          <w:i/>
          <w:spacing w:val="0"/>
          <w:szCs w:val="24"/>
        </w:rPr>
        <w:t>Statistical analysis</w:t>
      </w:r>
    </w:p>
    <w:p w:rsidR="006A1FFB" w:rsidRPr="00D3653F" w:rsidRDefault="006A1FFB" w:rsidP="00D3653F">
      <w:pPr>
        <w:widowControl/>
        <w:spacing w:line="360" w:lineRule="auto"/>
        <w:rPr>
          <w:rFonts w:ascii="Book Antiqua" w:eastAsia="MS PGothic" w:hAnsi="Book Antiqua"/>
          <w:b/>
          <w:bCs/>
          <w:spacing w:val="0"/>
          <w:szCs w:val="24"/>
        </w:rPr>
      </w:pPr>
      <w:r w:rsidRPr="00D3653F">
        <w:rPr>
          <w:rFonts w:ascii="Book Antiqua" w:eastAsia="MS PGothic" w:hAnsi="Book Antiqua"/>
          <w:bCs/>
          <w:spacing w:val="0"/>
          <w:szCs w:val="24"/>
        </w:rPr>
        <w:t xml:space="preserve">All data are presented as the mean ± SD. The significance of differences among the control, SSBE, and LSBE groups was assessed using the </w:t>
      </w:r>
      <w:r w:rsidRPr="00D3653F">
        <w:rPr>
          <w:rFonts w:ascii="Book Antiqua" w:hAnsi="Book Antiqua"/>
          <w:spacing w:val="0"/>
          <w:szCs w:val="24"/>
        </w:rPr>
        <w:t xml:space="preserve">Mann–Whitney </w:t>
      </w:r>
      <w:r w:rsidRPr="00D3653F">
        <w:rPr>
          <w:rFonts w:ascii="Book Antiqua" w:hAnsi="Book Antiqua"/>
          <w:i/>
          <w:iCs/>
          <w:spacing w:val="0"/>
          <w:szCs w:val="24"/>
        </w:rPr>
        <w:t>U</w:t>
      </w:r>
      <w:r w:rsidRPr="00D3653F">
        <w:rPr>
          <w:rFonts w:ascii="Book Antiqua" w:hAnsi="Book Antiqua"/>
          <w:spacing w:val="0"/>
          <w:szCs w:val="24"/>
        </w:rPr>
        <w:t>-test.</w:t>
      </w:r>
      <w:r w:rsidRPr="00D3653F">
        <w:rPr>
          <w:rFonts w:ascii="Book Antiqua" w:eastAsia="MS PGothic" w:hAnsi="Book Antiqua"/>
          <w:bCs/>
          <w:spacing w:val="0"/>
          <w:szCs w:val="24"/>
        </w:rPr>
        <w:t xml:space="preserve"> </w:t>
      </w:r>
      <w:r w:rsidRPr="00D3653F">
        <w:rPr>
          <w:rFonts w:ascii="Book Antiqua" w:eastAsia="MS PGothic" w:hAnsi="Book Antiqua"/>
          <w:bCs/>
          <w:i/>
          <w:spacing w:val="0"/>
          <w:szCs w:val="24"/>
        </w:rPr>
        <w:t xml:space="preserve">P </w:t>
      </w:r>
      <w:r w:rsidRPr="00D3653F">
        <w:rPr>
          <w:rFonts w:ascii="Book Antiqua" w:eastAsia="MS PGothic" w:hAnsi="Book Antiqua"/>
          <w:bCs/>
          <w:spacing w:val="0"/>
          <w:szCs w:val="24"/>
        </w:rPr>
        <w:t>&lt; 0.05 was considered significant.</w:t>
      </w:r>
    </w:p>
    <w:p w:rsidR="006A1FFB" w:rsidRPr="00D3653F" w:rsidRDefault="006A1FFB" w:rsidP="00D3653F">
      <w:pPr>
        <w:widowControl/>
        <w:spacing w:line="360" w:lineRule="auto"/>
        <w:rPr>
          <w:rFonts w:ascii="Book Antiqua" w:hAnsi="Book Antiqua"/>
          <w:b/>
          <w:spacing w:val="0"/>
          <w:szCs w:val="24"/>
        </w:rPr>
      </w:pPr>
    </w:p>
    <w:p w:rsidR="006A1FFB" w:rsidRPr="00D3653F" w:rsidRDefault="006A1FFB" w:rsidP="00D3653F">
      <w:pPr>
        <w:widowControl/>
        <w:spacing w:line="360" w:lineRule="auto"/>
        <w:rPr>
          <w:rFonts w:ascii="Book Antiqua" w:hAnsi="Book Antiqua"/>
          <w:b/>
          <w:spacing w:val="0"/>
          <w:szCs w:val="24"/>
        </w:rPr>
      </w:pPr>
      <w:r w:rsidRPr="00D3653F">
        <w:rPr>
          <w:rFonts w:ascii="Book Antiqua" w:hAnsi="Book Antiqua"/>
          <w:b/>
          <w:spacing w:val="0"/>
          <w:szCs w:val="24"/>
        </w:rPr>
        <w:t>RESULTS</w:t>
      </w:r>
    </w:p>
    <w:p w:rsidR="006A1FFB" w:rsidRPr="00D3653F" w:rsidRDefault="006A1FFB" w:rsidP="00D3653F">
      <w:pPr>
        <w:spacing w:line="360" w:lineRule="auto"/>
        <w:rPr>
          <w:rFonts w:ascii="Book Antiqua" w:hAnsi="Book Antiqua"/>
          <w:b/>
          <w:bCs/>
          <w:i/>
          <w:spacing w:val="0"/>
          <w:szCs w:val="24"/>
        </w:rPr>
      </w:pPr>
      <w:r w:rsidRPr="00D3653F">
        <w:rPr>
          <w:rFonts w:ascii="Book Antiqua" w:hAnsi="Book Antiqua"/>
          <w:b/>
          <w:bCs/>
          <w:i/>
          <w:spacing w:val="0"/>
          <w:szCs w:val="24"/>
        </w:rPr>
        <w:t xml:space="preserve">Preliminary study evaluating </w:t>
      </w:r>
      <w:proofErr w:type="spellStart"/>
      <w:r w:rsidRPr="00D3653F">
        <w:rPr>
          <w:rFonts w:ascii="Book Antiqua" w:hAnsi="Book Antiqua"/>
          <w:b/>
          <w:bCs/>
          <w:i/>
          <w:spacing w:val="0"/>
          <w:szCs w:val="24"/>
        </w:rPr>
        <w:t>manometric</w:t>
      </w:r>
      <w:proofErr w:type="spellEnd"/>
      <w:r w:rsidRPr="00D3653F">
        <w:rPr>
          <w:rFonts w:ascii="Book Antiqua" w:hAnsi="Book Antiqua"/>
          <w:b/>
          <w:bCs/>
          <w:i/>
          <w:spacing w:val="0"/>
          <w:szCs w:val="24"/>
        </w:rPr>
        <w:t xml:space="preserve"> and endoscopic assessments of peristalsis and propulsive contractions, respectively</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Physiological saline- and acid infusion-induced esophageal contractions were successfully recorded in five subjects using three different modalities simultaneously. Endoscopy revealed a total of 132 esophageal contractions without deglutition during physiological saline and acid infusion. Of these contractions, 74 (56%) and 58 </w:t>
      </w:r>
      <w:r w:rsidRPr="00D3653F">
        <w:rPr>
          <w:rFonts w:ascii="Book Antiqua" w:hAnsi="Book Antiqua"/>
          <w:spacing w:val="0"/>
          <w:szCs w:val="24"/>
        </w:rPr>
        <w:lastRenderedPageBreak/>
        <w:t xml:space="preserve">(44%) contractions were determined to be propulsive and non-propulsive, respectively. All but one of the propulsive contractions assessed by endoscopy </w:t>
      </w:r>
      <w:proofErr w:type="gramStart"/>
      <w:r w:rsidRPr="00D3653F">
        <w:rPr>
          <w:rFonts w:ascii="Book Antiqua" w:hAnsi="Book Antiqua"/>
          <w:spacing w:val="0"/>
          <w:szCs w:val="24"/>
        </w:rPr>
        <w:t>were</w:t>
      </w:r>
      <w:proofErr w:type="gramEnd"/>
      <w:r w:rsidRPr="00D3653F">
        <w:rPr>
          <w:rFonts w:ascii="Book Antiqua" w:hAnsi="Book Antiqua"/>
          <w:spacing w:val="0"/>
          <w:szCs w:val="24"/>
        </w:rPr>
        <w:t xml:space="preserve"> recorded as secondary peristaltic waves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(Figure 2). Primary peristalsis by deglutition was not observed. It is likely that some sort of mechanical failure was responsible for the one propulsive wave showing no marked wave on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Of the 58 non-propulsive contractions assessed by endoscopy,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recorded 51.7% and 48.3% as failed and no response, respectively. The high concordance between esophageal peristalsis assessed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and propulsive contractions assessed by endoscopy indicates that endoscopic observation of propulsive contractions is a satisfactory method for evaluating secondary peristalsis induced by physiological saline and acid infusion.</w:t>
      </w: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b/>
          <w:bCs/>
          <w:i/>
          <w:spacing w:val="0"/>
          <w:szCs w:val="24"/>
        </w:rPr>
      </w:pPr>
      <w:r w:rsidRPr="00D3653F">
        <w:rPr>
          <w:rFonts w:ascii="Book Antiqua" w:hAnsi="Book Antiqua"/>
          <w:b/>
          <w:bCs/>
          <w:i/>
          <w:spacing w:val="0"/>
          <w:szCs w:val="24"/>
        </w:rPr>
        <w:t>Primary study evaluating acid-induced peristalsis and sensation in the esophagus</w:t>
      </w:r>
    </w:p>
    <w:p w:rsidR="006A1FFB" w:rsidRPr="00D3653F" w:rsidRDefault="006A1FFB" w:rsidP="00D3653F">
      <w:pPr>
        <w:widowControl/>
        <w:spacing w:line="360" w:lineRule="auto"/>
        <w:rPr>
          <w:rFonts w:ascii="Book Antiqua" w:hAnsi="Book Antiqua"/>
          <w:spacing w:val="0"/>
          <w:szCs w:val="24"/>
        </w:rPr>
      </w:pPr>
      <w:r w:rsidRPr="00D3653F">
        <w:rPr>
          <w:rFonts w:ascii="Book Antiqua" w:hAnsi="Book Antiqua"/>
          <w:spacing w:val="0"/>
          <w:szCs w:val="24"/>
        </w:rPr>
        <w:t xml:space="preserve">Twenty-six </w:t>
      </w:r>
      <w:r w:rsidRPr="00D3653F">
        <w:rPr>
          <w:rFonts w:ascii="Book Antiqua" w:eastAsia="MS PGothic" w:hAnsi="Book Antiqua"/>
          <w:spacing w:val="0"/>
          <w:szCs w:val="24"/>
        </w:rPr>
        <w:t>patients with Barrett’s esophagus (</w:t>
      </w:r>
      <w:r w:rsidRPr="00D3653F">
        <w:rPr>
          <w:rFonts w:ascii="Book Antiqua" w:hAnsi="Book Antiqua"/>
          <w:spacing w:val="0"/>
          <w:szCs w:val="24"/>
        </w:rPr>
        <w:t>mean age 40 ± 15 years</w:t>
      </w:r>
      <w:r w:rsidRPr="00D3653F">
        <w:rPr>
          <w:rFonts w:ascii="Book Antiqua" w:eastAsia="MS PGothic" w:hAnsi="Book Antiqua"/>
          <w:spacing w:val="0"/>
          <w:szCs w:val="24"/>
        </w:rPr>
        <w:t xml:space="preserve">) and 25 </w:t>
      </w:r>
      <w:r w:rsidRPr="00D3653F">
        <w:rPr>
          <w:rFonts w:ascii="Book Antiqua" w:hAnsi="Book Antiqua"/>
          <w:spacing w:val="0"/>
          <w:szCs w:val="24"/>
        </w:rPr>
        <w:t xml:space="preserve">subjects undergoing endoscopic surveillance as part of their health </w:t>
      </w:r>
      <w:proofErr w:type="spellStart"/>
      <w:r w:rsidRPr="00D3653F">
        <w:rPr>
          <w:rFonts w:ascii="Book Antiqua" w:hAnsi="Book Antiqua"/>
          <w:spacing w:val="0"/>
          <w:szCs w:val="24"/>
        </w:rPr>
        <w:t>check up</w:t>
      </w:r>
      <w:proofErr w:type="spellEnd"/>
      <w:r w:rsidRPr="00D3653F">
        <w:rPr>
          <w:rFonts w:ascii="Book Antiqua" w:eastAsia="MS PGothic" w:hAnsi="Book Antiqua"/>
          <w:spacing w:val="0"/>
          <w:szCs w:val="24"/>
        </w:rPr>
        <w:t xml:space="preserve"> (</w:t>
      </w:r>
      <w:r w:rsidRPr="00D3653F">
        <w:rPr>
          <w:rFonts w:ascii="Book Antiqua" w:hAnsi="Book Antiqua"/>
          <w:spacing w:val="0"/>
          <w:szCs w:val="24"/>
        </w:rPr>
        <w:t>mean age 32 ± 7 years</w:t>
      </w:r>
      <w:r w:rsidRPr="00D3653F">
        <w:rPr>
          <w:rFonts w:ascii="Book Antiqua" w:eastAsia="MS PGothic" w:hAnsi="Book Antiqua"/>
          <w:spacing w:val="0"/>
          <w:szCs w:val="24"/>
        </w:rPr>
        <w:t xml:space="preserve">) were enrolled in the primary study. Of the 26 patients with Barrett’s esophagus, 17 and nine were determined to have SSBE and LSBE, respectively. None of the 25 individuals undergoing the health check had Barrett’s esophagus and so were used as the non-Barrett’s esophagus control group. Two of the 26 patients with Barrett’s esophagus (one in each of the LSBE and SSBE groups) were excluded from the study because there was unsatisfactory accumulation of solution following infusion in the esophagus, probably due to a large hiatal opening. The characteristics of the remaining subjects in each group are given in </w:t>
      </w:r>
      <w:r w:rsidRPr="00D3653F">
        <w:rPr>
          <w:rFonts w:ascii="Book Antiqua" w:hAnsi="Book Antiqua"/>
          <w:spacing w:val="0"/>
          <w:szCs w:val="24"/>
        </w:rPr>
        <w:t xml:space="preserve">Table 1. Subjects in the non-Barrett’s esophagus control group were younger, with a higher proportion of women, than patients with Barrett’s esophagus. The rate of erosive reflux esophagitis </w:t>
      </w:r>
      <w:r w:rsidRPr="00D3653F">
        <w:rPr>
          <w:rFonts w:ascii="Book Antiqua" w:hAnsi="Book Antiqua"/>
          <w:spacing w:val="0"/>
          <w:szCs w:val="24"/>
        </w:rPr>
        <w:lastRenderedPageBreak/>
        <w:t>was significantly higher in patients with Barrett’s esophagus than in the control group.</w:t>
      </w:r>
    </w:p>
    <w:p w:rsidR="006A1FFB" w:rsidRPr="00D3653F" w:rsidRDefault="006A1FFB" w:rsidP="00D3653F">
      <w:pPr>
        <w:spacing w:line="360" w:lineRule="auto"/>
        <w:rPr>
          <w:rFonts w:ascii="Book Antiqua" w:hAnsi="Book Antiqua"/>
          <w:bCs/>
          <w:i/>
          <w:iCs/>
          <w:spacing w:val="0"/>
          <w:szCs w:val="24"/>
        </w:rPr>
      </w:pPr>
    </w:p>
    <w:p w:rsidR="006A1FFB" w:rsidRPr="00D3653F" w:rsidRDefault="006A1FFB" w:rsidP="00D3653F">
      <w:pPr>
        <w:spacing w:line="360" w:lineRule="auto"/>
        <w:rPr>
          <w:rFonts w:ascii="Book Antiqua" w:hAnsi="Book Antiqua"/>
          <w:b/>
          <w:bCs/>
          <w:i/>
          <w:iCs/>
          <w:spacing w:val="0"/>
          <w:szCs w:val="24"/>
        </w:rPr>
      </w:pPr>
      <w:r w:rsidRPr="00D3653F">
        <w:rPr>
          <w:rFonts w:ascii="Book Antiqua" w:hAnsi="Book Antiqua"/>
          <w:b/>
          <w:bCs/>
          <w:i/>
          <w:iCs/>
          <w:spacing w:val="0"/>
          <w:szCs w:val="24"/>
        </w:rPr>
        <w:t>Esophageal sensation induced by acid infusion</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Intensity rates following acid infusion were comparable between non-Barrett’s esophagus controls and patients with Barrett’s esophagus (Table 2). There were no significant differences between the groups in intensity rate. There was a tendency for lag time to be shorter in the LSBE compared with control group, although the difference did not reach statistical significance (88 ± 54 s</w:t>
      </w:r>
      <w:r w:rsidRPr="00D3653F">
        <w:rPr>
          <w:rFonts w:ascii="Book Antiqua" w:hAnsi="Book Antiqua"/>
          <w:i/>
          <w:spacing w:val="0"/>
          <w:szCs w:val="24"/>
        </w:rPr>
        <w:t xml:space="preserve"> </w:t>
      </w:r>
      <w:proofErr w:type="spellStart"/>
      <w:r w:rsidRPr="00D3653F">
        <w:rPr>
          <w:rFonts w:ascii="Book Antiqua" w:hAnsi="Book Antiqua"/>
          <w:i/>
          <w:spacing w:val="0"/>
          <w:szCs w:val="24"/>
        </w:rPr>
        <w:t>vs</w:t>
      </w:r>
      <w:proofErr w:type="spellEnd"/>
      <w:r w:rsidRPr="00D3653F">
        <w:rPr>
          <w:rFonts w:ascii="Book Antiqua" w:hAnsi="Book Antiqua"/>
          <w:spacing w:val="0"/>
          <w:szCs w:val="24"/>
        </w:rPr>
        <w:t xml:space="preserve"> 162 ± 150 s, respectively</w:t>
      </w:r>
      <w:r w:rsidRPr="00D3653F">
        <w:rPr>
          <w:rFonts w:ascii="Book Antiqua" w:eastAsia="宋体" w:hAnsi="Book Antiqua"/>
          <w:spacing w:val="0"/>
          <w:szCs w:val="24"/>
          <w:lang w:eastAsia="zh-CN"/>
        </w:rPr>
        <w:t xml:space="preserve">, </w:t>
      </w:r>
      <w:r w:rsidRPr="00D3653F">
        <w:rPr>
          <w:rFonts w:ascii="Book Antiqua" w:hAnsi="Book Antiqua"/>
          <w:i/>
          <w:spacing w:val="0"/>
          <w:szCs w:val="24"/>
        </w:rPr>
        <w:t>P</w:t>
      </w:r>
      <w:r w:rsidRPr="00D3653F">
        <w:rPr>
          <w:rFonts w:ascii="Book Antiqua" w:hAnsi="Book Antiqua"/>
          <w:spacing w:val="0"/>
          <w:szCs w:val="24"/>
        </w:rPr>
        <w:t xml:space="preserve"> = 0.14). This may indicate that patients with LSBE were more sensitive to acid perfusion. Furthermore, there were no significant differences in the APSS following acid infusion between the non-Barrett’s esophagus controls and patients with Barrett’s esophagus. These results suggest that acid-induced esophageal sensations did not differ between patients with and without Barrett’s esophagus.</w:t>
      </w: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bCs/>
          <w:i/>
          <w:iCs/>
          <w:spacing w:val="0"/>
          <w:szCs w:val="24"/>
        </w:rPr>
      </w:pPr>
      <w:r w:rsidRPr="00D3653F">
        <w:rPr>
          <w:rFonts w:ascii="Book Antiqua" w:hAnsi="Book Antiqua"/>
          <w:b/>
          <w:bCs/>
          <w:i/>
          <w:iCs/>
          <w:spacing w:val="0"/>
          <w:szCs w:val="24"/>
        </w:rPr>
        <w:t>Esophageal propulsive contractions</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There were no significant differences among the groups in the frequency of primary contractions (Table 3) or in the frequency of secondary contractions in the esophagus following 10-min infusion of physiological saline or acid. However, when patients with Barrett’s esophagus were divided into those with LSBE and SSBE, patients in the LSBE group exhibited significantly fewer secondary contractions following infusion of physiological saline than did the non-Barrett’s esophagus controls and patients in the SSBE group (4.1 ± 1.2 </w:t>
      </w:r>
      <w:proofErr w:type="spellStart"/>
      <w:r w:rsidRPr="00D3653F">
        <w:rPr>
          <w:rFonts w:ascii="Book Antiqua" w:hAnsi="Book Antiqua"/>
          <w:i/>
          <w:spacing w:val="0"/>
          <w:szCs w:val="24"/>
        </w:rPr>
        <w:t>vs</w:t>
      </w:r>
      <w:proofErr w:type="spellEnd"/>
      <w:r w:rsidRPr="00D3653F">
        <w:rPr>
          <w:rFonts w:ascii="Book Antiqua" w:hAnsi="Book Antiqua"/>
          <w:spacing w:val="0"/>
          <w:szCs w:val="24"/>
        </w:rPr>
        <w:t xml:space="preserve"> 8.0 ± 2.8</w:t>
      </w:r>
      <w:r w:rsidRPr="00D3653F">
        <w:rPr>
          <w:rFonts w:ascii="Book Antiqua" w:eastAsia="宋体" w:hAnsi="Book Antiqua"/>
          <w:spacing w:val="0"/>
          <w:szCs w:val="24"/>
          <w:lang w:eastAsia="zh-CN"/>
        </w:rPr>
        <w:t xml:space="preserve">, </w:t>
      </w:r>
      <w:r w:rsidRPr="00D3653F">
        <w:rPr>
          <w:rFonts w:ascii="Book Antiqua" w:hAnsi="Book Antiqua"/>
          <w:i/>
          <w:iCs/>
          <w:spacing w:val="0"/>
          <w:szCs w:val="24"/>
        </w:rPr>
        <w:t>P</w:t>
      </w:r>
      <w:r w:rsidRPr="00D3653F">
        <w:rPr>
          <w:rFonts w:ascii="Book Antiqua" w:hAnsi="Book Antiqua"/>
          <w:spacing w:val="0"/>
          <w:szCs w:val="24"/>
        </w:rPr>
        <w:t xml:space="preserve"> &lt; 0.001 and 7.3 ± 3.2</w:t>
      </w:r>
      <w:r w:rsidRPr="00D3653F">
        <w:rPr>
          <w:rFonts w:ascii="Book Antiqua" w:eastAsia="宋体" w:hAnsi="Book Antiqua"/>
          <w:spacing w:val="0"/>
          <w:szCs w:val="24"/>
          <w:lang w:eastAsia="zh-CN"/>
        </w:rPr>
        <w:t xml:space="preserve">, </w:t>
      </w:r>
      <w:r w:rsidRPr="00D3653F">
        <w:rPr>
          <w:rFonts w:ascii="Book Antiqua" w:hAnsi="Book Antiqua"/>
          <w:i/>
          <w:iCs/>
          <w:spacing w:val="0"/>
          <w:szCs w:val="24"/>
        </w:rPr>
        <w:t>P</w:t>
      </w:r>
      <w:r w:rsidRPr="00D3653F">
        <w:rPr>
          <w:rFonts w:ascii="Book Antiqua" w:hAnsi="Book Antiqua"/>
          <w:spacing w:val="0"/>
          <w:szCs w:val="24"/>
        </w:rPr>
        <w:t xml:space="preserve"> &lt; 0.01, respectively; Table 3). Similarly, patients in the LSBE group exhibited a lower frequency of acid-induced secondary contractions than did either the control group or patients in the SSBE group (5.3 ± 1.2</w:t>
      </w:r>
      <w:r w:rsidRPr="00D3653F">
        <w:rPr>
          <w:rFonts w:ascii="Book Antiqua" w:hAnsi="Book Antiqua"/>
          <w:i/>
          <w:spacing w:val="0"/>
          <w:szCs w:val="24"/>
        </w:rPr>
        <w:t xml:space="preserve"> </w:t>
      </w:r>
      <w:proofErr w:type="spellStart"/>
      <w:r w:rsidRPr="00D3653F">
        <w:rPr>
          <w:rFonts w:ascii="Book Antiqua" w:hAnsi="Book Antiqua"/>
          <w:i/>
          <w:spacing w:val="0"/>
          <w:szCs w:val="24"/>
        </w:rPr>
        <w:t>vs</w:t>
      </w:r>
      <w:proofErr w:type="spellEnd"/>
      <w:r w:rsidRPr="00D3653F">
        <w:rPr>
          <w:rFonts w:ascii="Book Antiqua" w:hAnsi="Book Antiqua"/>
          <w:i/>
          <w:spacing w:val="0"/>
          <w:szCs w:val="24"/>
        </w:rPr>
        <w:t xml:space="preserve"> </w:t>
      </w:r>
      <w:r w:rsidRPr="00D3653F">
        <w:rPr>
          <w:rFonts w:ascii="Book Antiqua" w:hAnsi="Book Antiqua"/>
          <w:spacing w:val="0"/>
          <w:szCs w:val="24"/>
        </w:rPr>
        <w:t>8.4 ± 2.4 and 8.1 ± 2.9, respectively</w:t>
      </w:r>
      <w:r w:rsidRPr="00D3653F">
        <w:rPr>
          <w:rFonts w:ascii="Book Antiqua" w:eastAsia="宋体" w:hAnsi="Book Antiqua"/>
          <w:spacing w:val="0"/>
          <w:szCs w:val="24"/>
          <w:lang w:eastAsia="zh-CN"/>
        </w:rPr>
        <w:t>,</w:t>
      </w:r>
      <w:r w:rsidRPr="00D3653F">
        <w:rPr>
          <w:rFonts w:ascii="Book Antiqua" w:hAnsi="Book Antiqua"/>
          <w:spacing w:val="0"/>
          <w:szCs w:val="24"/>
        </w:rPr>
        <w:t xml:space="preserve"> </w:t>
      </w:r>
      <w:r w:rsidRPr="00D3653F">
        <w:rPr>
          <w:rFonts w:ascii="Book Antiqua" w:hAnsi="Book Antiqua"/>
          <w:i/>
          <w:iCs/>
          <w:spacing w:val="0"/>
          <w:szCs w:val="24"/>
        </w:rPr>
        <w:t>P</w:t>
      </w:r>
      <w:r w:rsidRPr="00D3653F">
        <w:rPr>
          <w:rFonts w:ascii="Book Antiqua" w:hAnsi="Book Antiqua"/>
          <w:spacing w:val="0"/>
          <w:szCs w:val="24"/>
        </w:rPr>
        <w:t xml:space="preserve"> &lt; 0.01 </w:t>
      </w:r>
      <w:r w:rsidRPr="00D3653F">
        <w:rPr>
          <w:rFonts w:ascii="Book Antiqua" w:hAnsi="Book Antiqua"/>
          <w:spacing w:val="0"/>
          <w:szCs w:val="24"/>
        </w:rPr>
        <w:lastRenderedPageBreak/>
        <w:t>for both). Although there was a tendency for acid infusion to induce a higher frequency of secondary contractions than infusion of physiological saline, the differences did not reach statistical significance.</w:t>
      </w: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spacing w:val="0"/>
          <w:szCs w:val="24"/>
        </w:rPr>
      </w:pPr>
      <w:r w:rsidRPr="00D3653F">
        <w:rPr>
          <w:rFonts w:ascii="Book Antiqua" w:hAnsi="Book Antiqua"/>
          <w:b/>
          <w:spacing w:val="0"/>
          <w:szCs w:val="24"/>
        </w:rPr>
        <w:t>DISCUSSION</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Endoscopy is essential for the diagnosis of mucosal and structural abnormalities of the upper gastrointestinal tract in individuals with GERD symptoms. The primary aim of endoscopic examination is to exclude malignant dysphagia and to detect Barrett’s esophagus, with its associated cancer risk. In addition, Kawai </w:t>
      </w:r>
      <w:r w:rsidRPr="00D3653F">
        <w:rPr>
          <w:rFonts w:ascii="Book Antiqua" w:hAnsi="Book Antiqua"/>
          <w:i/>
          <w:spacing w:val="0"/>
          <w:szCs w:val="24"/>
        </w:rPr>
        <w:t xml:space="preserve">et </w:t>
      </w:r>
      <w:proofErr w:type="gramStart"/>
      <w:r w:rsidRPr="00D3653F">
        <w:rPr>
          <w:rFonts w:ascii="Book Antiqua" w:hAnsi="Book Antiqua"/>
          <w:i/>
          <w:spacing w:val="0"/>
          <w:szCs w:val="24"/>
        </w:rPr>
        <w:t>al</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20]</w:t>
      </w:r>
      <w:r w:rsidRPr="00D3653F">
        <w:rPr>
          <w:rFonts w:ascii="Book Antiqua" w:hAnsi="Book Antiqua"/>
          <w:spacing w:val="0"/>
          <w:szCs w:val="24"/>
        </w:rPr>
        <w:t xml:space="preserve"> and we (present study) have demonstrated that </w:t>
      </w:r>
      <w:proofErr w:type="spellStart"/>
      <w:r w:rsidRPr="00D3653F">
        <w:rPr>
          <w:rFonts w:ascii="Book Antiqua" w:hAnsi="Book Antiqua"/>
          <w:spacing w:val="0"/>
          <w:szCs w:val="24"/>
        </w:rPr>
        <w:t>transnasal</w:t>
      </w:r>
      <w:proofErr w:type="spellEnd"/>
      <w:r w:rsidRPr="00D3653F">
        <w:rPr>
          <w:rFonts w:ascii="Book Antiqua" w:hAnsi="Book Antiqua"/>
          <w:spacing w:val="0"/>
          <w:szCs w:val="24"/>
        </w:rPr>
        <w:t xml:space="preserve"> endoscopy in </w:t>
      </w:r>
      <w:proofErr w:type="spellStart"/>
      <w:r w:rsidRPr="00D3653F">
        <w:rPr>
          <w:rFonts w:ascii="Book Antiqua" w:hAnsi="Book Antiqua"/>
          <w:spacing w:val="0"/>
          <w:szCs w:val="24"/>
        </w:rPr>
        <w:t>unsedated</w:t>
      </w:r>
      <w:proofErr w:type="spellEnd"/>
      <w:r w:rsidRPr="00D3653F">
        <w:rPr>
          <w:rFonts w:ascii="Book Antiqua" w:hAnsi="Book Antiqua"/>
          <w:spacing w:val="0"/>
          <w:szCs w:val="24"/>
        </w:rPr>
        <w:t xml:space="preserve"> patients can be used to evaluate esophageal function. Because esophageal propulsive contractions assessed by endoscopy corresponded well to esophageal peristalsis recorded by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endoscopy-based testing, as described herein, may prove to be an adequate method with which to evaluate the frequency of acid perfusion-induced secondary peristalsis. Because this testing simultaneously assessed esophageal sensory status induced by acid infusion, we were able to obtain endoscopic findings and functional information for the esophagus in one examination.</w:t>
      </w:r>
    </w:p>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 xml:space="preserve">  Long-term exposure of the squamous mucosa of the lower esophagus to gastric acid or bile can lead to the development of Barrett’s esophagus. Pathogenic exposure to </w:t>
      </w:r>
      <w:proofErr w:type="spellStart"/>
      <w:r w:rsidRPr="00D3653F">
        <w:rPr>
          <w:rFonts w:ascii="Book Antiqua" w:hAnsi="Book Antiqua"/>
          <w:spacing w:val="0"/>
          <w:szCs w:val="24"/>
        </w:rPr>
        <w:t>refluxate</w:t>
      </w:r>
      <w:proofErr w:type="spellEnd"/>
      <w:r w:rsidRPr="00D3653F">
        <w:rPr>
          <w:rFonts w:ascii="Book Antiqua" w:hAnsi="Book Antiqua"/>
          <w:spacing w:val="0"/>
          <w:szCs w:val="24"/>
        </w:rPr>
        <w:t xml:space="preserve"> can result from disturbances in anti-reflux barriers or delayed luminal acid clearance due to abnormalities in esophageal motility or the sensory system. Using endoscopy-based testing, we were able to demonstrate impairments in acid clearance due to a reduction in secondary peristalsis in patients with LSBE compared with patients with SSBE and the non-Barrett’s esophagus controls. The impairment in secondary peristalsis revealed in the present study is comparable with the findings of </w:t>
      </w:r>
      <w:r w:rsidRPr="00D3653F">
        <w:rPr>
          <w:rFonts w:ascii="Book Antiqua" w:hAnsi="Book Antiqua"/>
          <w:spacing w:val="0"/>
          <w:szCs w:val="24"/>
        </w:rPr>
        <w:lastRenderedPageBreak/>
        <w:t xml:space="preserve">a previous study, in which LSBE was characterized by a greater impairment in primary peristaltic wave amplitude than </w:t>
      </w:r>
      <w:proofErr w:type="gramStart"/>
      <w:r w:rsidRPr="00D3653F">
        <w:rPr>
          <w:rFonts w:ascii="Book Antiqua" w:hAnsi="Book Antiqua"/>
          <w:spacing w:val="0"/>
          <w:szCs w:val="24"/>
        </w:rPr>
        <w:t>SSBE</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21]</w:t>
      </w:r>
      <w:r w:rsidRPr="00D3653F">
        <w:rPr>
          <w:rFonts w:ascii="Book Antiqua" w:hAnsi="Book Antiqua"/>
          <w:spacing w:val="0"/>
          <w:szCs w:val="24"/>
        </w:rPr>
        <w:t xml:space="preserve">. </w:t>
      </w:r>
      <w:r w:rsidRPr="00D3653F">
        <w:rPr>
          <w:rFonts w:ascii="Book Antiqua" w:eastAsia="MinionPro-Regular" w:hAnsi="Book Antiqua"/>
          <w:spacing w:val="0"/>
          <w:szCs w:val="24"/>
        </w:rPr>
        <w:t>Primary peristalsis is the initial response to acid reflux in individuals when in the upright position, whereas secondary peristalsis is the initial clearing event when individuals are supine and asleep.</w:t>
      </w:r>
      <w:r w:rsidRPr="00D3653F">
        <w:rPr>
          <w:rFonts w:ascii="Book Antiqua" w:hAnsi="Book Antiqua"/>
          <w:spacing w:val="0"/>
          <w:szCs w:val="24"/>
        </w:rPr>
        <w:t xml:space="preserve"> Therefore, combined impairment in both primary and secondary esophageal peristalsis in patients with LSBE may elicit longer acid exposure. Indeed, it is known that the total percentage of time of esophageal acid exposure over 24 h is significantly greater in patients with LSBE compared with </w:t>
      </w:r>
      <w:proofErr w:type="gramStart"/>
      <w:r w:rsidRPr="00D3653F">
        <w:rPr>
          <w:rFonts w:ascii="Book Antiqua" w:hAnsi="Book Antiqua"/>
          <w:spacing w:val="0"/>
          <w:szCs w:val="24"/>
        </w:rPr>
        <w:t>SSBE</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22]</w:t>
      </w:r>
      <w:r w:rsidRPr="00D3653F">
        <w:rPr>
          <w:rFonts w:ascii="Book Antiqua" w:hAnsi="Book Antiqua"/>
          <w:spacing w:val="0"/>
          <w:szCs w:val="24"/>
        </w:rPr>
        <w:t>.</w:t>
      </w:r>
    </w:p>
    <w:p w:rsidR="006A1FFB" w:rsidRPr="00D3653F" w:rsidRDefault="006A1FFB" w:rsidP="00D3653F">
      <w:pPr>
        <w:spacing w:line="360" w:lineRule="auto"/>
        <w:rPr>
          <w:rFonts w:ascii="Book Antiqua" w:eastAsia="MS PGothic" w:hAnsi="Book Antiqua"/>
          <w:szCs w:val="24"/>
        </w:rPr>
      </w:pPr>
      <w:r w:rsidRPr="00D3653F">
        <w:rPr>
          <w:rFonts w:ascii="Book Antiqua" w:hAnsi="Book Antiqua"/>
          <w:spacing w:val="0"/>
          <w:szCs w:val="24"/>
        </w:rPr>
        <w:t xml:space="preserve">  Impairment of secondary esophageal peristalsis has been reported in patients with various esophageal disorders other than Barrett’s esophagus. For example, defective </w:t>
      </w:r>
      <w:r w:rsidRPr="00D3653F">
        <w:rPr>
          <w:rFonts w:ascii="Book Antiqua" w:hAnsi="Book Antiqua"/>
          <w:bCs/>
          <w:spacing w:val="0"/>
          <w:szCs w:val="24"/>
        </w:rPr>
        <w:t xml:space="preserve">triggering of secondary peristalsis has been reported in patients with non-erosive reflux </w:t>
      </w:r>
      <w:proofErr w:type="gramStart"/>
      <w:r w:rsidRPr="00D3653F">
        <w:rPr>
          <w:rFonts w:ascii="Book Antiqua" w:hAnsi="Book Antiqua"/>
          <w:bCs/>
          <w:spacing w:val="0"/>
          <w:szCs w:val="24"/>
        </w:rPr>
        <w:t>disease</w:t>
      </w:r>
      <w:r w:rsidRPr="00D3653F">
        <w:rPr>
          <w:rFonts w:ascii="Book Antiqua" w:hAnsi="Book Antiqua"/>
          <w:bCs/>
          <w:spacing w:val="0"/>
          <w:szCs w:val="24"/>
          <w:vertAlign w:val="superscript"/>
        </w:rPr>
        <w:t>[</w:t>
      </w:r>
      <w:proofErr w:type="gramEnd"/>
      <w:r w:rsidRPr="00D3653F">
        <w:rPr>
          <w:rFonts w:ascii="Book Antiqua" w:hAnsi="Book Antiqua"/>
          <w:bCs/>
          <w:spacing w:val="0"/>
          <w:szCs w:val="24"/>
          <w:vertAlign w:val="superscript"/>
        </w:rPr>
        <w:t>23]</w:t>
      </w:r>
      <w:r w:rsidRPr="00D3653F">
        <w:rPr>
          <w:rFonts w:ascii="Book Antiqua" w:hAnsi="Book Antiqua"/>
          <w:bCs/>
          <w:spacing w:val="0"/>
          <w:szCs w:val="24"/>
        </w:rPr>
        <w:t xml:space="preserve">, whereas </w:t>
      </w:r>
      <w:r w:rsidRPr="00D3653F">
        <w:rPr>
          <w:rFonts w:ascii="Book Antiqua" w:hAnsi="Book Antiqua"/>
          <w:spacing w:val="0"/>
          <w:szCs w:val="24"/>
        </w:rPr>
        <w:t>impaired esophageal bolus transit and clearance by secondary peristalsis was demonstrated in patients with non-obstructive dysphagia</w:t>
      </w:r>
      <w:r w:rsidRPr="00D3653F">
        <w:rPr>
          <w:rFonts w:ascii="Book Antiqua" w:hAnsi="Book Antiqua"/>
          <w:spacing w:val="0"/>
          <w:szCs w:val="24"/>
          <w:vertAlign w:val="superscript"/>
        </w:rPr>
        <w:t>[24]</w:t>
      </w:r>
      <w:r w:rsidRPr="00D3653F">
        <w:rPr>
          <w:rFonts w:ascii="Book Antiqua" w:hAnsi="Book Antiqua"/>
          <w:spacing w:val="0"/>
          <w:szCs w:val="24"/>
        </w:rPr>
        <w:t xml:space="preserve">. However, the mechanisms underlying defective secondary peristalsis remain unknown. Because secondary peristalsis is a reflex response to esophageal distention, the defect may lie in the esophageal motor nerves or muscles, esophageal sensation, the central integrative mechanisms, or a combination of </w:t>
      </w:r>
      <w:proofErr w:type="gramStart"/>
      <w:r w:rsidRPr="00D3653F">
        <w:rPr>
          <w:rFonts w:ascii="Book Antiqua" w:hAnsi="Book Antiqua"/>
          <w:spacing w:val="0"/>
          <w:szCs w:val="24"/>
        </w:rPr>
        <w:t>these</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16]</w:t>
      </w:r>
      <w:r w:rsidRPr="00D3653F">
        <w:rPr>
          <w:rFonts w:ascii="Book Antiqua" w:hAnsi="Book Antiqua"/>
          <w:spacing w:val="0"/>
          <w:szCs w:val="24"/>
        </w:rPr>
        <w:t xml:space="preserve">. </w:t>
      </w:r>
      <w:proofErr w:type="spellStart"/>
      <w:r w:rsidRPr="00D3653F">
        <w:rPr>
          <w:rFonts w:ascii="Book Antiqua" w:hAnsi="Book Antiqua"/>
          <w:spacing w:val="0"/>
          <w:szCs w:val="24"/>
        </w:rPr>
        <w:t>Iwakiri</w:t>
      </w:r>
      <w:proofErr w:type="spellEnd"/>
      <w:r w:rsidRPr="00D3653F">
        <w:rPr>
          <w:rFonts w:ascii="Book Antiqua" w:hAnsi="Book Antiqua"/>
          <w:spacing w:val="0"/>
          <w:szCs w:val="24"/>
        </w:rPr>
        <w:t xml:space="preserve"> et al. suggest that the primary defect lies in esophageal sensation because the triggering of secondary peristalsis was abnormal in all patients with normal primary peristalsis and, when triggered, the wave amplitude and velocity of the secondary peristaltic response were normal. </w:t>
      </w:r>
      <w:r w:rsidRPr="00D3653F">
        <w:rPr>
          <w:rFonts w:ascii="Book Antiqua" w:eastAsia="MinionPro-Regular" w:hAnsi="Book Antiqua"/>
          <w:spacing w:val="0"/>
          <w:szCs w:val="24"/>
        </w:rPr>
        <w:t xml:space="preserve">Studies using esophageal balloon distention have reported decreased sensitivity to this stimulus in patients with Barrett’s esophagus, and this could contribute to the impaired esophageal motility in Barrett’s </w:t>
      </w:r>
      <w:proofErr w:type="gramStart"/>
      <w:r w:rsidRPr="00D3653F">
        <w:rPr>
          <w:rFonts w:ascii="Book Antiqua" w:eastAsia="MinionPro-Regular" w:hAnsi="Book Antiqua"/>
          <w:spacing w:val="0"/>
          <w:szCs w:val="24"/>
        </w:rPr>
        <w:t>esophagus</w:t>
      </w:r>
      <w:r w:rsidRPr="00D3653F">
        <w:rPr>
          <w:rFonts w:ascii="Book Antiqua" w:eastAsia="MinionPro-Regular" w:hAnsi="Book Antiqua"/>
          <w:spacing w:val="0"/>
          <w:szCs w:val="24"/>
          <w:vertAlign w:val="superscript"/>
        </w:rPr>
        <w:t>[</w:t>
      </w:r>
      <w:proofErr w:type="gramEnd"/>
      <w:r w:rsidRPr="00D3653F">
        <w:rPr>
          <w:rFonts w:ascii="Book Antiqua" w:eastAsia="MinionPro-Regular" w:hAnsi="Book Antiqua"/>
          <w:spacing w:val="0"/>
          <w:szCs w:val="24"/>
          <w:vertAlign w:val="superscript"/>
        </w:rPr>
        <w:t>25]</w:t>
      </w:r>
      <w:r w:rsidRPr="00D3653F">
        <w:rPr>
          <w:rFonts w:ascii="Book Antiqua" w:eastAsia="MinionPro-Regular" w:hAnsi="Book Antiqua"/>
          <w:spacing w:val="0"/>
          <w:szCs w:val="24"/>
        </w:rPr>
        <w:t>.</w:t>
      </w:r>
      <w:r w:rsidRPr="00D3653F">
        <w:rPr>
          <w:rFonts w:ascii="Book Antiqua" w:hAnsi="Book Antiqua"/>
          <w:spacing w:val="0"/>
          <w:szCs w:val="24"/>
        </w:rPr>
        <w:t xml:space="preserve"> As indicated in </w:t>
      </w:r>
      <w:r w:rsidRPr="00D3653F">
        <w:rPr>
          <w:rFonts w:ascii="Book Antiqua" w:hAnsi="Book Antiqua"/>
          <w:szCs w:val="24"/>
        </w:rPr>
        <w:t xml:space="preserve">Table 3, there was no difference in the frequency of secondary contractions induced by acid and saline. A possible explanation for this observation is that the effects of volume stimulation are greater than those of chemical stimulation in triggering secondary </w:t>
      </w:r>
      <w:r w:rsidRPr="00D3653F">
        <w:rPr>
          <w:rFonts w:ascii="Book Antiqua" w:hAnsi="Book Antiqua"/>
          <w:szCs w:val="24"/>
        </w:rPr>
        <w:lastRenderedPageBreak/>
        <w:t>peristalsis, but the precise mechanisms involved remain unknown.</w:t>
      </w:r>
    </w:p>
    <w:p w:rsidR="006A1FFB" w:rsidRPr="00D3653F" w:rsidRDefault="006A1FFB" w:rsidP="00D3653F">
      <w:pPr>
        <w:spacing w:line="360" w:lineRule="auto"/>
        <w:rPr>
          <w:rFonts w:ascii="Book Antiqua" w:eastAsia="MS PGothic" w:hAnsi="Book Antiqua"/>
          <w:szCs w:val="24"/>
        </w:rPr>
      </w:pPr>
      <w:r w:rsidRPr="00D3653F">
        <w:rPr>
          <w:rFonts w:ascii="Book Antiqua" w:eastAsia="MS PGothic" w:hAnsi="Book Antiqua" w:hint="eastAsia"/>
          <w:szCs w:val="24"/>
        </w:rPr>
        <w:t xml:space="preserve">　　　</w:t>
      </w:r>
      <w:r w:rsidRPr="00D3653F">
        <w:rPr>
          <w:rFonts w:ascii="Book Antiqua" w:hAnsi="Book Antiqua"/>
          <w:spacing w:val="0"/>
          <w:szCs w:val="24"/>
        </w:rPr>
        <w:t xml:space="preserve">Previous studies have demonstrated that patients with </w:t>
      </w:r>
      <w:r w:rsidRPr="00D3653F">
        <w:rPr>
          <w:rStyle w:val="highlight"/>
          <w:rFonts w:ascii="Book Antiqua" w:hAnsi="Book Antiqua"/>
          <w:spacing w:val="0"/>
          <w:szCs w:val="24"/>
        </w:rPr>
        <w:t>Barrett’</w:t>
      </w:r>
      <w:r w:rsidRPr="00D3653F">
        <w:rPr>
          <w:rFonts w:ascii="Book Antiqua" w:hAnsi="Book Antiqua"/>
          <w:spacing w:val="0"/>
          <w:szCs w:val="24"/>
        </w:rPr>
        <w:t xml:space="preserve">s </w:t>
      </w:r>
      <w:r w:rsidRPr="00D3653F">
        <w:rPr>
          <w:rStyle w:val="highlight"/>
          <w:rFonts w:ascii="Book Antiqua" w:hAnsi="Book Antiqua"/>
          <w:spacing w:val="0"/>
          <w:szCs w:val="24"/>
        </w:rPr>
        <w:t>esophagus</w:t>
      </w:r>
      <w:r w:rsidRPr="00D3653F">
        <w:rPr>
          <w:rFonts w:ascii="Book Antiqua" w:hAnsi="Book Antiqua"/>
          <w:spacing w:val="0"/>
          <w:szCs w:val="24"/>
        </w:rPr>
        <w:t xml:space="preserve"> have impaired sensitivity to </w:t>
      </w:r>
      <w:r w:rsidRPr="00D3653F">
        <w:rPr>
          <w:rFonts w:ascii="Book Antiqua" w:eastAsia="MinionPro-Regular" w:hAnsi="Book Antiqua"/>
          <w:spacing w:val="0"/>
          <w:szCs w:val="24"/>
        </w:rPr>
        <w:t>esophageal distention</w:t>
      </w:r>
      <w:r w:rsidRPr="00D3653F">
        <w:rPr>
          <w:rFonts w:ascii="Book Antiqua" w:hAnsi="Book Antiqua"/>
          <w:spacing w:val="0"/>
          <w:szCs w:val="24"/>
        </w:rPr>
        <w:t xml:space="preserve"> as well as visceral sensitivity to acid </w:t>
      </w:r>
      <w:proofErr w:type="gramStart"/>
      <w:r w:rsidRPr="00D3653F">
        <w:rPr>
          <w:rFonts w:ascii="Book Antiqua" w:hAnsi="Book Antiqua"/>
          <w:spacing w:val="0"/>
          <w:szCs w:val="24"/>
        </w:rPr>
        <w:t>perfusion</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25,26]</w:t>
      </w:r>
      <w:r w:rsidRPr="00D3653F">
        <w:rPr>
          <w:rFonts w:ascii="Book Antiqua" w:hAnsi="Book Antiqua"/>
          <w:spacing w:val="0"/>
          <w:szCs w:val="24"/>
        </w:rPr>
        <w:t xml:space="preserve">. Using endoscopy-based testing in the present study, we tested visceral sensitivity to acid perfusion and showed that acid infusion-induced sensations in patients with LSBE were comparable to those in patients with SSBE and in the control group. This finding is not compatible with most previous studies that reported that patients with </w:t>
      </w:r>
      <w:r w:rsidRPr="00D3653F">
        <w:rPr>
          <w:rStyle w:val="highlight"/>
          <w:rFonts w:ascii="Book Antiqua" w:hAnsi="Book Antiqua"/>
          <w:spacing w:val="0"/>
          <w:szCs w:val="24"/>
        </w:rPr>
        <w:t>Barrett</w:t>
      </w:r>
      <w:r w:rsidRPr="00D3653F">
        <w:rPr>
          <w:rFonts w:ascii="Book Antiqua" w:hAnsi="Book Antiqua"/>
          <w:spacing w:val="0"/>
          <w:szCs w:val="24"/>
        </w:rPr>
        <w:t xml:space="preserve">’s </w:t>
      </w:r>
      <w:r w:rsidRPr="00D3653F">
        <w:rPr>
          <w:rStyle w:val="highlight"/>
          <w:rFonts w:ascii="Book Antiqua" w:hAnsi="Book Antiqua"/>
          <w:spacing w:val="0"/>
          <w:szCs w:val="24"/>
        </w:rPr>
        <w:t>esophagus</w:t>
      </w:r>
      <w:r w:rsidRPr="00D3653F">
        <w:rPr>
          <w:rFonts w:ascii="Book Antiqua" w:hAnsi="Book Antiqua"/>
          <w:spacing w:val="0"/>
          <w:szCs w:val="24"/>
        </w:rPr>
        <w:t xml:space="preserve"> have impaired visceral sensitivity to acid perfusion. It is possible that this discrepancy between the findings of the present and previous studies may be due to type I error, especially because of the small number of patients with LSBE in the present study. If we compared the lag time or APSS of patients with LSBE and the pooled values for each of these parameters in the control plus SSBE groups, the </w:t>
      </w:r>
      <w:r w:rsidRPr="00D3653F">
        <w:rPr>
          <w:rFonts w:ascii="Book Antiqua" w:hAnsi="Book Antiqua"/>
          <w:i/>
          <w:iCs/>
          <w:spacing w:val="0"/>
          <w:szCs w:val="24"/>
        </w:rPr>
        <w:t>P-</w:t>
      </w:r>
      <w:r w:rsidRPr="00D3653F">
        <w:rPr>
          <w:rFonts w:ascii="Book Antiqua" w:hAnsi="Book Antiqua"/>
          <w:spacing w:val="0"/>
          <w:szCs w:val="24"/>
        </w:rPr>
        <w:t xml:space="preserve">values are 0.11 and 0.18, respectively. </w:t>
      </w:r>
      <w:r w:rsidRPr="00D3653F">
        <w:rPr>
          <w:rFonts w:ascii="Book Antiqua" w:eastAsia="MinionPro-Regular" w:hAnsi="Book Antiqua"/>
          <w:spacing w:val="0"/>
          <w:szCs w:val="24"/>
        </w:rPr>
        <w:t>The mechanism underlying esophageal hyposensitivity in Barrett’s esophagus has not been elucidated, but it has been proposed that Barrett’s mucosa is less sensitive to chemical stimuli.</w:t>
      </w:r>
      <w:r w:rsidRPr="00D3653F">
        <w:rPr>
          <w:rFonts w:ascii="Book Antiqua" w:hAnsi="Book Antiqua"/>
          <w:spacing w:val="0"/>
          <w:szCs w:val="24"/>
        </w:rPr>
        <w:t xml:space="preserve"> For example, </w:t>
      </w:r>
      <w:proofErr w:type="spellStart"/>
      <w:r w:rsidRPr="00D3653F">
        <w:rPr>
          <w:rFonts w:ascii="Book Antiqua" w:hAnsi="Book Antiqua"/>
          <w:spacing w:val="0"/>
          <w:szCs w:val="24"/>
        </w:rPr>
        <w:t>Fass</w:t>
      </w:r>
      <w:proofErr w:type="spellEnd"/>
      <w:r w:rsidRPr="00B27893">
        <w:rPr>
          <w:rFonts w:ascii="Book Antiqua" w:hAnsi="Book Antiqua"/>
          <w:i/>
          <w:spacing w:val="0"/>
          <w:szCs w:val="24"/>
        </w:rPr>
        <w:t xml:space="preserve"> et </w:t>
      </w:r>
      <w:proofErr w:type="gramStart"/>
      <w:r w:rsidRPr="00B27893">
        <w:rPr>
          <w:rFonts w:ascii="Book Antiqua" w:hAnsi="Book Antiqua"/>
          <w:i/>
          <w:spacing w:val="0"/>
          <w:szCs w:val="24"/>
        </w:rPr>
        <w:t>al</w:t>
      </w:r>
      <w:r w:rsidRPr="00D3653F">
        <w:rPr>
          <w:rFonts w:ascii="Book Antiqua" w:hAnsi="Book Antiqua"/>
          <w:spacing w:val="0"/>
          <w:szCs w:val="24"/>
          <w:vertAlign w:val="superscript"/>
        </w:rPr>
        <w:t>[</w:t>
      </w:r>
      <w:proofErr w:type="gramEnd"/>
      <w:r w:rsidRPr="00D3653F">
        <w:rPr>
          <w:rFonts w:ascii="Book Antiqua" w:hAnsi="Book Antiqua"/>
          <w:spacing w:val="0"/>
          <w:szCs w:val="24"/>
          <w:vertAlign w:val="superscript"/>
        </w:rPr>
        <w:t>27]</w:t>
      </w:r>
      <w:r w:rsidRPr="00D3653F">
        <w:rPr>
          <w:rFonts w:ascii="Book Antiqua" w:hAnsi="Book Antiqua"/>
          <w:spacing w:val="0"/>
          <w:szCs w:val="24"/>
        </w:rPr>
        <w:t xml:space="preserve"> demonstrated increased sensitivity to acid in patients with Barrett’s esophagus after complete reversal using multipolar electrocoagulation and suggested that chemoreceptor sensitization was possibly induced by the electrocoagulation technique. However, a recent study showed a significant decrease in esophageal chemoreceptor sensitivity to acid and alkaline in patients with successful reversal of Barrett’s esophagus using argon plasma coagulation. Further studies are needed to evaluate esophageal </w:t>
      </w:r>
      <w:proofErr w:type="spellStart"/>
      <w:r w:rsidRPr="00D3653F">
        <w:rPr>
          <w:rFonts w:ascii="Book Antiqua" w:hAnsi="Book Antiqua"/>
          <w:spacing w:val="0"/>
          <w:szCs w:val="24"/>
        </w:rPr>
        <w:t>hyposensitivities</w:t>
      </w:r>
      <w:proofErr w:type="spellEnd"/>
      <w:r w:rsidRPr="00D3653F">
        <w:rPr>
          <w:rFonts w:ascii="Book Antiqua" w:hAnsi="Book Antiqua"/>
          <w:spacing w:val="0"/>
          <w:szCs w:val="24"/>
        </w:rPr>
        <w:t xml:space="preserve"> in Barrett’s esophagus. </w:t>
      </w:r>
    </w:p>
    <w:p w:rsidR="006A1FFB" w:rsidRPr="00D3653F" w:rsidRDefault="006A1FFB" w:rsidP="00D3653F">
      <w:pPr>
        <w:autoSpaceDE w:val="0"/>
        <w:autoSpaceDN w:val="0"/>
        <w:spacing w:line="360" w:lineRule="auto"/>
        <w:ind w:firstLine="550"/>
        <w:textAlignment w:val="auto"/>
        <w:rPr>
          <w:rFonts w:ascii="Book Antiqua" w:hAnsi="Book Antiqua"/>
          <w:spacing w:val="0"/>
          <w:szCs w:val="24"/>
        </w:rPr>
      </w:pPr>
      <w:r w:rsidRPr="00D3653F">
        <w:rPr>
          <w:rFonts w:ascii="Book Antiqua" w:eastAsia="MS PGothic" w:hAnsi="Book Antiqua"/>
          <w:spacing w:val="0"/>
          <w:szCs w:val="24"/>
        </w:rPr>
        <w:t xml:space="preserve">There are some limitations to the present study. First, the controls enrolled in the present study were younger than the patients with Barrett’s esophagus, and the proportion of women in the control group was higher than that in the Barrett’s </w:t>
      </w:r>
      <w:r w:rsidRPr="00D3653F">
        <w:rPr>
          <w:rFonts w:ascii="Book Antiqua" w:eastAsia="MS PGothic" w:hAnsi="Book Antiqua"/>
          <w:spacing w:val="0"/>
          <w:szCs w:val="24"/>
        </w:rPr>
        <w:lastRenderedPageBreak/>
        <w:t>esophagus group. To overcome this issue, we excluded women from the control and SSBE groups before analyzing the data. Although, after exclusion, the mean age of the control group remained lower than that of the Barrett’s esophagus group (</w:t>
      </w:r>
      <w:r w:rsidRPr="00D3653F">
        <w:rPr>
          <w:rFonts w:ascii="Book Antiqua" w:hAnsi="Book Antiqua"/>
          <w:spacing w:val="0"/>
          <w:szCs w:val="24"/>
        </w:rPr>
        <w:t>30.1 ± 5.2</w:t>
      </w:r>
      <w:r w:rsidRPr="00D3653F">
        <w:rPr>
          <w:rFonts w:ascii="Book Antiqua" w:hAnsi="Book Antiqua"/>
          <w:i/>
          <w:spacing w:val="0"/>
          <w:szCs w:val="24"/>
        </w:rPr>
        <w:t xml:space="preserve"> </w:t>
      </w:r>
      <w:r w:rsidRPr="00D3653F">
        <w:rPr>
          <w:rFonts w:ascii="Book Antiqua" w:hAnsi="Book Antiqua"/>
          <w:spacing w:val="0"/>
          <w:szCs w:val="24"/>
        </w:rPr>
        <w:t>years</w:t>
      </w:r>
      <w:r w:rsidRPr="00D3653F">
        <w:rPr>
          <w:rFonts w:ascii="Book Antiqua" w:hAnsi="Book Antiqua"/>
          <w:i/>
          <w:spacing w:val="0"/>
          <w:szCs w:val="24"/>
        </w:rPr>
        <w:t xml:space="preserve"> </w:t>
      </w:r>
      <w:proofErr w:type="spellStart"/>
      <w:r w:rsidRPr="00D3653F">
        <w:rPr>
          <w:rFonts w:ascii="Book Antiqua" w:hAnsi="Book Antiqua"/>
          <w:i/>
          <w:spacing w:val="0"/>
          <w:szCs w:val="24"/>
        </w:rPr>
        <w:t>vs</w:t>
      </w:r>
      <w:proofErr w:type="spellEnd"/>
      <w:r w:rsidRPr="00D3653F">
        <w:rPr>
          <w:rFonts w:ascii="Book Antiqua" w:hAnsi="Book Antiqua"/>
          <w:spacing w:val="0"/>
          <w:szCs w:val="24"/>
        </w:rPr>
        <w:t xml:space="preserve"> 38.1 ± 13.6 years, respectively</w:t>
      </w:r>
      <w:r w:rsidRPr="00D3653F">
        <w:rPr>
          <w:rFonts w:ascii="Book Antiqua" w:eastAsia="MS PGothic" w:hAnsi="Book Antiqua"/>
          <w:spacing w:val="0"/>
          <w:szCs w:val="24"/>
        </w:rPr>
        <w:t xml:space="preserve">), the results were very similar to those obtained using the original population. </w:t>
      </w:r>
      <w:r w:rsidRPr="00D3653F">
        <w:rPr>
          <w:rFonts w:ascii="Book Antiqua" w:hAnsi="Book Antiqua"/>
          <w:spacing w:val="0"/>
          <w:szCs w:val="24"/>
        </w:rPr>
        <w:t>Aging may influence secondary</w:t>
      </w:r>
      <w:r w:rsidRPr="00D3653F">
        <w:rPr>
          <w:rFonts w:ascii="Book Antiqua" w:eastAsia="MS PGothic" w:hAnsi="Book Antiqua"/>
          <w:spacing w:val="0"/>
          <w:szCs w:val="24"/>
        </w:rPr>
        <w:t xml:space="preserve"> esophageal propulsive contractions</w:t>
      </w:r>
      <w:r w:rsidRPr="00D3653F">
        <w:rPr>
          <w:rFonts w:ascii="Book Antiqua" w:hAnsi="Book Antiqua"/>
          <w:spacing w:val="0"/>
          <w:szCs w:val="24"/>
        </w:rPr>
        <w:t>, and the older LSBE group may exhibit impaired peristalsis compared with the control group. However, differences in secondary</w:t>
      </w:r>
      <w:r w:rsidRPr="00D3653F">
        <w:rPr>
          <w:rFonts w:ascii="Book Antiqua" w:eastAsia="MS PGothic" w:hAnsi="Book Antiqua"/>
          <w:spacing w:val="0"/>
          <w:szCs w:val="24"/>
        </w:rPr>
        <w:t xml:space="preserve"> esophageal propulsive contractions</w:t>
      </w:r>
      <w:r w:rsidRPr="00D3653F">
        <w:rPr>
          <w:rFonts w:ascii="Book Antiqua" w:hAnsi="Book Antiqua"/>
          <w:spacing w:val="0"/>
          <w:szCs w:val="24"/>
        </w:rPr>
        <w:t xml:space="preserve"> were seen between age-matched SSBE and LSBE groups, which suggests that, regardless of age, </w:t>
      </w:r>
      <w:r w:rsidRPr="00D3653F">
        <w:rPr>
          <w:rFonts w:ascii="Book Antiqua" w:eastAsia="MS PGothic" w:hAnsi="Book Antiqua"/>
          <w:spacing w:val="0"/>
          <w:szCs w:val="24"/>
        </w:rPr>
        <w:t xml:space="preserve">patients with LSBE </w:t>
      </w:r>
      <w:r w:rsidRPr="00D3653F">
        <w:rPr>
          <w:rFonts w:ascii="Book Antiqua" w:hAnsi="Book Antiqua"/>
          <w:spacing w:val="0"/>
          <w:szCs w:val="24"/>
        </w:rPr>
        <w:t>have</w:t>
      </w:r>
      <w:r w:rsidRPr="00D3653F">
        <w:rPr>
          <w:rFonts w:ascii="Book Antiqua" w:eastAsia="MS PGothic" w:hAnsi="Book Antiqua"/>
          <w:spacing w:val="0"/>
          <w:szCs w:val="24"/>
        </w:rPr>
        <w:t xml:space="preserve"> impaired </w:t>
      </w:r>
      <w:r w:rsidRPr="00D3653F">
        <w:rPr>
          <w:rFonts w:ascii="Book Antiqua" w:hAnsi="Book Antiqua"/>
          <w:spacing w:val="0"/>
          <w:szCs w:val="24"/>
        </w:rPr>
        <w:t>secondary</w:t>
      </w:r>
      <w:r w:rsidRPr="00D3653F">
        <w:rPr>
          <w:rFonts w:ascii="Book Antiqua" w:eastAsia="MS PGothic" w:hAnsi="Book Antiqua"/>
          <w:spacing w:val="0"/>
          <w:szCs w:val="24"/>
        </w:rPr>
        <w:t xml:space="preserve"> esophageal </w:t>
      </w:r>
      <w:r w:rsidRPr="00D3653F">
        <w:rPr>
          <w:rFonts w:ascii="Book Antiqua" w:hAnsi="Book Antiqua"/>
          <w:spacing w:val="0"/>
          <w:szCs w:val="24"/>
        </w:rPr>
        <w:t>peristalsis at least in comparison with patients with SSBE</w:t>
      </w:r>
      <w:r w:rsidRPr="00D3653F">
        <w:rPr>
          <w:rFonts w:ascii="Book Antiqua" w:eastAsia="MS PGothic" w:hAnsi="Book Antiqua"/>
          <w:spacing w:val="0"/>
          <w:szCs w:val="24"/>
        </w:rPr>
        <w:t>.</w:t>
      </w:r>
    </w:p>
    <w:p w:rsidR="006A1FFB" w:rsidRPr="00D3653F" w:rsidRDefault="006A1FFB" w:rsidP="00D3653F">
      <w:pPr>
        <w:autoSpaceDE w:val="0"/>
        <w:autoSpaceDN w:val="0"/>
        <w:spacing w:line="360" w:lineRule="auto"/>
        <w:ind w:firstLine="550"/>
        <w:textAlignment w:val="auto"/>
        <w:rPr>
          <w:rFonts w:ascii="Book Antiqua" w:hAnsi="Book Antiqua"/>
          <w:spacing w:val="0"/>
          <w:szCs w:val="24"/>
        </w:rPr>
      </w:pPr>
      <w:r w:rsidRPr="00D3653F">
        <w:rPr>
          <w:rFonts w:ascii="Book Antiqua" w:eastAsia="MS PGothic" w:hAnsi="Book Antiqua"/>
          <w:spacing w:val="0"/>
          <w:szCs w:val="24"/>
        </w:rPr>
        <w:t xml:space="preserve">The endoscopy-based testing used in the present study can evaluate the frequency of esophageal peristalsis but cannot provide detailed information regarding motility parameters, such as esophageal pressures; for detailed evaluation of </w:t>
      </w:r>
      <w:r w:rsidRPr="00D3653F">
        <w:rPr>
          <w:rFonts w:ascii="Book Antiqua" w:hAnsi="Book Antiqua"/>
          <w:spacing w:val="0"/>
          <w:szCs w:val="24"/>
        </w:rPr>
        <w:t xml:space="preserve">esophageal </w:t>
      </w:r>
      <w:proofErr w:type="spellStart"/>
      <w:r w:rsidRPr="00D3653F">
        <w:rPr>
          <w:rFonts w:ascii="Book Antiqua" w:hAnsi="Book Antiqua"/>
          <w:spacing w:val="0"/>
          <w:szCs w:val="24"/>
        </w:rPr>
        <w:t>dysmotility</w:t>
      </w:r>
      <w:proofErr w:type="spellEnd"/>
      <w:r w:rsidRPr="00D3653F">
        <w:rPr>
          <w:rFonts w:ascii="Book Antiqua" w:eastAsia="MS PGothic" w:hAnsi="Book Antiqua"/>
          <w:spacing w:val="0"/>
          <w:szCs w:val="24"/>
        </w:rPr>
        <w:t xml:space="preserve">, examinations such as </w:t>
      </w:r>
      <w:r w:rsidRPr="00D3653F">
        <w:rPr>
          <w:rFonts w:ascii="Book Antiqua" w:hAnsi="Book Antiqua"/>
          <w:spacing w:val="0"/>
          <w:szCs w:val="24"/>
        </w:rPr>
        <w:t xml:space="preserve">high-resolution </w:t>
      </w:r>
      <w:proofErr w:type="spellStart"/>
      <w:r w:rsidRPr="00D3653F">
        <w:rPr>
          <w:rFonts w:ascii="Book Antiqua" w:hAnsi="Book Antiqua"/>
          <w:spacing w:val="0"/>
          <w:szCs w:val="24"/>
        </w:rPr>
        <w:t>manometry</w:t>
      </w:r>
      <w:proofErr w:type="spellEnd"/>
      <w:r w:rsidRPr="00D3653F">
        <w:rPr>
          <w:rFonts w:ascii="Book Antiqua" w:hAnsi="Book Antiqua"/>
          <w:spacing w:val="0"/>
          <w:szCs w:val="24"/>
        </w:rPr>
        <w:t xml:space="preserve"> are necessary</w:t>
      </w:r>
      <w:r w:rsidRPr="00D3653F">
        <w:rPr>
          <w:rFonts w:ascii="Book Antiqua" w:eastAsia="MS PGothic" w:hAnsi="Book Antiqua"/>
          <w:spacing w:val="0"/>
          <w:szCs w:val="24"/>
        </w:rPr>
        <w:t>. Nevertheless, the endoscopy-based testing described in the present study can be used in clinical practice because of its simplicity and versatility.</w:t>
      </w:r>
    </w:p>
    <w:p w:rsidR="006A1FFB" w:rsidRPr="00D3653F" w:rsidRDefault="006A1FFB" w:rsidP="00D3653F">
      <w:pPr>
        <w:autoSpaceDE w:val="0"/>
        <w:autoSpaceDN w:val="0"/>
        <w:spacing w:line="360" w:lineRule="auto"/>
        <w:ind w:firstLine="550"/>
        <w:textAlignment w:val="auto"/>
        <w:rPr>
          <w:rFonts w:ascii="Book Antiqua" w:hAnsi="Book Antiqua"/>
          <w:spacing w:val="0"/>
          <w:szCs w:val="24"/>
        </w:rPr>
      </w:pPr>
      <w:r w:rsidRPr="00D3653F">
        <w:rPr>
          <w:rFonts w:ascii="Book Antiqua" w:eastAsia="MS PGothic" w:hAnsi="Book Antiqua"/>
          <w:spacing w:val="0"/>
          <w:szCs w:val="24"/>
        </w:rPr>
        <w:t xml:space="preserve">In conclusion, observation of secondary peristalsis was possible using an endoscopic-based technique. Performing a simple acid perfusion study in </w:t>
      </w:r>
      <w:proofErr w:type="spellStart"/>
      <w:r w:rsidRPr="00D3653F">
        <w:rPr>
          <w:rFonts w:ascii="Book Antiqua" w:eastAsia="MS PGothic" w:hAnsi="Book Antiqua"/>
          <w:spacing w:val="0"/>
          <w:szCs w:val="24"/>
        </w:rPr>
        <w:t>unsedated</w:t>
      </w:r>
      <w:proofErr w:type="spellEnd"/>
      <w:r w:rsidRPr="00D3653F">
        <w:rPr>
          <w:rFonts w:ascii="Book Antiqua" w:eastAsia="MS PGothic" w:hAnsi="Book Antiqua"/>
          <w:spacing w:val="0"/>
          <w:szCs w:val="24"/>
        </w:rPr>
        <w:t xml:space="preserve"> LSBE patients, we were able to demonstrate disorders in secondary peristalsis using nasal endoscopy.</w:t>
      </w:r>
    </w:p>
    <w:p w:rsidR="006A1FFB" w:rsidRPr="00D3653F" w:rsidRDefault="006A1FFB" w:rsidP="00D3653F">
      <w:pPr>
        <w:widowControl/>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b/>
          <w:szCs w:val="24"/>
        </w:rPr>
      </w:pPr>
      <w:r w:rsidRPr="00D3653F">
        <w:rPr>
          <w:rFonts w:ascii="Book Antiqua" w:hAnsi="Book Antiqua"/>
          <w:b/>
          <w:szCs w:val="24"/>
        </w:rPr>
        <w:t>COMMENTS</w:t>
      </w:r>
    </w:p>
    <w:p w:rsidR="006A1FFB" w:rsidRPr="00D3653F" w:rsidRDefault="006A1FFB" w:rsidP="00D3653F">
      <w:pPr>
        <w:spacing w:line="360" w:lineRule="auto"/>
        <w:rPr>
          <w:rFonts w:ascii="Book Antiqua" w:hAnsi="Book Antiqua"/>
          <w:b/>
          <w:bCs/>
          <w:i/>
          <w:szCs w:val="24"/>
        </w:rPr>
      </w:pPr>
      <w:r w:rsidRPr="00D3653F">
        <w:rPr>
          <w:rFonts w:ascii="Book Antiqua" w:hAnsi="Book Antiqua"/>
          <w:b/>
          <w:bCs/>
          <w:i/>
          <w:szCs w:val="24"/>
        </w:rPr>
        <w:t>Background</w:t>
      </w:r>
    </w:p>
    <w:p w:rsidR="006A1FFB" w:rsidRPr="00D3653F" w:rsidRDefault="006A1FFB" w:rsidP="00D3653F">
      <w:pPr>
        <w:spacing w:line="360" w:lineRule="auto"/>
        <w:rPr>
          <w:rFonts w:ascii="Book Antiqua" w:hAnsi="Book Antiqua"/>
          <w:szCs w:val="24"/>
        </w:rPr>
      </w:pPr>
      <w:r w:rsidRPr="00D3653F">
        <w:rPr>
          <w:rFonts w:ascii="Book Antiqua" w:eastAsia="MS PGothic" w:hAnsi="Book Antiqua"/>
          <w:bCs/>
          <w:szCs w:val="24"/>
        </w:rPr>
        <w:t>Because of its increasing prevalence in Asian countries, the clinical impact of</w:t>
      </w:r>
      <w:r w:rsidRPr="00D3653F">
        <w:rPr>
          <w:rFonts w:ascii="Book Antiqua" w:eastAsia="宋体" w:hAnsi="Book Antiqua"/>
          <w:bCs/>
          <w:szCs w:val="24"/>
          <w:lang w:eastAsia="zh-CN"/>
        </w:rPr>
        <w:t xml:space="preserve"> </w:t>
      </w:r>
      <w:proofErr w:type="spellStart"/>
      <w:r w:rsidRPr="00D3653F">
        <w:rPr>
          <w:rFonts w:ascii="Book Antiqua" w:eastAsia="MS PGothic" w:hAnsi="Book Antiqua"/>
          <w:bCs/>
          <w:spacing w:val="0"/>
          <w:szCs w:val="24"/>
        </w:rPr>
        <w:t>gastroesophageal</w:t>
      </w:r>
      <w:proofErr w:type="spellEnd"/>
      <w:r w:rsidRPr="00D3653F">
        <w:rPr>
          <w:rFonts w:ascii="Book Antiqua" w:eastAsia="MS PGothic" w:hAnsi="Book Antiqua"/>
          <w:bCs/>
          <w:spacing w:val="0"/>
          <w:szCs w:val="24"/>
        </w:rPr>
        <w:t xml:space="preserve"> reflux disease (GERD)</w:t>
      </w:r>
      <w:r w:rsidRPr="00D3653F">
        <w:rPr>
          <w:rFonts w:ascii="Book Antiqua" w:eastAsia="宋体" w:hAnsi="Book Antiqua"/>
          <w:bCs/>
          <w:spacing w:val="0"/>
          <w:szCs w:val="24"/>
          <w:lang w:eastAsia="zh-CN"/>
        </w:rPr>
        <w:t xml:space="preserve"> </w:t>
      </w:r>
      <w:r w:rsidRPr="00D3653F">
        <w:rPr>
          <w:rFonts w:ascii="Book Antiqua" w:eastAsia="MS PGothic" w:hAnsi="Book Antiqua"/>
          <w:bCs/>
          <w:szCs w:val="24"/>
        </w:rPr>
        <w:t xml:space="preserve">is also increasing. Furthermore, some of the patients with GERD will go on to </w:t>
      </w:r>
      <w:r w:rsidRPr="00D3653F">
        <w:rPr>
          <w:rFonts w:ascii="Book Antiqua" w:hAnsi="Book Antiqua"/>
          <w:szCs w:val="24"/>
        </w:rPr>
        <w:t xml:space="preserve">develop Barrett’s esophagus, which itself can progress to </w:t>
      </w:r>
      <w:r w:rsidRPr="00D3653F">
        <w:rPr>
          <w:rFonts w:ascii="Book Antiqua" w:hAnsi="Book Antiqua"/>
          <w:szCs w:val="24"/>
        </w:rPr>
        <w:lastRenderedPageBreak/>
        <w:t xml:space="preserve">adenocarcinoma. The precise causative dysfunction varies between patients; thus, esophageal function tests are needed to determine the cause to enable cause-specific treatment. However, such examinations, including </w:t>
      </w:r>
      <w:proofErr w:type="spellStart"/>
      <w:r w:rsidRPr="00D3653F">
        <w:rPr>
          <w:rFonts w:ascii="Book Antiqua" w:hAnsi="Book Antiqua"/>
          <w:szCs w:val="24"/>
        </w:rPr>
        <w:t>manometry</w:t>
      </w:r>
      <w:proofErr w:type="spellEnd"/>
      <w:r w:rsidRPr="00D3653F">
        <w:rPr>
          <w:rFonts w:ascii="Book Antiqua" w:hAnsi="Book Antiqua"/>
          <w:szCs w:val="24"/>
        </w:rPr>
        <w:t>, sensory testing, and pH monitoring, are not routinely used in clinical practice because they are tedious, complicated, and invasive.</w:t>
      </w:r>
    </w:p>
    <w:p w:rsidR="006A1FFB" w:rsidRPr="00D3653F" w:rsidRDefault="006A1FFB" w:rsidP="00D3653F">
      <w:pPr>
        <w:spacing w:line="360" w:lineRule="auto"/>
        <w:rPr>
          <w:rFonts w:ascii="Book Antiqua" w:hAnsi="Book Antiqua"/>
          <w:szCs w:val="24"/>
        </w:rPr>
      </w:pPr>
    </w:p>
    <w:p w:rsidR="006A1FFB" w:rsidRPr="00D3653F" w:rsidRDefault="006A1FFB" w:rsidP="00D3653F">
      <w:pPr>
        <w:spacing w:line="360" w:lineRule="auto"/>
        <w:rPr>
          <w:rFonts w:ascii="Book Antiqua" w:hAnsi="Book Antiqua"/>
          <w:b/>
          <w:bCs/>
          <w:i/>
          <w:szCs w:val="24"/>
        </w:rPr>
      </w:pPr>
      <w:r w:rsidRPr="00D3653F">
        <w:rPr>
          <w:rFonts w:ascii="Book Antiqua" w:hAnsi="Book Antiqua"/>
          <w:b/>
          <w:bCs/>
          <w:i/>
          <w:szCs w:val="24"/>
        </w:rPr>
        <w:t>Research frontiers</w:t>
      </w:r>
    </w:p>
    <w:p w:rsidR="006A1FFB" w:rsidRPr="00D3653F" w:rsidRDefault="006A1FFB" w:rsidP="00D3653F">
      <w:pPr>
        <w:spacing w:line="360" w:lineRule="auto"/>
        <w:rPr>
          <w:rFonts w:ascii="Book Antiqua" w:hAnsi="Book Antiqua"/>
          <w:b/>
          <w:szCs w:val="24"/>
        </w:rPr>
      </w:pPr>
      <w:r w:rsidRPr="00D3653F">
        <w:rPr>
          <w:rFonts w:ascii="Book Antiqua" w:eastAsia="宋体" w:hAnsi="Book Antiqua"/>
          <w:szCs w:val="24"/>
          <w:lang w:eastAsia="zh-CN"/>
        </w:rPr>
        <w:t xml:space="preserve">The authors </w:t>
      </w:r>
      <w:r w:rsidRPr="00D3653F">
        <w:rPr>
          <w:rFonts w:ascii="Book Antiqua" w:hAnsi="Book Antiqua"/>
          <w:szCs w:val="24"/>
        </w:rPr>
        <w:t xml:space="preserve">have developed a simple and versatile technique for esophageal examination based on </w:t>
      </w:r>
      <w:proofErr w:type="spellStart"/>
      <w:r w:rsidRPr="00D3653F">
        <w:rPr>
          <w:rFonts w:ascii="Book Antiqua" w:hAnsi="Book Antiqua"/>
          <w:szCs w:val="24"/>
        </w:rPr>
        <w:t>transnasal</w:t>
      </w:r>
      <w:proofErr w:type="spellEnd"/>
      <w:r w:rsidRPr="00D3653F">
        <w:rPr>
          <w:rFonts w:ascii="Book Antiqua" w:hAnsi="Book Antiqua"/>
          <w:szCs w:val="24"/>
        </w:rPr>
        <w:t xml:space="preserve"> endoscopy in </w:t>
      </w:r>
      <w:proofErr w:type="spellStart"/>
      <w:r w:rsidRPr="00D3653F">
        <w:rPr>
          <w:rFonts w:ascii="Book Antiqua" w:hAnsi="Book Antiqua"/>
          <w:szCs w:val="24"/>
        </w:rPr>
        <w:t>unsedated</w:t>
      </w:r>
      <w:proofErr w:type="spellEnd"/>
      <w:r w:rsidRPr="00D3653F">
        <w:rPr>
          <w:rFonts w:ascii="Book Antiqua" w:hAnsi="Book Antiqua"/>
          <w:szCs w:val="24"/>
        </w:rPr>
        <w:t xml:space="preserve"> patients. The test can simultaneously evaluate either structural abnormalities of the lumen and anti-reflux barriers or dysfunctions in esophageal peristalsis and sensation induced by acid infusion. Using this endoscopy-based test in the present study, </w:t>
      </w:r>
      <w:r w:rsidRPr="00D3653F">
        <w:rPr>
          <w:rFonts w:ascii="Book Antiqua" w:eastAsia="宋体" w:hAnsi="Book Antiqua"/>
          <w:szCs w:val="24"/>
          <w:lang w:eastAsia="zh-CN"/>
        </w:rPr>
        <w:t xml:space="preserve">the authors </w:t>
      </w:r>
      <w:r w:rsidRPr="00D3653F">
        <w:rPr>
          <w:rFonts w:ascii="Book Antiqua" w:hAnsi="Book Antiqua"/>
          <w:szCs w:val="24"/>
        </w:rPr>
        <w:t>examined patients with Barrett’s esophagus and healthy controls to identify abnormalities in esophageal function related to Barrett’s esophagus.</w:t>
      </w:r>
    </w:p>
    <w:p w:rsidR="006A1FFB" w:rsidRPr="00D3653F" w:rsidRDefault="006A1FFB" w:rsidP="00D3653F">
      <w:pPr>
        <w:spacing w:line="360" w:lineRule="auto"/>
        <w:rPr>
          <w:rFonts w:ascii="Book Antiqua" w:hAnsi="Book Antiqua"/>
          <w:szCs w:val="24"/>
        </w:rPr>
      </w:pPr>
    </w:p>
    <w:p w:rsidR="006A1FFB" w:rsidRPr="00D3653F" w:rsidRDefault="006A1FFB" w:rsidP="00D3653F">
      <w:pPr>
        <w:spacing w:line="360" w:lineRule="auto"/>
        <w:rPr>
          <w:rFonts w:ascii="Book Antiqua" w:hAnsi="Book Antiqua"/>
          <w:i/>
          <w:szCs w:val="24"/>
        </w:rPr>
      </w:pPr>
      <w:r w:rsidRPr="00D3653F">
        <w:rPr>
          <w:rFonts w:ascii="Book Antiqua" w:hAnsi="Book Antiqua"/>
          <w:b/>
          <w:bCs/>
          <w:i/>
          <w:szCs w:val="24"/>
        </w:rPr>
        <w:t>Innovations and breakthroughs</w:t>
      </w:r>
    </w:p>
    <w:p w:rsidR="006A1FFB" w:rsidRPr="00D3653F" w:rsidRDefault="006A1FFB" w:rsidP="00D3653F">
      <w:pPr>
        <w:spacing w:line="360" w:lineRule="auto"/>
        <w:rPr>
          <w:rFonts w:ascii="Book Antiqua" w:hAnsi="Book Antiqua"/>
          <w:szCs w:val="24"/>
        </w:rPr>
      </w:pPr>
      <w:r w:rsidRPr="00D3653F">
        <w:rPr>
          <w:rFonts w:ascii="Book Antiqua" w:hAnsi="Book Antiqua"/>
          <w:szCs w:val="24"/>
        </w:rPr>
        <w:t xml:space="preserve">First, </w:t>
      </w:r>
      <w:proofErr w:type="spellStart"/>
      <w:r w:rsidRPr="00D3653F">
        <w:rPr>
          <w:rFonts w:ascii="Book Antiqua" w:hAnsi="Book Antiqua"/>
          <w:szCs w:val="24"/>
        </w:rPr>
        <w:t>manometric</w:t>
      </w:r>
      <w:proofErr w:type="spellEnd"/>
      <w:r w:rsidRPr="00D3653F">
        <w:rPr>
          <w:rFonts w:ascii="Book Antiqua" w:hAnsi="Book Antiqua"/>
          <w:szCs w:val="24"/>
        </w:rPr>
        <w:t xml:space="preserve"> waves and esophageal contractions </w:t>
      </w:r>
      <w:r w:rsidRPr="00D3653F">
        <w:rPr>
          <w:rFonts w:ascii="Book Antiqua" w:eastAsia="MS PGothic" w:hAnsi="Book Antiqua"/>
          <w:bCs/>
          <w:szCs w:val="24"/>
        </w:rPr>
        <w:t xml:space="preserve">were evaluated in healthy subjects using </w:t>
      </w:r>
      <w:r w:rsidRPr="00D3653F">
        <w:rPr>
          <w:rFonts w:ascii="Book Antiqua" w:hAnsi="Book Antiqua"/>
          <w:szCs w:val="24"/>
        </w:rPr>
        <w:t xml:space="preserve">three different modalities. </w:t>
      </w:r>
      <w:proofErr w:type="gramStart"/>
      <w:r w:rsidRPr="00D3653F">
        <w:rPr>
          <w:rFonts w:ascii="Book Antiqua" w:hAnsi="Book Antiqua"/>
          <w:szCs w:val="24"/>
        </w:rPr>
        <w:t>An</w:t>
      </w:r>
      <w:proofErr w:type="gramEnd"/>
      <w:r w:rsidRPr="00D3653F">
        <w:rPr>
          <w:rFonts w:ascii="Book Antiqua" w:hAnsi="Book Antiqua"/>
          <w:szCs w:val="24"/>
        </w:rPr>
        <w:t xml:space="preserve"> </w:t>
      </w:r>
      <w:proofErr w:type="spellStart"/>
      <w:r w:rsidRPr="00D3653F">
        <w:rPr>
          <w:rFonts w:ascii="Book Antiqua" w:hAnsi="Book Antiqua"/>
          <w:szCs w:val="24"/>
        </w:rPr>
        <w:t>transnasal</w:t>
      </w:r>
      <w:proofErr w:type="spellEnd"/>
      <w:r w:rsidRPr="00D3653F">
        <w:rPr>
          <w:rFonts w:ascii="Book Antiqua" w:hAnsi="Book Antiqua"/>
          <w:szCs w:val="24"/>
        </w:rPr>
        <w:t xml:space="preserve"> endoscopy, endoscopic ultrasonography and </w:t>
      </w:r>
      <w:proofErr w:type="spellStart"/>
      <w:r w:rsidRPr="00D3653F">
        <w:rPr>
          <w:rFonts w:ascii="Book Antiqua" w:hAnsi="Book Antiqua"/>
          <w:szCs w:val="24"/>
        </w:rPr>
        <w:t>manometry</w:t>
      </w:r>
      <w:proofErr w:type="spellEnd"/>
      <w:r w:rsidRPr="00D3653F">
        <w:rPr>
          <w:rFonts w:ascii="Book Antiqua" w:hAnsi="Book Antiqua"/>
          <w:szCs w:val="24"/>
        </w:rPr>
        <w:t xml:space="preserve"> was performed </w:t>
      </w:r>
      <w:r w:rsidRPr="00D3653F">
        <w:rPr>
          <w:rStyle w:val="apple-style-span"/>
          <w:rFonts w:ascii="Book Antiqua" w:hAnsi="Book Antiqua"/>
          <w:szCs w:val="24"/>
        </w:rPr>
        <w:t>into the lower esophagus.</w:t>
      </w:r>
      <w:r w:rsidRPr="00D3653F">
        <w:rPr>
          <w:rFonts w:ascii="Book Antiqua" w:hAnsi="Book Antiqua"/>
          <w:szCs w:val="24"/>
        </w:rPr>
        <w:t xml:space="preserve"> Physiological saline was infused initially into the esophagus at a rate of 10 mL/min for 10 min</w:t>
      </w:r>
      <w:r w:rsidRPr="00D3653F">
        <w:rPr>
          <w:rFonts w:ascii="Book Antiqua" w:eastAsia="MS PGothic" w:hAnsi="Book Antiqua"/>
          <w:bCs/>
          <w:szCs w:val="24"/>
        </w:rPr>
        <w:t>.</w:t>
      </w:r>
      <w:r w:rsidRPr="00D3653F">
        <w:rPr>
          <w:rFonts w:ascii="Book Antiqua" w:hAnsi="Book Antiqua"/>
          <w:szCs w:val="24"/>
        </w:rPr>
        <w:t xml:space="preserve"> Subsequently</w:t>
      </w:r>
      <w:r>
        <w:rPr>
          <w:rFonts w:ascii="Book Antiqua" w:hAnsi="Book Antiqua"/>
          <w:szCs w:val="24"/>
        </w:rPr>
        <w:t xml:space="preserve">, </w:t>
      </w:r>
      <w:proofErr w:type="spellStart"/>
      <w:r>
        <w:rPr>
          <w:rFonts w:ascii="Book Antiqua" w:hAnsi="Book Antiqua"/>
          <w:szCs w:val="24"/>
        </w:rPr>
        <w:t>HCl</w:t>
      </w:r>
      <w:proofErr w:type="spellEnd"/>
      <w:r>
        <w:rPr>
          <w:rFonts w:ascii="Book Antiqua" w:hAnsi="Book Antiqua"/>
          <w:szCs w:val="24"/>
        </w:rPr>
        <w:t xml:space="preserve"> was infused for 10 min</w:t>
      </w:r>
      <w:r w:rsidRPr="00D3653F">
        <w:rPr>
          <w:rFonts w:ascii="Book Antiqua" w:hAnsi="Book Antiqua"/>
          <w:szCs w:val="24"/>
        </w:rPr>
        <w:t xml:space="preserve"> at a similar rate. Esophageal contractions were analyzed. Next, using nasal endoscopy, </w:t>
      </w:r>
      <w:r w:rsidRPr="00D3653F">
        <w:rPr>
          <w:rStyle w:val="apple-converted-space"/>
          <w:rFonts w:ascii="Book Antiqua" w:hAnsi="Book Antiqua"/>
          <w:szCs w:val="24"/>
        </w:rPr>
        <w:t xml:space="preserve">esophageal sensations and contractions were investigated in patients with and controls without Barrett’s esophagus following the same infusion method. </w:t>
      </w:r>
      <w:r w:rsidRPr="00D3653F">
        <w:rPr>
          <w:rFonts w:ascii="Book Antiqua" w:eastAsia="MS PGothic" w:hAnsi="Book Antiqua"/>
          <w:szCs w:val="24"/>
        </w:rPr>
        <w:t xml:space="preserve">The endoscopy-based testing used in the present study can evaluate the frequency of esophageal </w:t>
      </w:r>
      <w:proofErr w:type="gramStart"/>
      <w:r w:rsidRPr="00D3653F">
        <w:rPr>
          <w:rFonts w:ascii="Book Antiqua" w:eastAsia="MS PGothic" w:hAnsi="Book Antiqua"/>
          <w:szCs w:val="24"/>
        </w:rPr>
        <w:t xml:space="preserve">peristalsis </w:t>
      </w:r>
      <w:r w:rsidRPr="00D3653F">
        <w:rPr>
          <w:rFonts w:ascii="Book Antiqua" w:hAnsi="Book Antiqua"/>
          <w:szCs w:val="24"/>
        </w:rPr>
        <w:t>.</w:t>
      </w:r>
      <w:proofErr w:type="gramEnd"/>
      <w:r w:rsidRPr="00D3653F">
        <w:rPr>
          <w:rFonts w:ascii="Book Antiqua" w:eastAsia="MS PGothic" w:hAnsi="Book Antiqua"/>
          <w:szCs w:val="24"/>
        </w:rPr>
        <w:t xml:space="preserve"> </w:t>
      </w:r>
      <w:r w:rsidRPr="00D3653F">
        <w:rPr>
          <w:rFonts w:ascii="Book Antiqua" w:hAnsi="Book Antiqua"/>
          <w:szCs w:val="24"/>
        </w:rPr>
        <w:t>T</w:t>
      </w:r>
      <w:r w:rsidRPr="00D3653F">
        <w:rPr>
          <w:rFonts w:ascii="Book Antiqua" w:eastAsia="MS PGothic" w:hAnsi="Book Antiqua"/>
          <w:szCs w:val="24"/>
        </w:rPr>
        <w:t>he endoscopy-based testing described in the present study can be used in clinical practice because of its simplicity and versatility.</w:t>
      </w:r>
    </w:p>
    <w:p w:rsidR="006A1FFB" w:rsidRPr="00D3653F" w:rsidRDefault="006A1FFB" w:rsidP="00D3653F">
      <w:pPr>
        <w:spacing w:line="360" w:lineRule="auto"/>
        <w:rPr>
          <w:rFonts w:ascii="Book Antiqua" w:hAnsi="Book Antiqua"/>
          <w:szCs w:val="24"/>
        </w:rPr>
      </w:pPr>
    </w:p>
    <w:p w:rsidR="006A1FFB" w:rsidRPr="00D3653F" w:rsidRDefault="006A1FFB" w:rsidP="00D3653F">
      <w:pPr>
        <w:spacing w:line="360" w:lineRule="auto"/>
        <w:rPr>
          <w:rFonts w:ascii="Book Antiqua" w:hAnsi="Book Antiqua"/>
          <w:b/>
          <w:bCs/>
          <w:i/>
          <w:szCs w:val="24"/>
        </w:rPr>
      </w:pPr>
      <w:r w:rsidRPr="00D3653F">
        <w:rPr>
          <w:rFonts w:ascii="Book Antiqua" w:hAnsi="Book Antiqua"/>
          <w:b/>
          <w:bCs/>
          <w:i/>
          <w:szCs w:val="24"/>
        </w:rPr>
        <w:t>Applications</w:t>
      </w:r>
    </w:p>
    <w:p w:rsidR="006A1FFB" w:rsidRPr="00D3653F" w:rsidRDefault="006A1FFB" w:rsidP="00D3653F">
      <w:pPr>
        <w:spacing w:line="360" w:lineRule="auto"/>
        <w:rPr>
          <w:rFonts w:ascii="Book Antiqua" w:hAnsi="Book Antiqua"/>
          <w:szCs w:val="24"/>
        </w:rPr>
      </w:pPr>
      <w:r w:rsidRPr="00D3653F">
        <w:rPr>
          <w:rFonts w:ascii="Book Antiqua" w:hAnsi="Book Antiqua"/>
          <w:szCs w:val="24"/>
        </w:rPr>
        <w:lastRenderedPageBreak/>
        <w:t>The o</w:t>
      </w:r>
      <w:r w:rsidRPr="00D3653F">
        <w:rPr>
          <w:rFonts w:ascii="Book Antiqua" w:eastAsia="MS PGothic" w:hAnsi="Book Antiqua"/>
          <w:szCs w:val="24"/>
        </w:rPr>
        <w:t xml:space="preserve">bservation of secondary peristalsis was possible using an endoscopic-based technique. Performing a simple acid perfusion study in </w:t>
      </w:r>
      <w:proofErr w:type="spellStart"/>
      <w:r w:rsidRPr="00D3653F">
        <w:rPr>
          <w:rFonts w:ascii="Book Antiqua" w:eastAsia="MS PGothic" w:hAnsi="Book Antiqua"/>
          <w:szCs w:val="24"/>
        </w:rPr>
        <w:t>unsedated</w:t>
      </w:r>
      <w:proofErr w:type="spellEnd"/>
      <w:r w:rsidRPr="00D3653F">
        <w:rPr>
          <w:rFonts w:ascii="Book Antiqua" w:eastAsia="MS PGothic" w:hAnsi="Book Antiqua"/>
          <w:szCs w:val="24"/>
        </w:rPr>
        <w:t xml:space="preserve"> </w:t>
      </w:r>
      <w:r w:rsidRPr="00D3653F">
        <w:rPr>
          <w:rFonts w:ascii="Book Antiqua" w:hAnsi="Book Antiqua"/>
          <w:spacing w:val="0"/>
          <w:szCs w:val="24"/>
        </w:rPr>
        <w:t>long segment Barrett’s esophagus (LSBE)</w:t>
      </w:r>
      <w:r w:rsidRPr="00D3653F">
        <w:rPr>
          <w:rFonts w:ascii="Book Antiqua" w:eastAsia="MS PGothic" w:hAnsi="Book Antiqua"/>
          <w:szCs w:val="24"/>
        </w:rPr>
        <w:t xml:space="preserve"> patients, we were able to demonstrate disorders in secondary peristalsis using nasal endoscopy.</w:t>
      </w:r>
    </w:p>
    <w:p w:rsidR="006A1FFB" w:rsidRPr="00D3653F" w:rsidRDefault="006A1FFB" w:rsidP="00D3653F">
      <w:pPr>
        <w:spacing w:line="360" w:lineRule="auto"/>
        <w:rPr>
          <w:rFonts w:ascii="Book Antiqua" w:hAnsi="Book Antiqua"/>
          <w:szCs w:val="24"/>
        </w:rPr>
      </w:pPr>
    </w:p>
    <w:p w:rsidR="006A1FFB" w:rsidRPr="00D3653F" w:rsidRDefault="006A1FFB" w:rsidP="00D3653F">
      <w:pPr>
        <w:spacing w:line="360" w:lineRule="auto"/>
        <w:rPr>
          <w:rFonts w:ascii="Book Antiqua" w:hAnsi="Book Antiqua"/>
          <w:b/>
          <w:bCs/>
          <w:i/>
          <w:szCs w:val="24"/>
        </w:rPr>
      </w:pPr>
      <w:r w:rsidRPr="00D3653F">
        <w:rPr>
          <w:rFonts w:ascii="Book Antiqua" w:hAnsi="Book Antiqua"/>
          <w:b/>
          <w:bCs/>
          <w:i/>
          <w:szCs w:val="24"/>
        </w:rPr>
        <w:t>Terminology</w:t>
      </w:r>
    </w:p>
    <w:p w:rsidR="006A1FFB" w:rsidRPr="00D3653F" w:rsidRDefault="006A1FFB" w:rsidP="00D3653F">
      <w:pPr>
        <w:spacing w:line="360" w:lineRule="auto"/>
        <w:rPr>
          <w:rFonts w:ascii="Book Antiqua" w:hAnsi="Book Antiqua"/>
          <w:bCs/>
          <w:szCs w:val="24"/>
          <w:vertAlign w:val="superscript"/>
        </w:rPr>
      </w:pPr>
      <w:r w:rsidRPr="00D3653F">
        <w:rPr>
          <w:rFonts w:ascii="Book Antiqua" w:hAnsi="Book Antiqua"/>
          <w:bCs/>
          <w:szCs w:val="24"/>
        </w:rPr>
        <w:t>Primary and secondary peristalsis were defined as successful if a pressure wave &gt; 12 mmHg at the two proximal esophageal recording sites above the LES and &gt; 25 mmHg at the middle and distal esophageal recording sites progressively traversed all the esophageal recording sites.</w:t>
      </w:r>
      <w:r w:rsidRPr="00D3653F">
        <w:rPr>
          <w:rFonts w:ascii="Book Antiqua" w:hAnsi="Book Antiqua"/>
          <w:bCs/>
          <w:szCs w:val="24"/>
          <w:vertAlign w:val="superscript"/>
        </w:rPr>
        <w:t xml:space="preserve"> </w:t>
      </w:r>
      <w:r w:rsidRPr="00D3653F">
        <w:rPr>
          <w:rFonts w:ascii="Book Antiqua" w:hAnsi="Book Antiqua"/>
          <w:bCs/>
          <w:szCs w:val="24"/>
        </w:rPr>
        <w:t>Peristaltic progression was defined as a peristaltic velocity of ≤</w:t>
      </w:r>
      <w:r w:rsidRPr="00D3653F">
        <w:rPr>
          <w:rFonts w:ascii="Book Antiqua" w:eastAsia="宋体" w:hAnsi="Book Antiqua"/>
          <w:bCs/>
          <w:szCs w:val="24"/>
          <w:lang w:eastAsia="zh-CN"/>
        </w:rPr>
        <w:t xml:space="preserve"> </w:t>
      </w:r>
      <w:r w:rsidRPr="00D3653F">
        <w:rPr>
          <w:rFonts w:ascii="Book Antiqua" w:hAnsi="Book Antiqua"/>
          <w:bCs/>
          <w:szCs w:val="24"/>
        </w:rPr>
        <w:t>6 cm/s.</w:t>
      </w:r>
      <w:r w:rsidRPr="00D3653F">
        <w:rPr>
          <w:rFonts w:ascii="Book Antiqua" w:hAnsi="Book Antiqua"/>
          <w:bCs/>
          <w:szCs w:val="24"/>
          <w:vertAlign w:val="superscript"/>
        </w:rPr>
        <w:t xml:space="preserve"> </w:t>
      </w:r>
      <w:r w:rsidRPr="00D3653F">
        <w:rPr>
          <w:rFonts w:ascii="Book Antiqua" w:hAnsi="Book Antiqua"/>
          <w:szCs w:val="24"/>
        </w:rPr>
        <w:t xml:space="preserve">Barrett’s esophagus was diagnosed on the basis of endoscopic detection of columnar epithelium extending continuously from the </w:t>
      </w:r>
      <w:proofErr w:type="spellStart"/>
      <w:r w:rsidRPr="00D3653F">
        <w:rPr>
          <w:rFonts w:ascii="Book Antiqua" w:eastAsia="MS PGothic" w:hAnsi="Book Antiqua"/>
          <w:bCs/>
          <w:spacing w:val="0"/>
          <w:szCs w:val="24"/>
        </w:rPr>
        <w:t>esophagogastric</w:t>
      </w:r>
      <w:proofErr w:type="spellEnd"/>
      <w:r w:rsidRPr="00D3653F">
        <w:rPr>
          <w:rFonts w:ascii="Book Antiqua" w:eastAsia="MS PGothic" w:hAnsi="Book Antiqua"/>
          <w:bCs/>
          <w:spacing w:val="0"/>
          <w:szCs w:val="24"/>
        </w:rPr>
        <w:t xml:space="preserve"> junction (EGJ)</w:t>
      </w:r>
      <w:r w:rsidRPr="00D3653F">
        <w:rPr>
          <w:rFonts w:ascii="Book Antiqua" w:hAnsi="Book Antiqua"/>
          <w:szCs w:val="24"/>
        </w:rPr>
        <w:t xml:space="preserve"> into the esophagus, without obtaining histological confirmation of the presence of intestinal metaplasia.</w:t>
      </w:r>
      <w:r w:rsidRPr="00D3653F">
        <w:rPr>
          <w:rFonts w:ascii="Book Antiqua" w:hAnsi="Book Antiqua"/>
          <w:szCs w:val="24"/>
          <w:vertAlign w:val="superscript"/>
        </w:rPr>
        <w:t xml:space="preserve"> </w:t>
      </w:r>
      <w:r w:rsidRPr="00D3653F">
        <w:rPr>
          <w:rFonts w:ascii="Book Antiqua" w:hAnsi="Book Antiqua"/>
          <w:szCs w:val="24"/>
        </w:rPr>
        <w:t>The EGJ was defined as the end of the palisading vessels of the lower esophagus.</w:t>
      </w:r>
    </w:p>
    <w:p w:rsidR="006A1FFB" w:rsidRPr="00D3653F" w:rsidRDefault="006A1FFB" w:rsidP="00D3653F">
      <w:pPr>
        <w:spacing w:line="360" w:lineRule="auto"/>
        <w:rPr>
          <w:rFonts w:ascii="Book Antiqua" w:hAnsi="Book Antiqua"/>
          <w:b/>
          <w:bCs/>
          <w:i/>
          <w:szCs w:val="24"/>
        </w:rPr>
      </w:pPr>
    </w:p>
    <w:p w:rsidR="006A1FFB" w:rsidRPr="00D3653F" w:rsidRDefault="006A1FFB" w:rsidP="00D3653F">
      <w:pPr>
        <w:spacing w:line="360" w:lineRule="auto"/>
        <w:rPr>
          <w:rFonts w:ascii="Book Antiqua" w:hAnsi="Book Antiqua"/>
          <w:b/>
          <w:bCs/>
          <w:i/>
          <w:szCs w:val="24"/>
        </w:rPr>
      </w:pPr>
      <w:r w:rsidRPr="00D3653F">
        <w:rPr>
          <w:rFonts w:ascii="Book Antiqua" w:hAnsi="Book Antiqua"/>
          <w:b/>
          <w:bCs/>
          <w:i/>
          <w:szCs w:val="24"/>
        </w:rPr>
        <w:t>Peer review</w:t>
      </w:r>
    </w:p>
    <w:p w:rsidR="006A1FFB" w:rsidRPr="00D3653F" w:rsidRDefault="006A1FFB" w:rsidP="00D3653F">
      <w:pPr>
        <w:spacing w:line="360" w:lineRule="auto"/>
        <w:rPr>
          <w:rFonts w:ascii="Book Antiqua" w:hAnsi="Book Antiqua"/>
          <w:szCs w:val="24"/>
        </w:rPr>
      </w:pPr>
      <w:r w:rsidRPr="00D3653F">
        <w:rPr>
          <w:rFonts w:ascii="Book Antiqua" w:hAnsi="Book Antiqua"/>
          <w:szCs w:val="24"/>
        </w:rPr>
        <w:t xml:space="preserve">This is a good descriptive study in which the authors analyzed dysfunctions in esophageal peristalsis and sensation in patients with Barrett’s esophagus following acid infusion using endoscopy-based testing. The results are interesting and suggest that </w:t>
      </w:r>
      <w:r w:rsidRPr="00D3653F">
        <w:rPr>
          <w:rFonts w:ascii="Book Antiqua" w:eastAsia="MS PGothic" w:hAnsi="Book Antiqua"/>
          <w:szCs w:val="24"/>
        </w:rPr>
        <w:t>disorders in secondary peristalsis in patients with LSBE.</w:t>
      </w: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eastAsia="宋体" w:hAnsi="Book Antiqua"/>
          <w:b/>
          <w:spacing w:val="0"/>
          <w:szCs w:val="24"/>
          <w:lang w:eastAsia="zh-CN"/>
        </w:rPr>
      </w:pPr>
      <w:r w:rsidRPr="00D3653F">
        <w:rPr>
          <w:rFonts w:ascii="Book Antiqua" w:hAnsi="Book Antiqua"/>
          <w:b/>
          <w:spacing w:val="0"/>
          <w:szCs w:val="24"/>
        </w:rPr>
        <w:t>REFERENCES</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 </w:t>
      </w:r>
      <w:r w:rsidRPr="00454AB8">
        <w:rPr>
          <w:rFonts w:ascii="Book Antiqua" w:eastAsia="宋体" w:hAnsi="Book Antiqua" w:cs="宋体"/>
          <w:b/>
          <w:bCs/>
          <w:spacing w:val="0"/>
          <w:szCs w:val="24"/>
          <w:lang w:eastAsia="zh-CN"/>
        </w:rPr>
        <w:t>Kang JY</w:t>
      </w:r>
      <w:r w:rsidRPr="00454AB8">
        <w:rPr>
          <w:rFonts w:ascii="Book Antiqua" w:eastAsia="宋体" w:hAnsi="Book Antiqua" w:cs="宋体"/>
          <w:spacing w:val="0"/>
          <w:szCs w:val="24"/>
          <w:lang w:eastAsia="zh-CN"/>
        </w:rPr>
        <w:t xml:space="preserve">, Ho KY. </w:t>
      </w:r>
      <w:proofErr w:type="gramStart"/>
      <w:r w:rsidRPr="00454AB8">
        <w:rPr>
          <w:rFonts w:ascii="Book Antiqua" w:eastAsia="宋体" w:hAnsi="Book Antiqua" w:cs="宋体"/>
          <w:spacing w:val="0"/>
          <w:szCs w:val="24"/>
          <w:lang w:eastAsia="zh-CN"/>
        </w:rPr>
        <w:t xml:space="preserve">Different </w:t>
      </w:r>
      <w:proofErr w:type="spellStart"/>
      <w:r w:rsidRPr="00454AB8">
        <w:rPr>
          <w:rFonts w:ascii="Book Antiqua" w:eastAsia="宋体" w:hAnsi="Book Antiqua" w:cs="宋体"/>
          <w:spacing w:val="0"/>
          <w:szCs w:val="24"/>
          <w:lang w:eastAsia="zh-CN"/>
        </w:rPr>
        <w:t>prevalences</w:t>
      </w:r>
      <w:proofErr w:type="spellEnd"/>
      <w:r w:rsidRPr="00454AB8">
        <w:rPr>
          <w:rFonts w:ascii="Book Antiqua" w:eastAsia="宋体" w:hAnsi="Book Antiqua" w:cs="宋体"/>
          <w:spacing w:val="0"/>
          <w:szCs w:val="24"/>
          <w:lang w:eastAsia="zh-CN"/>
        </w:rPr>
        <w:t xml:space="preserve"> of reflux </w:t>
      </w:r>
      <w:proofErr w:type="spellStart"/>
      <w:r w:rsidRPr="00454AB8">
        <w:rPr>
          <w:rFonts w:ascii="Book Antiqua" w:eastAsia="宋体" w:hAnsi="Book Antiqua" w:cs="宋体"/>
          <w:spacing w:val="0"/>
          <w:szCs w:val="24"/>
          <w:lang w:eastAsia="zh-CN"/>
        </w:rPr>
        <w:t>oesophagitis</w:t>
      </w:r>
      <w:proofErr w:type="spellEnd"/>
      <w:r w:rsidRPr="00454AB8">
        <w:rPr>
          <w:rFonts w:ascii="Book Antiqua" w:eastAsia="宋体" w:hAnsi="Book Antiqua" w:cs="宋体"/>
          <w:spacing w:val="0"/>
          <w:szCs w:val="24"/>
          <w:lang w:eastAsia="zh-CN"/>
        </w:rPr>
        <w:t xml:space="preserve"> and hiatus hernia among dyspeptic patients in England and Singapore.</w:t>
      </w:r>
      <w:proofErr w:type="gramEnd"/>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i/>
          <w:iCs/>
          <w:spacing w:val="0"/>
          <w:szCs w:val="24"/>
          <w:lang w:eastAsia="zh-CN"/>
        </w:rPr>
        <w:t>Eur</w:t>
      </w:r>
      <w:proofErr w:type="spellEnd"/>
      <w:r w:rsidRPr="00454AB8">
        <w:rPr>
          <w:rFonts w:ascii="Book Antiqua" w:eastAsia="宋体" w:hAnsi="Book Antiqua" w:cs="宋体"/>
          <w:i/>
          <w:iCs/>
          <w:spacing w:val="0"/>
          <w:szCs w:val="24"/>
          <w:lang w:eastAsia="zh-CN"/>
        </w:rPr>
        <w:t xml:space="preserve"> 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Hepatol</w:t>
      </w:r>
      <w:proofErr w:type="spellEnd"/>
      <w:r w:rsidRPr="00454AB8">
        <w:rPr>
          <w:rFonts w:ascii="Book Antiqua" w:eastAsia="宋体" w:hAnsi="Book Antiqua" w:cs="宋体"/>
          <w:spacing w:val="0"/>
          <w:szCs w:val="24"/>
          <w:lang w:eastAsia="zh-CN"/>
        </w:rPr>
        <w:t xml:space="preserve"> 1999; </w:t>
      </w:r>
      <w:r w:rsidRPr="00454AB8">
        <w:rPr>
          <w:rFonts w:ascii="Book Antiqua" w:eastAsia="宋体" w:hAnsi="Book Antiqua" w:cs="宋体"/>
          <w:b/>
          <w:bCs/>
          <w:spacing w:val="0"/>
          <w:szCs w:val="24"/>
          <w:lang w:eastAsia="zh-CN"/>
        </w:rPr>
        <w:t>11</w:t>
      </w:r>
      <w:r w:rsidRPr="00454AB8">
        <w:rPr>
          <w:rFonts w:ascii="Book Antiqua" w:eastAsia="宋体" w:hAnsi="Book Antiqua" w:cs="宋体"/>
          <w:spacing w:val="0"/>
          <w:szCs w:val="24"/>
          <w:lang w:eastAsia="zh-CN"/>
        </w:rPr>
        <w:t>: 845-850 [PMID: 10514115]</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lastRenderedPageBreak/>
        <w:t xml:space="preserve">2 </w:t>
      </w:r>
      <w:r w:rsidRPr="00454AB8">
        <w:rPr>
          <w:rFonts w:ascii="Book Antiqua" w:eastAsia="宋体" w:hAnsi="Book Antiqua" w:cs="宋体"/>
          <w:b/>
          <w:bCs/>
          <w:spacing w:val="0"/>
          <w:szCs w:val="24"/>
          <w:lang w:eastAsia="zh-CN"/>
        </w:rPr>
        <w:t>Furukawa N</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Iwakiri</w:t>
      </w:r>
      <w:proofErr w:type="spellEnd"/>
      <w:r w:rsidRPr="00454AB8">
        <w:rPr>
          <w:rFonts w:ascii="Book Antiqua" w:eastAsia="宋体" w:hAnsi="Book Antiqua" w:cs="宋体"/>
          <w:spacing w:val="0"/>
          <w:szCs w:val="24"/>
          <w:lang w:eastAsia="zh-CN"/>
        </w:rPr>
        <w:t xml:space="preserve"> R, Koyama T, Okamoto K, Yoshida T, </w:t>
      </w:r>
      <w:proofErr w:type="spellStart"/>
      <w:r w:rsidRPr="00454AB8">
        <w:rPr>
          <w:rFonts w:ascii="Book Antiqua" w:eastAsia="宋体" w:hAnsi="Book Antiqua" w:cs="宋体"/>
          <w:spacing w:val="0"/>
          <w:szCs w:val="24"/>
          <w:lang w:eastAsia="zh-CN"/>
        </w:rPr>
        <w:t>Kashiwagi</w:t>
      </w:r>
      <w:proofErr w:type="spellEnd"/>
      <w:r w:rsidRPr="00454AB8">
        <w:rPr>
          <w:rFonts w:ascii="Book Antiqua" w:eastAsia="宋体" w:hAnsi="Book Antiqua" w:cs="宋体"/>
          <w:spacing w:val="0"/>
          <w:szCs w:val="24"/>
          <w:lang w:eastAsia="zh-CN"/>
        </w:rPr>
        <w:t xml:space="preserve"> Y, </w:t>
      </w:r>
      <w:proofErr w:type="spellStart"/>
      <w:r w:rsidRPr="00454AB8">
        <w:rPr>
          <w:rFonts w:ascii="Book Antiqua" w:eastAsia="宋体" w:hAnsi="Book Antiqua" w:cs="宋体"/>
          <w:spacing w:val="0"/>
          <w:szCs w:val="24"/>
          <w:lang w:eastAsia="zh-CN"/>
        </w:rPr>
        <w:t>Ohyama</w:t>
      </w:r>
      <w:proofErr w:type="spellEnd"/>
      <w:r w:rsidRPr="00454AB8">
        <w:rPr>
          <w:rFonts w:ascii="Book Antiqua" w:eastAsia="宋体" w:hAnsi="Book Antiqua" w:cs="宋体"/>
          <w:spacing w:val="0"/>
          <w:szCs w:val="24"/>
          <w:lang w:eastAsia="zh-CN"/>
        </w:rPr>
        <w:t xml:space="preserve"> T, Noda T, Sakata H, Fujimoto K. Proportion of reflux esophagitis in 6010 Japanese adults: prospective evaluation by endoscopy.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1999; </w:t>
      </w:r>
      <w:r w:rsidRPr="00454AB8">
        <w:rPr>
          <w:rFonts w:ascii="Book Antiqua" w:eastAsia="宋体" w:hAnsi="Book Antiqua" w:cs="宋体"/>
          <w:b/>
          <w:bCs/>
          <w:spacing w:val="0"/>
          <w:szCs w:val="24"/>
          <w:lang w:eastAsia="zh-CN"/>
        </w:rPr>
        <w:t>34</w:t>
      </w:r>
      <w:r w:rsidRPr="00454AB8">
        <w:rPr>
          <w:rFonts w:ascii="Book Antiqua" w:eastAsia="宋体" w:hAnsi="Book Antiqua" w:cs="宋体"/>
          <w:spacing w:val="0"/>
          <w:szCs w:val="24"/>
          <w:lang w:eastAsia="zh-CN"/>
        </w:rPr>
        <w:t>: 441-444 [PMID: 10452674]</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3 </w:t>
      </w:r>
      <w:proofErr w:type="spellStart"/>
      <w:r w:rsidRPr="00454AB8">
        <w:rPr>
          <w:rFonts w:ascii="Book Antiqua" w:eastAsia="宋体" w:hAnsi="Book Antiqua" w:cs="宋体"/>
          <w:b/>
          <w:bCs/>
          <w:spacing w:val="0"/>
          <w:szCs w:val="24"/>
          <w:lang w:eastAsia="zh-CN"/>
        </w:rPr>
        <w:t>Lagergren</w:t>
      </w:r>
      <w:proofErr w:type="spellEnd"/>
      <w:r w:rsidRPr="00454AB8">
        <w:rPr>
          <w:rFonts w:ascii="Book Antiqua" w:eastAsia="宋体" w:hAnsi="Book Antiqua" w:cs="宋体"/>
          <w:b/>
          <w:bCs/>
          <w:spacing w:val="0"/>
          <w:szCs w:val="24"/>
          <w:lang w:eastAsia="zh-CN"/>
        </w:rPr>
        <w:t xml:space="preserve"> J</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Bergström</w:t>
      </w:r>
      <w:proofErr w:type="spellEnd"/>
      <w:r w:rsidRPr="00454AB8">
        <w:rPr>
          <w:rFonts w:ascii="Book Antiqua" w:eastAsia="宋体" w:hAnsi="Book Antiqua" w:cs="宋体"/>
          <w:spacing w:val="0"/>
          <w:szCs w:val="24"/>
          <w:lang w:eastAsia="zh-CN"/>
        </w:rPr>
        <w:t xml:space="preserve"> R, Lindgren A, </w:t>
      </w:r>
      <w:proofErr w:type="spellStart"/>
      <w:r w:rsidRPr="00454AB8">
        <w:rPr>
          <w:rFonts w:ascii="Book Antiqua" w:eastAsia="宋体" w:hAnsi="Book Antiqua" w:cs="宋体"/>
          <w:spacing w:val="0"/>
          <w:szCs w:val="24"/>
          <w:lang w:eastAsia="zh-CN"/>
        </w:rPr>
        <w:t>Nyrén</w:t>
      </w:r>
      <w:proofErr w:type="spellEnd"/>
      <w:r w:rsidRPr="00454AB8">
        <w:rPr>
          <w:rFonts w:ascii="Book Antiqua" w:eastAsia="宋体" w:hAnsi="Book Antiqua" w:cs="宋体"/>
          <w:spacing w:val="0"/>
          <w:szCs w:val="24"/>
          <w:lang w:eastAsia="zh-CN"/>
        </w:rPr>
        <w:t xml:space="preserve"> O. Symptomatic </w:t>
      </w:r>
      <w:proofErr w:type="spellStart"/>
      <w:r w:rsidRPr="00454AB8">
        <w:rPr>
          <w:rFonts w:ascii="Book Antiqua" w:eastAsia="宋体" w:hAnsi="Book Antiqua" w:cs="宋体"/>
          <w:spacing w:val="0"/>
          <w:szCs w:val="24"/>
          <w:lang w:eastAsia="zh-CN"/>
        </w:rPr>
        <w:t>gastroesophageal</w:t>
      </w:r>
      <w:proofErr w:type="spellEnd"/>
      <w:r w:rsidRPr="00454AB8">
        <w:rPr>
          <w:rFonts w:ascii="Book Antiqua" w:eastAsia="宋体" w:hAnsi="Book Antiqua" w:cs="宋体"/>
          <w:spacing w:val="0"/>
          <w:szCs w:val="24"/>
          <w:lang w:eastAsia="zh-CN"/>
        </w:rPr>
        <w:t xml:space="preserve"> reflux as a risk factor for esophageal adenocarcinoma. </w:t>
      </w:r>
      <w:r w:rsidRPr="00454AB8">
        <w:rPr>
          <w:rFonts w:ascii="Book Antiqua" w:eastAsia="宋体" w:hAnsi="Book Antiqua" w:cs="宋体"/>
          <w:i/>
          <w:iCs/>
          <w:spacing w:val="0"/>
          <w:szCs w:val="24"/>
          <w:lang w:eastAsia="zh-CN"/>
        </w:rPr>
        <w:t xml:space="preserve">N </w:t>
      </w:r>
      <w:proofErr w:type="spellStart"/>
      <w:r w:rsidRPr="00454AB8">
        <w:rPr>
          <w:rFonts w:ascii="Book Antiqua" w:eastAsia="宋体" w:hAnsi="Book Antiqua" w:cs="宋体"/>
          <w:i/>
          <w:iCs/>
          <w:spacing w:val="0"/>
          <w:szCs w:val="24"/>
          <w:lang w:eastAsia="zh-CN"/>
        </w:rPr>
        <w:t>Engl</w:t>
      </w:r>
      <w:proofErr w:type="spellEnd"/>
      <w:r w:rsidRPr="00454AB8">
        <w:rPr>
          <w:rFonts w:ascii="Book Antiqua" w:eastAsia="宋体" w:hAnsi="Book Antiqua" w:cs="宋体"/>
          <w:i/>
          <w:iCs/>
          <w:spacing w:val="0"/>
          <w:szCs w:val="24"/>
          <w:lang w:eastAsia="zh-CN"/>
        </w:rPr>
        <w:t xml:space="preserve"> J Med</w:t>
      </w:r>
      <w:r w:rsidRPr="00454AB8">
        <w:rPr>
          <w:rFonts w:ascii="Book Antiqua" w:eastAsia="宋体" w:hAnsi="Book Antiqua" w:cs="宋体"/>
          <w:spacing w:val="0"/>
          <w:szCs w:val="24"/>
          <w:lang w:eastAsia="zh-CN"/>
        </w:rPr>
        <w:t xml:space="preserve"> 1999; </w:t>
      </w:r>
      <w:r w:rsidRPr="00454AB8">
        <w:rPr>
          <w:rFonts w:ascii="Book Antiqua" w:eastAsia="宋体" w:hAnsi="Book Antiqua" w:cs="宋体"/>
          <w:b/>
          <w:bCs/>
          <w:spacing w:val="0"/>
          <w:szCs w:val="24"/>
          <w:lang w:eastAsia="zh-CN"/>
        </w:rPr>
        <w:t>340</w:t>
      </w:r>
      <w:r w:rsidRPr="00454AB8">
        <w:rPr>
          <w:rFonts w:ascii="Book Antiqua" w:eastAsia="宋体" w:hAnsi="Book Antiqua" w:cs="宋体"/>
          <w:spacing w:val="0"/>
          <w:szCs w:val="24"/>
          <w:lang w:eastAsia="zh-CN"/>
        </w:rPr>
        <w:t>: 825-831 [PMID: 10080844 DOI: 10.1056/NEJM199903183401101]</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4 </w:t>
      </w:r>
      <w:r w:rsidRPr="00454AB8">
        <w:rPr>
          <w:rFonts w:ascii="Book Antiqua" w:eastAsia="宋体" w:hAnsi="Book Antiqua" w:cs="宋体"/>
          <w:b/>
          <w:bCs/>
          <w:spacing w:val="0"/>
          <w:szCs w:val="24"/>
          <w:lang w:eastAsia="zh-CN"/>
        </w:rPr>
        <w:t>Jacob P</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Kahrilas</w:t>
      </w:r>
      <w:proofErr w:type="spellEnd"/>
      <w:r w:rsidRPr="00454AB8">
        <w:rPr>
          <w:rFonts w:ascii="Book Antiqua" w:eastAsia="宋体" w:hAnsi="Book Antiqua" w:cs="宋体"/>
          <w:spacing w:val="0"/>
          <w:szCs w:val="24"/>
          <w:lang w:eastAsia="zh-CN"/>
        </w:rPr>
        <w:t xml:space="preserve"> PJ, </w:t>
      </w:r>
      <w:proofErr w:type="spellStart"/>
      <w:r w:rsidRPr="00454AB8">
        <w:rPr>
          <w:rFonts w:ascii="Book Antiqua" w:eastAsia="宋体" w:hAnsi="Book Antiqua" w:cs="宋体"/>
          <w:spacing w:val="0"/>
          <w:szCs w:val="24"/>
          <w:lang w:eastAsia="zh-CN"/>
        </w:rPr>
        <w:t>Vanagunas</w:t>
      </w:r>
      <w:proofErr w:type="spellEnd"/>
      <w:r w:rsidRPr="00454AB8">
        <w:rPr>
          <w:rFonts w:ascii="Book Antiqua" w:eastAsia="宋体" w:hAnsi="Book Antiqua" w:cs="宋体"/>
          <w:spacing w:val="0"/>
          <w:szCs w:val="24"/>
          <w:lang w:eastAsia="zh-CN"/>
        </w:rPr>
        <w:t xml:space="preserve"> A. Peristaltic dysfunction associated with </w:t>
      </w:r>
      <w:proofErr w:type="spellStart"/>
      <w:r w:rsidRPr="00454AB8">
        <w:rPr>
          <w:rFonts w:ascii="Book Antiqua" w:eastAsia="宋体" w:hAnsi="Book Antiqua" w:cs="宋体"/>
          <w:spacing w:val="0"/>
          <w:szCs w:val="24"/>
          <w:lang w:eastAsia="zh-CN"/>
        </w:rPr>
        <w:t>nonobstructive</w:t>
      </w:r>
      <w:proofErr w:type="spellEnd"/>
      <w:r w:rsidRPr="00454AB8">
        <w:rPr>
          <w:rFonts w:ascii="Book Antiqua" w:eastAsia="宋体" w:hAnsi="Book Antiqua" w:cs="宋体"/>
          <w:spacing w:val="0"/>
          <w:szCs w:val="24"/>
          <w:lang w:eastAsia="zh-CN"/>
        </w:rPr>
        <w:t xml:space="preserve"> dysphagia in reflux disease. </w:t>
      </w:r>
      <w:r w:rsidRPr="00454AB8">
        <w:rPr>
          <w:rFonts w:ascii="Book Antiqua" w:eastAsia="宋体" w:hAnsi="Book Antiqua" w:cs="宋体"/>
          <w:i/>
          <w:iCs/>
          <w:spacing w:val="0"/>
          <w:szCs w:val="24"/>
          <w:lang w:eastAsia="zh-CN"/>
        </w:rPr>
        <w:t xml:space="preserve">Dig Dis </w:t>
      </w:r>
      <w:proofErr w:type="spellStart"/>
      <w:r w:rsidRPr="00454AB8">
        <w:rPr>
          <w:rFonts w:ascii="Book Antiqua" w:eastAsia="宋体" w:hAnsi="Book Antiqua" w:cs="宋体"/>
          <w:i/>
          <w:iCs/>
          <w:spacing w:val="0"/>
          <w:szCs w:val="24"/>
          <w:lang w:eastAsia="zh-CN"/>
        </w:rPr>
        <w:t>Sci</w:t>
      </w:r>
      <w:proofErr w:type="spellEnd"/>
      <w:r w:rsidRPr="00454AB8">
        <w:rPr>
          <w:rFonts w:ascii="Book Antiqua" w:eastAsia="宋体" w:hAnsi="Book Antiqua" w:cs="宋体"/>
          <w:spacing w:val="0"/>
          <w:szCs w:val="24"/>
          <w:lang w:eastAsia="zh-CN"/>
        </w:rPr>
        <w:t xml:space="preserve"> 1990; </w:t>
      </w:r>
      <w:r w:rsidRPr="00454AB8">
        <w:rPr>
          <w:rFonts w:ascii="Book Antiqua" w:eastAsia="宋体" w:hAnsi="Book Antiqua" w:cs="宋体"/>
          <w:b/>
          <w:bCs/>
          <w:spacing w:val="0"/>
          <w:szCs w:val="24"/>
          <w:lang w:eastAsia="zh-CN"/>
        </w:rPr>
        <w:t>35</w:t>
      </w:r>
      <w:r w:rsidRPr="00454AB8">
        <w:rPr>
          <w:rFonts w:ascii="Book Antiqua" w:eastAsia="宋体" w:hAnsi="Book Antiqua" w:cs="宋体"/>
          <w:spacing w:val="0"/>
          <w:szCs w:val="24"/>
          <w:lang w:eastAsia="zh-CN"/>
        </w:rPr>
        <w:t>: 939-942 [PMID: 2384039]</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t xml:space="preserve">5 </w:t>
      </w:r>
      <w:proofErr w:type="spellStart"/>
      <w:r w:rsidRPr="00454AB8">
        <w:rPr>
          <w:rFonts w:ascii="Book Antiqua" w:eastAsia="宋体" w:hAnsi="Book Antiqua" w:cs="宋体"/>
          <w:b/>
          <w:bCs/>
          <w:spacing w:val="0"/>
          <w:szCs w:val="24"/>
          <w:lang w:eastAsia="zh-CN"/>
        </w:rPr>
        <w:t>Pai</w:t>
      </w:r>
      <w:proofErr w:type="spellEnd"/>
      <w:r w:rsidRPr="00454AB8">
        <w:rPr>
          <w:rFonts w:ascii="Book Antiqua" w:eastAsia="宋体" w:hAnsi="Book Antiqua" w:cs="宋体"/>
          <w:b/>
          <w:bCs/>
          <w:spacing w:val="0"/>
          <w:szCs w:val="24"/>
          <w:lang w:eastAsia="zh-CN"/>
        </w:rPr>
        <w:t xml:space="preserve"> CG</w:t>
      </w:r>
      <w:r w:rsidRPr="00454AB8">
        <w:rPr>
          <w:rFonts w:ascii="Book Antiqua" w:eastAsia="宋体" w:hAnsi="Book Antiqua" w:cs="宋体"/>
          <w:spacing w:val="0"/>
          <w:szCs w:val="24"/>
          <w:lang w:eastAsia="zh-CN"/>
        </w:rPr>
        <w:t>.</w:t>
      </w:r>
      <w:proofErr w:type="gramEnd"/>
      <w:r w:rsidRPr="00454AB8">
        <w:rPr>
          <w:rFonts w:ascii="Book Antiqua" w:eastAsia="宋体" w:hAnsi="Book Antiqua" w:cs="宋体"/>
          <w:spacing w:val="0"/>
          <w:szCs w:val="24"/>
          <w:lang w:eastAsia="zh-CN"/>
        </w:rPr>
        <w:t xml:space="preserve"> Secondary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peristalsis in gastro-</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reflux disease.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Hepatol</w:t>
      </w:r>
      <w:proofErr w:type="spellEnd"/>
      <w:r w:rsidRPr="00454AB8">
        <w:rPr>
          <w:rFonts w:ascii="Book Antiqua" w:eastAsia="宋体" w:hAnsi="Book Antiqua" w:cs="宋体"/>
          <w:spacing w:val="0"/>
          <w:szCs w:val="24"/>
          <w:lang w:eastAsia="zh-CN"/>
        </w:rPr>
        <w:t xml:space="preserve"> 2000; </w:t>
      </w:r>
      <w:r w:rsidRPr="00454AB8">
        <w:rPr>
          <w:rFonts w:ascii="Book Antiqua" w:eastAsia="宋体" w:hAnsi="Book Antiqua" w:cs="宋体"/>
          <w:b/>
          <w:bCs/>
          <w:spacing w:val="0"/>
          <w:szCs w:val="24"/>
          <w:lang w:eastAsia="zh-CN"/>
        </w:rPr>
        <w:t>15</w:t>
      </w:r>
      <w:r w:rsidRPr="00454AB8">
        <w:rPr>
          <w:rFonts w:ascii="Book Antiqua" w:eastAsia="宋体" w:hAnsi="Book Antiqua" w:cs="宋体"/>
          <w:spacing w:val="0"/>
          <w:szCs w:val="24"/>
          <w:lang w:eastAsia="zh-CN"/>
        </w:rPr>
        <w:t>: 30-34 [PMID: 10719744]</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6 </w:t>
      </w:r>
      <w:proofErr w:type="spellStart"/>
      <w:r w:rsidRPr="00454AB8">
        <w:rPr>
          <w:rFonts w:ascii="Book Antiqua" w:eastAsia="宋体" w:hAnsi="Book Antiqua" w:cs="宋体"/>
          <w:b/>
          <w:bCs/>
          <w:spacing w:val="0"/>
          <w:szCs w:val="24"/>
          <w:lang w:eastAsia="zh-CN"/>
        </w:rPr>
        <w:t>Iwakiri</w:t>
      </w:r>
      <w:proofErr w:type="spellEnd"/>
      <w:r w:rsidRPr="00454AB8">
        <w:rPr>
          <w:rFonts w:ascii="Book Antiqua" w:eastAsia="宋体" w:hAnsi="Book Antiqua" w:cs="宋体"/>
          <w:b/>
          <w:bCs/>
          <w:spacing w:val="0"/>
          <w:szCs w:val="24"/>
          <w:lang w:eastAsia="zh-CN"/>
        </w:rPr>
        <w:t xml:space="preserve"> K</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Sugiura</w:t>
      </w:r>
      <w:proofErr w:type="spellEnd"/>
      <w:r w:rsidRPr="00454AB8">
        <w:rPr>
          <w:rFonts w:ascii="Book Antiqua" w:eastAsia="宋体" w:hAnsi="Book Antiqua" w:cs="宋体"/>
          <w:spacing w:val="0"/>
          <w:szCs w:val="24"/>
          <w:lang w:eastAsia="zh-CN"/>
        </w:rPr>
        <w:t xml:space="preserve"> T, Hayashi Y, </w:t>
      </w:r>
      <w:proofErr w:type="spellStart"/>
      <w:r w:rsidRPr="00454AB8">
        <w:rPr>
          <w:rFonts w:ascii="Book Antiqua" w:eastAsia="宋体" w:hAnsi="Book Antiqua" w:cs="宋体"/>
          <w:spacing w:val="0"/>
          <w:szCs w:val="24"/>
          <w:lang w:eastAsia="zh-CN"/>
        </w:rPr>
        <w:t>Kotoyori</w:t>
      </w:r>
      <w:proofErr w:type="spellEnd"/>
      <w:r w:rsidRPr="00454AB8">
        <w:rPr>
          <w:rFonts w:ascii="Book Antiqua" w:eastAsia="宋体" w:hAnsi="Book Antiqua" w:cs="宋体"/>
          <w:spacing w:val="0"/>
          <w:szCs w:val="24"/>
          <w:lang w:eastAsia="zh-CN"/>
        </w:rPr>
        <w:t xml:space="preserve"> M, Kawakami A, Makino H, Nomura T, Miyashita M, </w:t>
      </w:r>
      <w:proofErr w:type="spellStart"/>
      <w:r w:rsidRPr="00454AB8">
        <w:rPr>
          <w:rFonts w:ascii="Book Antiqua" w:eastAsia="宋体" w:hAnsi="Book Antiqua" w:cs="宋体"/>
          <w:spacing w:val="0"/>
          <w:szCs w:val="24"/>
          <w:lang w:eastAsia="zh-CN"/>
        </w:rPr>
        <w:t>Takubo</w:t>
      </w:r>
      <w:proofErr w:type="spellEnd"/>
      <w:r w:rsidRPr="00454AB8">
        <w:rPr>
          <w:rFonts w:ascii="Book Antiqua" w:eastAsia="宋体" w:hAnsi="Book Antiqua" w:cs="宋体"/>
          <w:spacing w:val="0"/>
          <w:szCs w:val="24"/>
          <w:lang w:eastAsia="zh-CN"/>
        </w:rPr>
        <w:t xml:space="preserve"> K, Sakamoto C. Esophageal motility in Japanese patients with Barrett's esophagus.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2003; </w:t>
      </w:r>
      <w:r w:rsidRPr="00454AB8">
        <w:rPr>
          <w:rFonts w:ascii="Book Antiqua" w:eastAsia="宋体" w:hAnsi="Book Antiqua" w:cs="宋体"/>
          <w:b/>
          <w:bCs/>
          <w:spacing w:val="0"/>
          <w:szCs w:val="24"/>
          <w:lang w:eastAsia="zh-CN"/>
        </w:rPr>
        <w:t>38</w:t>
      </w:r>
      <w:r w:rsidRPr="00454AB8">
        <w:rPr>
          <w:rFonts w:ascii="Book Antiqua" w:eastAsia="宋体" w:hAnsi="Book Antiqua" w:cs="宋体"/>
          <w:spacing w:val="0"/>
          <w:szCs w:val="24"/>
          <w:lang w:eastAsia="zh-CN"/>
        </w:rPr>
        <w:t>: 1036-1041 [PMID: 14673719 DOI: 10.1007/s00535-003-1193-9]</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7 </w:t>
      </w:r>
      <w:proofErr w:type="spellStart"/>
      <w:r w:rsidRPr="00454AB8">
        <w:rPr>
          <w:rFonts w:ascii="Book Antiqua" w:eastAsia="宋体" w:hAnsi="Book Antiqua" w:cs="宋体"/>
          <w:b/>
          <w:bCs/>
          <w:spacing w:val="0"/>
          <w:szCs w:val="24"/>
          <w:lang w:eastAsia="zh-CN"/>
        </w:rPr>
        <w:t>Aben-Athar</w:t>
      </w:r>
      <w:proofErr w:type="spellEnd"/>
      <w:r w:rsidRPr="00454AB8">
        <w:rPr>
          <w:rFonts w:ascii="Book Antiqua" w:eastAsia="宋体" w:hAnsi="Book Antiqua" w:cs="宋体"/>
          <w:b/>
          <w:bCs/>
          <w:spacing w:val="0"/>
          <w:szCs w:val="24"/>
          <w:lang w:eastAsia="zh-CN"/>
        </w:rPr>
        <w:t xml:space="preserve"> CG</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Dantas</w:t>
      </w:r>
      <w:proofErr w:type="spellEnd"/>
      <w:r w:rsidRPr="00454AB8">
        <w:rPr>
          <w:rFonts w:ascii="Book Antiqua" w:eastAsia="宋体" w:hAnsi="Book Antiqua" w:cs="宋体"/>
          <w:spacing w:val="0"/>
          <w:szCs w:val="24"/>
          <w:lang w:eastAsia="zh-CN"/>
        </w:rPr>
        <w:t xml:space="preserve"> RO. Primary and secondary esophageal contractions in patients with </w:t>
      </w:r>
      <w:proofErr w:type="spellStart"/>
      <w:r w:rsidRPr="00454AB8">
        <w:rPr>
          <w:rFonts w:ascii="Book Antiqua" w:eastAsia="宋体" w:hAnsi="Book Antiqua" w:cs="宋体"/>
          <w:spacing w:val="0"/>
          <w:szCs w:val="24"/>
          <w:lang w:eastAsia="zh-CN"/>
        </w:rPr>
        <w:t>gastroesophageal</w:t>
      </w:r>
      <w:proofErr w:type="spellEnd"/>
      <w:r w:rsidRPr="00454AB8">
        <w:rPr>
          <w:rFonts w:ascii="Book Antiqua" w:eastAsia="宋体" w:hAnsi="Book Antiqua" w:cs="宋体"/>
          <w:spacing w:val="0"/>
          <w:szCs w:val="24"/>
          <w:lang w:eastAsia="zh-CN"/>
        </w:rPr>
        <w:t xml:space="preserve"> reflux disease. </w:t>
      </w:r>
      <w:proofErr w:type="spellStart"/>
      <w:r w:rsidRPr="00454AB8">
        <w:rPr>
          <w:rFonts w:ascii="Book Antiqua" w:eastAsia="宋体" w:hAnsi="Book Antiqua" w:cs="宋体"/>
          <w:i/>
          <w:iCs/>
          <w:spacing w:val="0"/>
          <w:szCs w:val="24"/>
          <w:lang w:eastAsia="zh-CN"/>
        </w:rPr>
        <w:t>Braz</w:t>
      </w:r>
      <w:proofErr w:type="spellEnd"/>
      <w:r w:rsidRPr="00454AB8">
        <w:rPr>
          <w:rFonts w:ascii="Book Antiqua" w:eastAsia="宋体" w:hAnsi="Book Antiqua" w:cs="宋体"/>
          <w:i/>
          <w:iCs/>
          <w:spacing w:val="0"/>
          <w:szCs w:val="24"/>
          <w:lang w:eastAsia="zh-CN"/>
        </w:rPr>
        <w:t xml:space="preserve"> J Med </w:t>
      </w:r>
      <w:proofErr w:type="spellStart"/>
      <w:r w:rsidRPr="00454AB8">
        <w:rPr>
          <w:rFonts w:ascii="Book Antiqua" w:eastAsia="宋体" w:hAnsi="Book Antiqua" w:cs="宋体"/>
          <w:i/>
          <w:iCs/>
          <w:spacing w:val="0"/>
          <w:szCs w:val="24"/>
          <w:lang w:eastAsia="zh-CN"/>
        </w:rPr>
        <w:t>Biol</w:t>
      </w:r>
      <w:proofErr w:type="spellEnd"/>
      <w:r w:rsidRPr="00454AB8">
        <w:rPr>
          <w:rFonts w:ascii="Book Antiqua" w:eastAsia="宋体" w:hAnsi="Book Antiqua" w:cs="宋体"/>
          <w:i/>
          <w:iCs/>
          <w:spacing w:val="0"/>
          <w:szCs w:val="24"/>
          <w:lang w:eastAsia="zh-CN"/>
        </w:rPr>
        <w:t xml:space="preserve"> Res</w:t>
      </w:r>
      <w:r w:rsidRPr="00454AB8">
        <w:rPr>
          <w:rFonts w:ascii="Book Antiqua" w:eastAsia="宋体" w:hAnsi="Book Antiqua" w:cs="宋体"/>
          <w:spacing w:val="0"/>
          <w:szCs w:val="24"/>
          <w:lang w:eastAsia="zh-CN"/>
        </w:rPr>
        <w:t xml:space="preserve"> 2006; </w:t>
      </w:r>
      <w:r w:rsidRPr="00454AB8">
        <w:rPr>
          <w:rFonts w:ascii="Book Antiqua" w:eastAsia="宋体" w:hAnsi="Book Antiqua" w:cs="宋体"/>
          <w:b/>
          <w:bCs/>
          <w:spacing w:val="0"/>
          <w:szCs w:val="24"/>
          <w:lang w:eastAsia="zh-CN"/>
        </w:rPr>
        <w:t>39</w:t>
      </w:r>
      <w:r w:rsidRPr="00454AB8">
        <w:rPr>
          <w:rFonts w:ascii="Book Antiqua" w:eastAsia="宋体" w:hAnsi="Book Antiqua" w:cs="宋体"/>
          <w:spacing w:val="0"/>
          <w:szCs w:val="24"/>
          <w:lang w:eastAsia="zh-CN"/>
        </w:rPr>
        <w:t>: 1027-1031 [PMID: 16906277]</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8 </w:t>
      </w:r>
      <w:r w:rsidRPr="00454AB8">
        <w:rPr>
          <w:rFonts w:ascii="Book Antiqua" w:eastAsia="宋体" w:hAnsi="Book Antiqua" w:cs="宋体"/>
          <w:b/>
          <w:bCs/>
          <w:spacing w:val="0"/>
          <w:szCs w:val="24"/>
          <w:lang w:eastAsia="zh-CN"/>
        </w:rPr>
        <w:t>Johnson DA</w:t>
      </w:r>
      <w:r w:rsidRPr="00454AB8">
        <w:rPr>
          <w:rFonts w:ascii="Book Antiqua" w:eastAsia="宋体" w:hAnsi="Book Antiqua" w:cs="宋体"/>
          <w:spacing w:val="0"/>
          <w:szCs w:val="24"/>
          <w:lang w:eastAsia="zh-CN"/>
        </w:rPr>
        <w:t xml:space="preserve">, Winters C, </w:t>
      </w:r>
      <w:proofErr w:type="spellStart"/>
      <w:r w:rsidRPr="00454AB8">
        <w:rPr>
          <w:rFonts w:ascii="Book Antiqua" w:eastAsia="宋体" w:hAnsi="Book Antiqua" w:cs="宋体"/>
          <w:spacing w:val="0"/>
          <w:szCs w:val="24"/>
          <w:lang w:eastAsia="zh-CN"/>
        </w:rPr>
        <w:t>Spurling</w:t>
      </w:r>
      <w:proofErr w:type="spellEnd"/>
      <w:r w:rsidRPr="00454AB8">
        <w:rPr>
          <w:rFonts w:ascii="Book Antiqua" w:eastAsia="宋体" w:hAnsi="Book Antiqua" w:cs="宋体"/>
          <w:spacing w:val="0"/>
          <w:szCs w:val="24"/>
          <w:lang w:eastAsia="zh-CN"/>
        </w:rPr>
        <w:t xml:space="preserve"> TJ, </w:t>
      </w:r>
      <w:proofErr w:type="spellStart"/>
      <w:r w:rsidRPr="00454AB8">
        <w:rPr>
          <w:rFonts w:ascii="Book Antiqua" w:eastAsia="宋体" w:hAnsi="Book Antiqua" w:cs="宋体"/>
          <w:spacing w:val="0"/>
          <w:szCs w:val="24"/>
          <w:lang w:eastAsia="zh-CN"/>
        </w:rPr>
        <w:t>Chobanian</w:t>
      </w:r>
      <w:proofErr w:type="spellEnd"/>
      <w:r w:rsidRPr="00454AB8">
        <w:rPr>
          <w:rFonts w:ascii="Book Antiqua" w:eastAsia="宋体" w:hAnsi="Book Antiqua" w:cs="宋体"/>
          <w:spacing w:val="0"/>
          <w:szCs w:val="24"/>
          <w:lang w:eastAsia="zh-CN"/>
        </w:rPr>
        <w:t xml:space="preserve"> SJ, </w:t>
      </w:r>
      <w:proofErr w:type="spellStart"/>
      <w:r w:rsidRPr="00454AB8">
        <w:rPr>
          <w:rFonts w:ascii="Book Antiqua" w:eastAsia="宋体" w:hAnsi="Book Antiqua" w:cs="宋体"/>
          <w:spacing w:val="0"/>
          <w:szCs w:val="24"/>
          <w:lang w:eastAsia="zh-CN"/>
        </w:rPr>
        <w:t>Cattau</w:t>
      </w:r>
      <w:proofErr w:type="spellEnd"/>
      <w:r w:rsidRPr="00454AB8">
        <w:rPr>
          <w:rFonts w:ascii="Book Antiqua" w:eastAsia="宋体" w:hAnsi="Book Antiqua" w:cs="宋体"/>
          <w:spacing w:val="0"/>
          <w:szCs w:val="24"/>
          <w:lang w:eastAsia="zh-CN"/>
        </w:rPr>
        <w:t xml:space="preserve"> EL. Esophageal acid sensitivity in Barrett's esophagus.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Clin</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1987; </w:t>
      </w:r>
      <w:r w:rsidRPr="00454AB8">
        <w:rPr>
          <w:rFonts w:ascii="Book Antiqua" w:eastAsia="宋体" w:hAnsi="Book Antiqua" w:cs="宋体"/>
          <w:b/>
          <w:bCs/>
          <w:spacing w:val="0"/>
          <w:szCs w:val="24"/>
          <w:lang w:eastAsia="zh-CN"/>
        </w:rPr>
        <w:t>9</w:t>
      </w:r>
      <w:r w:rsidRPr="00454AB8">
        <w:rPr>
          <w:rFonts w:ascii="Book Antiqua" w:eastAsia="宋体" w:hAnsi="Book Antiqua" w:cs="宋体"/>
          <w:spacing w:val="0"/>
          <w:szCs w:val="24"/>
          <w:lang w:eastAsia="zh-CN"/>
        </w:rPr>
        <w:t>: 23-27 [PMID: 3559107]</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t xml:space="preserve">9 </w:t>
      </w:r>
      <w:r w:rsidRPr="00454AB8">
        <w:rPr>
          <w:rFonts w:ascii="Book Antiqua" w:eastAsia="宋体" w:hAnsi="Book Antiqua" w:cs="宋体"/>
          <w:b/>
          <w:bCs/>
          <w:spacing w:val="0"/>
          <w:szCs w:val="24"/>
          <w:lang w:eastAsia="zh-CN"/>
        </w:rPr>
        <w:t>Marrero JM</w:t>
      </w:r>
      <w:r w:rsidRPr="00454AB8">
        <w:rPr>
          <w:rFonts w:ascii="Book Antiqua" w:eastAsia="宋体" w:hAnsi="Book Antiqua" w:cs="宋体"/>
          <w:spacing w:val="0"/>
          <w:szCs w:val="24"/>
          <w:lang w:eastAsia="zh-CN"/>
        </w:rPr>
        <w:t xml:space="preserve">, de </w:t>
      </w:r>
      <w:proofErr w:type="spellStart"/>
      <w:r w:rsidRPr="00454AB8">
        <w:rPr>
          <w:rFonts w:ascii="Book Antiqua" w:eastAsia="宋体" w:hAnsi="Book Antiqua" w:cs="宋体"/>
          <w:spacing w:val="0"/>
          <w:szCs w:val="24"/>
          <w:lang w:eastAsia="zh-CN"/>
        </w:rPr>
        <w:t>Caestecker</w:t>
      </w:r>
      <w:proofErr w:type="spellEnd"/>
      <w:r w:rsidRPr="00454AB8">
        <w:rPr>
          <w:rFonts w:ascii="Book Antiqua" w:eastAsia="宋体" w:hAnsi="Book Antiqua" w:cs="宋体"/>
          <w:spacing w:val="0"/>
          <w:szCs w:val="24"/>
          <w:lang w:eastAsia="zh-CN"/>
        </w:rPr>
        <w:t xml:space="preserve"> JS, Maxwell JD.</w:t>
      </w:r>
      <w:proofErr w:type="gramEnd"/>
      <w:r w:rsidRPr="00454AB8">
        <w:rPr>
          <w:rFonts w:ascii="Book Antiqua" w:eastAsia="宋体" w:hAnsi="Book Antiqua" w:cs="宋体"/>
          <w:spacing w:val="0"/>
          <w:szCs w:val="24"/>
          <w:lang w:eastAsia="zh-CN"/>
        </w:rPr>
        <w:t xml:space="preserve"> </w:t>
      </w:r>
      <w:proofErr w:type="gramStart"/>
      <w:r w:rsidRPr="00454AB8">
        <w:rPr>
          <w:rFonts w:ascii="Book Antiqua" w:eastAsia="宋体" w:hAnsi="Book Antiqua" w:cs="宋体"/>
          <w:spacing w:val="0"/>
          <w:szCs w:val="24"/>
          <w:lang w:eastAsia="zh-CN"/>
        </w:rPr>
        <w:t xml:space="preserve">Effect of famotidine on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sensitivity in gastro-</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reflux disease.</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Gut</w:t>
      </w:r>
      <w:r w:rsidRPr="00454AB8">
        <w:rPr>
          <w:rFonts w:ascii="Book Antiqua" w:eastAsia="宋体" w:hAnsi="Book Antiqua" w:cs="宋体"/>
          <w:spacing w:val="0"/>
          <w:szCs w:val="24"/>
          <w:lang w:eastAsia="zh-CN"/>
        </w:rPr>
        <w:t xml:space="preserve"> 1994; </w:t>
      </w:r>
      <w:r w:rsidRPr="00454AB8">
        <w:rPr>
          <w:rFonts w:ascii="Book Antiqua" w:eastAsia="宋体" w:hAnsi="Book Antiqua" w:cs="宋体"/>
          <w:b/>
          <w:bCs/>
          <w:spacing w:val="0"/>
          <w:szCs w:val="24"/>
          <w:lang w:eastAsia="zh-CN"/>
        </w:rPr>
        <w:t>35</w:t>
      </w:r>
      <w:r w:rsidRPr="00454AB8">
        <w:rPr>
          <w:rFonts w:ascii="Book Antiqua" w:eastAsia="宋体" w:hAnsi="Book Antiqua" w:cs="宋体"/>
          <w:spacing w:val="0"/>
          <w:szCs w:val="24"/>
          <w:lang w:eastAsia="zh-CN"/>
        </w:rPr>
        <w:t>: 447-450 [PMID: 8174979]</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10 </w:t>
      </w:r>
      <w:proofErr w:type="spellStart"/>
      <w:r w:rsidRPr="00454AB8">
        <w:rPr>
          <w:rFonts w:ascii="Book Antiqua" w:eastAsia="宋体" w:hAnsi="Book Antiqua" w:cs="宋体"/>
          <w:b/>
          <w:bCs/>
          <w:spacing w:val="0"/>
          <w:szCs w:val="24"/>
          <w:lang w:eastAsia="zh-CN"/>
        </w:rPr>
        <w:t>Nagahara</w:t>
      </w:r>
      <w:proofErr w:type="spellEnd"/>
      <w:r w:rsidRPr="00454AB8">
        <w:rPr>
          <w:rFonts w:ascii="Book Antiqua" w:eastAsia="宋体" w:hAnsi="Book Antiqua" w:cs="宋体"/>
          <w:b/>
          <w:bCs/>
          <w:spacing w:val="0"/>
          <w:szCs w:val="24"/>
          <w:lang w:eastAsia="zh-CN"/>
        </w:rPr>
        <w:t xml:space="preserve"> A</w:t>
      </w:r>
      <w:r w:rsidRPr="00454AB8">
        <w:rPr>
          <w:rFonts w:ascii="Book Antiqua" w:eastAsia="宋体" w:hAnsi="Book Antiqua" w:cs="宋体"/>
          <w:spacing w:val="0"/>
          <w:szCs w:val="24"/>
          <w:lang w:eastAsia="zh-CN"/>
        </w:rPr>
        <w:t xml:space="preserve">, Miwa H, </w:t>
      </w:r>
      <w:proofErr w:type="spellStart"/>
      <w:r w:rsidRPr="00454AB8">
        <w:rPr>
          <w:rFonts w:ascii="Book Antiqua" w:eastAsia="宋体" w:hAnsi="Book Antiqua" w:cs="宋体"/>
          <w:spacing w:val="0"/>
          <w:szCs w:val="24"/>
          <w:lang w:eastAsia="zh-CN"/>
        </w:rPr>
        <w:t>Minoo</w:t>
      </w:r>
      <w:proofErr w:type="spellEnd"/>
      <w:r w:rsidRPr="00454AB8">
        <w:rPr>
          <w:rFonts w:ascii="Book Antiqua" w:eastAsia="宋体" w:hAnsi="Book Antiqua" w:cs="宋体"/>
          <w:spacing w:val="0"/>
          <w:szCs w:val="24"/>
          <w:lang w:eastAsia="zh-CN"/>
        </w:rPr>
        <w:t xml:space="preserve"> T, </w:t>
      </w:r>
      <w:proofErr w:type="spellStart"/>
      <w:r w:rsidRPr="00454AB8">
        <w:rPr>
          <w:rFonts w:ascii="Book Antiqua" w:eastAsia="宋体" w:hAnsi="Book Antiqua" w:cs="宋体"/>
          <w:spacing w:val="0"/>
          <w:szCs w:val="24"/>
          <w:lang w:eastAsia="zh-CN"/>
        </w:rPr>
        <w:t>Hojo</w:t>
      </w:r>
      <w:proofErr w:type="spellEnd"/>
      <w:r w:rsidRPr="00454AB8">
        <w:rPr>
          <w:rFonts w:ascii="Book Antiqua" w:eastAsia="宋体" w:hAnsi="Book Antiqua" w:cs="宋体"/>
          <w:spacing w:val="0"/>
          <w:szCs w:val="24"/>
          <w:lang w:eastAsia="zh-CN"/>
        </w:rPr>
        <w:t xml:space="preserve"> M, </w:t>
      </w:r>
      <w:proofErr w:type="spellStart"/>
      <w:r w:rsidRPr="00454AB8">
        <w:rPr>
          <w:rFonts w:ascii="Book Antiqua" w:eastAsia="宋体" w:hAnsi="Book Antiqua" w:cs="宋体"/>
          <w:spacing w:val="0"/>
          <w:szCs w:val="24"/>
          <w:lang w:eastAsia="zh-CN"/>
        </w:rPr>
        <w:t>Kawabe</w:t>
      </w:r>
      <w:proofErr w:type="spellEnd"/>
      <w:r w:rsidRPr="00454AB8">
        <w:rPr>
          <w:rFonts w:ascii="Book Antiqua" w:eastAsia="宋体" w:hAnsi="Book Antiqua" w:cs="宋体"/>
          <w:spacing w:val="0"/>
          <w:szCs w:val="24"/>
          <w:lang w:eastAsia="zh-CN"/>
        </w:rPr>
        <w:t xml:space="preserve"> M, </w:t>
      </w:r>
      <w:proofErr w:type="spellStart"/>
      <w:r w:rsidRPr="00454AB8">
        <w:rPr>
          <w:rFonts w:ascii="Book Antiqua" w:eastAsia="宋体" w:hAnsi="Book Antiqua" w:cs="宋体"/>
          <w:spacing w:val="0"/>
          <w:szCs w:val="24"/>
          <w:lang w:eastAsia="zh-CN"/>
        </w:rPr>
        <w:t>Osada</w:t>
      </w:r>
      <w:proofErr w:type="spellEnd"/>
      <w:r w:rsidRPr="00454AB8">
        <w:rPr>
          <w:rFonts w:ascii="Book Antiqua" w:eastAsia="宋体" w:hAnsi="Book Antiqua" w:cs="宋体"/>
          <w:spacing w:val="0"/>
          <w:szCs w:val="24"/>
          <w:lang w:eastAsia="zh-CN"/>
        </w:rPr>
        <w:t xml:space="preserve"> T, Kurosawa A, </w:t>
      </w:r>
      <w:proofErr w:type="spellStart"/>
      <w:r w:rsidRPr="00454AB8">
        <w:rPr>
          <w:rFonts w:ascii="Book Antiqua" w:eastAsia="宋体" w:hAnsi="Book Antiqua" w:cs="宋体"/>
          <w:spacing w:val="0"/>
          <w:szCs w:val="24"/>
          <w:lang w:eastAsia="zh-CN"/>
        </w:rPr>
        <w:t>Asaoka</w:t>
      </w:r>
      <w:proofErr w:type="spellEnd"/>
      <w:r w:rsidRPr="00454AB8">
        <w:rPr>
          <w:rFonts w:ascii="Book Antiqua" w:eastAsia="宋体" w:hAnsi="Book Antiqua" w:cs="宋体"/>
          <w:spacing w:val="0"/>
          <w:szCs w:val="24"/>
          <w:lang w:eastAsia="zh-CN"/>
        </w:rPr>
        <w:t xml:space="preserve"> D, </w:t>
      </w:r>
      <w:proofErr w:type="spellStart"/>
      <w:r w:rsidRPr="00454AB8">
        <w:rPr>
          <w:rFonts w:ascii="Book Antiqua" w:eastAsia="宋体" w:hAnsi="Book Antiqua" w:cs="宋体"/>
          <w:spacing w:val="0"/>
          <w:szCs w:val="24"/>
          <w:lang w:eastAsia="zh-CN"/>
        </w:rPr>
        <w:t>Terai</w:t>
      </w:r>
      <w:proofErr w:type="spellEnd"/>
      <w:r w:rsidRPr="00454AB8">
        <w:rPr>
          <w:rFonts w:ascii="Book Antiqua" w:eastAsia="宋体" w:hAnsi="Book Antiqua" w:cs="宋体"/>
          <w:spacing w:val="0"/>
          <w:szCs w:val="24"/>
          <w:lang w:eastAsia="zh-CN"/>
        </w:rPr>
        <w:t xml:space="preserve"> T, </w:t>
      </w:r>
      <w:proofErr w:type="spellStart"/>
      <w:r w:rsidRPr="00454AB8">
        <w:rPr>
          <w:rFonts w:ascii="Book Antiqua" w:eastAsia="宋体" w:hAnsi="Book Antiqua" w:cs="宋体"/>
          <w:spacing w:val="0"/>
          <w:szCs w:val="24"/>
          <w:lang w:eastAsia="zh-CN"/>
        </w:rPr>
        <w:t>Ohkusa</w:t>
      </w:r>
      <w:proofErr w:type="spellEnd"/>
      <w:r w:rsidRPr="00454AB8">
        <w:rPr>
          <w:rFonts w:ascii="Book Antiqua" w:eastAsia="宋体" w:hAnsi="Book Antiqua" w:cs="宋体"/>
          <w:spacing w:val="0"/>
          <w:szCs w:val="24"/>
          <w:lang w:eastAsia="zh-CN"/>
        </w:rPr>
        <w:t xml:space="preserve"> T, Sato N. Increased esophageal sensitivity to acid and </w:t>
      </w:r>
      <w:r w:rsidRPr="00454AB8">
        <w:rPr>
          <w:rFonts w:ascii="Book Antiqua" w:eastAsia="宋体" w:hAnsi="Book Antiqua" w:cs="宋体"/>
          <w:spacing w:val="0"/>
          <w:szCs w:val="24"/>
          <w:lang w:eastAsia="zh-CN"/>
        </w:rPr>
        <w:lastRenderedPageBreak/>
        <w:t xml:space="preserve">saline in patients with </w:t>
      </w:r>
      <w:proofErr w:type="spellStart"/>
      <w:r w:rsidRPr="00454AB8">
        <w:rPr>
          <w:rFonts w:ascii="Book Antiqua" w:eastAsia="宋体" w:hAnsi="Book Antiqua" w:cs="宋体"/>
          <w:spacing w:val="0"/>
          <w:szCs w:val="24"/>
          <w:lang w:eastAsia="zh-CN"/>
        </w:rPr>
        <w:t>nonerosive</w:t>
      </w:r>
      <w:proofErr w:type="spellEnd"/>
      <w:r w:rsidRPr="00454AB8">
        <w:rPr>
          <w:rFonts w:ascii="Book Antiqua" w:eastAsia="宋体" w:hAnsi="Book Antiqua" w:cs="宋体"/>
          <w:spacing w:val="0"/>
          <w:szCs w:val="24"/>
          <w:lang w:eastAsia="zh-CN"/>
        </w:rPr>
        <w:t xml:space="preserve"> gastro-esophageal reflux disease.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Clin</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w:t>
      </w:r>
      <w:r w:rsidRPr="00D3653F">
        <w:rPr>
          <w:rFonts w:ascii="Book Antiqua" w:eastAsia="宋体" w:hAnsi="Book Antiqua" w:cs="宋体"/>
          <w:spacing w:val="0"/>
          <w:szCs w:val="24"/>
          <w:lang w:eastAsia="zh-CN"/>
        </w:rPr>
        <w:t>2006</w:t>
      </w:r>
      <w:r w:rsidRPr="00454AB8">
        <w:rPr>
          <w:rFonts w:ascii="Book Antiqua" w:eastAsia="宋体" w:hAnsi="Book Antiqua" w:cs="宋体"/>
          <w:spacing w:val="0"/>
          <w:szCs w:val="24"/>
          <w:lang w:eastAsia="zh-CN"/>
        </w:rPr>
        <w:t xml:space="preserve">; </w:t>
      </w:r>
      <w:r w:rsidRPr="00454AB8">
        <w:rPr>
          <w:rFonts w:ascii="Book Antiqua" w:eastAsia="宋体" w:hAnsi="Book Antiqua" w:cs="宋体"/>
          <w:b/>
          <w:bCs/>
          <w:spacing w:val="0"/>
          <w:szCs w:val="24"/>
          <w:lang w:eastAsia="zh-CN"/>
        </w:rPr>
        <w:t>40</w:t>
      </w:r>
      <w:r w:rsidRPr="00454AB8">
        <w:rPr>
          <w:rFonts w:ascii="Book Antiqua" w:eastAsia="宋体" w:hAnsi="Book Antiqua" w:cs="宋体"/>
          <w:spacing w:val="0"/>
          <w:szCs w:val="24"/>
          <w:lang w:eastAsia="zh-CN"/>
        </w:rPr>
        <w:t>: 891-895 [PMID: 17063106 DOI: 10.1097/01.mcg.0000225673.76475.9d]</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t xml:space="preserve">11 </w:t>
      </w:r>
      <w:proofErr w:type="spellStart"/>
      <w:r w:rsidRPr="00454AB8">
        <w:rPr>
          <w:rFonts w:ascii="Book Antiqua" w:eastAsia="宋体" w:hAnsi="Book Antiqua" w:cs="宋体"/>
          <w:b/>
          <w:bCs/>
          <w:spacing w:val="0"/>
          <w:szCs w:val="24"/>
          <w:lang w:eastAsia="zh-CN"/>
        </w:rPr>
        <w:t>Vandenplas</w:t>
      </w:r>
      <w:proofErr w:type="spellEnd"/>
      <w:r w:rsidRPr="00454AB8">
        <w:rPr>
          <w:rFonts w:ascii="Book Antiqua" w:eastAsia="宋体" w:hAnsi="Book Antiqua" w:cs="宋体"/>
          <w:b/>
          <w:bCs/>
          <w:spacing w:val="0"/>
          <w:szCs w:val="24"/>
          <w:lang w:eastAsia="zh-CN"/>
        </w:rPr>
        <w:t xml:space="preserve"> Y</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Helven</w:t>
      </w:r>
      <w:proofErr w:type="spellEnd"/>
      <w:r w:rsidRPr="00454AB8">
        <w:rPr>
          <w:rFonts w:ascii="Book Antiqua" w:eastAsia="宋体" w:hAnsi="Book Antiqua" w:cs="宋体"/>
          <w:spacing w:val="0"/>
          <w:szCs w:val="24"/>
          <w:lang w:eastAsia="zh-CN"/>
        </w:rPr>
        <w:t xml:space="preserve"> R, </w:t>
      </w:r>
      <w:proofErr w:type="spellStart"/>
      <w:r w:rsidRPr="00454AB8">
        <w:rPr>
          <w:rFonts w:ascii="Book Antiqua" w:eastAsia="宋体" w:hAnsi="Book Antiqua" w:cs="宋体"/>
          <w:spacing w:val="0"/>
          <w:szCs w:val="24"/>
          <w:lang w:eastAsia="zh-CN"/>
        </w:rPr>
        <w:t>Goyvaerts</w:t>
      </w:r>
      <w:proofErr w:type="spellEnd"/>
      <w:r w:rsidRPr="00454AB8">
        <w:rPr>
          <w:rFonts w:ascii="Book Antiqua" w:eastAsia="宋体" w:hAnsi="Book Antiqua" w:cs="宋体"/>
          <w:spacing w:val="0"/>
          <w:szCs w:val="24"/>
          <w:lang w:eastAsia="zh-CN"/>
        </w:rPr>
        <w:t xml:space="preserve"> H. Comparative study of glass and antimony electrodes for continuous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pH monitoring.</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Gut</w:t>
      </w:r>
      <w:r w:rsidRPr="00454AB8">
        <w:rPr>
          <w:rFonts w:ascii="Book Antiqua" w:eastAsia="宋体" w:hAnsi="Book Antiqua" w:cs="宋体"/>
          <w:spacing w:val="0"/>
          <w:szCs w:val="24"/>
          <w:lang w:eastAsia="zh-CN"/>
        </w:rPr>
        <w:t xml:space="preserve"> 1991; </w:t>
      </w:r>
      <w:r w:rsidRPr="00454AB8">
        <w:rPr>
          <w:rFonts w:ascii="Book Antiqua" w:eastAsia="宋体" w:hAnsi="Book Antiqua" w:cs="宋体"/>
          <w:b/>
          <w:bCs/>
          <w:spacing w:val="0"/>
          <w:szCs w:val="24"/>
          <w:lang w:eastAsia="zh-CN"/>
        </w:rPr>
        <w:t>32</w:t>
      </w:r>
      <w:r w:rsidRPr="00454AB8">
        <w:rPr>
          <w:rFonts w:ascii="Book Antiqua" w:eastAsia="宋体" w:hAnsi="Book Antiqua" w:cs="宋体"/>
          <w:spacing w:val="0"/>
          <w:szCs w:val="24"/>
          <w:lang w:eastAsia="zh-CN"/>
        </w:rPr>
        <w:t>: 708-712 [PMID: 2060881]</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12 </w:t>
      </w:r>
      <w:r w:rsidRPr="00454AB8">
        <w:rPr>
          <w:rFonts w:ascii="Book Antiqua" w:eastAsia="宋体" w:hAnsi="Book Antiqua" w:cs="宋体"/>
          <w:b/>
          <w:bCs/>
          <w:spacing w:val="0"/>
          <w:szCs w:val="24"/>
          <w:lang w:eastAsia="zh-CN"/>
        </w:rPr>
        <w:t>Jamieson JR</w:t>
      </w:r>
      <w:r w:rsidRPr="00454AB8">
        <w:rPr>
          <w:rFonts w:ascii="Book Antiqua" w:eastAsia="宋体" w:hAnsi="Book Antiqua" w:cs="宋体"/>
          <w:spacing w:val="0"/>
          <w:szCs w:val="24"/>
          <w:lang w:eastAsia="zh-CN"/>
        </w:rPr>
        <w:t xml:space="preserve">, Stein HJ, </w:t>
      </w:r>
      <w:proofErr w:type="spellStart"/>
      <w:r w:rsidRPr="00454AB8">
        <w:rPr>
          <w:rFonts w:ascii="Book Antiqua" w:eastAsia="宋体" w:hAnsi="Book Antiqua" w:cs="宋体"/>
          <w:spacing w:val="0"/>
          <w:szCs w:val="24"/>
          <w:lang w:eastAsia="zh-CN"/>
        </w:rPr>
        <w:t>DeMeester</w:t>
      </w:r>
      <w:proofErr w:type="spellEnd"/>
      <w:r w:rsidRPr="00454AB8">
        <w:rPr>
          <w:rFonts w:ascii="Book Antiqua" w:eastAsia="宋体" w:hAnsi="Book Antiqua" w:cs="宋体"/>
          <w:spacing w:val="0"/>
          <w:szCs w:val="24"/>
          <w:lang w:eastAsia="zh-CN"/>
        </w:rPr>
        <w:t xml:space="preserve"> TR, </w:t>
      </w:r>
      <w:proofErr w:type="spellStart"/>
      <w:r w:rsidRPr="00454AB8">
        <w:rPr>
          <w:rFonts w:ascii="Book Antiqua" w:eastAsia="宋体" w:hAnsi="Book Antiqua" w:cs="宋体"/>
          <w:spacing w:val="0"/>
          <w:szCs w:val="24"/>
          <w:lang w:eastAsia="zh-CN"/>
        </w:rPr>
        <w:t>Bonavina</w:t>
      </w:r>
      <w:proofErr w:type="spellEnd"/>
      <w:r w:rsidRPr="00454AB8">
        <w:rPr>
          <w:rFonts w:ascii="Book Antiqua" w:eastAsia="宋体" w:hAnsi="Book Antiqua" w:cs="宋体"/>
          <w:spacing w:val="0"/>
          <w:szCs w:val="24"/>
          <w:lang w:eastAsia="zh-CN"/>
        </w:rPr>
        <w:t xml:space="preserve"> L, </w:t>
      </w:r>
      <w:proofErr w:type="spellStart"/>
      <w:r w:rsidRPr="00454AB8">
        <w:rPr>
          <w:rFonts w:ascii="Book Antiqua" w:eastAsia="宋体" w:hAnsi="Book Antiqua" w:cs="宋体"/>
          <w:spacing w:val="0"/>
          <w:szCs w:val="24"/>
          <w:lang w:eastAsia="zh-CN"/>
        </w:rPr>
        <w:t>Schwizer</w:t>
      </w:r>
      <w:proofErr w:type="spellEnd"/>
      <w:r w:rsidRPr="00454AB8">
        <w:rPr>
          <w:rFonts w:ascii="Book Antiqua" w:eastAsia="宋体" w:hAnsi="Book Antiqua" w:cs="宋体"/>
          <w:spacing w:val="0"/>
          <w:szCs w:val="24"/>
          <w:lang w:eastAsia="zh-CN"/>
        </w:rPr>
        <w:t xml:space="preserve"> W, Hinder RA, </w:t>
      </w:r>
      <w:proofErr w:type="spellStart"/>
      <w:r w:rsidRPr="00454AB8">
        <w:rPr>
          <w:rFonts w:ascii="Book Antiqua" w:eastAsia="宋体" w:hAnsi="Book Antiqua" w:cs="宋体"/>
          <w:spacing w:val="0"/>
          <w:szCs w:val="24"/>
          <w:lang w:eastAsia="zh-CN"/>
        </w:rPr>
        <w:t>Albertucci</w:t>
      </w:r>
      <w:proofErr w:type="spellEnd"/>
      <w:r w:rsidRPr="00454AB8">
        <w:rPr>
          <w:rFonts w:ascii="Book Antiqua" w:eastAsia="宋体" w:hAnsi="Book Antiqua" w:cs="宋体"/>
          <w:spacing w:val="0"/>
          <w:szCs w:val="24"/>
          <w:lang w:eastAsia="zh-CN"/>
        </w:rPr>
        <w:t xml:space="preserve"> M. Ambulatory 24-h esophageal pH monitoring: normal values, optimal thresholds, specificity, sensitivity, and reproducibility. </w:t>
      </w:r>
      <w:r w:rsidRPr="00454AB8">
        <w:rPr>
          <w:rFonts w:ascii="Book Antiqua" w:eastAsia="宋体" w:hAnsi="Book Antiqua" w:cs="宋体"/>
          <w:i/>
          <w:iCs/>
          <w:spacing w:val="0"/>
          <w:szCs w:val="24"/>
          <w:lang w:eastAsia="zh-CN"/>
        </w:rPr>
        <w:t xml:space="preserve">Am 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1992; </w:t>
      </w:r>
      <w:r w:rsidRPr="00454AB8">
        <w:rPr>
          <w:rFonts w:ascii="Book Antiqua" w:eastAsia="宋体" w:hAnsi="Book Antiqua" w:cs="宋体"/>
          <w:b/>
          <w:bCs/>
          <w:spacing w:val="0"/>
          <w:szCs w:val="24"/>
          <w:lang w:eastAsia="zh-CN"/>
        </w:rPr>
        <w:t>87</w:t>
      </w:r>
      <w:r w:rsidRPr="00454AB8">
        <w:rPr>
          <w:rFonts w:ascii="Book Antiqua" w:eastAsia="宋体" w:hAnsi="Book Antiqua" w:cs="宋体"/>
          <w:spacing w:val="0"/>
          <w:szCs w:val="24"/>
          <w:lang w:eastAsia="zh-CN"/>
        </w:rPr>
        <w:t>: 1102-1111 [PMID: 1519566]</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13 </w:t>
      </w:r>
      <w:proofErr w:type="spellStart"/>
      <w:r w:rsidRPr="00454AB8">
        <w:rPr>
          <w:rFonts w:ascii="Book Antiqua" w:eastAsia="宋体" w:hAnsi="Book Antiqua" w:cs="宋体"/>
          <w:b/>
          <w:bCs/>
          <w:spacing w:val="0"/>
          <w:szCs w:val="24"/>
          <w:lang w:eastAsia="zh-CN"/>
        </w:rPr>
        <w:t>Kasapidis</w:t>
      </w:r>
      <w:proofErr w:type="spellEnd"/>
      <w:r w:rsidRPr="00454AB8">
        <w:rPr>
          <w:rFonts w:ascii="Book Antiqua" w:eastAsia="宋体" w:hAnsi="Book Antiqua" w:cs="宋体"/>
          <w:b/>
          <w:bCs/>
          <w:spacing w:val="0"/>
          <w:szCs w:val="24"/>
          <w:lang w:eastAsia="zh-CN"/>
        </w:rPr>
        <w:t xml:space="preserve"> P</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Xynos</w:t>
      </w:r>
      <w:proofErr w:type="spellEnd"/>
      <w:r w:rsidRPr="00454AB8">
        <w:rPr>
          <w:rFonts w:ascii="Book Antiqua" w:eastAsia="宋体" w:hAnsi="Book Antiqua" w:cs="宋体"/>
          <w:spacing w:val="0"/>
          <w:szCs w:val="24"/>
          <w:lang w:eastAsia="zh-CN"/>
        </w:rPr>
        <w:t xml:space="preserve"> E, </w:t>
      </w:r>
      <w:proofErr w:type="spellStart"/>
      <w:r w:rsidRPr="00454AB8">
        <w:rPr>
          <w:rFonts w:ascii="Book Antiqua" w:eastAsia="宋体" w:hAnsi="Book Antiqua" w:cs="宋体"/>
          <w:spacing w:val="0"/>
          <w:szCs w:val="24"/>
          <w:lang w:eastAsia="zh-CN"/>
        </w:rPr>
        <w:t>Mantides</w:t>
      </w:r>
      <w:proofErr w:type="spellEnd"/>
      <w:r w:rsidRPr="00454AB8">
        <w:rPr>
          <w:rFonts w:ascii="Book Antiqua" w:eastAsia="宋体" w:hAnsi="Book Antiqua" w:cs="宋体"/>
          <w:spacing w:val="0"/>
          <w:szCs w:val="24"/>
          <w:lang w:eastAsia="zh-CN"/>
        </w:rPr>
        <w:t xml:space="preserve"> A, </w:t>
      </w:r>
      <w:proofErr w:type="spellStart"/>
      <w:r w:rsidRPr="00454AB8">
        <w:rPr>
          <w:rFonts w:ascii="Book Antiqua" w:eastAsia="宋体" w:hAnsi="Book Antiqua" w:cs="宋体"/>
          <w:spacing w:val="0"/>
          <w:szCs w:val="24"/>
          <w:lang w:eastAsia="zh-CN"/>
        </w:rPr>
        <w:t>Chrysos</w:t>
      </w:r>
      <w:proofErr w:type="spellEnd"/>
      <w:r w:rsidRPr="00454AB8">
        <w:rPr>
          <w:rFonts w:ascii="Book Antiqua" w:eastAsia="宋体" w:hAnsi="Book Antiqua" w:cs="宋体"/>
          <w:spacing w:val="0"/>
          <w:szCs w:val="24"/>
          <w:lang w:eastAsia="zh-CN"/>
        </w:rPr>
        <w:t xml:space="preserve"> E, </w:t>
      </w:r>
      <w:proofErr w:type="spellStart"/>
      <w:r w:rsidRPr="00454AB8">
        <w:rPr>
          <w:rFonts w:ascii="Book Antiqua" w:eastAsia="宋体" w:hAnsi="Book Antiqua" w:cs="宋体"/>
          <w:spacing w:val="0"/>
          <w:szCs w:val="24"/>
          <w:lang w:eastAsia="zh-CN"/>
        </w:rPr>
        <w:t>Demonakou</w:t>
      </w:r>
      <w:proofErr w:type="spellEnd"/>
      <w:r w:rsidRPr="00454AB8">
        <w:rPr>
          <w:rFonts w:ascii="Book Antiqua" w:eastAsia="宋体" w:hAnsi="Book Antiqua" w:cs="宋体"/>
          <w:spacing w:val="0"/>
          <w:szCs w:val="24"/>
          <w:lang w:eastAsia="zh-CN"/>
        </w:rPr>
        <w:t xml:space="preserve"> M, </w:t>
      </w:r>
      <w:proofErr w:type="spellStart"/>
      <w:r w:rsidRPr="00454AB8">
        <w:rPr>
          <w:rFonts w:ascii="Book Antiqua" w:eastAsia="宋体" w:hAnsi="Book Antiqua" w:cs="宋体"/>
          <w:spacing w:val="0"/>
          <w:szCs w:val="24"/>
          <w:lang w:eastAsia="zh-CN"/>
        </w:rPr>
        <w:t>Nikolopoulos</w:t>
      </w:r>
      <w:proofErr w:type="spellEnd"/>
      <w:r w:rsidRPr="00454AB8">
        <w:rPr>
          <w:rFonts w:ascii="Book Antiqua" w:eastAsia="宋体" w:hAnsi="Book Antiqua" w:cs="宋体"/>
          <w:spacing w:val="0"/>
          <w:szCs w:val="24"/>
          <w:lang w:eastAsia="zh-CN"/>
        </w:rPr>
        <w:t xml:space="preserve"> N, </w:t>
      </w:r>
      <w:proofErr w:type="spellStart"/>
      <w:r w:rsidRPr="00454AB8">
        <w:rPr>
          <w:rFonts w:ascii="Book Antiqua" w:eastAsia="宋体" w:hAnsi="Book Antiqua" w:cs="宋体"/>
          <w:spacing w:val="0"/>
          <w:szCs w:val="24"/>
          <w:lang w:eastAsia="zh-CN"/>
        </w:rPr>
        <w:t>Vassilakis</w:t>
      </w:r>
      <w:proofErr w:type="spellEnd"/>
      <w:r w:rsidRPr="00454AB8">
        <w:rPr>
          <w:rFonts w:ascii="Book Antiqua" w:eastAsia="宋体" w:hAnsi="Book Antiqua" w:cs="宋体"/>
          <w:spacing w:val="0"/>
          <w:szCs w:val="24"/>
          <w:lang w:eastAsia="zh-CN"/>
        </w:rPr>
        <w:t xml:space="preserve"> JS. </w:t>
      </w:r>
      <w:proofErr w:type="gramStart"/>
      <w:r w:rsidRPr="00454AB8">
        <w:rPr>
          <w:rFonts w:ascii="Book Antiqua" w:eastAsia="宋体" w:hAnsi="Book Antiqua" w:cs="宋体"/>
          <w:spacing w:val="0"/>
          <w:szCs w:val="24"/>
          <w:lang w:eastAsia="zh-CN"/>
        </w:rPr>
        <w:t xml:space="preserve">Differences in </w:t>
      </w:r>
      <w:proofErr w:type="spellStart"/>
      <w:r w:rsidRPr="00454AB8">
        <w:rPr>
          <w:rFonts w:ascii="Book Antiqua" w:eastAsia="宋体" w:hAnsi="Book Antiqua" w:cs="宋体"/>
          <w:spacing w:val="0"/>
          <w:szCs w:val="24"/>
          <w:lang w:eastAsia="zh-CN"/>
        </w:rPr>
        <w:t>manometry</w:t>
      </w:r>
      <w:proofErr w:type="spellEnd"/>
      <w:r w:rsidRPr="00454AB8">
        <w:rPr>
          <w:rFonts w:ascii="Book Antiqua" w:eastAsia="宋体" w:hAnsi="Book Antiqua" w:cs="宋体"/>
          <w:spacing w:val="0"/>
          <w:szCs w:val="24"/>
          <w:lang w:eastAsia="zh-CN"/>
        </w:rPr>
        <w:t xml:space="preserve"> and 24-H ambulatory pH-</w:t>
      </w:r>
      <w:proofErr w:type="spellStart"/>
      <w:r w:rsidRPr="00454AB8">
        <w:rPr>
          <w:rFonts w:ascii="Book Antiqua" w:eastAsia="宋体" w:hAnsi="Book Antiqua" w:cs="宋体"/>
          <w:spacing w:val="0"/>
          <w:szCs w:val="24"/>
          <w:lang w:eastAsia="zh-CN"/>
        </w:rPr>
        <w:t>metry</w:t>
      </w:r>
      <w:proofErr w:type="spellEnd"/>
      <w:r w:rsidRPr="00454AB8">
        <w:rPr>
          <w:rFonts w:ascii="Book Antiqua" w:eastAsia="宋体" w:hAnsi="Book Antiqua" w:cs="宋体"/>
          <w:spacing w:val="0"/>
          <w:szCs w:val="24"/>
          <w:lang w:eastAsia="zh-CN"/>
        </w:rPr>
        <w:t xml:space="preserve"> between patients with and without endoscopic or histological esophagitis in </w:t>
      </w:r>
      <w:proofErr w:type="spellStart"/>
      <w:r w:rsidRPr="00454AB8">
        <w:rPr>
          <w:rFonts w:ascii="Book Antiqua" w:eastAsia="宋体" w:hAnsi="Book Antiqua" w:cs="宋体"/>
          <w:spacing w:val="0"/>
          <w:szCs w:val="24"/>
          <w:lang w:eastAsia="zh-CN"/>
        </w:rPr>
        <w:t>gastroesophageal</w:t>
      </w:r>
      <w:proofErr w:type="spellEnd"/>
      <w:r w:rsidRPr="00454AB8">
        <w:rPr>
          <w:rFonts w:ascii="Book Antiqua" w:eastAsia="宋体" w:hAnsi="Book Antiqua" w:cs="宋体"/>
          <w:spacing w:val="0"/>
          <w:szCs w:val="24"/>
          <w:lang w:eastAsia="zh-CN"/>
        </w:rPr>
        <w:t xml:space="preserve"> reflux disease.</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 xml:space="preserve">Am 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1993; </w:t>
      </w:r>
      <w:r w:rsidRPr="00454AB8">
        <w:rPr>
          <w:rFonts w:ascii="Book Antiqua" w:eastAsia="宋体" w:hAnsi="Book Antiqua" w:cs="宋体"/>
          <w:b/>
          <w:bCs/>
          <w:spacing w:val="0"/>
          <w:szCs w:val="24"/>
          <w:lang w:eastAsia="zh-CN"/>
        </w:rPr>
        <w:t>88</w:t>
      </w:r>
      <w:r w:rsidRPr="00454AB8">
        <w:rPr>
          <w:rFonts w:ascii="Book Antiqua" w:eastAsia="宋体" w:hAnsi="Book Antiqua" w:cs="宋体"/>
          <w:spacing w:val="0"/>
          <w:szCs w:val="24"/>
          <w:lang w:eastAsia="zh-CN"/>
        </w:rPr>
        <w:t>: 1893-1899 [PMID: 8237938]</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14 </w:t>
      </w:r>
      <w:proofErr w:type="spellStart"/>
      <w:r w:rsidRPr="00454AB8">
        <w:rPr>
          <w:rFonts w:ascii="Book Antiqua" w:eastAsia="宋体" w:hAnsi="Book Antiqua" w:cs="宋体"/>
          <w:b/>
          <w:bCs/>
          <w:spacing w:val="0"/>
          <w:szCs w:val="24"/>
          <w:lang w:eastAsia="zh-CN"/>
        </w:rPr>
        <w:t>Loughney</w:t>
      </w:r>
      <w:proofErr w:type="spellEnd"/>
      <w:r w:rsidRPr="00454AB8">
        <w:rPr>
          <w:rFonts w:ascii="Book Antiqua" w:eastAsia="宋体" w:hAnsi="Book Antiqua" w:cs="宋体"/>
          <w:b/>
          <w:bCs/>
          <w:spacing w:val="0"/>
          <w:szCs w:val="24"/>
          <w:lang w:eastAsia="zh-CN"/>
        </w:rPr>
        <w:t xml:space="preserve"> T</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Maydonovitch</w:t>
      </w:r>
      <w:proofErr w:type="spellEnd"/>
      <w:r w:rsidRPr="00454AB8">
        <w:rPr>
          <w:rFonts w:ascii="Book Antiqua" w:eastAsia="宋体" w:hAnsi="Book Antiqua" w:cs="宋体"/>
          <w:spacing w:val="0"/>
          <w:szCs w:val="24"/>
          <w:lang w:eastAsia="zh-CN"/>
        </w:rPr>
        <w:t xml:space="preserve"> CL, Wong RK. </w:t>
      </w:r>
      <w:proofErr w:type="gramStart"/>
      <w:r w:rsidRPr="00454AB8">
        <w:rPr>
          <w:rFonts w:ascii="Book Antiqua" w:eastAsia="宋体" w:hAnsi="Book Antiqua" w:cs="宋体"/>
          <w:spacing w:val="0"/>
          <w:szCs w:val="24"/>
          <w:lang w:eastAsia="zh-CN"/>
        </w:rPr>
        <w:t xml:space="preserve">Esophageal </w:t>
      </w:r>
      <w:proofErr w:type="spellStart"/>
      <w:r w:rsidRPr="00454AB8">
        <w:rPr>
          <w:rFonts w:ascii="Book Antiqua" w:eastAsia="宋体" w:hAnsi="Book Antiqua" w:cs="宋体"/>
          <w:spacing w:val="0"/>
          <w:szCs w:val="24"/>
          <w:lang w:eastAsia="zh-CN"/>
        </w:rPr>
        <w:t>manometry</w:t>
      </w:r>
      <w:proofErr w:type="spellEnd"/>
      <w:r w:rsidRPr="00454AB8">
        <w:rPr>
          <w:rFonts w:ascii="Book Antiqua" w:eastAsia="宋体" w:hAnsi="Book Antiqua" w:cs="宋体"/>
          <w:spacing w:val="0"/>
          <w:szCs w:val="24"/>
          <w:lang w:eastAsia="zh-CN"/>
        </w:rPr>
        <w:t xml:space="preserve"> and ambulatory 24-hour pH monitoring in patients with short and long segment Barrett's esophagus.</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 xml:space="preserve">Am 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spacing w:val="0"/>
          <w:szCs w:val="24"/>
          <w:lang w:eastAsia="zh-CN"/>
        </w:rPr>
        <w:t xml:space="preserve"> 1998; </w:t>
      </w:r>
      <w:r w:rsidRPr="00454AB8">
        <w:rPr>
          <w:rFonts w:ascii="Book Antiqua" w:eastAsia="宋体" w:hAnsi="Book Antiqua" w:cs="宋体"/>
          <w:b/>
          <w:bCs/>
          <w:spacing w:val="0"/>
          <w:szCs w:val="24"/>
          <w:lang w:eastAsia="zh-CN"/>
        </w:rPr>
        <w:t>93</w:t>
      </w:r>
      <w:r w:rsidRPr="00454AB8">
        <w:rPr>
          <w:rFonts w:ascii="Book Antiqua" w:eastAsia="宋体" w:hAnsi="Book Antiqua" w:cs="宋体"/>
          <w:spacing w:val="0"/>
          <w:szCs w:val="24"/>
          <w:lang w:eastAsia="zh-CN"/>
        </w:rPr>
        <w:t>: 916-919 [PMID: 9647018 DOI: 10.1111/j.1572-0241.1998.00276.x]</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t xml:space="preserve">15 </w:t>
      </w:r>
      <w:proofErr w:type="spellStart"/>
      <w:r w:rsidRPr="00454AB8">
        <w:rPr>
          <w:rFonts w:ascii="Book Antiqua" w:eastAsia="宋体" w:hAnsi="Book Antiqua" w:cs="宋体"/>
          <w:b/>
          <w:bCs/>
          <w:spacing w:val="0"/>
          <w:szCs w:val="24"/>
          <w:lang w:eastAsia="zh-CN"/>
        </w:rPr>
        <w:t>Fass</w:t>
      </w:r>
      <w:proofErr w:type="spellEnd"/>
      <w:r w:rsidRPr="00454AB8">
        <w:rPr>
          <w:rFonts w:ascii="Book Antiqua" w:eastAsia="宋体" w:hAnsi="Book Antiqua" w:cs="宋体"/>
          <w:b/>
          <w:bCs/>
          <w:spacing w:val="0"/>
          <w:szCs w:val="24"/>
          <w:lang w:eastAsia="zh-CN"/>
        </w:rPr>
        <w:t xml:space="preserve"> R</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Naliboff</w:t>
      </w:r>
      <w:proofErr w:type="spellEnd"/>
      <w:r w:rsidRPr="00454AB8">
        <w:rPr>
          <w:rFonts w:ascii="Book Antiqua" w:eastAsia="宋体" w:hAnsi="Book Antiqua" w:cs="宋体"/>
          <w:spacing w:val="0"/>
          <w:szCs w:val="24"/>
          <w:lang w:eastAsia="zh-CN"/>
        </w:rPr>
        <w:t xml:space="preserve"> BD, </w:t>
      </w:r>
      <w:proofErr w:type="spellStart"/>
      <w:r w:rsidRPr="00454AB8">
        <w:rPr>
          <w:rFonts w:ascii="Book Antiqua" w:eastAsia="宋体" w:hAnsi="Book Antiqua" w:cs="宋体"/>
          <w:spacing w:val="0"/>
          <w:szCs w:val="24"/>
          <w:lang w:eastAsia="zh-CN"/>
        </w:rPr>
        <w:t>Fass</w:t>
      </w:r>
      <w:proofErr w:type="spellEnd"/>
      <w:r w:rsidRPr="00454AB8">
        <w:rPr>
          <w:rFonts w:ascii="Book Antiqua" w:eastAsia="宋体" w:hAnsi="Book Antiqua" w:cs="宋体"/>
          <w:spacing w:val="0"/>
          <w:szCs w:val="24"/>
          <w:lang w:eastAsia="zh-CN"/>
        </w:rPr>
        <w:t xml:space="preserve"> SS, </w:t>
      </w:r>
      <w:proofErr w:type="spellStart"/>
      <w:r w:rsidRPr="00454AB8">
        <w:rPr>
          <w:rFonts w:ascii="Book Antiqua" w:eastAsia="宋体" w:hAnsi="Book Antiqua" w:cs="宋体"/>
          <w:spacing w:val="0"/>
          <w:szCs w:val="24"/>
          <w:lang w:eastAsia="zh-CN"/>
        </w:rPr>
        <w:t>Peleg</w:t>
      </w:r>
      <w:proofErr w:type="spellEnd"/>
      <w:r w:rsidRPr="00454AB8">
        <w:rPr>
          <w:rFonts w:ascii="Book Antiqua" w:eastAsia="宋体" w:hAnsi="Book Antiqua" w:cs="宋体"/>
          <w:spacing w:val="0"/>
          <w:szCs w:val="24"/>
          <w:lang w:eastAsia="zh-CN"/>
        </w:rPr>
        <w:t xml:space="preserve"> N, </w:t>
      </w:r>
      <w:proofErr w:type="spellStart"/>
      <w:r w:rsidRPr="00454AB8">
        <w:rPr>
          <w:rFonts w:ascii="Book Antiqua" w:eastAsia="宋体" w:hAnsi="Book Antiqua" w:cs="宋体"/>
          <w:spacing w:val="0"/>
          <w:szCs w:val="24"/>
          <w:lang w:eastAsia="zh-CN"/>
        </w:rPr>
        <w:t>Wendel</w:t>
      </w:r>
      <w:proofErr w:type="spellEnd"/>
      <w:r w:rsidRPr="00454AB8">
        <w:rPr>
          <w:rFonts w:ascii="Book Antiqua" w:eastAsia="宋体" w:hAnsi="Book Antiqua" w:cs="宋体"/>
          <w:spacing w:val="0"/>
          <w:szCs w:val="24"/>
          <w:lang w:eastAsia="zh-CN"/>
        </w:rPr>
        <w:t xml:space="preserve"> C, </w:t>
      </w:r>
      <w:proofErr w:type="spellStart"/>
      <w:r w:rsidRPr="00454AB8">
        <w:rPr>
          <w:rFonts w:ascii="Book Antiqua" w:eastAsia="宋体" w:hAnsi="Book Antiqua" w:cs="宋体"/>
          <w:spacing w:val="0"/>
          <w:szCs w:val="24"/>
          <w:lang w:eastAsia="zh-CN"/>
        </w:rPr>
        <w:t>Malagon</w:t>
      </w:r>
      <w:proofErr w:type="spellEnd"/>
      <w:r w:rsidRPr="00454AB8">
        <w:rPr>
          <w:rFonts w:ascii="Book Antiqua" w:eastAsia="宋体" w:hAnsi="Book Antiqua" w:cs="宋体"/>
          <w:spacing w:val="0"/>
          <w:szCs w:val="24"/>
          <w:lang w:eastAsia="zh-CN"/>
        </w:rPr>
        <w:t xml:space="preserve"> IB, Mayer EA.</w:t>
      </w:r>
      <w:proofErr w:type="gramEnd"/>
      <w:r w:rsidRPr="00454AB8">
        <w:rPr>
          <w:rFonts w:ascii="Book Antiqua" w:eastAsia="宋体" w:hAnsi="Book Antiqua" w:cs="宋体"/>
          <w:spacing w:val="0"/>
          <w:szCs w:val="24"/>
          <w:lang w:eastAsia="zh-CN"/>
        </w:rPr>
        <w:t xml:space="preserve"> The effect of auditory stress on perception of </w:t>
      </w:r>
      <w:proofErr w:type="spellStart"/>
      <w:r w:rsidRPr="00454AB8">
        <w:rPr>
          <w:rFonts w:ascii="Book Antiqua" w:eastAsia="宋体" w:hAnsi="Book Antiqua" w:cs="宋体"/>
          <w:spacing w:val="0"/>
          <w:szCs w:val="24"/>
          <w:lang w:eastAsia="zh-CN"/>
        </w:rPr>
        <w:t>intraesophageal</w:t>
      </w:r>
      <w:proofErr w:type="spellEnd"/>
      <w:r w:rsidRPr="00454AB8">
        <w:rPr>
          <w:rFonts w:ascii="Book Antiqua" w:eastAsia="宋体" w:hAnsi="Book Antiqua" w:cs="宋体"/>
          <w:spacing w:val="0"/>
          <w:szCs w:val="24"/>
          <w:lang w:eastAsia="zh-CN"/>
        </w:rPr>
        <w:t xml:space="preserve"> acid in patients with </w:t>
      </w:r>
      <w:proofErr w:type="spellStart"/>
      <w:r w:rsidRPr="00454AB8">
        <w:rPr>
          <w:rFonts w:ascii="Book Antiqua" w:eastAsia="宋体" w:hAnsi="Book Antiqua" w:cs="宋体"/>
          <w:spacing w:val="0"/>
          <w:szCs w:val="24"/>
          <w:lang w:eastAsia="zh-CN"/>
        </w:rPr>
        <w:t>gastroesophageal</w:t>
      </w:r>
      <w:proofErr w:type="spellEnd"/>
      <w:r w:rsidRPr="00454AB8">
        <w:rPr>
          <w:rFonts w:ascii="Book Antiqua" w:eastAsia="宋体" w:hAnsi="Book Antiqua" w:cs="宋体"/>
          <w:spacing w:val="0"/>
          <w:szCs w:val="24"/>
          <w:lang w:eastAsia="zh-CN"/>
        </w:rPr>
        <w:t xml:space="preserve"> reflux disease. </w:t>
      </w:r>
      <w:r w:rsidRPr="00454AB8">
        <w:rPr>
          <w:rFonts w:ascii="Book Antiqua" w:eastAsia="宋体" w:hAnsi="Book Antiqua" w:cs="宋体"/>
          <w:i/>
          <w:iCs/>
          <w:spacing w:val="0"/>
          <w:szCs w:val="24"/>
          <w:lang w:eastAsia="zh-CN"/>
        </w:rPr>
        <w:t>Gastroenterology</w:t>
      </w:r>
      <w:r w:rsidRPr="00454AB8">
        <w:rPr>
          <w:rFonts w:ascii="Book Antiqua" w:eastAsia="宋体" w:hAnsi="Book Antiqua" w:cs="宋体"/>
          <w:spacing w:val="0"/>
          <w:szCs w:val="24"/>
          <w:lang w:eastAsia="zh-CN"/>
        </w:rPr>
        <w:t xml:space="preserve"> 2008; </w:t>
      </w:r>
      <w:r w:rsidRPr="00454AB8">
        <w:rPr>
          <w:rFonts w:ascii="Book Antiqua" w:eastAsia="宋体" w:hAnsi="Book Antiqua" w:cs="宋体"/>
          <w:b/>
          <w:bCs/>
          <w:spacing w:val="0"/>
          <w:szCs w:val="24"/>
          <w:lang w:eastAsia="zh-CN"/>
        </w:rPr>
        <w:t>134</w:t>
      </w:r>
      <w:r w:rsidRPr="00454AB8">
        <w:rPr>
          <w:rFonts w:ascii="Book Antiqua" w:eastAsia="宋体" w:hAnsi="Book Antiqua" w:cs="宋体"/>
          <w:spacing w:val="0"/>
          <w:szCs w:val="24"/>
          <w:lang w:eastAsia="zh-CN"/>
        </w:rPr>
        <w:t>: 696-705 [PMID: 18206149 DOI: 10.1053/j.gastro.2007.12.010</w:t>
      </w:r>
      <w:r w:rsidRPr="00D3653F">
        <w:rPr>
          <w:rFonts w:ascii="Book Antiqua" w:eastAsia="宋体" w:hAnsi="Book Antiqua" w:cs="宋体"/>
          <w:spacing w:val="0"/>
          <w:szCs w:val="24"/>
          <w:lang w:eastAsia="zh-CN"/>
        </w:rPr>
        <w:t>]</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16 </w:t>
      </w:r>
      <w:proofErr w:type="spellStart"/>
      <w:r w:rsidRPr="00454AB8">
        <w:rPr>
          <w:rFonts w:ascii="Book Antiqua" w:eastAsia="宋体" w:hAnsi="Book Antiqua" w:cs="宋体"/>
          <w:b/>
          <w:bCs/>
          <w:spacing w:val="0"/>
          <w:szCs w:val="24"/>
          <w:lang w:eastAsia="zh-CN"/>
        </w:rPr>
        <w:t>Schoeman</w:t>
      </w:r>
      <w:proofErr w:type="spellEnd"/>
      <w:r w:rsidRPr="00454AB8">
        <w:rPr>
          <w:rFonts w:ascii="Book Antiqua" w:eastAsia="宋体" w:hAnsi="Book Antiqua" w:cs="宋体"/>
          <w:b/>
          <w:bCs/>
          <w:spacing w:val="0"/>
          <w:szCs w:val="24"/>
          <w:lang w:eastAsia="zh-CN"/>
        </w:rPr>
        <w:t xml:space="preserve"> MN</w:t>
      </w:r>
      <w:r w:rsidRPr="00454AB8">
        <w:rPr>
          <w:rFonts w:ascii="Book Antiqua" w:eastAsia="宋体" w:hAnsi="Book Antiqua" w:cs="宋体"/>
          <w:spacing w:val="0"/>
          <w:szCs w:val="24"/>
          <w:lang w:eastAsia="zh-CN"/>
        </w:rPr>
        <w:t xml:space="preserve">, Holloway RH. </w:t>
      </w:r>
      <w:proofErr w:type="gramStart"/>
      <w:r w:rsidRPr="00454AB8">
        <w:rPr>
          <w:rFonts w:ascii="Book Antiqua" w:eastAsia="宋体" w:hAnsi="Book Antiqua" w:cs="宋体"/>
          <w:spacing w:val="0"/>
          <w:szCs w:val="24"/>
          <w:lang w:eastAsia="zh-CN"/>
        </w:rPr>
        <w:t xml:space="preserve">Stimulation and characteristics of secondary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peristalsis in normal subjects.</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Gut</w:t>
      </w:r>
      <w:r w:rsidRPr="00454AB8">
        <w:rPr>
          <w:rFonts w:ascii="Book Antiqua" w:eastAsia="宋体" w:hAnsi="Book Antiqua" w:cs="宋体"/>
          <w:spacing w:val="0"/>
          <w:szCs w:val="24"/>
          <w:lang w:eastAsia="zh-CN"/>
        </w:rPr>
        <w:t xml:space="preserve"> 1994; </w:t>
      </w:r>
      <w:r w:rsidRPr="00454AB8">
        <w:rPr>
          <w:rFonts w:ascii="Book Antiqua" w:eastAsia="宋体" w:hAnsi="Book Antiqua" w:cs="宋体"/>
          <w:b/>
          <w:bCs/>
          <w:spacing w:val="0"/>
          <w:szCs w:val="24"/>
          <w:lang w:eastAsia="zh-CN"/>
        </w:rPr>
        <w:t>35</w:t>
      </w:r>
      <w:r w:rsidRPr="00454AB8">
        <w:rPr>
          <w:rFonts w:ascii="Book Antiqua" w:eastAsia="宋体" w:hAnsi="Book Antiqua" w:cs="宋体"/>
          <w:spacing w:val="0"/>
          <w:szCs w:val="24"/>
          <w:lang w:eastAsia="zh-CN"/>
        </w:rPr>
        <w:t>: 152-158 [PMID: 8307463]</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lastRenderedPageBreak/>
        <w:t xml:space="preserve">17 </w:t>
      </w:r>
      <w:proofErr w:type="spellStart"/>
      <w:r w:rsidRPr="00454AB8">
        <w:rPr>
          <w:rFonts w:ascii="Book Antiqua" w:eastAsia="宋体" w:hAnsi="Book Antiqua" w:cs="宋体"/>
          <w:b/>
          <w:bCs/>
          <w:spacing w:val="0"/>
          <w:szCs w:val="24"/>
          <w:lang w:eastAsia="zh-CN"/>
        </w:rPr>
        <w:t>Hewson</w:t>
      </w:r>
      <w:proofErr w:type="spellEnd"/>
      <w:r w:rsidRPr="00454AB8">
        <w:rPr>
          <w:rFonts w:ascii="Book Antiqua" w:eastAsia="宋体" w:hAnsi="Book Antiqua" w:cs="宋体"/>
          <w:b/>
          <w:bCs/>
          <w:spacing w:val="0"/>
          <w:szCs w:val="24"/>
          <w:lang w:eastAsia="zh-CN"/>
        </w:rPr>
        <w:t xml:space="preserve"> EG</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Ott</w:t>
      </w:r>
      <w:proofErr w:type="spellEnd"/>
      <w:r w:rsidRPr="00454AB8">
        <w:rPr>
          <w:rFonts w:ascii="Book Antiqua" w:eastAsia="宋体" w:hAnsi="Book Antiqua" w:cs="宋体"/>
          <w:spacing w:val="0"/>
          <w:szCs w:val="24"/>
          <w:lang w:eastAsia="zh-CN"/>
        </w:rPr>
        <w:t xml:space="preserve"> DJ, Dalton CB, Chen YM, Wu WC, Richter JE.</w:t>
      </w:r>
      <w:proofErr w:type="gramEnd"/>
      <w:r w:rsidRPr="00454AB8">
        <w:rPr>
          <w:rFonts w:ascii="Book Antiqua" w:eastAsia="宋体" w:hAnsi="Book Antiqua" w:cs="宋体"/>
          <w:spacing w:val="0"/>
          <w:szCs w:val="24"/>
          <w:lang w:eastAsia="zh-CN"/>
        </w:rPr>
        <w:t xml:space="preserve"> </w:t>
      </w:r>
      <w:proofErr w:type="spellStart"/>
      <w:proofErr w:type="gramStart"/>
      <w:r w:rsidRPr="00454AB8">
        <w:rPr>
          <w:rFonts w:ascii="Book Antiqua" w:eastAsia="宋体" w:hAnsi="Book Antiqua" w:cs="宋体"/>
          <w:spacing w:val="0"/>
          <w:szCs w:val="24"/>
          <w:lang w:eastAsia="zh-CN"/>
        </w:rPr>
        <w:t>Manometry</w:t>
      </w:r>
      <w:proofErr w:type="spellEnd"/>
      <w:r w:rsidRPr="00454AB8">
        <w:rPr>
          <w:rFonts w:ascii="Book Antiqua" w:eastAsia="宋体" w:hAnsi="Book Antiqua" w:cs="宋体"/>
          <w:spacing w:val="0"/>
          <w:szCs w:val="24"/>
          <w:lang w:eastAsia="zh-CN"/>
        </w:rPr>
        <w:t xml:space="preserve"> and radiology.</w:t>
      </w:r>
      <w:proofErr w:type="gramEnd"/>
      <w:r w:rsidRPr="00454AB8">
        <w:rPr>
          <w:rFonts w:ascii="Book Antiqua" w:eastAsia="宋体" w:hAnsi="Book Antiqua" w:cs="宋体"/>
          <w:spacing w:val="0"/>
          <w:szCs w:val="24"/>
          <w:lang w:eastAsia="zh-CN"/>
        </w:rPr>
        <w:t xml:space="preserve"> Complementary studies in the assessment of esophageal motility disorders. </w:t>
      </w:r>
      <w:r w:rsidRPr="00454AB8">
        <w:rPr>
          <w:rFonts w:ascii="Book Antiqua" w:eastAsia="宋体" w:hAnsi="Book Antiqua" w:cs="宋体"/>
          <w:i/>
          <w:iCs/>
          <w:spacing w:val="0"/>
          <w:szCs w:val="24"/>
          <w:lang w:eastAsia="zh-CN"/>
        </w:rPr>
        <w:t>Gastroenterology</w:t>
      </w:r>
      <w:r w:rsidRPr="00454AB8">
        <w:rPr>
          <w:rFonts w:ascii="Book Antiqua" w:eastAsia="宋体" w:hAnsi="Book Antiqua" w:cs="宋体"/>
          <w:spacing w:val="0"/>
          <w:szCs w:val="24"/>
          <w:lang w:eastAsia="zh-CN"/>
        </w:rPr>
        <w:t xml:space="preserve"> 1990; </w:t>
      </w:r>
      <w:r w:rsidRPr="00454AB8">
        <w:rPr>
          <w:rFonts w:ascii="Book Antiqua" w:eastAsia="宋体" w:hAnsi="Book Antiqua" w:cs="宋体"/>
          <w:b/>
          <w:bCs/>
          <w:spacing w:val="0"/>
          <w:szCs w:val="24"/>
          <w:lang w:eastAsia="zh-CN"/>
        </w:rPr>
        <w:t>98</w:t>
      </w:r>
      <w:r w:rsidRPr="00454AB8">
        <w:rPr>
          <w:rFonts w:ascii="Book Antiqua" w:eastAsia="宋体" w:hAnsi="Book Antiqua" w:cs="宋体"/>
          <w:spacing w:val="0"/>
          <w:szCs w:val="24"/>
          <w:lang w:eastAsia="zh-CN"/>
        </w:rPr>
        <w:t>: 626-632 [PMID: 2298367]</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18 </w:t>
      </w:r>
      <w:proofErr w:type="spellStart"/>
      <w:r w:rsidRPr="00454AB8">
        <w:rPr>
          <w:rFonts w:ascii="Book Antiqua" w:eastAsia="宋体" w:hAnsi="Book Antiqua" w:cs="宋体"/>
          <w:b/>
          <w:bCs/>
          <w:spacing w:val="0"/>
          <w:szCs w:val="24"/>
          <w:lang w:eastAsia="zh-CN"/>
        </w:rPr>
        <w:t>Manabe</w:t>
      </w:r>
      <w:proofErr w:type="spellEnd"/>
      <w:r w:rsidRPr="00454AB8">
        <w:rPr>
          <w:rFonts w:ascii="Book Antiqua" w:eastAsia="宋体" w:hAnsi="Book Antiqua" w:cs="宋体"/>
          <w:b/>
          <w:bCs/>
          <w:spacing w:val="0"/>
          <w:szCs w:val="24"/>
          <w:lang w:eastAsia="zh-CN"/>
        </w:rPr>
        <w:t xml:space="preserve"> N</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Haruma</w:t>
      </w:r>
      <w:proofErr w:type="spellEnd"/>
      <w:r w:rsidRPr="00454AB8">
        <w:rPr>
          <w:rFonts w:ascii="Book Antiqua" w:eastAsia="宋体" w:hAnsi="Book Antiqua" w:cs="宋体"/>
          <w:spacing w:val="0"/>
          <w:szCs w:val="24"/>
          <w:lang w:eastAsia="zh-CN"/>
        </w:rPr>
        <w:t xml:space="preserve"> K, Imamura H, </w:t>
      </w:r>
      <w:proofErr w:type="spellStart"/>
      <w:r w:rsidRPr="00454AB8">
        <w:rPr>
          <w:rFonts w:ascii="Book Antiqua" w:eastAsia="宋体" w:hAnsi="Book Antiqua" w:cs="宋体"/>
          <w:spacing w:val="0"/>
          <w:szCs w:val="24"/>
          <w:lang w:eastAsia="zh-CN"/>
        </w:rPr>
        <w:t>Kamada</w:t>
      </w:r>
      <w:proofErr w:type="spellEnd"/>
      <w:r w:rsidRPr="00454AB8">
        <w:rPr>
          <w:rFonts w:ascii="Book Antiqua" w:eastAsia="宋体" w:hAnsi="Book Antiqua" w:cs="宋体"/>
          <w:spacing w:val="0"/>
          <w:szCs w:val="24"/>
          <w:lang w:eastAsia="zh-CN"/>
        </w:rPr>
        <w:t xml:space="preserve"> T, </w:t>
      </w:r>
      <w:proofErr w:type="spellStart"/>
      <w:r w:rsidRPr="00454AB8">
        <w:rPr>
          <w:rFonts w:ascii="Book Antiqua" w:eastAsia="宋体" w:hAnsi="Book Antiqua" w:cs="宋体"/>
          <w:spacing w:val="0"/>
          <w:szCs w:val="24"/>
          <w:lang w:eastAsia="zh-CN"/>
        </w:rPr>
        <w:t>Kusunoki</w:t>
      </w:r>
      <w:proofErr w:type="spellEnd"/>
      <w:r w:rsidRPr="00454AB8">
        <w:rPr>
          <w:rFonts w:ascii="Book Antiqua" w:eastAsia="宋体" w:hAnsi="Book Antiqua" w:cs="宋体"/>
          <w:spacing w:val="0"/>
          <w:szCs w:val="24"/>
          <w:lang w:eastAsia="zh-CN"/>
        </w:rPr>
        <w:t xml:space="preserve"> H, Inoue K, </w:t>
      </w:r>
      <w:proofErr w:type="spellStart"/>
      <w:r w:rsidRPr="00454AB8">
        <w:rPr>
          <w:rFonts w:ascii="Book Antiqua" w:eastAsia="宋体" w:hAnsi="Book Antiqua" w:cs="宋体"/>
          <w:spacing w:val="0"/>
          <w:szCs w:val="24"/>
          <w:lang w:eastAsia="zh-CN"/>
        </w:rPr>
        <w:t>Shiotani</w:t>
      </w:r>
      <w:proofErr w:type="spellEnd"/>
      <w:r w:rsidRPr="00454AB8">
        <w:rPr>
          <w:rFonts w:ascii="Book Antiqua" w:eastAsia="宋体" w:hAnsi="Book Antiqua" w:cs="宋体"/>
          <w:spacing w:val="0"/>
          <w:szCs w:val="24"/>
          <w:lang w:eastAsia="zh-CN"/>
        </w:rPr>
        <w:t xml:space="preserve"> A, </w:t>
      </w:r>
      <w:proofErr w:type="spellStart"/>
      <w:r w:rsidRPr="00454AB8">
        <w:rPr>
          <w:rFonts w:ascii="Book Antiqua" w:eastAsia="宋体" w:hAnsi="Book Antiqua" w:cs="宋体"/>
          <w:spacing w:val="0"/>
          <w:szCs w:val="24"/>
          <w:lang w:eastAsia="zh-CN"/>
        </w:rPr>
        <w:t>Hata</w:t>
      </w:r>
      <w:proofErr w:type="spellEnd"/>
      <w:r w:rsidRPr="00454AB8">
        <w:rPr>
          <w:rFonts w:ascii="Book Antiqua" w:eastAsia="宋体" w:hAnsi="Book Antiqua" w:cs="宋体"/>
          <w:spacing w:val="0"/>
          <w:szCs w:val="24"/>
          <w:lang w:eastAsia="zh-CN"/>
        </w:rPr>
        <w:t xml:space="preserve"> J. Does short-segment columnar-lined esophagus elongate during a mean follow-up period of 5.7 years? </w:t>
      </w:r>
      <w:r w:rsidRPr="00454AB8">
        <w:rPr>
          <w:rFonts w:ascii="Book Antiqua" w:eastAsia="宋体" w:hAnsi="Book Antiqua" w:cs="宋体"/>
          <w:i/>
          <w:iCs/>
          <w:spacing w:val="0"/>
          <w:szCs w:val="24"/>
          <w:lang w:eastAsia="zh-CN"/>
        </w:rPr>
        <w:t xml:space="preserve">Dig </w:t>
      </w:r>
      <w:proofErr w:type="spellStart"/>
      <w:r w:rsidRPr="00454AB8">
        <w:rPr>
          <w:rFonts w:ascii="Book Antiqua" w:eastAsia="宋体" w:hAnsi="Book Antiqua" w:cs="宋体"/>
          <w:i/>
          <w:iCs/>
          <w:spacing w:val="0"/>
          <w:szCs w:val="24"/>
          <w:lang w:eastAsia="zh-CN"/>
        </w:rPr>
        <w:t>Endosc</w:t>
      </w:r>
      <w:proofErr w:type="spellEnd"/>
      <w:r w:rsidRPr="00454AB8">
        <w:rPr>
          <w:rFonts w:ascii="Book Antiqua" w:eastAsia="宋体" w:hAnsi="Book Antiqua" w:cs="宋体"/>
          <w:spacing w:val="0"/>
          <w:szCs w:val="24"/>
          <w:lang w:eastAsia="zh-CN"/>
        </w:rPr>
        <w:t xml:space="preserve"> 2011; </w:t>
      </w:r>
      <w:r w:rsidRPr="00454AB8">
        <w:rPr>
          <w:rFonts w:ascii="Book Antiqua" w:eastAsia="宋体" w:hAnsi="Book Antiqua" w:cs="宋体"/>
          <w:b/>
          <w:bCs/>
          <w:spacing w:val="0"/>
          <w:szCs w:val="24"/>
          <w:lang w:eastAsia="zh-CN"/>
        </w:rPr>
        <w:t>23</w:t>
      </w:r>
      <w:r w:rsidRPr="00454AB8">
        <w:rPr>
          <w:rFonts w:ascii="Book Antiqua" w:eastAsia="宋体" w:hAnsi="Book Antiqua" w:cs="宋体"/>
          <w:spacing w:val="0"/>
          <w:szCs w:val="24"/>
          <w:lang w:eastAsia="zh-CN"/>
        </w:rPr>
        <w:t>: 166-172 [PMID: 21429023 DOI: 10.1111/j.1443-1661.2010.01073.x</w:t>
      </w:r>
      <w:r w:rsidRPr="00D3653F">
        <w:rPr>
          <w:rFonts w:ascii="Book Antiqua" w:eastAsia="宋体" w:hAnsi="Book Antiqua" w:cs="宋体"/>
          <w:spacing w:val="0"/>
          <w:szCs w:val="24"/>
          <w:lang w:eastAsia="zh-CN"/>
        </w:rPr>
        <w:t>]</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19 </w:t>
      </w:r>
      <w:r w:rsidRPr="00454AB8">
        <w:rPr>
          <w:rFonts w:ascii="Book Antiqua" w:eastAsia="宋体" w:hAnsi="Book Antiqua" w:cs="宋体"/>
          <w:b/>
          <w:bCs/>
          <w:spacing w:val="0"/>
          <w:szCs w:val="24"/>
          <w:lang w:eastAsia="zh-CN"/>
        </w:rPr>
        <w:t>Amano Y</w:t>
      </w:r>
      <w:r w:rsidRPr="00454AB8">
        <w:rPr>
          <w:rFonts w:ascii="Book Antiqua" w:eastAsia="宋体" w:hAnsi="Book Antiqua" w:cs="宋体"/>
          <w:spacing w:val="0"/>
          <w:szCs w:val="24"/>
          <w:lang w:eastAsia="zh-CN"/>
        </w:rPr>
        <w:t xml:space="preserve">, Kinoshita Y. Barrett esophagus: perspectives on its diagnosis and management in </w:t>
      </w:r>
      <w:proofErr w:type="spellStart"/>
      <w:proofErr w:type="gramStart"/>
      <w:r w:rsidRPr="00454AB8">
        <w:rPr>
          <w:rFonts w:ascii="Book Antiqua" w:eastAsia="宋体" w:hAnsi="Book Antiqua" w:cs="宋体"/>
          <w:spacing w:val="0"/>
          <w:szCs w:val="24"/>
          <w:lang w:eastAsia="zh-CN"/>
        </w:rPr>
        <w:t>asian</w:t>
      </w:r>
      <w:proofErr w:type="spellEnd"/>
      <w:proofErr w:type="gramEnd"/>
      <w:r w:rsidRPr="00454AB8">
        <w:rPr>
          <w:rFonts w:ascii="Book Antiqua" w:eastAsia="宋体" w:hAnsi="Book Antiqua" w:cs="宋体"/>
          <w:spacing w:val="0"/>
          <w:szCs w:val="24"/>
          <w:lang w:eastAsia="zh-CN"/>
        </w:rPr>
        <w:t xml:space="preserve"> populations.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Hepatol</w:t>
      </w:r>
      <w:proofErr w:type="spellEnd"/>
      <w:r w:rsidRPr="00454AB8">
        <w:rPr>
          <w:rFonts w:ascii="Book Antiqua" w:eastAsia="宋体" w:hAnsi="Book Antiqua" w:cs="宋体"/>
          <w:i/>
          <w:iCs/>
          <w:spacing w:val="0"/>
          <w:szCs w:val="24"/>
          <w:lang w:eastAsia="zh-CN"/>
        </w:rPr>
        <w:t xml:space="preserve"> (N Y)</w:t>
      </w:r>
      <w:r w:rsidRPr="00454AB8">
        <w:rPr>
          <w:rFonts w:ascii="Book Antiqua" w:eastAsia="宋体" w:hAnsi="Book Antiqua" w:cs="宋体"/>
          <w:spacing w:val="0"/>
          <w:szCs w:val="24"/>
          <w:lang w:eastAsia="zh-CN"/>
        </w:rPr>
        <w:t xml:space="preserve"> 2008; </w:t>
      </w:r>
      <w:r w:rsidRPr="00454AB8">
        <w:rPr>
          <w:rFonts w:ascii="Book Antiqua" w:eastAsia="宋体" w:hAnsi="Book Antiqua" w:cs="宋体"/>
          <w:b/>
          <w:bCs/>
          <w:spacing w:val="0"/>
          <w:szCs w:val="24"/>
          <w:lang w:eastAsia="zh-CN"/>
        </w:rPr>
        <w:t>4</w:t>
      </w:r>
      <w:r w:rsidRPr="00454AB8">
        <w:rPr>
          <w:rFonts w:ascii="Book Antiqua" w:eastAsia="宋体" w:hAnsi="Book Antiqua" w:cs="宋体"/>
          <w:spacing w:val="0"/>
          <w:szCs w:val="24"/>
          <w:lang w:eastAsia="zh-CN"/>
        </w:rPr>
        <w:t>: 45-53 [PMID: 22798736]</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20 </w:t>
      </w:r>
      <w:r w:rsidRPr="00454AB8">
        <w:rPr>
          <w:rFonts w:ascii="Book Antiqua" w:eastAsia="宋体" w:hAnsi="Book Antiqua" w:cs="宋体"/>
          <w:b/>
          <w:bCs/>
          <w:spacing w:val="0"/>
          <w:szCs w:val="24"/>
          <w:lang w:eastAsia="zh-CN"/>
        </w:rPr>
        <w:t>Kawai T</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Yamagishi</w:t>
      </w:r>
      <w:proofErr w:type="spellEnd"/>
      <w:r w:rsidRPr="00454AB8">
        <w:rPr>
          <w:rFonts w:ascii="Book Antiqua" w:eastAsia="宋体" w:hAnsi="Book Antiqua" w:cs="宋体"/>
          <w:spacing w:val="0"/>
          <w:szCs w:val="24"/>
          <w:lang w:eastAsia="zh-CN"/>
        </w:rPr>
        <w:t xml:space="preserve"> T, Yagi K, </w:t>
      </w:r>
      <w:proofErr w:type="spellStart"/>
      <w:r w:rsidRPr="00454AB8">
        <w:rPr>
          <w:rFonts w:ascii="Book Antiqua" w:eastAsia="宋体" w:hAnsi="Book Antiqua" w:cs="宋体"/>
          <w:spacing w:val="0"/>
          <w:szCs w:val="24"/>
          <w:lang w:eastAsia="zh-CN"/>
        </w:rPr>
        <w:t>Kataoka</w:t>
      </w:r>
      <w:proofErr w:type="spellEnd"/>
      <w:r w:rsidRPr="00454AB8">
        <w:rPr>
          <w:rFonts w:ascii="Book Antiqua" w:eastAsia="宋体" w:hAnsi="Book Antiqua" w:cs="宋体"/>
          <w:spacing w:val="0"/>
          <w:szCs w:val="24"/>
          <w:lang w:eastAsia="zh-CN"/>
        </w:rPr>
        <w:t xml:space="preserve"> M, Kawakami K, </w:t>
      </w:r>
      <w:proofErr w:type="spellStart"/>
      <w:r w:rsidRPr="00454AB8">
        <w:rPr>
          <w:rFonts w:ascii="Book Antiqua" w:eastAsia="宋体" w:hAnsi="Book Antiqua" w:cs="宋体"/>
          <w:spacing w:val="0"/>
          <w:szCs w:val="24"/>
          <w:lang w:eastAsia="zh-CN"/>
        </w:rPr>
        <w:t>Sofuni</w:t>
      </w:r>
      <w:proofErr w:type="spellEnd"/>
      <w:r w:rsidRPr="00454AB8">
        <w:rPr>
          <w:rFonts w:ascii="Book Antiqua" w:eastAsia="宋体" w:hAnsi="Book Antiqua" w:cs="宋体"/>
          <w:spacing w:val="0"/>
          <w:szCs w:val="24"/>
          <w:lang w:eastAsia="zh-CN"/>
        </w:rPr>
        <w:t xml:space="preserve"> A, </w:t>
      </w:r>
      <w:proofErr w:type="spellStart"/>
      <w:r w:rsidRPr="00454AB8">
        <w:rPr>
          <w:rFonts w:ascii="Book Antiqua" w:eastAsia="宋体" w:hAnsi="Book Antiqua" w:cs="宋体"/>
          <w:spacing w:val="0"/>
          <w:szCs w:val="24"/>
          <w:lang w:eastAsia="zh-CN"/>
        </w:rPr>
        <w:t>Itoi</w:t>
      </w:r>
      <w:proofErr w:type="spellEnd"/>
      <w:r w:rsidRPr="00454AB8">
        <w:rPr>
          <w:rFonts w:ascii="Book Antiqua" w:eastAsia="宋体" w:hAnsi="Book Antiqua" w:cs="宋体"/>
          <w:spacing w:val="0"/>
          <w:szCs w:val="24"/>
          <w:lang w:eastAsia="zh-CN"/>
        </w:rPr>
        <w:t xml:space="preserve"> T, Sakai Y, </w:t>
      </w:r>
      <w:proofErr w:type="spellStart"/>
      <w:r w:rsidRPr="00454AB8">
        <w:rPr>
          <w:rFonts w:ascii="Book Antiqua" w:eastAsia="宋体" w:hAnsi="Book Antiqua" w:cs="宋体"/>
          <w:spacing w:val="0"/>
          <w:szCs w:val="24"/>
          <w:lang w:eastAsia="zh-CN"/>
        </w:rPr>
        <w:t>Moriyasu</w:t>
      </w:r>
      <w:proofErr w:type="spellEnd"/>
      <w:r w:rsidRPr="00454AB8">
        <w:rPr>
          <w:rFonts w:ascii="Book Antiqua" w:eastAsia="宋体" w:hAnsi="Book Antiqua" w:cs="宋体"/>
          <w:spacing w:val="0"/>
          <w:szCs w:val="24"/>
          <w:lang w:eastAsia="zh-CN"/>
        </w:rPr>
        <w:t xml:space="preserve"> F, Osaka Y, Takagi Y, Aoki T. Impact of </w:t>
      </w:r>
      <w:proofErr w:type="spellStart"/>
      <w:r w:rsidRPr="00454AB8">
        <w:rPr>
          <w:rFonts w:ascii="Book Antiqua" w:eastAsia="宋体" w:hAnsi="Book Antiqua" w:cs="宋体"/>
          <w:spacing w:val="0"/>
          <w:szCs w:val="24"/>
          <w:lang w:eastAsia="zh-CN"/>
        </w:rPr>
        <w:t>transnasal</w:t>
      </w:r>
      <w:proofErr w:type="spellEnd"/>
      <w:r w:rsidRPr="00454AB8">
        <w:rPr>
          <w:rFonts w:ascii="Book Antiqua" w:eastAsia="宋体" w:hAnsi="Book Antiqua" w:cs="宋体"/>
          <w:spacing w:val="0"/>
          <w:szCs w:val="24"/>
          <w:lang w:eastAsia="zh-CN"/>
        </w:rPr>
        <w:t xml:space="preserve"> ultrathin esophagogastroduodenoscopy (UT-EGD) in the evaluation of esophageal peristaltic function.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Hepatol</w:t>
      </w:r>
      <w:proofErr w:type="spellEnd"/>
      <w:r w:rsidRPr="00454AB8">
        <w:rPr>
          <w:rFonts w:ascii="Book Antiqua" w:eastAsia="宋体" w:hAnsi="Book Antiqua" w:cs="宋体"/>
          <w:spacing w:val="0"/>
          <w:szCs w:val="24"/>
          <w:lang w:eastAsia="zh-CN"/>
        </w:rPr>
        <w:t xml:space="preserve"> 2008; </w:t>
      </w:r>
      <w:r w:rsidRPr="00454AB8">
        <w:rPr>
          <w:rFonts w:ascii="Book Antiqua" w:eastAsia="宋体" w:hAnsi="Book Antiqua" w:cs="宋体"/>
          <w:b/>
          <w:bCs/>
          <w:spacing w:val="0"/>
          <w:szCs w:val="24"/>
          <w:lang w:eastAsia="zh-CN"/>
        </w:rPr>
        <w:t xml:space="preserve">23 </w:t>
      </w:r>
      <w:proofErr w:type="spellStart"/>
      <w:r w:rsidRPr="00454AB8">
        <w:rPr>
          <w:rFonts w:ascii="Book Antiqua" w:eastAsia="宋体" w:hAnsi="Book Antiqua" w:cs="宋体"/>
          <w:b/>
          <w:bCs/>
          <w:spacing w:val="0"/>
          <w:szCs w:val="24"/>
          <w:lang w:eastAsia="zh-CN"/>
        </w:rPr>
        <w:t>Suppl</w:t>
      </w:r>
      <w:proofErr w:type="spellEnd"/>
      <w:r w:rsidRPr="00454AB8">
        <w:rPr>
          <w:rFonts w:ascii="Book Antiqua" w:eastAsia="宋体" w:hAnsi="Book Antiqua" w:cs="宋体"/>
          <w:b/>
          <w:bCs/>
          <w:spacing w:val="0"/>
          <w:szCs w:val="24"/>
          <w:lang w:eastAsia="zh-CN"/>
        </w:rPr>
        <w:t xml:space="preserve"> 2</w:t>
      </w:r>
      <w:r w:rsidRPr="00454AB8">
        <w:rPr>
          <w:rFonts w:ascii="Book Antiqua" w:eastAsia="宋体" w:hAnsi="Book Antiqua" w:cs="宋体"/>
          <w:spacing w:val="0"/>
          <w:szCs w:val="24"/>
          <w:lang w:eastAsia="zh-CN"/>
        </w:rPr>
        <w:t>: S181-S185 [PMID: 19120895 DOI: 10.1111/j.1440-1746.2008.05555.x]</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21 </w:t>
      </w:r>
      <w:proofErr w:type="spellStart"/>
      <w:r w:rsidRPr="00454AB8">
        <w:rPr>
          <w:rFonts w:ascii="Book Antiqua" w:eastAsia="宋体" w:hAnsi="Book Antiqua" w:cs="宋体"/>
          <w:b/>
          <w:bCs/>
          <w:spacing w:val="0"/>
          <w:szCs w:val="24"/>
          <w:lang w:eastAsia="zh-CN"/>
        </w:rPr>
        <w:t>Zentilin</w:t>
      </w:r>
      <w:proofErr w:type="spellEnd"/>
      <w:r w:rsidRPr="00454AB8">
        <w:rPr>
          <w:rFonts w:ascii="Book Antiqua" w:eastAsia="宋体" w:hAnsi="Book Antiqua" w:cs="宋体"/>
          <w:b/>
          <w:bCs/>
          <w:spacing w:val="0"/>
          <w:szCs w:val="24"/>
          <w:lang w:eastAsia="zh-CN"/>
        </w:rPr>
        <w:t xml:space="preserve"> P</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Conio</w:t>
      </w:r>
      <w:proofErr w:type="spellEnd"/>
      <w:r w:rsidRPr="00454AB8">
        <w:rPr>
          <w:rFonts w:ascii="Book Antiqua" w:eastAsia="宋体" w:hAnsi="Book Antiqua" w:cs="宋体"/>
          <w:spacing w:val="0"/>
          <w:szCs w:val="24"/>
          <w:lang w:eastAsia="zh-CN"/>
        </w:rPr>
        <w:t xml:space="preserve"> M, </w:t>
      </w:r>
      <w:proofErr w:type="spellStart"/>
      <w:r w:rsidRPr="00454AB8">
        <w:rPr>
          <w:rFonts w:ascii="Book Antiqua" w:eastAsia="宋体" w:hAnsi="Book Antiqua" w:cs="宋体"/>
          <w:spacing w:val="0"/>
          <w:szCs w:val="24"/>
          <w:lang w:eastAsia="zh-CN"/>
        </w:rPr>
        <w:t>Mele</w:t>
      </w:r>
      <w:proofErr w:type="spellEnd"/>
      <w:r w:rsidRPr="00454AB8">
        <w:rPr>
          <w:rFonts w:ascii="Book Antiqua" w:eastAsia="宋体" w:hAnsi="Book Antiqua" w:cs="宋体"/>
          <w:spacing w:val="0"/>
          <w:szCs w:val="24"/>
          <w:lang w:eastAsia="zh-CN"/>
        </w:rPr>
        <w:t xml:space="preserve"> MR, </w:t>
      </w:r>
      <w:proofErr w:type="spellStart"/>
      <w:r w:rsidRPr="00454AB8">
        <w:rPr>
          <w:rFonts w:ascii="Book Antiqua" w:eastAsia="宋体" w:hAnsi="Book Antiqua" w:cs="宋体"/>
          <w:spacing w:val="0"/>
          <w:szCs w:val="24"/>
          <w:lang w:eastAsia="zh-CN"/>
        </w:rPr>
        <w:t>Mansi</w:t>
      </w:r>
      <w:proofErr w:type="spellEnd"/>
      <w:r w:rsidRPr="00454AB8">
        <w:rPr>
          <w:rFonts w:ascii="Book Antiqua" w:eastAsia="宋体" w:hAnsi="Book Antiqua" w:cs="宋体"/>
          <w:spacing w:val="0"/>
          <w:szCs w:val="24"/>
          <w:lang w:eastAsia="zh-CN"/>
        </w:rPr>
        <w:t xml:space="preserve"> C, </w:t>
      </w:r>
      <w:proofErr w:type="spellStart"/>
      <w:r w:rsidRPr="00454AB8">
        <w:rPr>
          <w:rFonts w:ascii="Book Antiqua" w:eastAsia="宋体" w:hAnsi="Book Antiqua" w:cs="宋体"/>
          <w:spacing w:val="0"/>
          <w:szCs w:val="24"/>
          <w:lang w:eastAsia="zh-CN"/>
        </w:rPr>
        <w:t>Pandolfo</w:t>
      </w:r>
      <w:proofErr w:type="spellEnd"/>
      <w:r w:rsidRPr="00454AB8">
        <w:rPr>
          <w:rFonts w:ascii="Book Antiqua" w:eastAsia="宋体" w:hAnsi="Book Antiqua" w:cs="宋体"/>
          <w:spacing w:val="0"/>
          <w:szCs w:val="24"/>
          <w:lang w:eastAsia="zh-CN"/>
        </w:rPr>
        <w:t xml:space="preserve"> N, Dulbecco P, Gambaro C, </w:t>
      </w:r>
      <w:proofErr w:type="spellStart"/>
      <w:r w:rsidRPr="00454AB8">
        <w:rPr>
          <w:rFonts w:ascii="Book Antiqua" w:eastAsia="宋体" w:hAnsi="Book Antiqua" w:cs="宋体"/>
          <w:spacing w:val="0"/>
          <w:szCs w:val="24"/>
          <w:lang w:eastAsia="zh-CN"/>
        </w:rPr>
        <w:t>Tessieri</w:t>
      </w:r>
      <w:proofErr w:type="spellEnd"/>
      <w:r w:rsidRPr="00454AB8">
        <w:rPr>
          <w:rFonts w:ascii="Book Antiqua" w:eastAsia="宋体" w:hAnsi="Book Antiqua" w:cs="宋体"/>
          <w:spacing w:val="0"/>
          <w:szCs w:val="24"/>
          <w:lang w:eastAsia="zh-CN"/>
        </w:rPr>
        <w:t xml:space="preserve"> L, </w:t>
      </w:r>
      <w:proofErr w:type="spellStart"/>
      <w:r w:rsidRPr="00454AB8">
        <w:rPr>
          <w:rFonts w:ascii="Book Antiqua" w:eastAsia="宋体" w:hAnsi="Book Antiqua" w:cs="宋体"/>
          <w:spacing w:val="0"/>
          <w:szCs w:val="24"/>
          <w:lang w:eastAsia="zh-CN"/>
        </w:rPr>
        <w:t>Iiritano</w:t>
      </w:r>
      <w:proofErr w:type="spellEnd"/>
      <w:r w:rsidRPr="00454AB8">
        <w:rPr>
          <w:rFonts w:ascii="Book Antiqua" w:eastAsia="宋体" w:hAnsi="Book Antiqua" w:cs="宋体"/>
          <w:spacing w:val="0"/>
          <w:szCs w:val="24"/>
          <w:lang w:eastAsia="zh-CN"/>
        </w:rPr>
        <w:t xml:space="preserve"> E, </w:t>
      </w:r>
      <w:proofErr w:type="spellStart"/>
      <w:r w:rsidRPr="00454AB8">
        <w:rPr>
          <w:rFonts w:ascii="Book Antiqua" w:eastAsia="宋体" w:hAnsi="Book Antiqua" w:cs="宋体"/>
          <w:spacing w:val="0"/>
          <w:szCs w:val="24"/>
          <w:lang w:eastAsia="zh-CN"/>
        </w:rPr>
        <w:t>Bilardi</w:t>
      </w:r>
      <w:proofErr w:type="spellEnd"/>
      <w:r w:rsidRPr="00454AB8">
        <w:rPr>
          <w:rFonts w:ascii="Book Antiqua" w:eastAsia="宋体" w:hAnsi="Book Antiqua" w:cs="宋体"/>
          <w:spacing w:val="0"/>
          <w:szCs w:val="24"/>
          <w:lang w:eastAsia="zh-CN"/>
        </w:rPr>
        <w:t xml:space="preserve"> C, </w:t>
      </w:r>
      <w:proofErr w:type="spellStart"/>
      <w:r w:rsidRPr="00454AB8">
        <w:rPr>
          <w:rFonts w:ascii="Book Antiqua" w:eastAsia="宋体" w:hAnsi="Book Antiqua" w:cs="宋体"/>
          <w:spacing w:val="0"/>
          <w:szCs w:val="24"/>
          <w:lang w:eastAsia="zh-CN"/>
        </w:rPr>
        <w:t>Biagini</w:t>
      </w:r>
      <w:proofErr w:type="spellEnd"/>
      <w:r w:rsidRPr="00454AB8">
        <w:rPr>
          <w:rFonts w:ascii="Book Antiqua" w:eastAsia="宋体" w:hAnsi="Book Antiqua" w:cs="宋体"/>
          <w:spacing w:val="0"/>
          <w:szCs w:val="24"/>
          <w:lang w:eastAsia="zh-CN"/>
        </w:rPr>
        <w:t xml:space="preserve"> R, </w:t>
      </w:r>
      <w:proofErr w:type="spellStart"/>
      <w:r w:rsidRPr="00454AB8">
        <w:rPr>
          <w:rFonts w:ascii="Book Antiqua" w:eastAsia="宋体" w:hAnsi="Book Antiqua" w:cs="宋体"/>
          <w:spacing w:val="0"/>
          <w:szCs w:val="24"/>
          <w:lang w:eastAsia="zh-CN"/>
        </w:rPr>
        <w:t>Vigneri</w:t>
      </w:r>
      <w:proofErr w:type="spellEnd"/>
      <w:r w:rsidRPr="00454AB8">
        <w:rPr>
          <w:rFonts w:ascii="Book Antiqua" w:eastAsia="宋体" w:hAnsi="Book Antiqua" w:cs="宋体"/>
          <w:spacing w:val="0"/>
          <w:szCs w:val="24"/>
          <w:lang w:eastAsia="zh-CN"/>
        </w:rPr>
        <w:t xml:space="preserve"> S, </w:t>
      </w:r>
      <w:proofErr w:type="spellStart"/>
      <w:r w:rsidRPr="00454AB8">
        <w:rPr>
          <w:rFonts w:ascii="Book Antiqua" w:eastAsia="宋体" w:hAnsi="Book Antiqua" w:cs="宋体"/>
          <w:spacing w:val="0"/>
          <w:szCs w:val="24"/>
          <w:lang w:eastAsia="zh-CN"/>
        </w:rPr>
        <w:t>Savarino</w:t>
      </w:r>
      <w:proofErr w:type="spellEnd"/>
      <w:r w:rsidRPr="00454AB8">
        <w:rPr>
          <w:rFonts w:ascii="Book Antiqua" w:eastAsia="宋体" w:hAnsi="Book Antiqua" w:cs="宋体"/>
          <w:spacing w:val="0"/>
          <w:szCs w:val="24"/>
          <w:lang w:eastAsia="zh-CN"/>
        </w:rPr>
        <w:t xml:space="preserve"> V. Comparison of the main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pathophysiological characteristics between short- and long-segment Barrett's </w:t>
      </w:r>
      <w:proofErr w:type="spellStart"/>
      <w:r w:rsidRPr="00454AB8">
        <w:rPr>
          <w:rFonts w:ascii="Book Antiqua" w:eastAsia="宋体" w:hAnsi="Book Antiqua" w:cs="宋体"/>
          <w:spacing w:val="0"/>
          <w:szCs w:val="24"/>
          <w:lang w:eastAsia="zh-CN"/>
        </w:rPr>
        <w:t>oesophagus</w:t>
      </w:r>
      <w:proofErr w:type="spell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 xml:space="preserve">Aliment </w:t>
      </w:r>
      <w:proofErr w:type="spellStart"/>
      <w:r w:rsidRPr="00454AB8">
        <w:rPr>
          <w:rFonts w:ascii="Book Antiqua" w:eastAsia="宋体" w:hAnsi="Book Antiqua" w:cs="宋体"/>
          <w:i/>
          <w:iCs/>
          <w:spacing w:val="0"/>
          <w:szCs w:val="24"/>
          <w:lang w:eastAsia="zh-CN"/>
        </w:rPr>
        <w:t>Pharmacol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Ther</w:t>
      </w:r>
      <w:proofErr w:type="spellEnd"/>
      <w:r w:rsidRPr="00454AB8">
        <w:rPr>
          <w:rFonts w:ascii="Book Antiqua" w:eastAsia="宋体" w:hAnsi="Book Antiqua" w:cs="宋体"/>
          <w:spacing w:val="0"/>
          <w:szCs w:val="24"/>
          <w:lang w:eastAsia="zh-CN"/>
        </w:rPr>
        <w:t xml:space="preserve"> 2002; </w:t>
      </w:r>
      <w:r w:rsidRPr="00454AB8">
        <w:rPr>
          <w:rFonts w:ascii="Book Antiqua" w:eastAsia="宋体" w:hAnsi="Book Antiqua" w:cs="宋体"/>
          <w:b/>
          <w:bCs/>
          <w:spacing w:val="0"/>
          <w:szCs w:val="24"/>
          <w:lang w:eastAsia="zh-CN"/>
        </w:rPr>
        <w:t>16</w:t>
      </w:r>
      <w:r w:rsidRPr="00454AB8">
        <w:rPr>
          <w:rFonts w:ascii="Book Antiqua" w:eastAsia="宋体" w:hAnsi="Book Antiqua" w:cs="宋体"/>
          <w:spacing w:val="0"/>
          <w:szCs w:val="24"/>
          <w:lang w:eastAsia="zh-CN"/>
        </w:rPr>
        <w:t>: 893-898 [PMID: 11966497]</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t xml:space="preserve">22 </w:t>
      </w:r>
      <w:proofErr w:type="spellStart"/>
      <w:r w:rsidRPr="00454AB8">
        <w:rPr>
          <w:rFonts w:ascii="Book Antiqua" w:eastAsia="宋体" w:hAnsi="Book Antiqua" w:cs="宋体"/>
          <w:b/>
          <w:bCs/>
          <w:spacing w:val="0"/>
          <w:szCs w:val="24"/>
          <w:lang w:eastAsia="zh-CN"/>
        </w:rPr>
        <w:t>Frazzoni</w:t>
      </w:r>
      <w:proofErr w:type="spellEnd"/>
      <w:r w:rsidRPr="00454AB8">
        <w:rPr>
          <w:rFonts w:ascii="Book Antiqua" w:eastAsia="宋体" w:hAnsi="Book Antiqua" w:cs="宋体"/>
          <w:b/>
          <w:bCs/>
          <w:spacing w:val="0"/>
          <w:szCs w:val="24"/>
          <w:lang w:eastAsia="zh-CN"/>
        </w:rPr>
        <w:t xml:space="preserve"> M</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Manno</w:t>
      </w:r>
      <w:proofErr w:type="spellEnd"/>
      <w:r w:rsidRPr="00454AB8">
        <w:rPr>
          <w:rFonts w:ascii="Book Antiqua" w:eastAsia="宋体" w:hAnsi="Book Antiqua" w:cs="宋体"/>
          <w:spacing w:val="0"/>
          <w:szCs w:val="24"/>
          <w:lang w:eastAsia="zh-CN"/>
        </w:rPr>
        <w:t xml:space="preserve"> M, De </w:t>
      </w:r>
      <w:proofErr w:type="spellStart"/>
      <w:r w:rsidRPr="00454AB8">
        <w:rPr>
          <w:rFonts w:ascii="Book Antiqua" w:eastAsia="宋体" w:hAnsi="Book Antiqua" w:cs="宋体"/>
          <w:spacing w:val="0"/>
          <w:szCs w:val="24"/>
          <w:lang w:eastAsia="zh-CN"/>
        </w:rPr>
        <w:t>Micheli</w:t>
      </w:r>
      <w:proofErr w:type="spellEnd"/>
      <w:r w:rsidRPr="00454AB8">
        <w:rPr>
          <w:rFonts w:ascii="Book Antiqua" w:eastAsia="宋体" w:hAnsi="Book Antiqua" w:cs="宋体"/>
          <w:spacing w:val="0"/>
          <w:szCs w:val="24"/>
          <w:lang w:eastAsia="zh-CN"/>
        </w:rPr>
        <w:t xml:space="preserve"> E, </w:t>
      </w:r>
      <w:proofErr w:type="spellStart"/>
      <w:r w:rsidRPr="00454AB8">
        <w:rPr>
          <w:rFonts w:ascii="Book Antiqua" w:eastAsia="宋体" w:hAnsi="Book Antiqua" w:cs="宋体"/>
          <w:spacing w:val="0"/>
          <w:szCs w:val="24"/>
          <w:lang w:eastAsia="zh-CN"/>
        </w:rPr>
        <w:t>Savarino</w:t>
      </w:r>
      <w:proofErr w:type="spellEnd"/>
      <w:r w:rsidRPr="00454AB8">
        <w:rPr>
          <w:rFonts w:ascii="Book Antiqua" w:eastAsia="宋体" w:hAnsi="Book Antiqua" w:cs="宋体"/>
          <w:spacing w:val="0"/>
          <w:szCs w:val="24"/>
          <w:lang w:eastAsia="zh-CN"/>
        </w:rPr>
        <w:t xml:space="preserve"> V. Pathophysiological characteristics of the various forms of gastro-</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reflux disease.</w:t>
      </w:r>
      <w:proofErr w:type="gramEnd"/>
      <w:r w:rsidRPr="00454AB8">
        <w:rPr>
          <w:rFonts w:ascii="Book Antiqua" w:eastAsia="宋体" w:hAnsi="Book Antiqua" w:cs="宋体"/>
          <w:spacing w:val="0"/>
          <w:szCs w:val="24"/>
          <w:lang w:eastAsia="zh-CN"/>
        </w:rPr>
        <w:t xml:space="preserve"> </w:t>
      </w:r>
      <w:proofErr w:type="gramStart"/>
      <w:r w:rsidRPr="00454AB8">
        <w:rPr>
          <w:rFonts w:ascii="Book Antiqua" w:eastAsia="宋体" w:hAnsi="Book Antiqua" w:cs="宋体"/>
          <w:spacing w:val="0"/>
          <w:szCs w:val="24"/>
          <w:lang w:eastAsia="zh-CN"/>
        </w:rPr>
        <w:t>Spectrum disease or distinct phenotypic presentations?</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Dig Liver Dis</w:t>
      </w:r>
      <w:r w:rsidRPr="00454AB8">
        <w:rPr>
          <w:rFonts w:ascii="Book Antiqua" w:eastAsia="宋体" w:hAnsi="Book Antiqua" w:cs="宋体"/>
          <w:spacing w:val="0"/>
          <w:szCs w:val="24"/>
          <w:lang w:eastAsia="zh-CN"/>
        </w:rPr>
        <w:t xml:space="preserve"> 2006; </w:t>
      </w:r>
      <w:r w:rsidRPr="00454AB8">
        <w:rPr>
          <w:rFonts w:ascii="Book Antiqua" w:eastAsia="宋体" w:hAnsi="Book Antiqua" w:cs="宋体"/>
          <w:b/>
          <w:bCs/>
          <w:spacing w:val="0"/>
          <w:szCs w:val="24"/>
          <w:lang w:eastAsia="zh-CN"/>
        </w:rPr>
        <w:t>38</w:t>
      </w:r>
      <w:r w:rsidRPr="00454AB8">
        <w:rPr>
          <w:rFonts w:ascii="Book Antiqua" w:eastAsia="宋体" w:hAnsi="Book Antiqua" w:cs="宋体"/>
          <w:spacing w:val="0"/>
          <w:szCs w:val="24"/>
          <w:lang w:eastAsia="zh-CN"/>
        </w:rPr>
        <w:t>: 643-648 [PMID: 16627016 DOI: 10.1016/j.dld.2006.02.020]</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23 </w:t>
      </w:r>
      <w:proofErr w:type="spellStart"/>
      <w:r w:rsidRPr="00454AB8">
        <w:rPr>
          <w:rFonts w:ascii="Book Antiqua" w:eastAsia="宋体" w:hAnsi="Book Antiqua" w:cs="宋体"/>
          <w:b/>
          <w:bCs/>
          <w:spacing w:val="0"/>
          <w:szCs w:val="24"/>
          <w:lang w:eastAsia="zh-CN"/>
        </w:rPr>
        <w:t>Iwakiri</w:t>
      </w:r>
      <w:proofErr w:type="spellEnd"/>
      <w:r w:rsidRPr="00454AB8">
        <w:rPr>
          <w:rFonts w:ascii="Book Antiqua" w:eastAsia="宋体" w:hAnsi="Book Antiqua" w:cs="宋体"/>
          <w:b/>
          <w:bCs/>
          <w:spacing w:val="0"/>
          <w:szCs w:val="24"/>
          <w:lang w:eastAsia="zh-CN"/>
        </w:rPr>
        <w:t xml:space="preserve"> K</w:t>
      </w:r>
      <w:r w:rsidRPr="00454AB8">
        <w:rPr>
          <w:rFonts w:ascii="Book Antiqua" w:eastAsia="宋体" w:hAnsi="Book Antiqua" w:cs="宋体"/>
          <w:spacing w:val="0"/>
          <w:szCs w:val="24"/>
          <w:lang w:eastAsia="zh-CN"/>
        </w:rPr>
        <w:t xml:space="preserve">, Hayashi Y, </w:t>
      </w:r>
      <w:proofErr w:type="spellStart"/>
      <w:r w:rsidRPr="00454AB8">
        <w:rPr>
          <w:rFonts w:ascii="Book Antiqua" w:eastAsia="宋体" w:hAnsi="Book Antiqua" w:cs="宋体"/>
          <w:spacing w:val="0"/>
          <w:szCs w:val="24"/>
          <w:lang w:eastAsia="zh-CN"/>
        </w:rPr>
        <w:t>Kotoyori</w:t>
      </w:r>
      <w:proofErr w:type="spellEnd"/>
      <w:r w:rsidRPr="00454AB8">
        <w:rPr>
          <w:rFonts w:ascii="Book Antiqua" w:eastAsia="宋体" w:hAnsi="Book Antiqua" w:cs="宋体"/>
          <w:spacing w:val="0"/>
          <w:szCs w:val="24"/>
          <w:lang w:eastAsia="zh-CN"/>
        </w:rPr>
        <w:t xml:space="preserve"> M, Tanaka Y, </w:t>
      </w:r>
      <w:proofErr w:type="spellStart"/>
      <w:r w:rsidRPr="00454AB8">
        <w:rPr>
          <w:rFonts w:ascii="Book Antiqua" w:eastAsia="宋体" w:hAnsi="Book Antiqua" w:cs="宋体"/>
          <w:spacing w:val="0"/>
          <w:szCs w:val="24"/>
          <w:lang w:eastAsia="zh-CN"/>
        </w:rPr>
        <w:t>Kawami</w:t>
      </w:r>
      <w:proofErr w:type="spellEnd"/>
      <w:r w:rsidRPr="00454AB8">
        <w:rPr>
          <w:rFonts w:ascii="Book Antiqua" w:eastAsia="宋体" w:hAnsi="Book Antiqua" w:cs="宋体"/>
          <w:spacing w:val="0"/>
          <w:szCs w:val="24"/>
          <w:lang w:eastAsia="zh-CN"/>
        </w:rPr>
        <w:t xml:space="preserve"> N, Sano H, </w:t>
      </w:r>
      <w:proofErr w:type="spellStart"/>
      <w:r w:rsidRPr="00454AB8">
        <w:rPr>
          <w:rFonts w:ascii="Book Antiqua" w:eastAsia="宋体" w:hAnsi="Book Antiqua" w:cs="宋体"/>
          <w:spacing w:val="0"/>
          <w:szCs w:val="24"/>
          <w:lang w:eastAsia="zh-CN"/>
        </w:rPr>
        <w:t>Takubo</w:t>
      </w:r>
      <w:proofErr w:type="spellEnd"/>
      <w:r w:rsidRPr="00454AB8">
        <w:rPr>
          <w:rFonts w:ascii="Book Antiqua" w:eastAsia="宋体" w:hAnsi="Book Antiqua" w:cs="宋体"/>
          <w:spacing w:val="0"/>
          <w:szCs w:val="24"/>
          <w:lang w:eastAsia="zh-CN"/>
        </w:rPr>
        <w:t xml:space="preserve"> K, Sakamoto C, Holloway RH. </w:t>
      </w:r>
      <w:proofErr w:type="gramStart"/>
      <w:r w:rsidRPr="00454AB8">
        <w:rPr>
          <w:rFonts w:ascii="Book Antiqua" w:eastAsia="宋体" w:hAnsi="Book Antiqua" w:cs="宋体"/>
          <w:spacing w:val="0"/>
          <w:szCs w:val="24"/>
          <w:lang w:eastAsia="zh-CN"/>
        </w:rPr>
        <w:t xml:space="preserve">Defective triggering of secondary peristalsis in patients </w:t>
      </w:r>
      <w:r w:rsidRPr="00454AB8">
        <w:rPr>
          <w:rFonts w:ascii="Book Antiqua" w:eastAsia="宋体" w:hAnsi="Book Antiqua" w:cs="宋体"/>
          <w:spacing w:val="0"/>
          <w:szCs w:val="24"/>
          <w:lang w:eastAsia="zh-CN"/>
        </w:rPr>
        <w:lastRenderedPageBreak/>
        <w:t>with non-erosive reflux disease.</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 xml:space="preserve">J </w:t>
      </w:r>
      <w:proofErr w:type="spellStart"/>
      <w:r w:rsidRPr="00454AB8">
        <w:rPr>
          <w:rFonts w:ascii="Book Antiqua" w:eastAsia="宋体" w:hAnsi="Book Antiqua" w:cs="宋体"/>
          <w:i/>
          <w:iCs/>
          <w:spacing w:val="0"/>
          <w:szCs w:val="24"/>
          <w:lang w:eastAsia="zh-CN"/>
        </w:rPr>
        <w:t>Gastroenterol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Hepatol</w:t>
      </w:r>
      <w:proofErr w:type="spellEnd"/>
      <w:r w:rsidRPr="00454AB8">
        <w:rPr>
          <w:rFonts w:ascii="Book Antiqua" w:eastAsia="宋体" w:hAnsi="Book Antiqua" w:cs="宋体"/>
          <w:spacing w:val="0"/>
          <w:szCs w:val="24"/>
          <w:lang w:eastAsia="zh-CN"/>
        </w:rPr>
        <w:t xml:space="preserve"> 2007; </w:t>
      </w:r>
      <w:r w:rsidRPr="00454AB8">
        <w:rPr>
          <w:rFonts w:ascii="Book Antiqua" w:eastAsia="宋体" w:hAnsi="Book Antiqua" w:cs="宋体"/>
          <w:b/>
          <w:bCs/>
          <w:spacing w:val="0"/>
          <w:szCs w:val="24"/>
          <w:lang w:eastAsia="zh-CN"/>
        </w:rPr>
        <w:t>22</w:t>
      </w:r>
      <w:r w:rsidRPr="00454AB8">
        <w:rPr>
          <w:rFonts w:ascii="Book Antiqua" w:eastAsia="宋体" w:hAnsi="Book Antiqua" w:cs="宋体"/>
          <w:spacing w:val="0"/>
          <w:szCs w:val="24"/>
          <w:lang w:eastAsia="zh-CN"/>
        </w:rPr>
        <w:t>: 2208-2211 [PMID: 18031382 DOI: 10.1111/j.1440-1746.2006.04817.x]</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24 </w:t>
      </w:r>
      <w:r w:rsidRPr="00454AB8">
        <w:rPr>
          <w:rFonts w:ascii="Book Antiqua" w:eastAsia="宋体" w:hAnsi="Book Antiqua" w:cs="宋体"/>
          <w:b/>
          <w:bCs/>
          <w:spacing w:val="0"/>
          <w:szCs w:val="24"/>
          <w:lang w:eastAsia="zh-CN"/>
        </w:rPr>
        <w:t>Chen CL</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Szczesniak</w:t>
      </w:r>
      <w:proofErr w:type="spellEnd"/>
      <w:r w:rsidRPr="00454AB8">
        <w:rPr>
          <w:rFonts w:ascii="Book Antiqua" w:eastAsia="宋体" w:hAnsi="Book Antiqua" w:cs="宋体"/>
          <w:spacing w:val="0"/>
          <w:szCs w:val="24"/>
          <w:lang w:eastAsia="zh-CN"/>
        </w:rPr>
        <w:t xml:space="preserve"> MM, Cook IJ. </w:t>
      </w:r>
      <w:proofErr w:type="gramStart"/>
      <w:r w:rsidRPr="00454AB8">
        <w:rPr>
          <w:rFonts w:ascii="Book Antiqua" w:eastAsia="宋体" w:hAnsi="Book Antiqua" w:cs="宋体"/>
          <w:spacing w:val="0"/>
          <w:szCs w:val="24"/>
          <w:lang w:eastAsia="zh-CN"/>
        </w:rPr>
        <w:t xml:space="preserve">Identification of impaired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bolus transit and clearance by secondary peristalsis in patients with non-obstructive dysphagia.</w:t>
      </w:r>
      <w:proofErr w:type="gramEnd"/>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i/>
          <w:iCs/>
          <w:spacing w:val="0"/>
          <w:szCs w:val="24"/>
          <w:lang w:eastAsia="zh-CN"/>
        </w:rPr>
        <w:t>Neurogastroenterol</w:t>
      </w:r>
      <w:proofErr w:type="spellEnd"/>
      <w:r w:rsidRPr="00454AB8">
        <w:rPr>
          <w:rFonts w:ascii="Book Antiqua" w:eastAsia="宋体" w:hAnsi="Book Antiqua" w:cs="宋体"/>
          <w:i/>
          <w:iCs/>
          <w:spacing w:val="0"/>
          <w:szCs w:val="24"/>
          <w:lang w:eastAsia="zh-CN"/>
        </w:rPr>
        <w:t xml:space="preserve"> </w:t>
      </w:r>
      <w:proofErr w:type="spellStart"/>
      <w:r w:rsidRPr="00454AB8">
        <w:rPr>
          <w:rFonts w:ascii="Book Antiqua" w:eastAsia="宋体" w:hAnsi="Book Antiqua" w:cs="宋体"/>
          <w:i/>
          <w:iCs/>
          <w:spacing w:val="0"/>
          <w:szCs w:val="24"/>
          <w:lang w:eastAsia="zh-CN"/>
        </w:rPr>
        <w:t>Motil</w:t>
      </w:r>
      <w:proofErr w:type="spellEnd"/>
      <w:r w:rsidRPr="00454AB8">
        <w:rPr>
          <w:rFonts w:ascii="Book Antiqua" w:eastAsia="宋体" w:hAnsi="Book Antiqua" w:cs="宋体"/>
          <w:spacing w:val="0"/>
          <w:szCs w:val="24"/>
          <w:lang w:eastAsia="zh-CN"/>
        </w:rPr>
        <w:t xml:space="preserve"> 2008; </w:t>
      </w:r>
      <w:r w:rsidRPr="00454AB8">
        <w:rPr>
          <w:rFonts w:ascii="Book Antiqua" w:eastAsia="宋体" w:hAnsi="Book Antiqua" w:cs="宋体"/>
          <w:b/>
          <w:bCs/>
          <w:spacing w:val="0"/>
          <w:szCs w:val="24"/>
          <w:lang w:eastAsia="zh-CN"/>
        </w:rPr>
        <w:t>20</w:t>
      </w:r>
      <w:r w:rsidRPr="00454AB8">
        <w:rPr>
          <w:rFonts w:ascii="Book Antiqua" w:eastAsia="宋体" w:hAnsi="Book Antiqua" w:cs="宋体"/>
          <w:spacing w:val="0"/>
          <w:szCs w:val="24"/>
          <w:lang w:eastAsia="zh-CN"/>
        </w:rPr>
        <w:t>: 980-988 [PMID: 18492025 DOI: 10.1111/j.1365-2982.2008.01140.x]</w:t>
      </w:r>
    </w:p>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r w:rsidRPr="00454AB8">
        <w:rPr>
          <w:rFonts w:ascii="Book Antiqua" w:eastAsia="宋体" w:hAnsi="Book Antiqua" w:cs="宋体"/>
          <w:spacing w:val="0"/>
          <w:szCs w:val="24"/>
          <w:lang w:eastAsia="zh-CN"/>
        </w:rPr>
        <w:t xml:space="preserve">25 </w:t>
      </w:r>
      <w:r w:rsidRPr="00454AB8">
        <w:rPr>
          <w:rFonts w:ascii="Book Antiqua" w:eastAsia="宋体" w:hAnsi="Book Antiqua" w:cs="宋体"/>
          <w:b/>
          <w:bCs/>
          <w:spacing w:val="0"/>
          <w:szCs w:val="24"/>
          <w:lang w:eastAsia="zh-CN"/>
        </w:rPr>
        <w:t>Trimble KC</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Pryde</w:t>
      </w:r>
      <w:proofErr w:type="spellEnd"/>
      <w:r w:rsidRPr="00454AB8">
        <w:rPr>
          <w:rFonts w:ascii="Book Antiqua" w:eastAsia="宋体" w:hAnsi="Book Antiqua" w:cs="宋体"/>
          <w:spacing w:val="0"/>
          <w:szCs w:val="24"/>
          <w:lang w:eastAsia="zh-CN"/>
        </w:rPr>
        <w:t xml:space="preserve"> A, Heading RC. </w:t>
      </w:r>
      <w:proofErr w:type="gramStart"/>
      <w:r w:rsidRPr="00454AB8">
        <w:rPr>
          <w:rFonts w:ascii="Book Antiqua" w:eastAsia="宋体" w:hAnsi="Book Antiqua" w:cs="宋体"/>
          <w:spacing w:val="0"/>
          <w:szCs w:val="24"/>
          <w:lang w:eastAsia="zh-CN"/>
        </w:rPr>
        <w:t xml:space="preserve">Lowered </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sensory thresholds in patients with symptomatic but not excess gastro-</w:t>
      </w:r>
      <w:proofErr w:type="spellStart"/>
      <w:r w:rsidRPr="00454AB8">
        <w:rPr>
          <w:rFonts w:ascii="Book Antiqua" w:eastAsia="宋体" w:hAnsi="Book Antiqua" w:cs="宋体"/>
          <w:spacing w:val="0"/>
          <w:szCs w:val="24"/>
          <w:lang w:eastAsia="zh-CN"/>
        </w:rPr>
        <w:t>oesophageal</w:t>
      </w:r>
      <w:proofErr w:type="spellEnd"/>
      <w:r w:rsidRPr="00454AB8">
        <w:rPr>
          <w:rFonts w:ascii="Book Antiqua" w:eastAsia="宋体" w:hAnsi="Book Antiqua" w:cs="宋体"/>
          <w:spacing w:val="0"/>
          <w:szCs w:val="24"/>
          <w:lang w:eastAsia="zh-CN"/>
        </w:rPr>
        <w:t xml:space="preserve"> reflux: evidence for a spectrum of visceral sensitivity in GORD.</w:t>
      </w:r>
      <w:proofErr w:type="gramEnd"/>
      <w:r w:rsidRPr="00454AB8">
        <w:rPr>
          <w:rFonts w:ascii="Book Antiqua" w:eastAsia="宋体" w:hAnsi="Book Antiqua" w:cs="宋体"/>
          <w:spacing w:val="0"/>
          <w:szCs w:val="24"/>
          <w:lang w:eastAsia="zh-CN"/>
        </w:rPr>
        <w:t xml:space="preserve"> </w:t>
      </w:r>
      <w:r w:rsidRPr="00454AB8">
        <w:rPr>
          <w:rFonts w:ascii="Book Antiqua" w:eastAsia="宋体" w:hAnsi="Book Antiqua" w:cs="宋体"/>
          <w:i/>
          <w:iCs/>
          <w:spacing w:val="0"/>
          <w:szCs w:val="24"/>
          <w:lang w:eastAsia="zh-CN"/>
        </w:rPr>
        <w:t>Gut</w:t>
      </w:r>
      <w:r w:rsidRPr="00454AB8">
        <w:rPr>
          <w:rFonts w:ascii="Book Antiqua" w:eastAsia="宋体" w:hAnsi="Book Antiqua" w:cs="宋体"/>
          <w:spacing w:val="0"/>
          <w:szCs w:val="24"/>
          <w:lang w:eastAsia="zh-CN"/>
        </w:rPr>
        <w:t xml:space="preserve"> 1995; </w:t>
      </w:r>
      <w:r w:rsidRPr="00454AB8">
        <w:rPr>
          <w:rFonts w:ascii="Book Antiqua" w:eastAsia="宋体" w:hAnsi="Book Antiqua" w:cs="宋体"/>
          <w:b/>
          <w:bCs/>
          <w:spacing w:val="0"/>
          <w:szCs w:val="24"/>
          <w:lang w:eastAsia="zh-CN"/>
        </w:rPr>
        <w:t>37</w:t>
      </w:r>
      <w:r w:rsidRPr="00454AB8">
        <w:rPr>
          <w:rFonts w:ascii="Book Antiqua" w:eastAsia="宋体" w:hAnsi="Book Antiqua" w:cs="宋体"/>
          <w:spacing w:val="0"/>
          <w:szCs w:val="24"/>
          <w:lang w:eastAsia="zh-CN"/>
        </w:rPr>
        <w:t xml:space="preserve">: 7-12 [PMID: </w:t>
      </w:r>
      <w:proofErr w:type="gramStart"/>
      <w:r w:rsidRPr="00454AB8">
        <w:rPr>
          <w:rFonts w:ascii="Book Antiqua" w:eastAsia="宋体" w:hAnsi="Book Antiqua" w:cs="宋体"/>
          <w:spacing w:val="0"/>
          <w:szCs w:val="24"/>
          <w:lang w:eastAsia="zh-CN"/>
        </w:rPr>
        <w:t>7672684</w:t>
      </w:r>
      <w:r w:rsidRPr="00D3653F">
        <w:rPr>
          <w:rFonts w:ascii="Book Antiqua" w:eastAsia="宋体" w:hAnsi="Book Antiqua" w:cs="宋体"/>
          <w:spacing w:val="0"/>
          <w:szCs w:val="24"/>
          <w:lang w:eastAsia="zh-CN"/>
        </w:rPr>
        <w:t xml:space="preserve"> </w:t>
      </w:r>
      <w:r w:rsidRPr="00454AB8">
        <w:rPr>
          <w:rFonts w:ascii="Book Antiqua" w:eastAsia="宋体" w:hAnsi="Book Antiqua" w:cs="宋体"/>
          <w:spacing w:val="0"/>
          <w:szCs w:val="24"/>
          <w:lang w:eastAsia="zh-CN"/>
        </w:rPr>
        <w:t>DOI:</w:t>
      </w:r>
      <w:r w:rsidRPr="00D3653F">
        <w:rPr>
          <w:rFonts w:ascii="Book Antiqua" w:eastAsia="宋体" w:hAnsi="Book Antiqua" w:cs="宋体"/>
          <w:spacing w:val="0"/>
          <w:szCs w:val="24"/>
          <w:lang w:eastAsia="zh-CN"/>
        </w:rPr>
        <w:t>10.1136/gut.37.1.7</w:t>
      </w:r>
      <w:proofErr w:type="gramEnd"/>
      <w:r w:rsidRPr="00454AB8">
        <w:rPr>
          <w:rFonts w:ascii="Book Antiqua" w:eastAsia="宋体" w:hAnsi="Book Antiqua" w:cs="宋体"/>
          <w:spacing w:val="0"/>
          <w:szCs w:val="24"/>
          <w:lang w:eastAsia="zh-CN"/>
        </w:rPr>
        <w:t>]</w:t>
      </w:r>
    </w:p>
    <w:p w:rsidR="006A1FFB" w:rsidRPr="005E3817"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454AB8">
        <w:rPr>
          <w:rFonts w:ascii="Book Antiqua" w:eastAsia="宋体" w:hAnsi="Book Antiqua" w:cs="宋体"/>
          <w:spacing w:val="0"/>
          <w:szCs w:val="24"/>
          <w:lang w:eastAsia="zh-CN"/>
        </w:rPr>
        <w:t xml:space="preserve">26 </w:t>
      </w:r>
      <w:proofErr w:type="spellStart"/>
      <w:r w:rsidRPr="00454AB8">
        <w:rPr>
          <w:rFonts w:ascii="Book Antiqua" w:eastAsia="宋体" w:hAnsi="Book Antiqua" w:cs="宋体"/>
          <w:b/>
          <w:bCs/>
          <w:spacing w:val="0"/>
          <w:szCs w:val="24"/>
          <w:lang w:eastAsia="zh-CN"/>
        </w:rPr>
        <w:t>Fass</w:t>
      </w:r>
      <w:proofErr w:type="spellEnd"/>
      <w:r w:rsidRPr="00454AB8">
        <w:rPr>
          <w:rFonts w:ascii="Book Antiqua" w:eastAsia="宋体" w:hAnsi="Book Antiqua" w:cs="宋体"/>
          <w:b/>
          <w:bCs/>
          <w:spacing w:val="0"/>
          <w:szCs w:val="24"/>
          <w:lang w:eastAsia="zh-CN"/>
        </w:rPr>
        <w:t xml:space="preserve"> R</w:t>
      </w:r>
      <w:r w:rsidRPr="00454AB8">
        <w:rPr>
          <w:rFonts w:ascii="Book Antiqua" w:eastAsia="宋体" w:hAnsi="Book Antiqua" w:cs="宋体"/>
          <w:spacing w:val="0"/>
          <w:szCs w:val="24"/>
          <w:lang w:eastAsia="zh-CN"/>
        </w:rPr>
        <w:t xml:space="preserve">, </w:t>
      </w:r>
      <w:proofErr w:type="spellStart"/>
      <w:r w:rsidRPr="00454AB8">
        <w:rPr>
          <w:rFonts w:ascii="Book Antiqua" w:eastAsia="宋体" w:hAnsi="Book Antiqua" w:cs="宋体"/>
          <w:spacing w:val="0"/>
          <w:szCs w:val="24"/>
          <w:lang w:eastAsia="zh-CN"/>
        </w:rPr>
        <w:t>Yalam</w:t>
      </w:r>
      <w:proofErr w:type="spellEnd"/>
      <w:r w:rsidRPr="00454AB8">
        <w:rPr>
          <w:rFonts w:ascii="Book Antiqua" w:eastAsia="宋体" w:hAnsi="Book Antiqua" w:cs="宋体"/>
          <w:spacing w:val="0"/>
          <w:szCs w:val="24"/>
          <w:lang w:eastAsia="zh-CN"/>
        </w:rPr>
        <w:t xml:space="preserve"> JM, Camargo L, Johnson C, </w:t>
      </w:r>
      <w:proofErr w:type="spellStart"/>
      <w:r w:rsidRPr="00454AB8">
        <w:rPr>
          <w:rFonts w:ascii="Book Antiqua" w:eastAsia="宋体" w:hAnsi="Book Antiqua" w:cs="宋体"/>
          <w:spacing w:val="0"/>
          <w:szCs w:val="24"/>
          <w:lang w:eastAsia="zh-CN"/>
        </w:rPr>
        <w:t>Garewal</w:t>
      </w:r>
      <w:proofErr w:type="spellEnd"/>
      <w:r w:rsidRPr="00454AB8">
        <w:rPr>
          <w:rFonts w:ascii="Book Antiqua" w:eastAsia="宋体" w:hAnsi="Book Antiqua" w:cs="宋体"/>
          <w:spacing w:val="0"/>
          <w:szCs w:val="24"/>
          <w:lang w:eastAsia="zh-CN"/>
        </w:rPr>
        <w:t xml:space="preserve"> HS, </w:t>
      </w:r>
      <w:proofErr w:type="spellStart"/>
      <w:r w:rsidRPr="00454AB8">
        <w:rPr>
          <w:rFonts w:ascii="Book Antiqua" w:eastAsia="宋体" w:hAnsi="Book Antiqua" w:cs="宋体"/>
          <w:spacing w:val="0"/>
          <w:szCs w:val="24"/>
          <w:lang w:eastAsia="zh-CN"/>
        </w:rPr>
        <w:t>Sampliner</w:t>
      </w:r>
      <w:proofErr w:type="spellEnd"/>
      <w:r w:rsidRPr="00454AB8">
        <w:rPr>
          <w:rFonts w:ascii="Book Antiqua" w:eastAsia="宋体" w:hAnsi="Book Antiqua" w:cs="宋体"/>
          <w:spacing w:val="0"/>
          <w:szCs w:val="24"/>
          <w:lang w:eastAsia="zh-CN"/>
        </w:rPr>
        <w:t xml:space="preserve"> RE.</w:t>
      </w:r>
      <w:proofErr w:type="gramEnd"/>
      <w:r w:rsidRPr="00454AB8">
        <w:rPr>
          <w:rFonts w:ascii="Book Antiqua" w:eastAsia="宋体" w:hAnsi="Book Antiqua" w:cs="宋体"/>
          <w:spacing w:val="0"/>
          <w:szCs w:val="24"/>
          <w:lang w:eastAsia="zh-CN"/>
        </w:rPr>
        <w:t xml:space="preserve"> </w:t>
      </w:r>
      <w:proofErr w:type="gramStart"/>
      <w:r w:rsidRPr="00454AB8">
        <w:rPr>
          <w:rFonts w:ascii="Book Antiqua" w:eastAsia="宋体" w:hAnsi="Book Antiqua" w:cs="宋体"/>
          <w:spacing w:val="0"/>
          <w:szCs w:val="24"/>
          <w:lang w:eastAsia="zh-CN"/>
        </w:rPr>
        <w:t xml:space="preserve">Increased esophageal chemoreceptor sensitivity to acid in patients after successful reversal of </w:t>
      </w:r>
      <w:r w:rsidRPr="005E3817">
        <w:rPr>
          <w:rFonts w:ascii="Book Antiqua" w:eastAsia="宋体" w:hAnsi="Book Antiqua" w:cs="宋体"/>
          <w:spacing w:val="0"/>
          <w:szCs w:val="24"/>
          <w:lang w:eastAsia="zh-CN"/>
        </w:rPr>
        <w:t>Barrett's esophagus.</w:t>
      </w:r>
      <w:proofErr w:type="gramEnd"/>
      <w:r w:rsidRPr="005E3817">
        <w:rPr>
          <w:rFonts w:ascii="Book Antiqua" w:eastAsia="宋体" w:hAnsi="Book Antiqua" w:cs="宋体"/>
          <w:spacing w:val="0"/>
          <w:szCs w:val="24"/>
          <w:lang w:eastAsia="zh-CN"/>
        </w:rPr>
        <w:t xml:space="preserve"> </w:t>
      </w:r>
      <w:r w:rsidRPr="005E3817">
        <w:rPr>
          <w:rFonts w:ascii="Book Antiqua" w:eastAsia="宋体" w:hAnsi="Book Antiqua" w:cs="宋体"/>
          <w:i/>
          <w:iCs/>
          <w:spacing w:val="0"/>
          <w:szCs w:val="24"/>
          <w:lang w:eastAsia="zh-CN"/>
        </w:rPr>
        <w:t xml:space="preserve">Dig Dis </w:t>
      </w:r>
      <w:proofErr w:type="spellStart"/>
      <w:r w:rsidRPr="005E3817">
        <w:rPr>
          <w:rFonts w:ascii="Book Antiqua" w:eastAsia="宋体" w:hAnsi="Book Antiqua" w:cs="宋体"/>
          <w:i/>
          <w:iCs/>
          <w:spacing w:val="0"/>
          <w:szCs w:val="24"/>
          <w:lang w:eastAsia="zh-CN"/>
        </w:rPr>
        <w:t>Sci</w:t>
      </w:r>
      <w:proofErr w:type="spellEnd"/>
      <w:r w:rsidRPr="005E3817">
        <w:rPr>
          <w:rFonts w:ascii="Book Antiqua" w:eastAsia="宋体" w:hAnsi="Book Antiqua" w:cs="宋体"/>
          <w:spacing w:val="0"/>
          <w:szCs w:val="24"/>
          <w:lang w:eastAsia="zh-CN"/>
        </w:rPr>
        <w:t xml:space="preserve"> 1997; </w:t>
      </w:r>
      <w:r w:rsidRPr="005E3817">
        <w:rPr>
          <w:rFonts w:ascii="Book Antiqua" w:eastAsia="宋体" w:hAnsi="Book Antiqua" w:cs="宋体"/>
          <w:b/>
          <w:bCs/>
          <w:spacing w:val="0"/>
          <w:szCs w:val="24"/>
          <w:lang w:eastAsia="zh-CN"/>
        </w:rPr>
        <w:t>42</w:t>
      </w:r>
      <w:r w:rsidRPr="005E3817">
        <w:rPr>
          <w:rFonts w:ascii="Book Antiqua" w:eastAsia="宋体" w:hAnsi="Book Antiqua" w:cs="宋体"/>
          <w:spacing w:val="0"/>
          <w:szCs w:val="24"/>
          <w:lang w:eastAsia="zh-CN"/>
        </w:rPr>
        <w:t>: 1853-1858 [PMID: 9331147 DOI:</w:t>
      </w:r>
      <w:r w:rsidRPr="005E3817">
        <w:rPr>
          <w:rStyle w:val="1Char"/>
          <w:rFonts w:ascii="Book Antiqua" w:hAnsi="Book Antiqua" w:cs="Arial"/>
          <w:sz w:val="24"/>
          <w:szCs w:val="24"/>
        </w:rPr>
        <w:t xml:space="preserve"> </w:t>
      </w:r>
      <w:r w:rsidRPr="005E3817">
        <w:rPr>
          <w:rStyle w:val="a5"/>
          <w:rFonts w:ascii="Book Antiqua" w:hAnsi="Book Antiqua" w:cs="Arial"/>
          <w:color w:val="auto"/>
          <w:szCs w:val="24"/>
          <w:u w:val="none"/>
        </w:rPr>
        <w:t>10.1023/A</w:t>
      </w:r>
      <w:proofErr w:type="gramStart"/>
      <w:r w:rsidRPr="005E3817">
        <w:rPr>
          <w:rStyle w:val="a5"/>
          <w:rFonts w:ascii="Book Antiqua" w:hAnsi="Book Antiqua" w:cs="Arial"/>
          <w:color w:val="auto"/>
          <w:szCs w:val="24"/>
          <w:u w:val="none"/>
        </w:rPr>
        <w:t>:1018850824287</w:t>
      </w:r>
      <w:proofErr w:type="gramEnd"/>
      <w:r w:rsidRPr="005E3817">
        <w:rPr>
          <w:rFonts w:ascii="Book Antiqua" w:eastAsia="宋体" w:hAnsi="Book Antiqua" w:cs="宋体"/>
          <w:spacing w:val="0"/>
          <w:szCs w:val="24"/>
          <w:lang w:eastAsia="zh-CN"/>
        </w:rPr>
        <w:t>]</w:t>
      </w:r>
    </w:p>
    <w:p w:rsidR="006A1FFB" w:rsidRPr="005E3817" w:rsidRDefault="006A1FFB" w:rsidP="00D3653F">
      <w:pPr>
        <w:widowControl/>
        <w:adjustRightInd/>
        <w:spacing w:line="360" w:lineRule="auto"/>
        <w:textAlignment w:val="auto"/>
        <w:rPr>
          <w:rFonts w:ascii="Book Antiqua" w:eastAsia="宋体" w:hAnsi="Book Antiqua" w:cs="宋体"/>
          <w:spacing w:val="0"/>
          <w:szCs w:val="24"/>
          <w:lang w:eastAsia="zh-CN"/>
        </w:rPr>
      </w:pPr>
      <w:proofErr w:type="gramStart"/>
      <w:r w:rsidRPr="005E3817">
        <w:rPr>
          <w:rFonts w:ascii="Book Antiqua" w:eastAsia="宋体" w:hAnsi="Book Antiqua" w:cs="宋体"/>
          <w:spacing w:val="0"/>
          <w:szCs w:val="24"/>
          <w:lang w:eastAsia="zh-CN"/>
        </w:rPr>
        <w:t xml:space="preserve">27 </w:t>
      </w:r>
      <w:proofErr w:type="spellStart"/>
      <w:r w:rsidRPr="005E3817">
        <w:rPr>
          <w:rFonts w:ascii="Book Antiqua" w:eastAsia="宋体" w:hAnsi="Book Antiqua" w:cs="宋体"/>
          <w:b/>
          <w:bCs/>
          <w:spacing w:val="0"/>
          <w:szCs w:val="24"/>
          <w:lang w:eastAsia="zh-CN"/>
        </w:rPr>
        <w:t>Fass</w:t>
      </w:r>
      <w:proofErr w:type="spellEnd"/>
      <w:r w:rsidRPr="005E3817">
        <w:rPr>
          <w:rFonts w:ascii="Book Antiqua" w:eastAsia="宋体" w:hAnsi="Book Antiqua" w:cs="宋体"/>
          <w:b/>
          <w:bCs/>
          <w:spacing w:val="0"/>
          <w:szCs w:val="24"/>
          <w:lang w:eastAsia="zh-CN"/>
        </w:rPr>
        <w:t xml:space="preserve"> R</w:t>
      </w:r>
      <w:r w:rsidRPr="005E3817">
        <w:rPr>
          <w:rFonts w:ascii="Book Antiqua" w:eastAsia="宋体" w:hAnsi="Book Antiqua" w:cs="宋体"/>
          <w:spacing w:val="0"/>
          <w:szCs w:val="24"/>
          <w:lang w:eastAsia="zh-CN"/>
        </w:rPr>
        <w:t xml:space="preserve">, </w:t>
      </w:r>
      <w:proofErr w:type="spellStart"/>
      <w:r w:rsidRPr="005E3817">
        <w:rPr>
          <w:rFonts w:ascii="Book Antiqua" w:eastAsia="宋体" w:hAnsi="Book Antiqua" w:cs="宋体"/>
          <w:spacing w:val="0"/>
          <w:szCs w:val="24"/>
          <w:lang w:eastAsia="zh-CN"/>
        </w:rPr>
        <w:t>Sampliner</w:t>
      </w:r>
      <w:proofErr w:type="spellEnd"/>
      <w:r w:rsidRPr="005E3817">
        <w:rPr>
          <w:rFonts w:ascii="Book Antiqua" w:eastAsia="宋体" w:hAnsi="Book Antiqua" w:cs="宋体"/>
          <w:spacing w:val="0"/>
          <w:szCs w:val="24"/>
          <w:lang w:eastAsia="zh-CN"/>
        </w:rPr>
        <w:t xml:space="preserve"> RE, </w:t>
      </w:r>
      <w:proofErr w:type="spellStart"/>
      <w:r w:rsidRPr="005E3817">
        <w:rPr>
          <w:rFonts w:ascii="Book Antiqua" w:eastAsia="宋体" w:hAnsi="Book Antiqua" w:cs="宋体"/>
          <w:spacing w:val="0"/>
          <w:szCs w:val="24"/>
          <w:lang w:eastAsia="zh-CN"/>
        </w:rPr>
        <w:t>Malagon</w:t>
      </w:r>
      <w:proofErr w:type="spellEnd"/>
      <w:r w:rsidRPr="005E3817">
        <w:rPr>
          <w:rFonts w:ascii="Book Antiqua" w:eastAsia="宋体" w:hAnsi="Book Antiqua" w:cs="宋体"/>
          <w:spacing w:val="0"/>
          <w:szCs w:val="24"/>
          <w:lang w:eastAsia="zh-CN"/>
        </w:rPr>
        <w:t xml:space="preserve"> IB, Hayden CW, Camargo L, </w:t>
      </w:r>
      <w:proofErr w:type="spellStart"/>
      <w:r w:rsidRPr="005E3817">
        <w:rPr>
          <w:rFonts w:ascii="Book Antiqua" w:eastAsia="宋体" w:hAnsi="Book Antiqua" w:cs="宋体"/>
          <w:spacing w:val="0"/>
          <w:szCs w:val="24"/>
          <w:lang w:eastAsia="zh-CN"/>
        </w:rPr>
        <w:t>Wendel</w:t>
      </w:r>
      <w:proofErr w:type="spellEnd"/>
      <w:r w:rsidRPr="005E3817">
        <w:rPr>
          <w:rFonts w:ascii="Book Antiqua" w:eastAsia="宋体" w:hAnsi="Book Antiqua" w:cs="宋体"/>
          <w:spacing w:val="0"/>
          <w:szCs w:val="24"/>
          <w:lang w:eastAsia="zh-CN"/>
        </w:rPr>
        <w:t xml:space="preserve"> CS, </w:t>
      </w:r>
      <w:proofErr w:type="spellStart"/>
      <w:r w:rsidRPr="005E3817">
        <w:rPr>
          <w:rFonts w:ascii="Book Antiqua" w:eastAsia="宋体" w:hAnsi="Book Antiqua" w:cs="宋体"/>
          <w:spacing w:val="0"/>
          <w:szCs w:val="24"/>
          <w:lang w:eastAsia="zh-CN"/>
        </w:rPr>
        <w:t>Garewal</w:t>
      </w:r>
      <w:proofErr w:type="spellEnd"/>
      <w:r w:rsidRPr="005E3817">
        <w:rPr>
          <w:rFonts w:ascii="Book Antiqua" w:eastAsia="宋体" w:hAnsi="Book Antiqua" w:cs="宋体"/>
          <w:spacing w:val="0"/>
          <w:szCs w:val="24"/>
          <w:lang w:eastAsia="zh-CN"/>
        </w:rPr>
        <w:t xml:space="preserve"> HS.</w:t>
      </w:r>
      <w:proofErr w:type="gramEnd"/>
      <w:r w:rsidRPr="005E3817">
        <w:rPr>
          <w:rFonts w:ascii="Book Antiqua" w:eastAsia="宋体" w:hAnsi="Book Antiqua" w:cs="宋体"/>
          <w:spacing w:val="0"/>
          <w:szCs w:val="24"/>
          <w:lang w:eastAsia="zh-CN"/>
        </w:rPr>
        <w:t xml:space="preserve"> </w:t>
      </w:r>
      <w:proofErr w:type="gramStart"/>
      <w:r w:rsidRPr="005E3817">
        <w:rPr>
          <w:rFonts w:ascii="Book Antiqua" w:eastAsia="宋体" w:hAnsi="Book Antiqua" w:cs="宋体"/>
          <w:spacing w:val="0"/>
          <w:szCs w:val="24"/>
          <w:lang w:eastAsia="zh-CN"/>
        </w:rPr>
        <w:t xml:space="preserve">Failure of </w:t>
      </w:r>
      <w:proofErr w:type="spellStart"/>
      <w:r w:rsidRPr="005E3817">
        <w:rPr>
          <w:rFonts w:ascii="Book Antiqua" w:eastAsia="宋体" w:hAnsi="Book Antiqua" w:cs="宋体"/>
          <w:spacing w:val="0"/>
          <w:szCs w:val="24"/>
          <w:lang w:eastAsia="zh-CN"/>
        </w:rPr>
        <w:t>oesophageal</w:t>
      </w:r>
      <w:proofErr w:type="spellEnd"/>
      <w:r w:rsidRPr="005E3817">
        <w:rPr>
          <w:rFonts w:ascii="Book Antiqua" w:eastAsia="宋体" w:hAnsi="Book Antiqua" w:cs="宋体"/>
          <w:spacing w:val="0"/>
          <w:szCs w:val="24"/>
          <w:lang w:eastAsia="zh-CN"/>
        </w:rPr>
        <w:t xml:space="preserve"> acid control in candidates for Barrett's </w:t>
      </w:r>
      <w:proofErr w:type="spellStart"/>
      <w:r w:rsidRPr="005E3817">
        <w:rPr>
          <w:rFonts w:ascii="Book Antiqua" w:eastAsia="宋体" w:hAnsi="Book Antiqua" w:cs="宋体"/>
          <w:spacing w:val="0"/>
          <w:szCs w:val="24"/>
          <w:lang w:eastAsia="zh-CN"/>
        </w:rPr>
        <w:t>oesophagus</w:t>
      </w:r>
      <w:proofErr w:type="spellEnd"/>
      <w:r w:rsidRPr="005E3817">
        <w:rPr>
          <w:rFonts w:ascii="Book Antiqua" w:eastAsia="宋体" w:hAnsi="Book Antiqua" w:cs="宋体"/>
          <w:spacing w:val="0"/>
          <w:szCs w:val="24"/>
          <w:lang w:eastAsia="zh-CN"/>
        </w:rPr>
        <w:t xml:space="preserve"> reversal on a very high dose of proton pump inhibitor.</w:t>
      </w:r>
      <w:proofErr w:type="gramEnd"/>
      <w:r w:rsidRPr="005E3817">
        <w:rPr>
          <w:rFonts w:ascii="Book Antiqua" w:eastAsia="宋体" w:hAnsi="Book Antiqua" w:cs="宋体"/>
          <w:spacing w:val="0"/>
          <w:szCs w:val="24"/>
          <w:lang w:eastAsia="zh-CN"/>
        </w:rPr>
        <w:t xml:space="preserve"> </w:t>
      </w:r>
      <w:r w:rsidRPr="005E3817">
        <w:rPr>
          <w:rFonts w:ascii="Book Antiqua" w:eastAsia="宋体" w:hAnsi="Book Antiqua" w:cs="宋体"/>
          <w:i/>
          <w:iCs/>
          <w:spacing w:val="0"/>
          <w:szCs w:val="24"/>
          <w:lang w:eastAsia="zh-CN"/>
        </w:rPr>
        <w:t xml:space="preserve">Aliment </w:t>
      </w:r>
      <w:proofErr w:type="spellStart"/>
      <w:r w:rsidRPr="005E3817">
        <w:rPr>
          <w:rFonts w:ascii="Book Antiqua" w:eastAsia="宋体" w:hAnsi="Book Antiqua" w:cs="宋体"/>
          <w:i/>
          <w:iCs/>
          <w:spacing w:val="0"/>
          <w:szCs w:val="24"/>
          <w:lang w:eastAsia="zh-CN"/>
        </w:rPr>
        <w:t>Pharmacol</w:t>
      </w:r>
      <w:proofErr w:type="spellEnd"/>
      <w:r w:rsidRPr="005E3817">
        <w:rPr>
          <w:rFonts w:ascii="Book Antiqua" w:eastAsia="宋体" w:hAnsi="Book Antiqua" w:cs="宋体"/>
          <w:i/>
          <w:iCs/>
          <w:spacing w:val="0"/>
          <w:szCs w:val="24"/>
          <w:lang w:eastAsia="zh-CN"/>
        </w:rPr>
        <w:t xml:space="preserve"> </w:t>
      </w:r>
      <w:proofErr w:type="spellStart"/>
      <w:r w:rsidRPr="005E3817">
        <w:rPr>
          <w:rFonts w:ascii="Book Antiqua" w:eastAsia="宋体" w:hAnsi="Book Antiqua" w:cs="宋体"/>
          <w:i/>
          <w:iCs/>
          <w:spacing w:val="0"/>
          <w:szCs w:val="24"/>
          <w:lang w:eastAsia="zh-CN"/>
        </w:rPr>
        <w:t>Ther</w:t>
      </w:r>
      <w:proofErr w:type="spellEnd"/>
      <w:r w:rsidRPr="005E3817">
        <w:rPr>
          <w:rFonts w:ascii="Book Antiqua" w:eastAsia="宋体" w:hAnsi="Book Antiqua" w:cs="宋体"/>
          <w:spacing w:val="0"/>
          <w:szCs w:val="24"/>
          <w:lang w:eastAsia="zh-CN"/>
        </w:rPr>
        <w:t xml:space="preserve"> 2000; </w:t>
      </w:r>
      <w:r w:rsidRPr="005E3817">
        <w:rPr>
          <w:rFonts w:ascii="Book Antiqua" w:eastAsia="宋体" w:hAnsi="Book Antiqua" w:cs="宋体"/>
          <w:b/>
          <w:bCs/>
          <w:spacing w:val="0"/>
          <w:szCs w:val="24"/>
          <w:lang w:eastAsia="zh-CN"/>
        </w:rPr>
        <w:t>14</w:t>
      </w:r>
      <w:r w:rsidRPr="005E3817">
        <w:rPr>
          <w:rFonts w:ascii="Book Antiqua" w:eastAsia="宋体" w:hAnsi="Book Antiqua" w:cs="宋体"/>
          <w:spacing w:val="0"/>
          <w:szCs w:val="24"/>
          <w:lang w:eastAsia="zh-CN"/>
        </w:rPr>
        <w:t xml:space="preserve">: 597-602 [PMID: </w:t>
      </w:r>
      <w:proofErr w:type="gramStart"/>
      <w:r w:rsidRPr="005E3817">
        <w:rPr>
          <w:rFonts w:ascii="Book Antiqua" w:eastAsia="宋体" w:hAnsi="Book Antiqua" w:cs="宋体"/>
          <w:spacing w:val="0"/>
          <w:szCs w:val="24"/>
          <w:lang w:eastAsia="zh-CN"/>
        </w:rPr>
        <w:t>10792123</w:t>
      </w:r>
      <w:r w:rsidRPr="005E3817">
        <w:rPr>
          <w:rStyle w:val="1Char"/>
          <w:rFonts w:ascii="Book Antiqua" w:hAnsi="Book Antiqua" w:cs="Arial"/>
          <w:sz w:val="24"/>
          <w:szCs w:val="24"/>
        </w:rPr>
        <w:t xml:space="preserve"> </w:t>
      </w:r>
      <w:r w:rsidRPr="005E3817">
        <w:rPr>
          <w:rFonts w:ascii="Book Antiqua" w:eastAsia="宋体" w:hAnsi="Book Antiqua" w:cs="宋体"/>
          <w:spacing w:val="0"/>
          <w:szCs w:val="24"/>
          <w:lang w:eastAsia="zh-CN"/>
        </w:rPr>
        <w:t>DOI:</w:t>
      </w:r>
      <w:r w:rsidRPr="005E3817">
        <w:rPr>
          <w:rStyle w:val="a5"/>
          <w:rFonts w:ascii="Book Antiqua" w:hAnsi="Book Antiqua" w:cs="Arial"/>
          <w:color w:val="auto"/>
          <w:szCs w:val="24"/>
          <w:u w:val="none"/>
        </w:rPr>
        <w:t>10.1046/j.1365-2036.2000.00749.x</w:t>
      </w:r>
      <w:proofErr w:type="gramEnd"/>
      <w:r w:rsidRPr="005E3817">
        <w:rPr>
          <w:rFonts w:ascii="Book Antiqua" w:eastAsia="宋体" w:hAnsi="Book Antiqua" w:cs="宋体"/>
          <w:spacing w:val="0"/>
          <w:szCs w:val="24"/>
          <w:lang w:eastAsia="zh-CN"/>
        </w:rPr>
        <w:t>]</w:t>
      </w:r>
    </w:p>
    <w:p w:rsidR="006A1FFB" w:rsidRPr="00D3653F" w:rsidRDefault="006A1FFB" w:rsidP="005E3817">
      <w:pPr>
        <w:spacing w:line="360" w:lineRule="auto"/>
        <w:jc w:val="right"/>
        <w:rPr>
          <w:rFonts w:ascii="Book Antiqua" w:hAnsi="Book Antiqua" w:cs="宋体"/>
          <w:szCs w:val="24"/>
        </w:rPr>
      </w:pPr>
      <w:bookmarkStart w:id="5" w:name="OLE_LINK13"/>
      <w:bookmarkStart w:id="6" w:name="OLE_LINK14"/>
      <w:bookmarkStart w:id="7" w:name="OLE_LINK43"/>
      <w:r w:rsidRPr="00D3653F">
        <w:rPr>
          <w:rFonts w:ascii="Book Antiqua" w:hAnsi="Book Antiqua" w:cs="宋体"/>
          <w:b/>
          <w:szCs w:val="24"/>
        </w:rPr>
        <w:t>P-Reviewers:</w:t>
      </w:r>
      <w:r w:rsidRPr="00D3653F">
        <w:rPr>
          <w:rFonts w:ascii="Book Antiqua" w:hAnsi="Book Antiqua"/>
          <w:szCs w:val="24"/>
        </w:rPr>
        <w:t xml:space="preserve"> </w:t>
      </w:r>
      <w:r w:rsidRPr="00D3653F">
        <w:rPr>
          <w:rFonts w:ascii="Book Antiqua" w:hAnsi="Book Antiqua" w:cs="宋体"/>
          <w:szCs w:val="24"/>
        </w:rPr>
        <w:t>Cao WB</w:t>
      </w:r>
      <w:r w:rsidRPr="00D3653F">
        <w:rPr>
          <w:rFonts w:ascii="Book Antiqua" w:eastAsia="宋体" w:hAnsi="Book Antiqua" w:cs="宋体"/>
          <w:szCs w:val="24"/>
          <w:lang w:eastAsia="zh-CN"/>
        </w:rPr>
        <w:t>,</w:t>
      </w:r>
      <w:r w:rsidRPr="00D3653F">
        <w:rPr>
          <w:rFonts w:ascii="Book Antiqua" w:hAnsi="Book Antiqua" w:cs="宋体"/>
          <w:szCs w:val="24"/>
        </w:rPr>
        <w:t xml:space="preserve"> Koike T</w:t>
      </w:r>
      <w:r w:rsidRPr="00D3653F">
        <w:rPr>
          <w:rFonts w:ascii="Book Antiqua" w:hAnsi="Book Antiqua" w:cs="宋体"/>
          <w:b/>
          <w:szCs w:val="24"/>
        </w:rPr>
        <w:t xml:space="preserve"> S-Editor:</w:t>
      </w:r>
      <w:r w:rsidRPr="00D3653F">
        <w:rPr>
          <w:rFonts w:ascii="Book Antiqua" w:hAnsi="Book Antiqua" w:cs="宋体"/>
          <w:szCs w:val="24"/>
        </w:rPr>
        <w:t xml:space="preserve"> </w:t>
      </w:r>
      <w:proofErr w:type="spellStart"/>
      <w:r w:rsidRPr="00D3653F">
        <w:rPr>
          <w:rFonts w:ascii="Book Antiqua" w:hAnsi="Book Antiqua" w:cs="宋体"/>
          <w:szCs w:val="24"/>
        </w:rPr>
        <w:t>Zhai</w:t>
      </w:r>
      <w:proofErr w:type="spellEnd"/>
      <w:r w:rsidRPr="00D3653F">
        <w:rPr>
          <w:rFonts w:ascii="Book Antiqua" w:hAnsi="Book Antiqua" w:cs="宋体"/>
          <w:szCs w:val="24"/>
        </w:rPr>
        <w:t xml:space="preserve"> HH</w:t>
      </w:r>
      <w:r w:rsidRPr="00D3653F">
        <w:rPr>
          <w:rFonts w:ascii="Book Antiqua" w:hAnsi="Book Antiqua" w:cs="宋体"/>
          <w:b/>
          <w:szCs w:val="24"/>
        </w:rPr>
        <w:t xml:space="preserve"> L-Editor: E-Edito</w:t>
      </w:r>
      <w:r w:rsidRPr="00D3653F">
        <w:rPr>
          <w:rFonts w:ascii="Book Antiqua" w:hAnsi="Book Antiqua" w:cs="宋体"/>
          <w:szCs w:val="24"/>
        </w:rPr>
        <w:t>r</w:t>
      </w:r>
      <w:r w:rsidRPr="00D3653F">
        <w:rPr>
          <w:rFonts w:ascii="Book Antiqua" w:hAnsi="Book Antiqua" w:cs="宋体"/>
          <w:b/>
          <w:szCs w:val="24"/>
        </w:rPr>
        <w:t>:</w:t>
      </w:r>
    </w:p>
    <w:bookmarkEnd w:id="5"/>
    <w:bookmarkEnd w:id="6"/>
    <w:bookmarkEnd w:id="7"/>
    <w:p w:rsidR="006A1FFB" w:rsidRPr="00454AB8" w:rsidRDefault="006A1FFB" w:rsidP="00D3653F">
      <w:pPr>
        <w:widowControl/>
        <w:adjustRightInd/>
        <w:spacing w:line="360" w:lineRule="auto"/>
        <w:textAlignment w:val="auto"/>
        <w:rPr>
          <w:rFonts w:ascii="Book Antiqua" w:eastAsia="宋体" w:hAnsi="Book Antiqua" w:cs="宋体"/>
          <w:spacing w:val="0"/>
          <w:szCs w:val="24"/>
          <w:lang w:eastAsia="zh-CN"/>
        </w:rPr>
      </w:pPr>
    </w:p>
    <w:p w:rsidR="006A1FFB" w:rsidRPr="00D3653F" w:rsidRDefault="006A1FFB" w:rsidP="00D3653F">
      <w:pPr>
        <w:spacing w:line="360" w:lineRule="auto"/>
        <w:rPr>
          <w:rFonts w:ascii="Book Antiqua" w:hAnsi="Book Antiqua"/>
          <w:spacing w:val="0"/>
          <w:szCs w:val="24"/>
        </w:rPr>
      </w:pPr>
      <w:r w:rsidRPr="00D3653F">
        <w:rPr>
          <w:rFonts w:ascii="Book Antiqua" w:hAnsi="Book Antiqua"/>
          <w:b/>
          <w:spacing w:val="0"/>
          <w:szCs w:val="24"/>
        </w:rPr>
        <w:t>Figure 1</w:t>
      </w:r>
      <w:r w:rsidRPr="00D3653F">
        <w:rPr>
          <w:rFonts w:ascii="Book Antiqua" w:hAnsi="Book Antiqua"/>
          <w:spacing w:val="0"/>
          <w:szCs w:val="24"/>
        </w:rPr>
        <w:t xml:space="preserve"> </w:t>
      </w:r>
      <w:r w:rsidRPr="00D3653F">
        <w:rPr>
          <w:rFonts w:ascii="Book Antiqua" w:hAnsi="Book Antiqua"/>
          <w:b/>
          <w:spacing w:val="0"/>
          <w:szCs w:val="24"/>
        </w:rPr>
        <w:t xml:space="preserve">Esophageal contractions induced by physiological saline and acid infusion were analyzed simultaneously using three different modalities, namely conventional </w:t>
      </w:r>
      <w:proofErr w:type="spellStart"/>
      <w:r w:rsidRPr="00D3653F">
        <w:rPr>
          <w:rFonts w:ascii="Book Antiqua" w:hAnsi="Book Antiqua"/>
          <w:b/>
          <w:spacing w:val="0"/>
          <w:szCs w:val="24"/>
        </w:rPr>
        <w:t>manometry</w:t>
      </w:r>
      <w:proofErr w:type="spellEnd"/>
      <w:r w:rsidRPr="00D3653F">
        <w:rPr>
          <w:rFonts w:ascii="Book Antiqua" w:hAnsi="Book Antiqua"/>
          <w:b/>
          <w:spacing w:val="0"/>
          <w:szCs w:val="24"/>
        </w:rPr>
        <w:t>, endoscopic ultrasonography, and endoscopic observation.</w:t>
      </w: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b/>
          <w:spacing w:val="0"/>
          <w:szCs w:val="24"/>
        </w:rPr>
      </w:pPr>
      <w:r w:rsidRPr="00D3653F">
        <w:rPr>
          <w:rFonts w:ascii="Book Antiqua" w:hAnsi="Book Antiqua"/>
          <w:b/>
          <w:spacing w:val="0"/>
          <w:szCs w:val="24"/>
        </w:rPr>
        <w:lastRenderedPageBreak/>
        <w:t>Figure 2</w:t>
      </w:r>
      <w:r w:rsidRPr="00D3653F">
        <w:rPr>
          <w:rFonts w:ascii="Book Antiqua" w:eastAsia="宋体" w:hAnsi="Book Antiqua"/>
          <w:b/>
          <w:spacing w:val="0"/>
          <w:szCs w:val="24"/>
          <w:lang w:eastAsia="zh-CN"/>
        </w:rPr>
        <w:t xml:space="preserve"> </w:t>
      </w:r>
      <w:r w:rsidRPr="00D3653F">
        <w:rPr>
          <w:rFonts w:ascii="Book Antiqua" w:hAnsi="Book Antiqua"/>
          <w:b/>
          <w:spacing w:val="0"/>
          <w:szCs w:val="24"/>
        </w:rPr>
        <w:t>Comparisons of results of endoscopic evaluations [propulsive</w:t>
      </w:r>
      <w:r w:rsidRPr="00D3653F">
        <w:rPr>
          <w:rFonts w:ascii="Book Antiqua" w:eastAsia="宋体" w:hAnsi="Book Antiqua"/>
          <w:b/>
          <w:spacing w:val="0"/>
          <w:szCs w:val="24"/>
          <w:lang w:eastAsia="zh-CN"/>
        </w:rPr>
        <w:t xml:space="preserve"> </w:t>
      </w:r>
      <w:r w:rsidRPr="00D3653F">
        <w:rPr>
          <w:rFonts w:ascii="Book Antiqua" w:hAnsi="Book Antiqua"/>
          <w:b/>
          <w:spacing w:val="0"/>
          <w:szCs w:val="24"/>
        </w:rPr>
        <w:t>(</w:t>
      </w:r>
      <w:r w:rsidRPr="00D3653F">
        <w:rPr>
          <w:rFonts w:ascii="Book Antiqua" w:hAnsi="Book Antiqua"/>
          <w:b/>
          <w:i/>
          <w:iCs/>
          <w:spacing w:val="0"/>
          <w:szCs w:val="24"/>
        </w:rPr>
        <w:t>n</w:t>
      </w:r>
      <w:r w:rsidRPr="00D3653F">
        <w:rPr>
          <w:rFonts w:ascii="Book Antiqua" w:hAnsi="Book Antiqua"/>
          <w:b/>
          <w:spacing w:val="0"/>
          <w:szCs w:val="24"/>
        </w:rPr>
        <w:t xml:space="preserve"> = 74) and non-propulsive </w:t>
      </w:r>
      <w:r w:rsidRPr="00D3653F">
        <w:rPr>
          <w:rFonts w:ascii="Book Antiqua" w:eastAsia="宋体" w:hAnsi="Book Antiqua"/>
          <w:b/>
          <w:spacing w:val="0"/>
          <w:szCs w:val="24"/>
          <w:lang w:eastAsia="zh-CN"/>
        </w:rPr>
        <w:t>(</w:t>
      </w:r>
      <w:r w:rsidRPr="00D3653F">
        <w:rPr>
          <w:rFonts w:ascii="Book Antiqua" w:hAnsi="Book Antiqua"/>
          <w:b/>
          <w:i/>
          <w:iCs/>
          <w:spacing w:val="0"/>
          <w:szCs w:val="24"/>
        </w:rPr>
        <w:t>n</w:t>
      </w:r>
      <w:r w:rsidRPr="00D3653F">
        <w:rPr>
          <w:rFonts w:ascii="Book Antiqua" w:hAnsi="Book Antiqua"/>
          <w:b/>
          <w:spacing w:val="0"/>
          <w:szCs w:val="24"/>
        </w:rPr>
        <w:t xml:space="preserve"> = 58</w:t>
      </w:r>
      <w:r w:rsidRPr="00D3653F">
        <w:rPr>
          <w:rFonts w:ascii="Book Antiqua" w:eastAsia="宋体" w:hAnsi="Book Antiqua"/>
          <w:b/>
          <w:spacing w:val="0"/>
          <w:szCs w:val="24"/>
          <w:lang w:eastAsia="zh-CN"/>
        </w:rPr>
        <w:t xml:space="preserve">) </w:t>
      </w:r>
      <w:r w:rsidRPr="00D3653F">
        <w:rPr>
          <w:rFonts w:ascii="Book Antiqua" w:hAnsi="Book Antiqua"/>
          <w:b/>
          <w:spacing w:val="0"/>
          <w:szCs w:val="24"/>
        </w:rPr>
        <w:t xml:space="preserve">contractions] and </w:t>
      </w:r>
      <w:proofErr w:type="spellStart"/>
      <w:r w:rsidRPr="00D3653F">
        <w:rPr>
          <w:rFonts w:ascii="Book Antiqua" w:hAnsi="Book Antiqua"/>
          <w:b/>
          <w:spacing w:val="0"/>
          <w:szCs w:val="24"/>
        </w:rPr>
        <w:t>manometry</w:t>
      </w:r>
      <w:proofErr w:type="spellEnd"/>
      <w:r w:rsidRPr="00D3653F">
        <w:rPr>
          <w:rFonts w:ascii="Book Antiqua" w:hAnsi="Book Antiqua"/>
          <w:b/>
          <w:spacing w:val="0"/>
          <w:szCs w:val="24"/>
        </w:rPr>
        <w:t xml:space="preserve"> (primary peristalsis, secondary peristalsis, failed, or no response). </w:t>
      </w: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eastAsia="宋体" w:hAnsi="Book Antiqua"/>
          <w:b/>
          <w:spacing w:val="0"/>
          <w:szCs w:val="24"/>
          <w:lang w:eastAsia="zh-CN"/>
        </w:rPr>
      </w:pPr>
    </w:p>
    <w:p w:rsidR="006A1FFB" w:rsidRPr="00D3653F" w:rsidRDefault="006A1FFB" w:rsidP="00D3653F">
      <w:pPr>
        <w:spacing w:line="360" w:lineRule="auto"/>
        <w:rPr>
          <w:rFonts w:ascii="Book Antiqua" w:hAnsi="Book Antiqua"/>
          <w:b/>
          <w:spacing w:val="0"/>
          <w:szCs w:val="24"/>
        </w:rPr>
      </w:pPr>
      <w:r w:rsidRPr="00D3653F">
        <w:rPr>
          <w:rFonts w:ascii="Book Antiqua" w:hAnsi="Book Antiqua"/>
          <w:b/>
          <w:spacing w:val="0"/>
          <w:szCs w:val="24"/>
        </w:rPr>
        <w:t>Table 1Clinical characteristics of the subjects in each group</w:t>
      </w:r>
      <w:r w:rsidRPr="004C0470">
        <w:rPr>
          <w:rFonts w:ascii="Book Antiqua" w:hAnsi="Book Antiqua"/>
          <w:b/>
          <w:i/>
          <w:spacing w:val="0"/>
          <w:szCs w:val="24"/>
        </w:rPr>
        <w:t xml:space="preserve"> n </w:t>
      </w:r>
      <w:r>
        <w:rPr>
          <w:rFonts w:ascii="Book Antiqua" w:hAnsi="Book Antiqua"/>
          <w:b/>
          <w:spacing w:val="0"/>
          <w:szCs w:val="24"/>
        </w:rPr>
        <w:t>(%)</w:t>
      </w:r>
    </w:p>
    <w:tbl>
      <w:tblPr>
        <w:tblW w:w="9012" w:type="dxa"/>
        <w:tblInd w:w="8" w:type="dxa"/>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3732"/>
        <w:gridCol w:w="1760"/>
        <w:gridCol w:w="1760"/>
        <w:gridCol w:w="1760"/>
      </w:tblGrid>
      <w:tr w:rsidR="006A1FFB" w:rsidRPr="00C86E7C">
        <w:trPr>
          <w:trHeight w:val="805"/>
        </w:trPr>
        <w:tc>
          <w:tcPr>
            <w:tcW w:w="3732"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p>
        </w:tc>
        <w:tc>
          <w:tcPr>
            <w:tcW w:w="1760"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Control</w:t>
            </w:r>
          </w:p>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w:t>
            </w:r>
            <w:r w:rsidRPr="00C86E7C">
              <w:rPr>
                <w:rFonts w:ascii="Book Antiqua" w:hAnsi="Book Antiqua"/>
                <w:i/>
                <w:iCs/>
                <w:spacing w:val="0"/>
                <w:szCs w:val="24"/>
              </w:rPr>
              <w:t>n</w:t>
            </w:r>
            <w:r w:rsidRPr="00C86E7C">
              <w:rPr>
                <w:rFonts w:ascii="Book Antiqua" w:hAnsi="Book Antiqua"/>
                <w:spacing w:val="0"/>
                <w:szCs w:val="24"/>
              </w:rPr>
              <w:t xml:space="preserve"> = 25)</w:t>
            </w:r>
          </w:p>
        </w:tc>
        <w:tc>
          <w:tcPr>
            <w:tcW w:w="1760"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SSBE</w:t>
            </w:r>
          </w:p>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w:t>
            </w:r>
            <w:r w:rsidRPr="00C86E7C">
              <w:rPr>
                <w:rFonts w:ascii="Book Antiqua" w:hAnsi="Book Antiqua"/>
                <w:i/>
                <w:iCs/>
                <w:spacing w:val="0"/>
                <w:szCs w:val="24"/>
              </w:rPr>
              <w:t>n</w:t>
            </w:r>
            <w:r w:rsidRPr="00C86E7C">
              <w:rPr>
                <w:rFonts w:ascii="Book Antiqua" w:hAnsi="Book Antiqua"/>
                <w:spacing w:val="0"/>
                <w:szCs w:val="24"/>
              </w:rPr>
              <w:t xml:space="preserve"> = 16)</w:t>
            </w:r>
          </w:p>
        </w:tc>
        <w:tc>
          <w:tcPr>
            <w:tcW w:w="1760"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LSBE</w:t>
            </w:r>
          </w:p>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w:t>
            </w:r>
            <w:r w:rsidRPr="00C86E7C">
              <w:rPr>
                <w:rFonts w:ascii="Book Antiqua" w:hAnsi="Book Antiqua"/>
                <w:i/>
                <w:iCs/>
                <w:spacing w:val="0"/>
                <w:szCs w:val="24"/>
              </w:rPr>
              <w:t>n</w:t>
            </w:r>
            <w:r w:rsidRPr="00C86E7C">
              <w:rPr>
                <w:rFonts w:ascii="Book Antiqua" w:hAnsi="Book Antiqua"/>
                <w:spacing w:val="0"/>
                <w:szCs w:val="24"/>
              </w:rPr>
              <w:t xml:space="preserve"> = 8)</w:t>
            </w:r>
          </w:p>
        </w:tc>
      </w:tr>
      <w:tr w:rsidR="006A1FFB" w:rsidRPr="00C86E7C">
        <w:trPr>
          <w:trHeight w:val="323"/>
        </w:trPr>
        <w:tc>
          <w:tcPr>
            <w:tcW w:w="3732" w:type="dxa"/>
            <w:tcBorders>
              <w:top w:val="single" w:sz="6" w:space="0" w:color="008000"/>
            </w:tcBorders>
          </w:tcPr>
          <w:p w:rsidR="006A1FFB" w:rsidRPr="00D3653F" w:rsidRDefault="006A1FFB" w:rsidP="00D3653F">
            <w:pPr>
              <w:spacing w:line="360" w:lineRule="auto"/>
              <w:rPr>
                <w:rFonts w:ascii="Book Antiqua" w:eastAsia="宋体" w:hAnsi="Book Antiqua"/>
                <w:spacing w:val="0"/>
                <w:szCs w:val="24"/>
                <w:lang w:eastAsia="zh-CN"/>
              </w:rPr>
            </w:pPr>
            <w:r w:rsidRPr="00D3653F">
              <w:rPr>
                <w:rFonts w:ascii="Book Antiqua" w:eastAsia="宋体" w:hAnsi="Book Antiqua"/>
                <w:spacing w:val="0"/>
                <w:szCs w:val="24"/>
                <w:lang w:eastAsia="zh-CN"/>
              </w:rPr>
              <w:t>Sex (</w:t>
            </w:r>
            <w:r w:rsidRPr="00C86E7C">
              <w:rPr>
                <w:rFonts w:ascii="Book Antiqua" w:hAnsi="Book Antiqua"/>
                <w:spacing w:val="0"/>
                <w:szCs w:val="24"/>
              </w:rPr>
              <w:t>m</w:t>
            </w:r>
            <w:r w:rsidRPr="00D3653F">
              <w:rPr>
                <w:rFonts w:ascii="Book Antiqua" w:eastAsia="宋体" w:hAnsi="Book Antiqua"/>
                <w:spacing w:val="0"/>
                <w:szCs w:val="24"/>
                <w:lang w:eastAsia="zh-CN"/>
              </w:rPr>
              <w:t>ale</w:t>
            </w:r>
            <w:r w:rsidRPr="00C86E7C">
              <w:rPr>
                <w:rFonts w:ascii="Book Antiqua" w:hAnsi="Book Antiqua"/>
                <w:spacing w:val="0"/>
                <w:szCs w:val="24"/>
              </w:rPr>
              <w:t>/</w:t>
            </w:r>
            <w:r w:rsidRPr="00D3653F">
              <w:rPr>
                <w:rFonts w:ascii="Book Antiqua" w:eastAsia="宋体" w:hAnsi="Book Antiqua"/>
                <w:spacing w:val="0"/>
                <w:szCs w:val="24"/>
                <w:lang w:eastAsia="zh-CN"/>
              </w:rPr>
              <w:t>female</w:t>
            </w:r>
            <w:r w:rsidRPr="00C86E7C">
              <w:rPr>
                <w:rFonts w:ascii="Book Antiqua" w:hAnsi="Book Antiqua"/>
                <w:spacing w:val="0"/>
                <w:szCs w:val="24"/>
              </w:rPr>
              <w:t>)</w:t>
            </w:r>
          </w:p>
        </w:tc>
        <w:tc>
          <w:tcPr>
            <w:tcW w:w="176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19/6</w:t>
            </w:r>
          </w:p>
        </w:tc>
        <w:tc>
          <w:tcPr>
            <w:tcW w:w="176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15/1</w:t>
            </w:r>
            <w:r w:rsidRPr="00D3653F">
              <w:rPr>
                <w:rFonts w:ascii="Book Antiqua" w:eastAsia="宋体" w:hAnsi="Book Antiqua"/>
                <w:spacing w:val="0"/>
                <w:szCs w:val="24"/>
                <w:vertAlign w:val="superscript"/>
                <w:lang w:eastAsia="zh-CN"/>
              </w:rPr>
              <w:t>b</w:t>
            </w:r>
          </w:p>
        </w:tc>
        <w:tc>
          <w:tcPr>
            <w:tcW w:w="176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8/0</w:t>
            </w:r>
            <w:r w:rsidRPr="00D3653F">
              <w:rPr>
                <w:rFonts w:ascii="Book Antiqua" w:eastAsia="宋体" w:hAnsi="Book Antiqua"/>
                <w:spacing w:val="0"/>
                <w:szCs w:val="24"/>
                <w:vertAlign w:val="superscript"/>
                <w:lang w:eastAsia="zh-CN"/>
              </w:rPr>
              <w:t>b</w:t>
            </w:r>
          </w:p>
        </w:tc>
      </w:tr>
      <w:tr w:rsidR="006A1FFB" w:rsidRPr="00C86E7C">
        <w:trPr>
          <w:trHeight w:val="274"/>
        </w:trPr>
        <w:tc>
          <w:tcPr>
            <w:tcW w:w="373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age (</w:t>
            </w:r>
            <w:proofErr w:type="spellStart"/>
            <w:r w:rsidRPr="00C86E7C">
              <w:rPr>
                <w:rFonts w:ascii="Book Antiqua" w:hAnsi="Book Antiqua"/>
                <w:spacing w:val="0"/>
                <w:szCs w:val="24"/>
              </w:rPr>
              <w:t>y</w:t>
            </w:r>
            <w:r w:rsidRPr="00D3653F">
              <w:rPr>
                <w:rFonts w:ascii="Book Antiqua" w:eastAsia="宋体" w:hAnsi="Book Antiqua"/>
                <w:spacing w:val="0"/>
                <w:szCs w:val="24"/>
                <w:lang w:eastAsia="zh-CN"/>
              </w:rPr>
              <w:t>r</w:t>
            </w:r>
            <w:proofErr w:type="spellEnd"/>
            <w:r w:rsidRPr="00C86E7C">
              <w:rPr>
                <w:rFonts w:ascii="Book Antiqua" w:hAnsi="Book Antiqua"/>
                <w:spacing w:val="0"/>
                <w:szCs w:val="24"/>
              </w:rPr>
              <w:t>)</w:t>
            </w:r>
          </w:p>
        </w:tc>
        <w:tc>
          <w:tcPr>
            <w:tcW w:w="176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32 ± 7</w:t>
            </w:r>
          </w:p>
        </w:tc>
        <w:tc>
          <w:tcPr>
            <w:tcW w:w="176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38.4 ± 14.4</w:t>
            </w:r>
          </w:p>
        </w:tc>
        <w:tc>
          <w:tcPr>
            <w:tcW w:w="176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38.0 ± 14.0</w:t>
            </w:r>
          </w:p>
        </w:tc>
      </w:tr>
      <w:tr w:rsidR="006A1FFB" w:rsidRPr="00C86E7C">
        <w:trPr>
          <w:trHeight w:val="225"/>
        </w:trPr>
        <w:tc>
          <w:tcPr>
            <w:tcW w:w="373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BMI (kg/m</w:t>
            </w:r>
            <w:r w:rsidRPr="00C86E7C">
              <w:rPr>
                <w:rFonts w:ascii="Book Antiqua" w:hAnsi="Book Antiqua"/>
                <w:spacing w:val="0"/>
                <w:szCs w:val="24"/>
                <w:vertAlign w:val="superscript"/>
              </w:rPr>
              <w:t>2</w:t>
            </w:r>
            <w:r w:rsidRPr="00C86E7C">
              <w:rPr>
                <w:rFonts w:ascii="Book Antiqua" w:hAnsi="Book Antiqua"/>
                <w:spacing w:val="0"/>
                <w:szCs w:val="24"/>
              </w:rPr>
              <w:t>)</w:t>
            </w:r>
          </w:p>
        </w:tc>
        <w:tc>
          <w:tcPr>
            <w:tcW w:w="176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22 ± 2.8</w:t>
            </w:r>
          </w:p>
        </w:tc>
        <w:tc>
          <w:tcPr>
            <w:tcW w:w="176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22.7 ± 3.1</w:t>
            </w:r>
          </w:p>
        </w:tc>
        <w:tc>
          <w:tcPr>
            <w:tcW w:w="176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22.2 ± 3.5</w:t>
            </w:r>
          </w:p>
        </w:tc>
      </w:tr>
      <w:tr w:rsidR="006A1FFB" w:rsidRPr="00C86E7C">
        <w:trPr>
          <w:trHeight w:val="161"/>
        </w:trPr>
        <w:tc>
          <w:tcPr>
            <w:tcW w:w="373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No. smokers</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7 (28</w:t>
            </w:r>
            <w:r w:rsidRPr="00C86E7C">
              <w:rPr>
                <w:rFonts w:ascii="Book Antiqua" w:hAnsi="Book Antiqua"/>
                <w:spacing w:val="0"/>
                <w:szCs w:val="24"/>
              </w:rPr>
              <w:t>)</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4 (25</w:t>
            </w:r>
            <w:r w:rsidRPr="00C86E7C">
              <w:rPr>
                <w:rFonts w:ascii="Book Antiqua" w:hAnsi="Book Antiqua"/>
                <w:spacing w:val="0"/>
                <w:szCs w:val="24"/>
              </w:rPr>
              <w:t>)</w:t>
            </w:r>
          </w:p>
        </w:tc>
        <w:tc>
          <w:tcPr>
            <w:tcW w:w="1760" w:type="dxa"/>
          </w:tcPr>
          <w:p w:rsidR="006A1FFB" w:rsidRPr="00D3653F" w:rsidRDefault="006A1FFB" w:rsidP="00D3653F">
            <w:pPr>
              <w:spacing w:line="360" w:lineRule="auto"/>
              <w:rPr>
                <w:rFonts w:ascii="Book Antiqua" w:eastAsia="宋体" w:hAnsi="Book Antiqua"/>
                <w:spacing w:val="0"/>
                <w:szCs w:val="24"/>
                <w:lang w:eastAsia="zh-CN"/>
              </w:rPr>
            </w:pPr>
            <w:r>
              <w:rPr>
                <w:rFonts w:ascii="Book Antiqua" w:hAnsi="Book Antiqua"/>
                <w:spacing w:val="0"/>
                <w:szCs w:val="24"/>
              </w:rPr>
              <w:t>4 (50</w:t>
            </w:r>
            <w:r w:rsidRPr="00C86E7C">
              <w:rPr>
                <w:rFonts w:ascii="Book Antiqua" w:hAnsi="Book Antiqua"/>
                <w:spacing w:val="0"/>
                <w:szCs w:val="24"/>
              </w:rPr>
              <w:t>)</w:t>
            </w:r>
            <w:proofErr w:type="spellStart"/>
            <w:r w:rsidRPr="00D3653F">
              <w:rPr>
                <w:rFonts w:ascii="Book Antiqua" w:eastAsia="宋体" w:hAnsi="Book Antiqua"/>
                <w:spacing w:val="0"/>
                <w:szCs w:val="24"/>
                <w:vertAlign w:val="superscript"/>
                <w:lang w:eastAsia="zh-CN"/>
              </w:rPr>
              <w:t>b,d</w:t>
            </w:r>
            <w:proofErr w:type="spellEnd"/>
          </w:p>
        </w:tc>
      </w:tr>
      <w:tr w:rsidR="006A1FFB" w:rsidRPr="00C86E7C">
        <w:trPr>
          <w:trHeight w:val="290"/>
        </w:trPr>
        <w:tc>
          <w:tcPr>
            <w:tcW w:w="373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No. drinkers</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20 (80</w:t>
            </w:r>
            <w:r w:rsidRPr="00C86E7C">
              <w:rPr>
                <w:rFonts w:ascii="Book Antiqua" w:hAnsi="Book Antiqua"/>
                <w:spacing w:val="0"/>
                <w:szCs w:val="24"/>
              </w:rPr>
              <w:t>)</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14 (87.6</w:t>
            </w:r>
            <w:r w:rsidRPr="00C86E7C">
              <w:rPr>
                <w:rFonts w:ascii="Book Antiqua" w:hAnsi="Book Antiqua"/>
                <w:spacing w:val="0"/>
                <w:szCs w:val="24"/>
              </w:rPr>
              <w:t>)</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7 (87.5</w:t>
            </w:r>
            <w:r w:rsidRPr="00C86E7C">
              <w:rPr>
                <w:rFonts w:ascii="Book Antiqua" w:hAnsi="Book Antiqua"/>
                <w:spacing w:val="0"/>
                <w:szCs w:val="24"/>
              </w:rPr>
              <w:t>)</w:t>
            </w:r>
          </w:p>
        </w:tc>
      </w:tr>
      <w:tr w:rsidR="006A1FFB" w:rsidRPr="00C86E7C">
        <w:trPr>
          <w:trHeight w:val="241"/>
        </w:trPr>
        <w:tc>
          <w:tcPr>
            <w:tcW w:w="373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 xml:space="preserve">No. </w:t>
            </w:r>
            <w:r w:rsidRPr="00C86E7C">
              <w:rPr>
                <w:rFonts w:ascii="Book Antiqua" w:hAnsi="Book Antiqua"/>
                <w:i/>
                <w:iCs/>
                <w:spacing w:val="0"/>
                <w:szCs w:val="24"/>
              </w:rPr>
              <w:t>H. pylori</w:t>
            </w:r>
            <w:r w:rsidRPr="00C86E7C">
              <w:rPr>
                <w:rFonts w:ascii="Book Antiqua" w:hAnsi="Book Antiqua"/>
                <w:spacing w:val="0"/>
                <w:szCs w:val="24"/>
              </w:rPr>
              <w:t xml:space="preserve"> antibody positive</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4 (18.2</w:t>
            </w:r>
            <w:r w:rsidRPr="00C86E7C">
              <w:rPr>
                <w:rFonts w:ascii="Book Antiqua" w:hAnsi="Book Antiqua"/>
                <w:spacing w:val="0"/>
                <w:szCs w:val="24"/>
              </w:rPr>
              <w:t>)</w:t>
            </w:r>
          </w:p>
        </w:tc>
        <w:tc>
          <w:tcPr>
            <w:tcW w:w="1760" w:type="dxa"/>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2 (12.5</w:t>
            </w:r>
            <w:r w:rsidRPr="00C86E7C">
              <w:rPr>
                <w:rFonts w:ascii="Book Antiqua" w:hAnsi="Book Antiqua"/>
                <w:spacing w:val="0"/>
                <w:szCs w:val="24"/>
              </w:rPr>
              <w:t>)</w:t>
            </w:r>
          </w:p>
        </w:tc>
        <w:tc>
          <w:tcPr>
            <w:tcW w:w="1760" w:type="dxa"/>
          </w:tcPr>
          <w:p w:rsidR="006A1FFB" w:rsidRPr="00D3653F" w:rsidRDefault="006A1FFB" w:rsidP="00D3653F">
            <w:pPr>
              <w:spacing w:line="360" w:lineRule="auto"/>
              <w:rPr>
                <w:rFonts w:ascii="Book Antiqua" w:eastAsia="宋体" w:hAnsi="Book Antiqua"/>
                <w:spacing w:val="0"/>
                <w:szCs w:val="24"/>
                <w:lang w:eastAsia="zh-CN"/>
              </w:rPr>
            </w:pPr>
            <w:r>
              <w:rPr>
                <w:rFonts w:ascii="Book Antiqua" w:hAnsi="Book Antiqua"/>
                <w:spacing w:val="0"/>
                <w:szCs w:val="24"/>
              </w:rPr>
              <w:t>0 (0</w:t>
            </w:r>
            <w:r w:rsidRPr="00C86E7C">
              <w:rPr>
                <w:rFonts w:ascii="Book Antiqua" w:hAnsi="Book Antiqua"/>
                <w:spacing w:val="0"/>
                <w:szCs w:val="24"/>
              </w:rPr>
              <w:t>)</w:t>
            </w:r>
            <w:proofErr w:type="spellStart"/>
            <w:r w:rsidRPr="00D3653F">
              <w:rPr>
                <w:rFonts w:ascii="Book Antiqua" w:eastAsia="宋体" w:hAnsi="Book Antiqua"/>
                <w:spacing w:val="0"/>
                <w:szCs w:val="24"/>
                <w:vertAlign w:val="superscript"/>
                <w:lang w:eastAsia="zh-CN"/>
              </w:rPr>
              <w:t>b,d</w:t>
            </w:r>
            <w:proofErr w:type="spellEnd"/>
          </w:p>
        </w:tc>
      </w:tr>
      <w:tr w:rsidR="006A1FFB" w:rsidRPr="00C86E7C">
        <w:trPr>
          <w:trHeight w:val="178"/>
        </w:trPr>
        <w:tc>
          <w:tcPr>
            <w:tcW w:w="3732"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No. with erosive reflux esophagitis</w:t>
            </w:r>
          </w:p>
        </w:tc>
        <w:tc>
          <w:tcPr>
            <w:tcW w:w="176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1 (4</w:t>
            </w:r>
            <w:r w:rsidRPr="00C86E7C">
              <w:rPr>
                <w:rFonts w:ascii="Book Antiqua" w:hAnsi="Book Antiqua"/>
                <w:spacing w:val="0"/>
                <w:szCs w:val="24"/>
              </w:rPr>
              <w:t>)</w:t>
            </w:r>
          </w:p>
        </w:tc>
        <w:tc>
          <w:tcPr>
            <w:tcW w:w="176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Pr>
                <w:rFonts w:ascii="Book Antiqua" w:hAnsi="Book Antiqua"/>
                <w:spacing w:val="0"/>
                <w:szCs w:val="24"/>
              </w:rPr>
              <w:t>7 (43.8</w:t>
            </w:r>
            <w:r w:rsidRPr="00C86E7C">
              <w:rPr>
                <w:rFonts w:ascii="Book Antiqua" w:hAnsi="Book Antiqua"/>
                <w:spacing w:val="0"/>
                <w:szCs w:val="24"/>
              </w:rPr>
              <w:t>)</w:t>
            </w:r>
            <w:r w:rsidRPr="00D3653F">
              <w:rPr>
                <w:rFonts w:ascii="Book Antiqua" w:eastAsia="宋体" w:hAnsi="Book Antiqua"/>
                <w:spacing w:val="0"/>
                <w:szCs w:val="24"/>
                <w:vertAlign w:val="superscript"/>
                <w:lang w:eastAsia="zh-CN"/>
              </w:rPr>
              <w:t xml:space="preserve"> b</w:t>
            </w:r>
          </w:p>
        </w:tc>
        <w:tc>
          <w:tcPr>
            <w:tcW w:w="1760" w:type="dxa"/>
            <w:tcBorders>
              <w:bottom w:val="single" w:sz="12" w:space="0" w:color="008000"/>
            </w:tcBorders>
          </w:tcPr>
          <w:p w:rsidR="006A1FFB" w:rsidRPr="00D3653F" w:rsidRDefault="006A1FFB" w:rsidP="00D3653F">
            <w:pPr>
              <w:spacing w:line="360" w:lineRule="auto"/>
              <w:rPr>
                <w:rFonts w:ascii="Book Antiqua" w:eastAsia="宋体" w:hAnsi="Book Antiqua"/>
                <w:spacing w:val="0"/>
                <w:szCs w:val="24"/>
                <w:lang w:eastAsia="zh-CN"/>
              </w:rPr>
            </w:pPr>
            <w:r>
              <w:rPr>
                <w:rFonts w:ascii="Book Antiqua" w:hAnsi="Book Antiqua"/>
                <w:spacing w:val="0"/>
                <w:szCs w:val="24"/>
              </w:rPr>
              <w:t>5 (62.5</w:t>
            </w:r>
            <w:r w:rsidRPr="00C86E7C">
              <w:rPr>
                <w:rFonts w:ascii="Book Antiqua" w:hAnsi="Book Antiqua"/>
                <w:spacing w:val="0"/>
                <w:szCs w:val="24"/>
              </w:rPr>
              <w:t>)</w:t>
            </w:r>
            <w:proofErr w:type="spellStart"/>
            <w:r w:rsidRPr="00D3653F">
              <w:rPr>
                <w:rFonts w:ascii="Book Antiqua" w:eastAsia="宋体" w:hAnsi="Book Antiqua"/>
                <w:spacing w:val="0"/>
                <w:szCs w:val="24"/>
                <w:vertAlign w:val="superscript"/>
                <w:lang w:eastAsia="zh-CN"/>
              </w:rPr>
              <w:t>b,d</w:t>
            </w:r>
            <w:proofErr w:type="spellEnd"/>
          </w:p>
        </w:tc>
      </w:tr>
    </w:tbl>
    <w:p w:rsidR="006A1FFB" w:rsidRPr="007F566B" w:rsidRDefault="006A1FFB" w:rsidP="007F566B">
      <w:pPr>
        <w:widowControl/>
        <w:spacing w:line="360" w:lineRule="auto"/>
        <w:rPr>
          <w:rFonts w:ascii="Book Antiqua" w:hAnsi="Book Antiqua" w:cs="宋体"/>
          <w:iCs/>
          <w:szCs w:val="24"/>
        </w:rPr>
      </w:pPr>
      <w:r w:rsidRPr="00D3653F">
        <w:rPr>
          <w:rFonts w:ascii="Book Antiqua" w:hAnsi="Book Antiqua" w:cs="宋体"/>
          <w:iCs/>
          <w:szCs w:val="24"/>
        </w:rPr>
        <w:t xml:space="preserve">Data are expressed as absolute numbers (percentage) or mean ± SD. </w:t>
      </w:r>
      <w:proofErr w:type="spellStart"/>
      <w:r w:rsidRPr="00D3653F">
        <w:rPr>
          <w:rFonts w:ascii="Book Antiqua" w:eastAsia="宋体" w:hAnsi="Book Antiqua"/>
          <w:spacing w:val="0"/>
          <w:szCs w:val="24"/>
          <w:vertAlign w:val="superscript"/>
          <w:lang w:eastAsia="zh-CN"/>
        </w:rPr>
        <w:t>b</w:t>
      </w:r>
      <w:r w:rsidRPr="00D3653F">
        <w:rPr>
          <w:rFonts w:ascii="Book Antiqua" w:hAnsi="Book Antiqua"/>
          <w:i/>
          <w:spacing w:val="0"/>
          <w:szCs w:val="24"/>
        </w:rPr>
        <w:t>P</w:t>
      </w:r>
      <w:proofErr w:type="spellEnd"/>
      <w:r w:rsidRPr="00D3653F">
        <w:rPr>
          <w:rFonts w:ascii="Book Antiqua" w:hAnsi="Book Antiqua"/>
          <w:i/>
          <w:spacing w:val="0"/>
          <w:szCs w:val="24"/>
        </w:rPr>
        <w:t xml:space="preserve"> </w:t>
      </w:r>
      <w:r w:rsidRPr="00D3653F">
        <w:rPr>
          <w:rFonts w:ascii="Book Antiqua" w:hAnsi="Book Antiqua"/>
          <w:spacing w:val="0"/>
          <w:szCs w:val="24"/>
        </w:rPr>
        <w:t xml:space="preserve">&lt; 0.01 </w:t>
      </w:r>
      <w:proofErr w:type="spellStart"/>
      <w:r w:rsidRPr="00D3653F">
        <w:rPr>
          <w:rFonts w:ascii="Book Antiqua" w:eastAsia="宋体" w:hAnsi="Book Antiqua"/>
          <w:i/>
          <w:spacing w:val="0"/>
          <w:szCs w:val="24"/>
          <w:lang w:eastAsia="zh-CN"/>
        </w:rPr>
        <w:t>vs</w:t>
      </w:r>
      <w:proofErr w:type="spellEnd"/>
      <w:r w:rsidRPr="00D3653F">
        <w:rPr>
          <w:rFonts w:ascii="Book Antiqua" w:hAnsi="Book Antiqua"/>
          <w:spacing w:val="0"/>
          <w:szCs w:val="24"/>
        </w:rPr>
        <w:t xml:space="preserve"> control; </w:t>
      </w:r>
      <w:proofErr w:type="spellStart"/>
      <w:proofErr w:type="gramStart"/>
      <w:r w:rsidRPr="00D3653F">
        <w:rPr>
          <w:rFonts w:ascii="Book Antiqua" w:eastAsia="宋体" w:hAnsi="Book Antiqua"/>
          <w:spacing w:val="0"/>
          <w:szCs w:val="24"/>
          <w:vertAlign w:val="superscript"/>
          <w:lang w:eastAsia="zh-CN"/>
        </w:rPr>
        <w:t>d</w:t>
      </w:r>
      <w:r w:rsidRPr="00D3653F">
        <w:rPr>
          <w:rFonts w:ascii="Book Antiqua" w:hAnsi="Book Antiqua"/>
          <w:i/>
          <w:spacing w:val="0"/>
          <w:szCs w:val="24"/>
        </w:rPr>
        <w:t>P</w:t>
      </w:r>
      <w:proofErr w:type="spellEnd"/>
      <w:proofErr w:type="gramEnd"/>
      <w:r w:rsidRPr="00D3653F">
        <w:rPr>
          <w:rFonts w:ascii="Book Antiqua" w:hAnsi="Book Antiqua"/>
          <w:i/>
          <w:spacing w:val="0"/>
          <w:szCs w:val="24"/>
        </w:rPr>
        <w:t xml:space="preserve"> </w:t>
      </w:r>
      <w:r w:rsidRPr="00D3653F">
        <w:rPr>
          <w:rFonts w:ascii="Book Antiqua" w:hAnsi="Book Antiqua"/>
          <w:spacing w:val="0"/>
          <w:szCs w:val="24"/>
        </w:rPr>
        <w:t>&lt; 0.01</w:t>
      </w:r>
      <w:r w:rsidRPr="00D3653F">
        <w:rPr>
          <w:rFonts w:ascii="Book Antiqua" w:eastAsia="宋体" w:hAnsi="Book Antiqua"/>
          <w:i/>
          <w:spacing w:val="0"/>
          <w:szCs w:val="24"/>
          <w:lang w:eastAsia="zh-CN"/>
        </w:rPr>
        <w:t xml:space="preserve"> </w:t>
      </w:r>
      <w:proofErr w:type="spellStart"/>
      <w:r w:rsidRPr="00D3653F">
        <w:rPr>
          <w:rFonts w:ascii="Book Antiqua" w:eastAsia="宋体" w:hAnsi="Book Antiqua"/>
          <w:i/>
          <w:spacing w:val="0"/>
          <w:szCs w:val="24"/>
          <w:lang w:eastAsia="zh-CN"/>
        </w:rPr>
        <w:t>vs</w:t>
      </w:r>
      <w:proofErr w:type="spellEnd"/>
      <w:r w:rsidRPr="00D3653F">
        <w:rPr>
          <w:rFonts w:ascii="Book Antiqua" w:hAnsi="Book Antiqua"/>
          <w:spacing w:val="0"/>
          <w:szCs w:val="24"/>
        </w:rPr>
        <w:t xml:space="preserve"> patients with short segment Barrett’s esophagus (SSBE).</w:t>
      </w:r>
      <w:r w:rsidRPr="00D3653F">
        <w:rPr>
          <w:rFonts w:ascii="Book Antiqua" w:eastAsia="宋体" w:hAnsi="Book Antiqua"/>
          <w:spacing w:val="0"/>
          <w:szCs w:val="24"/>
          <w:lang w:eastAsia="zh-CN"/>
        </w:rPr>
        <w:t xml:space="preserve"> </w:t>
      </w:r>
      <w:r w:rsidRPr="00D3653F">
        <w:rPr>
          <w:rFonts w:ascii="Book Antiqua" w:hAnsi="Book Antiqua"/>
          <w:spacing w:val="0"/>
          <w:szCs w:val="24"/>
        </w:rPr>
        <w:t>LSBE</w:t>
      </w:r>
      <w:r w:rsidRPr="00D3653F">
        <w:rPr>
          <w:rFonts w:ascii="Book Antiqua" w:eastAsia="宋体" w:hAnsi="Book Antiqua"/>
          <w:spacing w:val="0"/>
          <w:szCs w:val="24"/>
          <w:lang w:eastAsia="zh-CN"/>
        </w:rPr>
        <w:t>:</w:t>
      </w:r>
      <w:r w:rsidRPr="00D3653F">
        <w:rPr>
          <w:rFonts w:ascii="Book Antiqua" w:hAnsi="Book Antiqua"/>
          <w:spacing w:val="0"/>
          <w:szCs w:val="24"/>
        </w:rPr>
        <w:t xml:space="preserve"> Long segment Barrett’s esophagus; BMI</w:t>
      </w:r>
      <w:r w:rsidRPr="00D3653F">
        <w:rPr>
          <w:rFonts w:ascii="Book Antiqua" w:eastAsia="宋体" w:hAnsi="Book Antiqua"/>
          <w:spacing w:val="0"/>
          <w:szCs w:val="24"/>
          <w:lang w:eastAsia="zh-CN"/>
        </w:rPr>
        <w:t>:</w:t>
      </w:r>
      <w:r w:rsidRPr="00D3653F">
        <w:rPr>
          <w:rFonts w:ascii="Book Antiqua" w:hAnsi="Book Antiqua"/>
          <w:spacing w:val="0"/>
          <w:szCs w:val="24"/>
        </w:rPr>
        <w:t xml:space="preserve"> Body mass index.</w:t>
      </w: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b/>
          <w:spacing w:val="0"/>
          <w:szCs w:val="24"/>
        </w:rPr>
      </w:pPr>
      <w:r w:rsidRPr="00D3653F">
        <w:rPr>
          <w:rFonts w:ascii="Book Antiqua" w:hAnsi="Book Antiqua"/>
          <w:b/>
          <w:spacing w:val="0"/>
          <w:szCs w:val="24"/>
        </w:rPr>
        <w:t>Table 2</w:t>
      </w:r>
      <w:r w:rsidRPr="00D3653F">
        <w:rPr>
          <w:rFonts w:ascii="Book Antiqua" w:eastAsia="宋体" w:hAnsi="Book Antiqua"/>
          <w:b/>
          <w:spacing w:val="0"/>
          <w:szCs w:val="24"/>
          <w:lang w:eastAsia="zh-CN"/>
        </w:rPr>
        <w:t xml:space="preserve"> </w:t>
      </w:r>
      <w:r w:rsidRPr="00D3653F">
        <w:rPr>
          <w:rFonts w:ascii="Book Antiqua" w:hAnsi="Book Antiqua"/>
          <w:b/>
          <w:spacing w:val="0"/>
          <w:szCs w:val="24"/>
        </w:rPr>
        <w:t>Results of the acid perfusion test in each group</w:t>
      </w:r>
    </w:p>
    <w:tbl>
      <w:tblPr>
        <w:tblW w:w="9012" w:type="dxa"/>
        <w:tblInd w:w="8" w:type="dxa"/>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2522"/>
        <w:gridCol w:w="2200"/>
        <w:gridCol w:w="2200"/>
        <w:gridCol w:w="2090"/>
      </w:tblGrid>
      <w:tr w:rsidR="006A1FFB" w:rsidRPr="00C86E7C">
        <w:trPr>
          <w:trHeight w:val="501"/>
        </w:trPr>
        <w:tc>
          <w:tcPr>
            <w:tcW w:w="2522"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p>
        </w:tc>
        <w:tc>
          <w:tcPr>
            <w:tcW w:w="2200"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Lag time (s)</w:t>
            </w:r>
          </w:p>
        </w:tc>
        <w:tc>
          <w:tcPr>
            <w:tcW w:w="2200"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Intensity rate</w:t>
            </w:r>
          </w:p>
        </w:tc>
        <w:tc>
          <w:tcPr>
            <w:tcW w:w="2090" w:type="dxa"/>
            <w:tcBorders>
              <w:top w:val="single" w:sz="12" w:space="0" w:color="008000"/>
              <w:bottom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APSS</w:t>
            </w:r>
          </w:p>
        </w:tc>
      </w:tr>
      <w:tr w:rsidR="006A1FFB" w:rsidRPr="00C86E7C">
        <w:trPr>
          <w:trHeight w:val="491"/>
        </w:trPr>
        <w:tc>
          <w:tcPr>
            <w:tcW w:w="2522"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Control group</w:t>
            </w:r>
          </w:p>
        </w:tc>
        <w:tc>
          <w:tcPr>
            <w:tcW w:w="220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6.1 ± 2.3</w:t>
            </w:r>
          </w:p>
        </w:tc>
        <w:tc>
          <w:tcPr>
            <w:tcW w:w="220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162 ± 150</w:t>
            </w:r>
          </w:p>
        </w:tc>
        <w:tc>
          <w:tcPr>
            <w:tcW w:w="209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9.0 ± 8.7</w:t>
            </w:r>
          </w:p>
        </w:tc>
      </w:tr>
      <w:tr w:rsidR="006A1FFB" w:rsidRPr="00C86E7C">
        <w:trPr>
          <w:trHeight w:val="480"/>
        </w:trPr>
        <w:tc>
          <w:tcPr>
            <w:tcW w:w="252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Barrett’s esophagus</w:t>
            </w:r>
          </w:p>
        </w:tc>
        <w:tc>
          <w:tcPr>
            <w:tcW w:w="220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5.8 ± 2.2</w:t>
            </w:r>
          </w:p>
        </w:tc>
        <w:tc>
          <w:tcPr>
            <w:tcW w:w="220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162 ± 164</w:t>
            </w:r>
          </w:p>
        </w:tc>
        <w:tc>
          <w:tcPr>
            <w:tcW w:w="209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7.7 ± 6.1</w:t>
            </w:r>
          </w:p>
        </w:tc>
      </w:tr>
      <w:tr w:rsidR="006A1FFB" w:rsidRPr="00C86E7C">
        <w:trPr>
          <w:trHeight w:val="483"/>
        </w:trPr>
        <w:tc>
          <w:tcPr>
            <w:tcW w:w="252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lastRenderedPageBreak/>
              <w:t> </w:t>
            </w:r>
            <w:r w:rsidRPr="00C86E7C">
              <w:rPr>
                <w:rFonts w:ascii="Book Antiqua" w:hAnsi="Book Antiqua"/>
                <w:spacing w:val="0"/>
                <w:szCs w:val="24"/>
              </w:rPr>
              <w:t>SSBE</w:t>
            </w:r>
          </w:p>
        </w:tc>
        <w:tc>
          <w:tcPr>
            <w:tcW w:w="220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5.7 ± 2.3</w:t>
            </w:r>
          </w:p>
        </w:tc>
        <w:tc>
          <w:tcPr>
            <w:tcW w:w="220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199 ± 189</w:t>
            </w:r>
          </w:p>
        </w:tc>
        <w:tc>
          <w:tcPr>
            <w:tcW w:w="209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8.8 ± 6.9</w:t>
            </w:r>
          </w:p>
        </w:tc>
      </w:tr>
      <w:tr w:rsidR="006A1FFB" w:rsidRPr="00C86E7C">
        <w:trPr>
          <w:trHeight w:val="486"/>
        </w:trPr>
        <w:tc>
          <w:tcPr>
            <w:tcW w:w="2522"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 </w:t>
            </w:r>
            <w:r w:rsidRPr="00C86E7C">
              <w:rPr>
                <w:rFonts w:ascii="Book Antiqua" w:hAnsi="Book Antiqua"/>
                <w:spacing w:val="0"/>
                <w:szCs w:val="24"/>
              </w:rPr>
              <w:t>LSBE</w:t>
            </w:r>
          </w:p>
        </w:tc>
        <w:tc>
          <w:tcPr>
            <w:tcW w:w="220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6.1 ± 2.0</w:t>
            </w:r>
          </w:p>
        </w:tc>
        <w:tc>
          <w:tcPr>
            <w:tcW w:w="220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88 ± 54</w:t>
            </w:r>
          </w:p>
        </w:tc>
        <w:tc>
          <w:tcPr>
            <w:tcW w:w="209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5.4 ± 3.3</w:t>
            </w:r>
          </w:p>
        </w:tc>
      </w:tr>
    </w:tbl>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Data are the mean ± SD. There were no significant differences between the groups in any of the parameters measured.</w:t>
      </w:r>
      <w:r w:rsidRPr="00D3653F">
        <w:rPr>
          <w:rFonts w:ascii="Book Antiqua" w:eastAsia="宋体" w:hAnsi="Book Antiqua"/>
          <w:spacing w:val="0"/>
          <w:szCs w:val="24"/>
          <w:lang w:eastAsia="zh-CN"/>
        </w:rPr>
        <w:t xml:space="preserve"> </w:t>
      </w:r>
      <w:r w:rsidRPr="00D3653F">
        <w:rPr>
          <w:rFonts w:ascii="Book Antiqua" w:hAnsi="Book Antiqua"/>
          <w:spacing w:val="0"/>
          <w:szCs w:val="24"/>
        </w:rPr>
        <w:t xml:space="preserve">Lag time is the time from the start of infusion until the onset of acid-induced symptoms, intensity rate refers to the intensity of the symptoms (scored over the range 1–10), and the acid perfusion sensitivity score (APSS) was calculated as the product of </w:t>
      </w:r>
      <w:r w:rsidRPr="00D3653F">
        <w:rPr>
          <w:rFonts w:ascii="Book Antiqua" w:eastAsia="MS PGothic" w:hAnsi="Book Antiqua"/>
          <w:bCs/>
          <w:spacing w:val="0"/>
          <w:szCs w:val="24"/>
        </w:rPr>
        <w:t xml:space="preserve">intensity rate </w:t>
      </w:r>
      <w:r w:rsidRPr="00D3653F">
        <w:rPr>
          <w:rFonts w:ascii="Book Antiqua" w:hAnsi="Book Antiqua"/>
          <w:bCs/>
          <w:spacing w:val="0"/>
          <w:szCs w:val="24"/>
        </w:rPr>
        <w:t>and</w:t>
      </w:r>
      <w:r w:rsidRPr="00D3653F">
        <w:rPr>
          <w:rFonts w:ascii="Book Antiqua" w:eastAsia="MS PGothic" w:hAnsi="Book Antiqua"/>
          <w:bCs/>
          <w:spacing w:val="0"/>
          <w:szCs w:val="24"/>
        </w:rPr>
        <w:t xml:space="preserve"> lag time.</w:t>
      </w:r>
      <w:r w:rsidRPr="00D3653F">
        <w:rPr>
          <w:rFonts w:ascii="Book Antiqua" w:eastAsia="宋体" w:hAnsi="Book Antiqua"/>
          <w:spacing w:val="0"/>
          <w:szCs w:val="24"/>
          <w:lang w:eastAsia="zh-CN"/>
        </w:rPr>
        <w:t xml:space="preserve"> </w:t>
      </w:r>
      <w:r w:rsidRPr="00D3653F">
        <w:rPr>
          <w:rFonts w:ascii="Book Antiqua" w:hAnsi="Book Antiqua"/>
          <w:spacing w:val="0"/>
          <w:szCs w:val="24"/>
        </w:rPr>
        <w:t>SSBE</w:t>
      </w:r>
      <w:r w:rsidRPr="00D3653F">
        <w:rPr>
          <w:rFonts w:ascii="Book Antiqua" w:eastAsia="宋体" w:hAnsi="Book Antiqua"/>
          <w:spacing w:val="0"/>
          <w:szCs w:val="24"/>
          <w:lang w:eastAsia="zh-CN"/>
        </w:rPr>
        <w:t>:</w:t>
      </w:r>
      <w:r w:rsidRPr="00D3653F">
        <w:rPr>
          <w:rFonts w:ascii="Book Antiqua" w:hAnsi="Book Antiqua"/>
          <w:spacing w:val="0"/>
          <w:szCs w:val="24"/>
        </w:rPr>
        <w:t xml:space="preserve"> Short segment Barrett’s esophagus; LSBE</w:t>
      </w:r>
      <w:r w:rsidRPr="00D3653F">
        <w:rPr>
          <w:rFonts w:ascii="Book Antiqua" w:eastAsia="宋体" w:hAnsi="Book Antiqua"/>
          <w:spacing w:val="0"/>
          <w:szCs w:val="24"/>
          <w:lang w:eastAsia="zh-CN"/>
        </w:rPr>
        <w:t>:</w:t>
      </w:r>
      <w:r w:rsidRPr="00D3653F">
        <w:rPr>
          <w:rFonts w:ascii="Book Antiqua" w:hAnsi="Book Antiqua"/>
          <w:spacing w:val="0"/>
          <w:szCs w:val="24"/>
        </w:rPr>
        <w:t xml:space="preserve"> Long segment Barrett’s esophagus.</w:t>
      </w: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r w:rsidRPr="00D3653F">
        <w:rPr>
          <w:rFonts w:ascii="Book Antiqua" w:hAnsi="Book Antiqua"/>
          <w:b/>
          <w:spacing w:val="0"/>
          <w:szCs w:val="24"/>
        </w:rPr>
        <w:t>Table 3 Frequency of primary and secondary contractions in the different groups following infusion of either physiological saline or acid</w:t>
      </w:r>
    </w:p>
    <w:tbl>
      <w:tblPr>
        <w:tblW w:w="9012" w:type="dxa"/>
        <w:tblInd w:w="8" w:type="dxa"/>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2192"/>
        <w:gridCol w:w="2310"/>
        <w:gridCol w:w="1100"/>
        <w:gridCol w:w="2310"/>
        <w:gridCol w:w="1100"/>
      </w:tblGrid>
      <w:tr w:rsidR="006A1FFB" w:rsidRPr="00C86E7C" w:rsidTr="00FA1661">
        <w:trPr>
          <w:cantSplit/>
          <w:trHeight w:val="504"/>
        </w:trPr>
        <w:tc>
          <w:tcPr>
            <w:tcW w:w="2192" w:type="dxa"/>
            <w:vMerge w:val="restart"/>
            <w:tcBorders>
              <w:top w:val="single" w:sz="12" w:space="0" w:color="008000"/>
            </w:tcBorders>
          </w:tcPr>
          <w:p w:rsidR="006A1FFB" w:rsidRPr="00C86E7C" w:rsidRDefault="006A1FFB" w:rsidP="00D3653F">
            <w:pPr>
              <w:spacing w:line="360" w:lineRule="auto"/>
              <w:rPr>
                <w:rFonts w:ascii="Book Antiqua" w:hAnsi="Book Antiqua"/>
                <w:spacing w:val="0"/>
                <w:szCs w:val="24"/>
              </w:rPr>
            </w:pPr>
          </w:p>
        </w:tc>
        <w:tc>
          <w:tcPr>
            <w:tcW w:w="3410" w:type="dxa"/>
            <w:gridSpan w:val="2"/>
            <w:tcBorders>
              <w:top w:val="single" w:sz="12" w:space="0" w:color="008000"/>
              <w:bottom w:val="nil"/>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No. primary contractions</w:t>
            </w:r>
          </w:p>
        </w:tc>
        <w:tc>
          <w:tcPr>
            <w:tcW w:w="3410" w:type="dxa"/>
            <w:gridSpan w:val="2"/>
            <w:tcBorders>
              <w:top w:val="single" w:sz="12" w:space="0" w:color="008000"/>
              <w:bottom w:val="nil"/>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No. secondary contractions</w:t>
            </w:r>
          </w:p>
        </w:tc>
      </w:tr>
      <w:tr w:rsidR="006A1FFB" w:rsidRPr="00C86E7C" w:rsidTr="00FA1661">
        <w:trPr>
          <w:cantSplit/>
          <w:trHeight w:val="497"/>
        </w:trPr>
        <w:tc>
          <w:tcPr>
            <w:tcW w:w="2192" w:type="dxa"/>
            <w:vMerge/>
            <w:tcBorders>
              <w:bottom w:val="single" w:sz="6" w:space="0" w:color="008000"/>
              <w:right w:val="nil"/>
            </w:tcBorders>
          </w:tcPr>
          <w:p w:rsidR="006A1FFB" w:rsidRPr="00C86E7C" w:rsidRDefault="006A1FFB" w:rsidP="00D3653F">
            <w:pPr>
              <w:spacing w:line="360" w:lineRule="auto"/>
              <w:rPr>
                <w:rFonts w:ascii="Book Antiqua" w:hAnsi="Book Antiqua"/>
                <w:spacing w:val="0"/>
                <w:szCs w:val="24"/>
              </w:rPr>
            </w:pPr>
          </w:p>
        </w:tc>
        <w:tc>
          <w:tcPr>
            <w:tcW w:w="2310" w:type="dxa"/>
            <w:tcBorders>
              <w:top w:val="nil"/>
              <w:left w:val="nil"/>
              <w:bottom w:val="single" w:sz="6" w:space="0" w:color="008000"/>
              <w:right w:val="nil"/>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Physiological saline</w:t>
            </w:r>
          </w:p>
        </w:tc>
        <w:tc>
          <w:tcPr>
            <w:tcW w:w="1100" w:type="dxa"/>
            <w:tcBorders>
              <w:top w:val="nil"/>
              <w:left w:val="nil"/>
              <w:bottom w:val="single" w:sz="6" w:space="0" w:color="008000"/>
              <w:right w:val="nil"/>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Acid</w:t>
            </w:r>
          </w:p>
        </w:tc>
        <w:tc>
          <w:tcPr>
            <w:tcW w:w="2310" w:type="dxa"/>
            <w:tcBorders>
              <w:top w:val="nil"/>
              <w:left w:val="nil"/>
              <w:bottom w:val="single" w:sz="6" w:space="0" w:color="008000"/>
              <w:right w:val="nil"/>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Physiological saline</w:t>
            </w:r>
          </w:p>
        </w:tc>
        <w:tc>
          <w:tcPr>
            <w:tcW w:w="1100" w:type="dxa"/>
            <w:tcBorders>
              <w:top w:val="nil"/>
              <w:left w:val="nil"/>
              <w:bottom w:val="single" w:sz="6" w:space="0" w:color="008000"/>
              <w:right w:val="nil"/>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Acid</w:t>
            </w:r>
          </w:p>
        </w:tc>
      </w:tr>
      <w:tr w:rsidR="006A1FFB" w:rsidRPr="00C86E7C" w:rsidTr="00FA1661">
        <w:trPr>
          <w:trHeight w:val="482"/>
        </w:trPr>
        <w:tc>
          <w:tcPr>
            <w:tcW w:w="2192"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Control group</w:t>
            </w:r>
          </w:p>
        </w:tc>
        <w:tc>
          <w:tcPr>
            <w:tcW w:w="231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1.3 ± 3.3</w:t>
            </w:r>
          </w:p>
        </w:tc>
        <w:tc>
          <w:tcPr>
            <w:tcW w:w="110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0.3 ± 0.9</w:t>
            </w:r>
          </w:p>
        </w:tc>
        <w:tc>
          <w:tcPr>
            <w:tcW w:w="231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8.0 ± 2.8</w:t>
            </w:r>
          </w:p>
        </w:tc>
        <w:tc>
          <w:tcPr>
            <w:tcW w:w="1100" w:type="dxa"/>
            <w:tcBorders>
              <w:top w:val="single" w:sz="6"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8.4 ± 2.4</w:t>
            </w:r>
          </w:p>
        </w:tc>
      </w:tr>
      <w:tr w:rsidR="006A1FFB" w:rsidRPr="00C86E7C" w:rsidTr="00FA1661">
        <w:trPr>
          <w:trHeight w:val="486"/>
        </w:trPr>
        <w:tc>
          <w:tcPr>
            <w:tcW w:w="219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Barrett’s esophagus</w:t>
            </w:r>
          </w:p>
        </w:tc>
        <w:tc>
          <w:tcPr>
            <w:tcW w:w="2310" w:type="dxa"/>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0.8 ± 1.2</w:t>
            </w:r>
          </w:p>
        </w:tc>
        <w:tc>
          <w:tcPr>
            <w:tcW w:w="1100" w:type="dxa"/>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0.7 ± 1.5</w:t>
            </w:r>
          </w:p>
        </w:tc>
        <w:tc>
          <w:tcPr>
            <w:tcW w:w="231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6.3 ± 3.1</w:t>
            </w:r>
          </w:p>
        </w:tc>
        <w:tc>
          <w:tcPr>
            <w:tcW w:w="110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7.2 ± 2.8</w:t>
            </w:r>
          </w:p>
        </w:tc>
      </w:tr>
      <w:tr w:rsidR="006A1FFB" w:rsidRPr="00C86E7C" w:rsidTr="00FA1661">
        <w:trPr>
          <w:trHeight w:val="475"/>
        </w:trPr>
        <w:tc>
          <w:tcPr>
            <w:tcW w:w="2192"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 </w:t>
            </w:r>
            <w:r w:rsidRPr="00C86E7C">
              <w:rPr>
                <w:rFonts w:ascii="Book Antiqua" w:hAnsi="Book Antiqua"/>
                <w:spacing w:val="0"/>
                <w:szCs w:val="24"/>
              </w:rPr>
              <w:t>SSBE</w:t>
            </w:r>
          </w:p>
        </w:tc>
        <w:tc>
          <w:tcPr>
            <w:tcW w:w="2310" w:type="dxa"/>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1.1 ± 1.4</w:t>
            </w:r>
          </w:p>
        </w:tc>
        <w:tc>
          <w:tcPr>
            <w:tcW w:w="1100" w:type="dxa"/>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0.6 ± 1.0</w:t>
            </w:r>
          </w:p>
        </w:tc>
        <w:tc>
          <w:tcPr>
            <w:tcW w:w="231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7.3 ± 3.2</w:t>
            </w:r>
          </w:p>
        </w:tc>
        <w:tc>
          <w:tcPr>
            <w:tcW w:w="1100" w:type="dxa"/>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8.1 ± 2.9</w:t>
            </w:r>
          </w:p>
        </w:tc>
      </w:tr>
      <w:tr w:rsidR="006A1FFB" w:rsidRPr="00C86E7C" w:rsidTr="00FA1661">
        <w:trPr>
          <w:trHeight w:val="478"/>
        </w:trPr>
        <w:tc>
          <w:tcPr>
            <w:tcW w:w="2192"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C86E7C">
              <w:rPr>
                <w:rFonts w:ascii="Book Antiqua" w:hAnsi="Book Antiqua"/>
                <w:spacing w:val="0"/>
                <w:szCs w:val="24"/>
              </w:rPr>
              <w:t> </w:t>
            </w:r>
            <w:r w:rsidRPr="00C86E7C">
              <w:rPr>
                <w:rFonts w:ascii="Book Antiqua" w:hAnsi="Book Antiqua"/>
                <w:spacing w:val="0"/>
                <w:szCs w:val="24"/>
              </w:rPr>
              <w:t>LSBE</w:t>
            </w:r>
          </w:p>
        </w:tc>
        <w:tc>
          <w:tcPr>
            <w:tcW w:w="231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0.4 ± 0.7</w:t>
            </w:r>
          </w:p>
        </w:tc>
        <w:tc>
          <w:tcPr>
            <w:tcW w:w="1100" w:type="dxa"/>
            <w:tcBorders>
              <w:bottom w:val="single" w:sz="12" w:space="0" w:color="008000"/>
            </w:tcBorders>
          </w:tcPr>
          <w:p w:rsidR="006A1FFB" w:rsidRPr="00C86E7C" w:rsidRDefault="006A1FFB" w:rsidP="00D3653F">
            <w:pPr>
              <w:spacing w:line="360" w:lineRule="auto"/>
              <w:rPr>
                <w:rFonts w:ascii="Book Antiqua" w:hAnsi="Book Antiqua"/>
                <w:spacing w:val="0"/>
                <w:szCs w:val="24"/>
              </w:rPr>
            </w:pPr>
            <w:r w:rsidRPr="00D3653F">
              <w:rPr>
                <w:rFonts w:ascii="Book Antiqua" w:eastAsia="MS PGothic" w:hAnsi="Book Antiqua"/>
                <w:spacing w:val="0"/>
                <w:szCs w:val="24"/>
              </w:rPr>
              <w:t>1.0 ± 2.1</w:t>
            </w:r>
          </w:p>
        </w:tc>
        <w:tc>
          <w:tcPr>
            <w:tcW w:w="2310" w:type="dxa"/>
            <w:tcBorders>
              <w:bottom w:val="single" w:sz="12" w:space="0" w:color="008000"/>
            </w:tcBorders>
          </w:tcPr>
          <w:p w:rsidR="006A1FFB" w:rsidRPr="00D3653F" w:rsidRDefault="006A1FFB" w:rsidP="00D3653F">
            <w:pPr>
              <w:spacing w:line="360" w:lineRule="auto"/>
              <w:rPr>
                <w:rFonts w:ascii="Book Antiqua" w:eastAsia="宋体" w:hAnsi="Book Antiqua"/>
                <w:spacing w:val="0"/>
                <w:szCs w:val="24"/>
                <w:lang w:eastAsia="zh-CN"/>
              </w:rPr>
            </w:pPr>
            <w:r w:rsidRPr="00C86E7C">
              <w:rPr>
                <w:rFonts w:ascii="Book Antiqua" w:hAnsi="Book Antiqua"/>
                <w:spacing w:val="0"/>
                <w:szCs w:val="24"/>
              </w:rPr>
              <w:t>4.1 ± 1.2</w:t>
            </w:r>
            <w:r w:rsidRPr="00D3653F">
              <w:rPr>
                <w:rFonts w:ascii="Book Antiqua" w:eastAsia="宋体" w:hAnsi="Book Antiqua"/>
                <w:spacing w:val="0"/>
                <w:szCs w:val="24"/>
                <w:vertAlign w:val="superscript"/>
                <w:lang w:eastAsia="zh-CN"/>
              </w:rPr>
              <w:t>b,d</w:t>
            </w:r>
          </w:p>
        </w:tc>
        <w:tc>
          <w:tcPr>
            <w:tcW w:w="1100" w:type="dxa"/>
            <w:tcBorders>
              <w:bottom w:val="single" w:sz="12" w:space="0" w:color="008000"/>
            </w:tcBorders>
          </w:tcPr>
          <w:p w:rsidR="006A1FFB" w:rsidRPr="00D3653F" w:rsidRDefault="006A1FFB" w:rsidP="00D3653F">
            <w:pPr>
              <w:spacing w:line="360" w:lineRule="auto"/>
              <w:rPr>
                <w:rFonts w:ascii="Book Antiqua" w:eastAsia="宋体" w:hAnsi="Book Antiqua"/>
                <w:spacing w:val="0"/>
                <w:szCs w:val="24"/>
                <w:lang w:eastAsia="zh-CN"/>
              </w:rPr>
            </w:pPr>
            <w:r w:rsidRPr="00C86E7C">
              <w:rPr>
                <w:rFonts w:ascii="Book Antiqua" w:hAnsi="Book Antiqua"/>
                <w:spacing w:val="0"/>
                <w:szCs w:val="24"/>
              </w:rPr>
              <w:t>5.3 ± 1.2</w:t>
            </w:r>
            <w:r w:rsidRPr="00D3653F">
              <w:rPr>
                <w:rFonts w:ascii="Book Antiqua" w:eastAsia="宋体" w:hAnsi="Book Antiqua"/>
                <w:spacing w:val="0"/>
                <w:szCs w:val="24"/>
                <w:vertAlign w:val="superscript"/>
                <w:lang w:eastAsia="zh-CN"/>
              </w:rPr>
              <w:t>b,d</w:t>
            </w:r>
          </w:p>
        </w:tc>
      </w:tr>
    </w:tbl>
    <w:p w:rsidR="006A1FFB" w:rsidRPr="00D3653F" w:rsidRDefault="006A1FFB" w:rsidP="00D3653F">
      <w:pPr>
        <w:spacing w:line="360" w:lineRule="auto"/>
        <w:rPr>
          <w:rFonts w:ascii="Book Antiqua" w:hAnsi="Book Antiqua"/>
          <w:spacing w:val="0"/>
          <w:szCs w:val="24"/>
        </w:rPr>
      </w:pPr>
      <w:r w:rsidRPr="00D3653F">
        <w:rPr>
          <w:rFonts w:ascii="Book Antiqua" w:hAnsi="Book Antiqua"/>
          <w:spacing w:val="0"/>
          <w:szCs w:val="24"/>
        </w:rPr>
        <w:t>Data are the mean ± SD. Within the same infusion groups:</w:t>
      </w:r>
      <w:r w:rsidRPr="00D3653F">
        <w:rPr>
          <w:rFonts w:ascii="Book Antiqua" w:eastAsia="宋体" w:hAnsi="Book Antiqua"/>
          <w:spacing w:val="0"/>
          <w:szCs w:val="24"/>
          <w:vertAlign w:val="superscript"/>
          <w:lang w:eastAsia="zh-CN"/>
        </w:rPr>
        <w:t xml:space="preserve"> </w:t>
      </w:r>
      <w:proofErr w:type="spellStart"/>
      <w:r w:rsidRPr="00D3653F">
        <w:rPr>
          <w:rFonts w:ascii="Book Antiqua" w:eastAsia="宋体" w:hAnsi="Book Antiqua"/>
          <w:spacing w:val="0"/>
          <w:szCs w:val="24"/>
          <w:vertAlign w:val="superscript"/>
          <w:lang w:eastAsia="zh-CN"/>
        </w:rPr>
        <w:t>b</w:t>
      </w:r>
      <w:r w:rsidRPr="00D3653F">
        <w:rPr>
          <w:rFonts w:ascii="Book Antiqua" w:hAnsi="Book Antiqua"/>
          <w:i/>
          <w:spacing w:val="0"/>
          <w:szCs w:val="24"/>
        </w:rPr>
        <w:t>P</w:t>
      </w:r>
      <w:proofErr w:type="spellEnd"/>
      <w:r w:rsidRPr="00D3653F">
        <w:rPr>
          <w:rFonts w:ascii="Book Antiqua" w:hAnsi="Book Antiqua"/>
          <w:i/>
          <w:spacing w:val="0"/>
          <w:szCs w:val="24"/>
        </w:rPr>
        <w:t xml:space="preserve"> </w:t>
      </w:r>
      <w:r w:rsidRPr="00D3653F">
        <w:rPr>
          <w:rFonts w:ascii="Book Antiqua" w:hAnsi="Book Antiqua"/>
          <w:spacing w:val="0"/>
          <w:szCs w:val="24"/>
        </w:rPr>
        <w:t xml:space="preserve">&lt; 0.01 </w:t>
      </w:r>
      <w:proofErr w:type="spellStart"/>
      <w:r w:rsidRPr="00D3653F">
        <w:rPr>
          <w:rFonts w:ascii="Book Antiqua" w:eastAsia="宋体" w:hAnsi="Book Antiqua"/>
          <w:i/>
          <w:spacing w:val="0"/>
          <w:szCs w:val="24"/>
          <w:lang w:eastAsia="zh-CN"/>
        </w:rPr>
        <w:t>vs</w:t>
      </w:r>
      <w:proofErr w:type="spellEnd"/>
      <w:r w:rsidRPr="00D3653F">
        <w:rPr>
          <w:rFonts w:ascii="Book Antiqua" w:hAnsi="Book Antiqua"/>
          <w:spacing w:val="0"/>
          <w:szCs w:val="24"/>
        </w:rPr>
        <w:t xml:space="preserve"> control; </w:t>
      </w:r>
      <w:proofErr w:type="spellStart"/>
      <w:proofErr w:type="gramStart"/>
      <w:r w:rsidRPr="00D3653F">
        <w:rPr>
          <w:rFonts w:ascii="Book Antiqua" w:eastAsia="宋体" w:hAnsi="Book Antiqua"/>
          <w:spacing w:val="0"/>
          <w:szCs w:val="24"/>
          <w:vertAlign w:val="superscript"/>
          <w:lang w:eastAsia="zh-CN"/>
        </w:rPr>
        <w:t>d</w:t>
      </w:r>
      <w:r w:rsidRPr="00D3653F">
        <w:rPr>
          <w:rFonts w:ascii="Book Antiqua" w:hAnsi="Book Antiqua"/>
          <w:i/>
          <w:spacing w:val="0"/>
          <w:szCs w:val="24"/>
        </w:rPr>
        <w:t>P</w:t>
      </w:r>
      <w:proofErr w:type="spellEnd"/>
      <w:proofErr w:type="gramEnd"/>
      <w:r w:rsidRPr="00D3653F">
        <w:rPr>
          <w:rFonts w:ascii="Book Antiqua" w:hAnsi="Book Antiqua"/>
          <w:i/>
          <w:spacing w:val="0"/>
          <w:szCs w:val="24"/>
        </w:rPr>
        <w:t xml:space="preserve"> </w:t>
      </w:r>
      <w:r w:rsidRPr="00D3653F">
        <w:rPr>
          <w:rFonts w:ascii="Book Antiqua" w:hAnsi="Book Antiqua"/>
          <w:spacing w:val="0"/>
          <w:szCs w:val="24"/>
        </w:rPr>
        <w:t>&lt; 0.01</w:t>
      </w:r>
      <w:r w:rsidRPr="00D3653F">
        <w:rPr>
          <w:rFonts w:ascii="Book Antiqua" w:eastAsia="宋体" w:hAnsi="Book Antiqua"/>
          <w:i/>
          <w:spacing w:val="0"/>
          <w:szCs w:val="24"/>
          <w:lang w:eastAsia="zh-CN"/>
        </w:rPr>
        <w:t xml:space="preserve"> </w:t>
      </w:r>
      <w:proofErr w:type="spellStart"/>
      <w:r w:rsidRPr="00D3653F">
        <w:rPr>
          <w:rFonts w:ascii="Book Antiqua" w:eastAsia="宋体" w:hAnsi="Book Antiqua"/>
          <w:i/>
          <w:spacing w:val="0"/>
          <w:szCs w:val="24"/>
          <w:lang w:eastAsia="zh-CN"/>
        </w:rPr>
        <w:t>vs</w:t>
      </w:r>
      <w:proofErr w:type="spellEnd"/>
      <w:r w:rsidRPr="00D3653F">
        <w:rPr>
          <w:rFonts w:ascii="Book Antiqua" w:hAnsi="Book Antiqua"/>
          <w:spacing w:val="0"/>
          <w:szCs w:val="24"/>
        </w:rPr>
        <w:t xml:space="preserve"> patients with short segment Barrett’s esophagus (SSBE).</w:t>
      </w:r>
      <w:r w:rsidRPr="00D3653F">
        <w:rPr>
          <w:rFonts w:ascii="Book Antiqua" w:eastAsia="宋体" w:hAnsi="Book Antiqua"/>
          <w:spacing w:val="0"/>
          <w:szCs w:val="24"/>
          <w:lang w:eastAsia="zh-CN"/>
        </w:rPr>
        <w:t xml:space="preserve"> </w:t>
      </w:r>
      <w:r w:rsidRPr="00D3653F">
        <w:rPr>
          <w:rFonts w:ascii="Book Antiqua" w:hAnsi="Book Antiqua"/>
          <w:spacing w:val="0"/>
          <w:szCs w:val="24"/>
        </w:rPr>
        <w:t>LSBE</w:t>
      </w:r>
      <w:r w:rsidRPr="00D3653F">
        <w:rPr>
          <w:rFonts w:ascii="Book Antiqua" w:eastAsia="宋体" w:hAnsi="Book Antiqua"/>
          <w:spacing w:val="0"/>
          <w:szCs w:val="24"/>
          <w:lang w:eastAsia="zh-CN"/>
        </w:rPr>
        <w:t>:</w:t>
      </w:r>
      <w:r w:rsidRPr="00D3653F">
        <w:rPr>
          <w:rFonts w:ascii="Book Antiqua" w:hAnsi="Book Antiqua"/>
          <w:spacing w:val="0"/>
          <w:szCs w:val="24"/>
        </w:rPr>
        <w:t xml:space="preserve"> Long segment Barrett’s esophagus.</w:t>
      </w: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b/>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p w:rsidR="006A1FFB" w:rsidRPr="00D3653F" w:rsidRDefault="006A1FFB" w:rsidP="00D3653F">
      <w:pPr>
        <w:spacing w:line="360" w:lineRule="auto"/>
        <w:rPr>
          <w:rFonts w:ascii="Book Antiqua" w:hAnsi="Book Antiqua"/>
          <w:spacing w:val="0"/>
          <w:szCs w:val="24"/>
        </w:rPr>
      </w:pPr>
    </w:p>
    <w:sectPr w:rsidR="006A1FFB" w:rsidRPr="00D3653F" w:rsidSect="005179D7">
      <w:footerReference w:type="default" r:id="rId9"/>
      <w:pgSz w:w="11907" w:h="16839" w:code="9"/>
      <w:pgMar w:top="1418" w:right="1418" w:bottom="1134" w:left="1418" w:header="851" w:footer="992" w:gutter="0"/>
      <w:paperSrc w:first="7" w:other="7"/>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32" w:rsidRDefault="00901C32">
      <w:r>
        <w:separator/>
      </w:r>
    </w:p>
  </w:endnote>
  <w:endnote w:type="continuationSeparator" w:id="0">
    <w:p w:rsidR="00901C32" w:rsidRDefault="0090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7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FB" w:rsidRDefault="006A1FFB" w:rsidP="00C24CC8">
    <w:pPr>
      <w:pStyle w:val="a3"/>
      <w:ind w:firstLineChars="2100" w:firstLine="5040"/>
    </w:pPr>
    <w:r>
      <w:rPr>
        <w:rStyle w:val="a4"/>
      </w:rPr>
      <w:fldChar w:fldCharType="begin"/>
    </w:r>
    <w:r>
      <w:rPr>
        <w:rStyle w:val="a4"/>
      </w:rPr>
      <w:instrText xml:space="preserve"> PAGE </w:instrText>
    </w:r>
    <w:r>
      <w:rPr>
        <w:rStyle w:val="a4"/>
      </w:rPr>
      <w:fldChar w:fldCharType="separate"/>
    </w:r>
    <w:r w:rsidR="00337D6C">
      <w:rPr>
        <w:rStyle w:val="a4"/>
        <w:noProof/>
      </w:rPr>
      <w:t>23</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32" w:rsidRDefault="00901C32">
      <w:r>
        <w:separator/>
      </w:r>
    </w:p>
  </w:footnote>
  <w:footnote w:type="continuationSeparator" w:id="0">
    <w:p w:rsidR="00901C32" w:rsidRDefault="00901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B5681"/>
    <w:multiLevelType w:val="hybridMultilevel"/>
    <w:tmpl w:val="E6FAA84C"/>
    <w:lvl w:ilvl="0" w:tplc="D0621708">
      <w:start w:val="1"/>
      <w:numFmt w:val="lowerLetter"/>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840"/>
        </w:tabs>
        <w:ind w:left="840" w:hanging="420"/>
      </w:pPr>
      <w:rPr>
        <w:rFonts w:cs="Times New Roman"/>
      </w:rPr>
    </w:lvl>
    <w:lvl w:ilvl="2" w:tplc="00110409" w:tentative="1">
      <w:start w:val="1"/>
      <w:numFmt w:val="decimalEnclosedCircle"/>
      <w:lvlText w:val="%3"/>
      <w:lvlJc w:val="left"/>
      <w:pPr>
        <w:tabs>
          <w:tab w:val="num" w:pos="1260"/>
        </w:tabs>
        <w:ind w:left="1260" w:hanging="420"/>
      </w:pPr>
      <w:rPr>
        <w:rFonts w:cs="Times New Roman"/>
      </w:rPr>
    </w:lvl>
    <w:lvl w:ilvl="3" w:tplc="000F0409" w:tentative="1">
      <w:start w:val="1"/>
      <w:numFmt w:val="decimal"/>
      <w:lvlText w:val="%4."/>
      <w:lvlJc w:val="left"/>
      <w:pPr>
        <w:tabs>
          <w:tab w:val="num" w:pos="1680"/>
        </w:tabs>
        <w:ind w:left="1680" w:hanging="420"/>
      </w:pPr>
      <w:rPr>
        <w:rFonts w:cs="Times New Roman"/>
      </w:rPr>
    </w:lvl>
    <w:lvl w:ilvl="4" w:tplc="00170409" w:tentative="1">
      <w:start w:val="1"/>
      <w:numFmt w:val="aiueoFullWidth"/>
      <w:lvlText w:val="(%5)"/>
      <w:lvlJc w:val="left"/>
      <w:pPr>
        <w:tabs>
          <w:tab w:val="num" w:pos="2100"/>
        </w:tabs>
        <w:ind w:left="2100" w:hanging="420"/>
      </w:pPr>
      <w:rPr>
        <w:rFonts w:cs="Times New Roman"/>
      </w:rPr>
    </w:lvl>
    <w:lvl w:ilvl="5" w:tplc="00110409" w:tentative="1">
      <w:start w:val="1"/>
      <w:numFmt w:val="decimalEnclosedCircle"/>
      <w:lvlText w:val="%6"/>
      <w:lvlJc w:val="left"/>
      <w:pPr>
        <w:tabs>
          <w:tab w:val="num" w:pos="2520"/>
        </w:tabs>
        <w:ind w:left="2520" w:hanging="420"/>
      </w:pPr>
      <w:rPr>
        <w:rFonts w:cs="Times New Roman"/>
      </w:rPr>
    </w:lvl>
    <w:lvl w:ilvl="6" w:tplc="000F0409" w:tentative="1">
      <w:start w:val="1"/>
      <w:numFmt w:val="decimal"/>
      <w:lvlText w:val="%7."/>
      <w:lvlJc w:val="left"/>
      <w:pPr>
        <w:tabs>
          <w:tab w:val="num" w:pos="2940"/>
        </w:tabs>
        <w:ind w:left="2940" w:hanging="420"/>
      </w:pPr>
      <w:rPr>
        <w:rFonts w:cs="Times New Roman"/>
      </w:rPr>
    </w:lvl>
    <w:lvl w:ilvl="7" w:tplc="00170409" w:tentative="1">
      <w:start w:val="1"/>
      <w:numFmt w:val="aiueoFullWidth"/>
      <w:lvlText w:val="(%8)"/>
      <w:lvlJc w:val="left"/>
      <w:pPr>
        <w:tabs>
          <w:tab w:val="num" w:pos="3360"/>
        </w:tabs>
        <w:ind w:left="3360" w:hanging="420"/>
      </w:pPr>
      <w:rPr>
        <w:rFonts w:cs="Times New Roman"/>
      </w:rPr>
    </w:lvl>
    <w:lvl w:ilvl="8" w:tplc="00110409" w:tentative="1">
      <w:start w:val="1"/>
      <w:numFmt w:val="decimalEnclosedCircle"/>
      <w:lvlText w:val="%9"/>
      <w:lvlJc w:val="left"/>
      <w:pPr>
        <w:tabs>
          <w:tab w:val="num" w:pos="3780"/>
        </w:tabs>
        <w:ind w:left="3780" w:hanging="420"/>
      </w:pPr>
      <w:rPr>
        <w:rFonts w:cs="Times New Roman"/>
      </w:rPr>
    </w:lvl>
  </w:abstractNum>
  <w:abstractNum w:abstractNumId="2">
    <w:nsid w:val="2794200F"/>
    <w:multiLevelType w:val="hybridMultilevel"/>
    <w:tmpl w:val="37FC4A9C"/>
    <w:lvl w:ilvl="0" w:tplc="E4D4DDA0">
      <w:start w:val="1"/>
      <w:numFmt w:val="decimal"/>
      <w:lvlText w:val="%1）"/>
      <w:lvlJc w:val="left"/>
      <w:pPr>
        <w:tabs>
          <w:tab w:val="num" w:pos="360"/>
        </w:tabs>
        <w:ind w:left="360" w:hanging="360"/>
      </w:pPr>
      <w:rPr>
        <w:rFonts w:cs="Times New Roman" w:hint="default"/>
      </w:rPr>
    </w:lvl>
    <w:lvl w:ilvl="1" w:tplc="00170409" w:tentative="1">
      <w:start w:val="1"/>
      <w:numFmt w:val="aiueoFullWidth"/>
      <w:lvlText w:val="(%2)"/>
      <w:lvlJc w:val="left"/>
      <w:pPr>
        <w:tabs>
          <w:tab w:val="num" w:pos="840"/>
        </w:tabs>
        <w:ind w:left="840" w:hanging="420"/>
      </w:pPr>
      <w:rPr>
        <w:rFonts w:cs="Times New Roman"/>
      </w:rPr>
    </w:lvl>
    <w:lvl w:ilvl="2" w:tplc="00110409" w:tentative="1">
      <w:start w:val="1"/>
      <w:numFmt w:val="decimalEnclosedCircle"/>
      <w:lvlText w:val="%3"/>
      <w:lvlJc w:val="left"/>
      <w:pPr>
        <w:tabs>
          <w:tab w:val="num" w:pos="1260"/>
        </w:tabs>
        <w:ind w:left="1260" w:hanging="420"/>
      </w:pPr>
      <w:rPr>
        <w:rFonts w:cs="Times New Roman"/>
      </w:rPr>
    </w:lvl>
    <w:lvl w:ilvl="3" w:tplc="000F0409" w:tentative="1">
      <w:start w:val="1"/>
      <w:numFmt w:val="decimal"/>
      <w:lvlText w:val="%4."/>
      <w:lvlJc w:val="left"/>
      <w:pPr>
        <w:tabs>
          <w:tab w:val="num" w:pos="1680"/>
        </w:tabs>
        <w:ind w:left="1680" w:hanging="420"/>
      </w:pPr>
      <w:rPr>
        <w:rFonts w:cs="Times New Roman"/>
      </w:rPr>
    </w:lvl>
    <w:lvl w:ilvl="4" w:tplc="00170409" w:tentative="1">
      <w:start w:val="1"/>
      <w:numFmt w:val="aiueoFullWidth"/>
      <w:lvlText w:val="(%5)"/>
      <w:lvlJc w:val="left"/>
      <w:pPr>
        <w:tabs>
          <w:tab w:val="num" w:pos="2100"/>
        </w:tabs>
        <w:ind w:left="2100" w:hanging="420"/>
      </w:pPr>
      <w:rPr>
        <w:rFonts w:cs="Times New Roman"/>
      </w:rPr>
    </w:lvl>
    <w:lvl w:ilvl="5" w:tplc="00110409" w:tentative="1">
      <w:start w:val="1"/>
      <w:numFmt w:val="decimalEnclosedCircle"/>
      <w:lvlText w:val="%6"/>
      <w:lvlJc w:val="left"/>
      <w:pPr>
        <w:tabs>
          <w:tab w:val="num" w:pos="2520"/>
        </w:tabs>
        <w:ind w:left="2520" w:hanging="420"/>
      </w:pPr>
      <w:rPr>
        <w:rFonts w:cs="Times New Roman"/>
      </w:rPr>
    </w:lvl>
    <w:lvl w:ilvl="6" w:tplc="000F0409" w:tentative="1">
      <w:start w:val="1"/>
      <w:numFmt w:val="decimal"/>
      <w:lvlText w:val="%7."/>
      <w:lvlJc w:val="left"/>
      <w:pPr>
        <w:tabs>
          <w:tab w:val="num" w:pos="2940"/>
        </w:tabs>
        <w:ind w:left="2940" w:hanging="420"/>
      </w:pPr>
      <w:rPr>
        <w:rFonts w:cs="Times New Roman"/>
      </w:rPr>
    </w:lvl>
    <w:lvl w:ilvl="7" w:tplc="00170409" w:tentative="1">
      <w:start w:val="1"/>
      <w:numFmt w:val="aiueoFullWidth"/>
      <w:lvlText w:val="(%8)"/>
      <w:lvlJc w:val="left"/>
      <w:pPr>
        <w:tabs>
          <w:tab w:val="num" w:pos="3360"/>
        </w:tabs>
        <w:ind w:left="3360" w:hanging="420"/>
      </w:pPr>
      <w:rPr>
        <w:rFonts w:cs="Times New Roman"/>
      </w:rPr>
    </w:lvl>
    <w:lvl w:ilvl="8" w:tplc="00110409" w:tentative="1">
      <w:start w:val="1"/>
      <w:numFmt w:val="decimalEnclosedCircle"/>
      <w:lvlText w:val="%9"/>
      <w:lvlJc w:val="left"/>
      <w:pPr>
        <w:tabs>
          <w:tab w:val="num" w:pos="3780"/>
        </w:tabs>
        <w:ind w:left="3780" w:hanging="420"/>
      </w:pPr>
      <w:rPr>
        <w:rFonts w:cs="Times New Roman"/>
      </w:rPr>
    </w:lvl>
  </w:abstractNum>
  <w:abstractNum w:abstractNumId="3">
    <w:nsid w:val="50144765"/>
    <w:multiLevelType w:val="hybridMultilevel"/>
    <w:tmpl w:val="3FE81A32"/>
    <w:lvl w:ilvl="0" w:tplc="49C4C086">
      <w:start w:val="1"/>
      <w:numFmt w:val="decimal"/>
      <w:lvlText w:val="%1)"/>
      <w:lvlJc w:val="left"/>
      <w:pPr>
        <w:ind w:left="360" w:hanging="360"/>
      </w:pPr>
      <w:rPr>
        <w:rFonts w:cs="Times New Roman" w:hint="default"/>
      </w:rPr>
    </w:lvl>
    <w:lvl w:ilvl="1" w:tplc="00170409" w:tentative="1">
      <w:start w:val="1"/>
      <w:numFmt w:val="aiueoFullWidth"/>
      <w:lvlText w:val="(%2)"/>
      <w:lvlJc w:val="left"/>
      <w:pPr>
        <w:ind w:left="840" w:hanging="420"/>
      </w:pPr>
      <w:rPr>
        <w:rFonts w:cs="Times New Roman"/>
      </w:rPr>
    </w:lvl>
    <w:lvl w:ilvl="2" w:tplc="00110409" w:tentative="1">
      <w:start w:val="1"/>
      <w:numFmt w:val="decimalEnclosedCircle"/>
      <w:lvlText w:val="%3"/>
      <w:lvlJc w:val="left"/>
      <w:pPr>
        <w:ind w:left="1260" w:hanging="420"/>
      </w:pPr>
      <w:rPr>
        <w:rFonts w:cs="Times New Roman"/>
      </w:rPr>
    </w:lvl>
    <w:lvl w:ilvl="3" w:tplc="000F0409" w:tentative="1">
      <w:start w:val="1"/>
      <w:numFmt w:val="decimal"/>
      <w:lvlText w:val="%4."/>
      <w:lvlJc w:val="left"/>
      <w:pPr>
        <w:ind w:left="1680" w:hanging="420"/>
      </w:pPr>
      <w:rPr>
        <w:rFonts w:cs="Times New Roman"/>
      </w:rPr>
    </w:lvl>
    <w:lvl w:ilvl="4" w:tplc="00170409" w:tentative="1">
      <w:start w:val="1"/>
      <w:numFmt w:val="aiueoFullWidth"/>
      <w:lvlText w:val="(%5)"/>
      <w:lvlJc w:val="left"/>
      <w:pPr>
        <w:ind w:left="2100" w:hanging="420"/>
      </w:pPr>
      <w:rPr>
        <w:rFonts w:cs="Times New Roman"/>
      </w:rPr>
    </w:lvl>
    <w:lvl w:ilvl="5" w:tplc="00110409" w:tentative="1">
      <w:start w:val="1"/>
      <w:numFmt w:val="decimalEnclosedCircle"/>
      <w:lvlText w:val="%6"/>
      <w:lvlJc w:val="left"/>
      <w:pPr>
        <w:ind w:left="2520" w:hanging="420"/>
      </w:pPr>
      <w:rPr>
        <w:rFonts w:cs="Times New Roman"/>
      </w:rPr>
    </w:lvl>
    <w:lvl w:ilvl="6" w:tplc="000F0409" w:tentative="1">
      <w:start w:val="1"/>
      <w:numFmt w:val="decimal"/>
      <w:lvlText w:val="%7."/>
      <w:lvlJc w:val="left"/>
      <w:pPr>
        <w:ind w:left="2940" w:hanging="420"/>
      </w:pPr>
      <w:rPr>
        <w:rFonts w:cs="Times New Roman"/>
      </w:rPr>
    </w:lvl>
    <w:lvl w:ilvl="7" w:tplc="00170409" w:tentative="1">
      <w:start w:val="1"/>
      <w:numFmt w:val="aiueoFullWidth"/>
      <w:lvlText w:val="(%8)"/>
      <w:lvlJc w:val="left"/>
      <w:pPr>
        <w:ind w:left="3360" w:hanging="420"/>
      </w:pPr>
      <w:rPr>
        <w:rFonts w:cs="Times New Roman"/>
      </w:rPr>
    </w:lvl>
    <w:lvl w:ilvl="8" w:tplc="00110409" w:tentative="1">
      <w:start w:val="1"/>
      <w:numFmt w:val="decimalEnclosedCircle"/>
      <w:lvlText w:val="%9"/>
      <w:lvlJc w:val="left"/>
      <w:pPr>
        <w:ind w:left="3780" w:hanging="420"/>
      </w:pPr>
      <w:rPr>
        <w:rFonts w:cs="Times New Roman"/>
      </w:rPr>
    </w:lvl>
  </w:abstractNum>
  <w:abstractNum w:abstractNumId="4">
    <w:nsid w:val="53052CFB"/>
    <w:multiLevelType w:val="hybridMultilevel"/>
    <w:tmpl w:val="7F6CCFC6"/>
    <w:lvl w:ilvl="0" w:tplc="7A5C6D3E">
      <w:start w:val="1"/>
      <w:numFmt w:val="decimal"/>
      <w:lvlText w:val="(%1)"/>
      <w:lvlJc w:val="left"/>
      <w:pPr>
        <w:ind w:left="360" w:hanging="360"/>
      </w:pPr>
      <w:rPr>
        <w:rFonts w:cs="Times New Roman" w:hint="default"/>
      </w:rPr>
    </w:lvl>
    <w:lvl w:ilvl="1" w:tplc="00170409" w:tentative="1">
      <w:start w:val="1"/>
      <w:numFmt w:val="aiueoFullWidth"/>
      <w:lvlText w:val="(%2)"/>
      <w:lvlJc w:val="left"/>
      <w:pPr>
        <w:ind w:left="840" w:hanging="420"/>
      </w:pPr>
      <w:rPr>
        <w:rFonts w:cs="Times New Roman"/>
      </w:rPr>
    </w:lvl>
    <w:lvl w:ilvl="2" w:tplc="00110409" w:tentative="1">
      <w:start w:val="1"/>
      <w:numFmt w:val="decimalEnclosedCircle"/>
      <w:lvlText w:val="%3"/>
      <w:lvlJc w:val="left"/>
      <w:pPr>
        <w:ind w:left="1260" w:hanging="420"/>
      </w:pPr>
      <w:rPr>
        <w:rFonts w:cs="Times New Roman"/>
      </w:rPr>
    </w:lvl>
    <w:lvl w:ilvl="3" w:tplc="000F0409" w:tentative="1">
      <w:start w:val="1"/>
      <w:numFmt w:val="decimal"/>
      <w:lvlText w:val="%4."/>
      <w:lvlJc w:val="left"/>
      <w:pPr>
        <w:ind w:left="1680" w:hanging="420"/>
      </w:pPr>
      <w:rPr>
        <w:rFonts w:cs="Times New Roman"/>
      </w:rPr>
    </w:lvl>
    <w:lvl w:ilvl="4" w:tplc="00170409" w:tentative="1">
      <w:start w:val="1"/>
      <w:numFmt w:val="aiueoFullWidth"/>
      <w:lvlText w:val="(%5)"/>
      <w:lvlJc w:val="left"/>
      <w:pPr>
        <w:ind w:left="2100" w:hanging="420"/>
      </w:pPr>
      <w:rPr>
        <w:rFonts w:cs="Times New Roman"/>
      </w:rPr>
    </w:lvl>
    <w:lvl w:ilvl="5" w:tplc="00110409" w:tentative="1">
      <w:start w:val="1"/>
      <w:numFmt w:val="decimalEnclosedCircle"/>
      <w:lvlText w:val="%6"/>
      <w:lvlJc w:val="left"/>
      <w:pPr>
        <w:ind w:left="2520" w:hanging="420"/>
      </w:pPr>
      <w:rPr>
        <w:rFonts w:cs="Times New Roman"/>
      </w:rPr>
    </w:lvl>
    <w:lvl w:ilvl="6" w:tplc="000F0409" w:tentative="1">
      <w:start w:val="1"/>
      <w:numFmt w:val="decimal"/>
      <w:lvlText w:val="%7."/>
      <w:lvlJc w:val="left"/>
      <w:pPr>
        <w:ind w:left="2940" w:hanging="420"/>
      </w:pPr>
      <w:rPr>
        <w:rFonts w:cs="Times New Roman"/>
      </w:rPr>
    </w:lvl>
    <w:lvl w:ilvl="7" w:tplc="00170409" w:tentative="1">
      <w:start w:val="1"/>
      <w:numFmt w:val="aiueoFullWidth"/>
      <w:lvlText w:val="(%8)"/>
      <w:lvlJc w:val="left"/>
      <w:pPr>
        <w:ind w:left="3360" w:hanging="420"/>
      </w:pPr>
      <w:rPr>
        <w:rFonts w:cs="Times New Roman"/>
      </w:rPr>
    </w:lvl>
    <w:lvl w:ilvl="8" w:tplc="00110409" w:tentative="1">
      <w:start w:val="1"/>
      <w:numFmt w:val="decimalEnclosedCircle"/>
      <w:lvlText w:val="%9"/>
      <w:lvlJc w:val="left"/>
      <w:pPr>
        <w:ind w:left="3780" w:hanging="420"/>
      </w:pPr>
      <w:rPr>
        <w:rFonts w:cs="Times New Roman"/>
      </w:rPr>
    </w:lvl>
  </w:abstractNum>
  <w:abstractNum w:abstractNumId="5">
    <w:nsid w:val="765603E8"/>
    <w:multiLevelType w:val="hybridMultilevel"/>
    <w:tmpl w:val="5C0CCD0E"/>
    <w:lvl w:ilvl="0" w:tplc="FFFFFFFF">
      <w:start w:val="1"/>
      <w:numFmt w:val="decimal"/>
      <w:suff w:val="space"/>
      <w:lvlText w:val="%1)"/>
      <w:lvlJc w:val="left"/>
      <w:pPr>
        <w:ind w:left="260" w:hanging="260"/>
      </w:pPr>
      <w:rPr>
        <w:rFonts w:cs="Times New Roman" w:hint="default"/>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6">
    <w:nsid w:val="76C81D3D"/>
    <w:multiLevelType w:val="hybridMultilevel"/>
    <w:tmpl w:val="D6807F88"/>
    <w:lvl w:ilvl="0" w:tplc="78266C1A">
      <w:start w:val="1"/>
      <w:numFmt w:val="decimal"/>
      <w:lvlText w:val="(%1)"/>
      <w:lvlJc w:val="left"/>
      <w:pPr>
        <w:ind w:left="360" w:hanging="360"/>
      </w:pPr>
      <w:rPr>
        <w:rFonts w:cs="Times New Roman" w:hint="default"/>
      </w:rPr>
    </w:lvl>
    <w:lvl w:ilvl="1" w:tplc="00170409" w:tentative="1">
      <w:start w:val="1"/>
      <w:numFmt w:val="aiueoFullWidth"/>
      <w:lvlText w:val="(%2)"/>
      <w:lvlJc w:val="left"/>
      <w:pPr>
        <w:ind w:left="840" w:hanging="420"/>
      </w:pPr>
      <w:rPr>
        <w:rFonts w:cs="Times New Roman"/>
      </w:rPr>
    </w:lvl>
    <w:lvl w:ilvl="2" w:tplc="00110409" w:tentative="1">
      <w:start w:val="1"/>
      <w:numFmt w:val="decimalEnclosedCircle"/>
      <w:lvlText w:val="%3"/>
      <w:lvlJc w:val="left"/>
      <w:pPr>
        <w:ind w:left="1260" w:hanging="420"/>
      </w:pPr>
      <w:rPr>
        <w:rFonts w:cs="Times New Roman"/>
      </w:rPr>
    </w:lvl>
    <w:lvl w:ilvl="3" w:tplc="000F0409" w:tentative="1">
      <w:start w:val="1"/>
      <w:numFmt w:val="decimal"/>
      <w:lvlText w:val="%4."/>
      <w:lvlJc w:val="left"/>
      <w:pPr>
        <w:ind w:left="1680" w:hanging="420"/>
      </w:pPr>
      <w:rPr>
        <w:rFonts w:cs="Times New Roman"/>
      </w:rPr>
    </w:lvl>
    <w:lvl w:ilvl="4" w:tplc="00170409" w:tentative="1">
      <w:start w:val="1"/>
      <w:numFmt w:val="aiueoFullWidth"/>
      <w:lvlText w:val="(%5)"/>
      <w:lvlJc w:val="left"/>
      <w:pPr>
        <w:ind w:left="2100" w:hanging="420"/>
      </w:pPr>
      <w:rPr>
        <w:rFonts w:cs="Times New Roman"/>
      </w:rPr>
    </w:lvl>
    <w:lvl w:ilvl="5" w:tplc="00110409" w:tentative="1">
      <w:start w:val="1"/>
      <w:numFmt w:val="decimalEnclosedCircle"/>
      <w:lvlText w:val="%6"/>
      <w:lvlJc w:val="left"/>
      <w:pPr>
        <w:ind w:left="2520" w:hanging="420"/>
      </w:pPr>
      <w:rPr>
        <w:rFonts w:cs="Times New Roman"/>
      </w:rPr>
    </w:lvl>
    <w:lvl w:ilvl="6" w:tplc="000F0409" w:tentative="1">
      <w:start w:val="1"/>
      <w:numFmt w:val="decimal"/>
      <w:lvlText w:val="%7."/>
      <w:lvlJc w:val="left"/>
      <w:pPr>
        <w:ind w:left="2940" w:hanging="420"/>
      </w:pPr>
      <w:rPr>
        <w:rFonts w:cs="Times New Roman"/>
      </w:rPr>
    </w:lvl>
    <w:lvl w:ilvl="7" w:tplc="00170409" w:tentative="1">
      <w:start w:val="1"/>
      <w:numFmt w:val="aiueoFullWidth"/>
      <w:lvlText w:val="(%8)"/>
      <w:lvlJc w:val="left"/>
      <w:pPr>
        <w:ind w:left="3360" w:hanging="420"/>
      </w:pPr>
      <w:rPr>
        <w:rFonts w:cs="Times New Roman"/>
      </w:rPr>
    </w:lvl>
    <w:lvl w:ilvl="8" w:tplc="00110409"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oNotHyphenateCaps/>
  <w:drawingGridHorizontalSpacing w:val="110"/>
  <w:drawingGridVerticalSpacing w:val="357"/>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BC"/>
    <w:rsid w:val="00005901"/>
    <w:rsid w:val="00033ABF"/>
    <w:rsid w:val="00047231"/>
    <w:rsid w:val="00060C10"/>
    <w:rsid w:val="0006203F"/>
    <w:rsid w:val="00066286"/>
    <w:rsid w:val="00097D3F"/>
    <w:rsid w:val="000A457B"/>
    <w:rsid w:val="000B2682"/>
    <w:rsid w:val="000D0ABA"/>
    <w:rsid w:val="000D10E9"/>
    <w:rsid w:val="000D2851"/>
    <w:rsid w:val="000D3C16"/>
    <w:rsid w:val="000D75EC"/>
    <w:rsid w:val="000E1E34"/>
    <w:rsid w:val="000F2938"/>
    <w:rsid w:val="000F55F3"/>
    <w:rsid w:val="00100DA6"/>
    <w:rsid w:val="00112709"/>
    <w:rsid w:val="00127125"/>
    <w:rsid w:val="00131BBF"/>
    <w:rsid w:val="00154BBC"/>
    <w:rsid w:val="00154C56"/>
    <w:rsid w:val="00163A71"/>
    <w:rsid w:val="00166E13"/>
    <w:rsid w:val="00173C18"/>
    <w:rsid w:val="001970CB"/>
    <w:rsid w:val="001A3F8D"/>
    <w:rsid w:val="001B6093"/>
    <w:rsid w:val="001C0697"/>
    <w:rsid w:val="001F2090"/>
    <w:rsid w:val="002117FF"/>
    <w:rsid w:val="00222DF7"/>
    <w:rsid w:val="002350EE"/>
    <w:rsid w:val="002549E4"/>
    <w:rsid w:val="00261D99"/>
    <w:rsid w:val="00276460"/>
    <w:rsid w:val="00286CA0"/>
    <w:rsid w:val="00295CF9"/>
    <w:rsid w:val="002B1D26"/>
    <w:rsid w:val="002C0C63"/>
    <w:rsid w:val="002D25EF"/>
    <w:rsid w:val="002F1D2A"/>
    <w:rsid w:val="00301E61"/>
    <w:rsid w:val="0030683F"/>
    <w:rsid w:val="00317AD4"/>
    <w:rsid w:val="0032116A"/>
    <w:rsid w:val="00337D6C"/>
    <w:rsid w:val="003477C4"/>
    <w:rsid w:val="00355C8C"/>
    <w:rsid w:val="00357125"/>
    <w:rsid w:val="003662FD"/>
    <w:rsid w:val="00372482"/>
    <w:rsid w:val="00380019"/>
    <w:rsid w:val="00383EF6"/>
    <w:rsid w:val="003A33BD"/>
    <w:rsid w:val="003B701D"/>
    <w:rsid w:val="003C381B"/>
    <w:rsid w:val="003C42C2"/>
    <w:rsid w:val="003D40DD"/>
    <w:rsid w:val="003D7348"/>
    <w:rsid w:val="0041242B"/>
    <w:rsid w:val="00434E62"/>
    <w:rsid w:val="00437978"/>
    <w:rsid w:val="00454AB8"/>
    <w:rsid w:val="004937D8"/>
    <w:rsid w:val="004963F0"/>
    <w:rsid w:val="004B51EE"/>
    <w:rsid w:val="004B5925"/>
    <w:rsid w:val="004C0470"/>
    <w:rsid w:val="004C1F5A"/>
    <w:rsid w:val="004E0B7D"/>
    <w:rsid w:val="004E5F74"/>
    <w:rsid w:val="004F0828"/>
    <w:rsid w:val="004F6B88"/>
    <w:rsid w:val="00516952"/>
    <w:rsid w:val="005179D7"/>
    <w:rsid w:val="00543F0B"/>
    <w:rsid w:val="005444D6"/>
    <w:rsid w:val="00545C06"/>
    <w:rsid w:val="00553348"/>
    <w:rsid w:val="005557E6"/>
    <w:rsid w:val="00582CFD"/>
    <w:rsid w:val="00587C4B"/>
    <w:rsid w:val="005906DA"/>
    <w:rsid w:val="005A0F47"/>
    <w:rsid w:val="005A0FBE"/>
    <w:rsid w:val="005A59AB"/>
    <w:rsid w:val="005D354B"/>
    <w:rsid w:val="005E3817"/>
    <w:rsid w:val="005E7CB8"/>
    <w:rsid w:val="005F14A4"/>
    <w:rsid w:val="005F2493"/>
    <w:rsid w:val="005F6195"/>
    <w:rsid w:val="00600E8D"/>
    <w:rsid w:val="006067FC"/>
    <w:rsid w:val="00610373"/>
    <w:rsid w:val="00616E1A"/>
    <w:rsid w:val="006315B8"/>
    <w:rsid w:val="00634025"/>
    <w:rsid w:val="00644342"/>
    <w:rsid w:val="00645710"/>
    <w:rsid w:val="00661BD3"/>
    <w:rsid w:val="00666E7A"/>
    <w:rsid w:val="00670115"/>
    <w:rsid w:val="0068289F"/>
    <w:rsid w:val="006A0D33"/>
    <w:rsid w:val="006A1FFB"/>
    <w:rsid w:val="006A4B8B"/>
    <w:rsid w:val="006A4C83"/>
    <w:rsid w:val="006B49FF"/>
    <w:rsid w:val="006C051D"/>
    <w:rsid w:val="006D1514"/>
    <w:rsid w:val="0070041C"/>
    <w:rsid w:val="00707AB1"/>
    <w:rsid w:val="00713DAA"/>
    <w:rsid w:val="00714DBE"/>
    <w:rsid w:val="00715544"/>
    <w:rsid w:val="00722010"/>
    <w:rsid w:val="00737AEC"/>
    <w:rsid w:val="00756D46"/>
    <w:rsid w:val="00756FD8"/>
    <w:rsid w:val="0076281A"/>
    <w:rsid w:val="007637A0"/>
    <w:rsid w:val="00767DF5"/>
    <w:rsid w:val="007719C1"/>
    <w:rsid w:val="00772FE1"/>
    <w:rsid w:val="00776937"/>
    <w:rsid w:val="007A29E9"/>
    <w:rsid w:val="007B23C8"/>
    <w:rsid w:val="007C63D3"/>
    <w:rsid w:val="007D022A"/>
    <w:rsid w:val="007F566B"/>
    <w:rsid w:val="007F5C26"/>
    <w:rsid w:val="0081298E"/>
    <w:rsid w:val="008149CC"/>
    <w:rsid w:val="00814DBA"/>
    <w:rsid w:val="00827A88"/>
    <w:rsid w:val="00840BE0"/>
    <w:rsid w:val="00841896"/>
    <w:rsid w:val="00875E03"/>
    <w:rsid w:val="00880323"/>
    <w:rsid w:val="0088337C"/>
    <w:rsid w:val="008833B9"/>
    <w:rsid w:val="008840DF"/>
    <w:rsid w:val="008849C2"/>
    <w:rsid w:val="00885860"/>
    <w:rsid w:val="00897195"/>
    <w:rsid w:val="008A7D5C"/>
    <w:rsid w:val="008B2D7A"/>
    <w:rsid w:val="008D2B01"/>
    <w:rsid w:val="008D5849"/>
    <w:rsid w:val="008E21BF"/>
    <w:rsid w:val="00901C32"/>
    <w:rsid w:val="009037AF"/>
    <w:rsid w:val="009162B3"/>
    <w:rsid w:val="00916CFC"/>
    <w:rsid w:val="00917134"/>
    <w:rsid w:val="00926CFC"/>
    <w:rsid w:val="00933C85"/>
    <w:rsid w:val="0093407F"/>
    <w:rsid w:val="009346BD"/>
    <w:rsid w:val="00953252"/>
    <w:rsid w:val="0096063F"/>
    <w:rsid w:val="00966D58"/>
    <w:rsid w:val="009726BF"/>
    <w:rsid w:val="00986F90"/>
    <w:rsid w:val="00987886"/>
    <w:rsid w:val="00995032"/>
    <w:rsid w:val="0099796F"/>
    <w:rsid w:val="009A459A"/>
    <w:rsid w:val="009A58E1"/>
    <w:rsid w:val="009B5A79"/>
    <w:rsid w:val="009C6C47"/>
    <w:rsid w:val="009E0D50"/>
    <w:rsid w:val="00A016C1"/>
    <w:rsid w:val="00A16567"/>
    <w:rsid w:val="00A1758C"/>
    <w:rsid w:val="00A258DF"/>
    <w:rsid w:val="00A44087"/>
    <w:rsid w:val="00A44292"/>
    <w:rsid w:val="00A519AC"/>
    <w:rsid w:val="00A86926"/>
    <w:rsid w:val="00A9172A"/>
    <w:rsid w:val="00AA391D"/>
    <w:rsid w:val="00AB23B2"/>
    <w:rsid w:val="00AB65AA"/>
    <w:rsid w:val="00AB767A"/>
    <w:rsid w:val="00AC11DD"/>
    <w:rsid w:val="00AC555E"/>
    <w:rsid w:val="00AC79A1"/>
    <w:rsid w:val="00AD12BD"/>
    <w:rsid w:val="00AE14E7"/>
    <w:rsid w:val="00B061DA"/>
    <w:rsid w:val="00B14C02"/>
    <w:rsid w:val="00B1752A"/>
    <w:rsid w:val="00B27893"/>
    <w:rsid w:val="00B60BE7"/>
    <w:rsid w:val="00B70AEF"/>
    <w:rsid w:val="00B721CB"/>
    <w:rsid w:val="00B72DE6"/>
    <w:rsid w:val="00B94A3C"/>
    <w:rsid w:val="00BA2A4E"/>
    <w:rsid w:val="00BB24C2"/>
    <w:rsid w:val="00BB44DB"/>
    <w:rsid w:val="00BF2829"/>
    <w:rsid w:val="00BF7006"/>
    <w:rsid w:val="00C22C78"/>
    <w:rsid w:val="00C24CC8"/>
    <w:rsid w:val="00C2740B"/>
    <w:rsid w:val="00C32D5F"/>
    <w:rsid w:val="00C3583F"/>
    <w:rsid w:val="00C361A6"/>
    <w:rsid w:val="00C5491F"/>
    <w:rsid w:val="00C7599E"/>
    <w:rsid w:val="00C803CC"/>
    <w:rsid w:val="00C86E7C"/>
    <w:rsid w:val="00C87EC1"/>
    <w:rsid w:val="00CA388D"/>
    <w:rsid w:val="00CA4EAD"/>
    <w:rsid w:val="00CE05F2"/>
    <w:rsid w:val="00CF3E64"/>
    <w:rsid w:val="00D03BF7"/>
    <w:rsid w:val="00D14CB6"/>
    <w:rsid w:val="00D22AF0"/>
    <w:rsid w:val="00D25F13"/>
    <w:rsid w:val="00D30857"/>
    <w:rsid w:val="00D338CA"/>
    <w:rsid w:val="00D3653F"/>
    <w:rsid w:val="00D702CE"/>
    <w:rsid w:val="00DA269F"/>
    <w:rsid w:val="00DA5C6D"/>
    <w:rsid w:val="00DB389D"/>
    <w:rsid w:val="00DE06C0"/>
    <w:rsid w:val="00E22581"/>
    <w:rsid w:val="00E34427"/>
    <w:rsid w:val="00E40744"/>
    <w:rsid w:val="00E56DEA"/>
    <w:rsid w:val="00E60A94"/>
    <w:rsid w:val="00E747D8"/>
    <w:rsid w:val="00E74AD7"/>
    <w:rsid w:val="00E8043F"/>
    <w:rsid w:val="00E82816"/>
    <w:rsid w:val="00E9358F"/>
    <w:rsid w:val="00E96AC5"/>
    <w:rsid w:val="00EB1863"/>
    <w:rsid w:val="00EB5D19"/>
    <w:rsid w:val="00EC71F7"/>
    <w:rsid w:val="00EE5D13"/>
    <w:rsid w:val="00F20FDE"/>
    <w:rsid w:val="00F36818"/>
    <w:rsid w:val="00F4379C"/>
    <w:rsid w:val="00F45407"/>
    <w:rsid w:val="00F455EA"/>
    <w:rsid w:val="00F52472"/>
    <w:rsid w:val="00F720E2"/>
    <w:rsid w:val="00F74060"/>
    <w:rsid w:val="00F76A59"/>
    <w:rsid w:val="00F90876"/>
    <w:rsid w:val="00F908CC"/>
    <w:rsid w:val="00F94C1A"/>
    <w:rsid w:val="00F95371"/>
    <w:rsid w:val="00FA1661"/>
    <w:rsid w:val="00FA4EC5"/>
    <w:rsid w:val="00FB19D3"/>
    <w:rsid w:val="00FF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79D7"/>
    <w:pPr>
      <w:widowControl w:val="0"/>
      <w:adjustRightInd w:val="0"/>
      <w:jc w:val="both"/>
      <w:textAlignment w:val="baseline"/>
    </w:pPr>
    <w:rPr>
      <w:spacing w:val="-10"/>
      <w:kern w:val="0"/>
      <w:sz w:val="24"/>
      <w:szCs w:val="20"/>
      <w:lang w:eastAsia="ja-JP"/>
    </w:rPr>
  </w:style>
  <w:style w:type="paragraph" w:styleId="1">
    <w:name w:val="heading 1"/>
    <w:basedOn w:val="a"/>
    <w:next w:val="a"/>
    <w:link w:val="1Char"/>
    <w:uiPriority w:val="99"/>
    <w:qFormat/>
    <w:rsid w:val="004963F0"/>
    <w:pPr>
      <w:keepNext/>
      <w:spacing w:before="240" w:after="60"/>
      <w:outlineLvl w:val="0"/>
    </w:pPr>
    <w:rPr>
      <w:rFonts w:ascii="Arial" w:hAnsi="Arial"/>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eastAsia="MS Gothic" w:hAnsi="Calibri" w:cs="Times New Roman"/>
      <w:b/>
      <w:bCs/>
      <w:spacing w:val="-10"/>
      <w:kern w:val="32"/>
      <w:sz w:val="32"/>
      <w:szCs w:val="32"/>
      <w:lang w:val="en-US" w:eastAsia="ja-JP"/>
    </w:rPr>
  </w:style>
  <w:style w:type="paragraph" w:styleId="a3">
    <w:name w:val="footer"/>
    <w:basedOn w:val="a"/>
    <w:link w:val="Char"/>
    <w:uiPriority w:val="99"/>
    <w:semiHidden/>
    <w:rsid w:val="005179D7"/>
    <w:pPr>
      <w:tabs>
        <w:tab w:val="center" w:pos="4252"/>
        <w:tab w:val="right" w:pos="8504"/>
      </w:tabs>
      <w:snapToGrid w:val="0"/>
    </w:pPr>
    <w:rPr>
      <w:lang w:eastAsia="en-US"/>
    </w:rPr>
  </w:style>
  <w:style w:type="character" w:customStyle="1" w:styleId="Char">
    <w:name w:val="页脚 Char"/>
    <w:basedOn w:val="a0"/>
    <w:link w:val="a3"/>
    <w:uiPriority w:val="99"/>
    <w:locked/>
    <w:rsid w:val="005179D7"/>
    <w:rPr>
      <w:rFonts w:ascii="Century" w:eastAsia="MS Mincho" w:hAnsi="Century" w:cs="Times New Roman"/>
      <w:spacing w:val="-10"/>
      <w:kern w:val="0"/>
      <w:sz w:val="20"/>
    </w:rPr>
  </w:style>
  <w:style w:type="character" w:styleId="a4">
    <w:name w:val="page number"/>
    <w:basedOn w:val="a0"/>
    <w:uiPriority w:val="99"/>
    <w:semiHidden/>
    <w:rsid w:val="005179D7"/>
    <w:rPr>
      <w:rFonts w:cs="Times New Roman"/>
    </w:rPr>
  </w:style>
  <w:style w:type="paragraph" w:styleId="3">
    <w:name w:val="Body Text Indent 3"/>
    <w:basedOn w:val="a"/>
    <w:link w:val="3Char"/>
    <w:uiPriority w:val="99"/>
    <w:semiHidden/>
    <w:rsid w:val="005179D7"/>
    <w:pPr>
      <w:adjustRightInd/>
      <w:ind w:leftChars="200" w:left="480"/>
      <w:textAlignment w:val="auto"/>
    </w:pPr>
    <w:rPr>
      <w:rFonts w:ascii="Times" w:hAnsi="Times"/>
      <w:spacing w:val="0"/>
      <w:lang w:eastAsia="en-US"/>
    </w:rPr>
  </w:style>
  <w:style w:type="character" w:customStyle="1" w:styleId="3Char">
    <w:name w:val="正文文本缩进 3 Char"/>
    <w:basedOn w:val="a0"/>
    <w:link w:val="3"/>
    <w:uiPriority w:val="99"/>
    <w:locked/>
    <w:rsid w:val="005179D7"/>
    <w:rPr>
      <w:rFonts w:ascii="Times" w:eastAsia="MS Mincho" w:hAnsi="Times" w:cs="Times New Roman"/>
      <w:sz w:val="20"/>
    </w:rPr>
  </w:style>
  <w:style w:type="character" w:customStyle="1" w:styleId="apple-converted-space">
    <w:name w:val="apple-converted-space"/>
    <w:uiPriority w:val="99"/>
    <w:rsid w:val="005179D7"/>
  </w:style>
  <w:style w:type="character" w:styleId="a5">
    <w:name w:val="Hyperlink"/>
    <w:basedOn w:val="a0"/>
    <w:uiPriority w:val="99"/>
    <w:semiHidden/>
    <w:rsid w:val="005179D7"/>
    <w:rPr>
      <w:rFonts w:cs="Times New Roman"/>
      <w:color w:val="0000FF"/>
      <w:u w:val="single"/>
    </w:rPr>
  </w:style>
  <w:style w:type="paragraph" w:styleId="a6">
    <w:name w:val="header"/>
    <w:basedOn w:val="a"/>
    <w:link w:val="Char0"/>
    <w:uiPriority w:val="99"/>
    <w:semiHidden/>
    <w:rsid w:val="005179D7"/>
    <w:pPr>
      <w:tabs>
        <w:tab w:val="center" w:pos="4252"/>
        <w:tab w:val="right" w:pos="8504"/>
      </w:tabs>
      <w:snapToGrid w:val="0"/>
    </w:pPr>
    <w:rPr>
      <w:lang w:eastAsia="en-US"/>
    </w:rPr>
  </w:style>
  <w:style w:type="character" w:customStyle="1" w:styleId="Char0">
    <w:name w:val="页眉 Char"/>
    <w:basedOn w:val="a0"/>
    <w:link w:val="a6"/>
    <w:uiPriority w:val="99"/>
    <w:locked/>
    <w:rsid w:val="005179D7"/>
    <w:rPr>
      <w:rFonts w:cs="Times New Roman"/>
      <w:spacing w:val="-10"/>
      <w:sz w:val="24"/>
    </w:rPr>
  </w:style>
  <w:style w:type="character" w:customStyle="1" w:styleId="apple-style-span">
    <w:name w:val="apple-style-span"/>
    <w:uiPriority w:val="99"/>
    <w:rsid w:val="005179D7"/>
  </w:style>
  <w:style w:type="character" w:customStyle="1" w:styleId="highlight">
    <w:name w:val="highlight"/>
    <w:uiPriority w:val="99"/>
    <w:rsid w:val="005179D7"/>
  </w:style>
  <w:style w:type="paragraph" w:styleId="a7">
    <w:name w:val="Normal (Web)"/>
    <w:basedOn w:val="a"/>
    <w:uiPriority w:val="99"/>
    <w:rsid w:val="005179D7"/>
    <w:pPr>
      <w:widowControl/>
      <w:adjustRightInd/>
      <w:spacing w:before="100" w:beforeAutospacing="1" w:after="100" w:afterAutospacing="1"/>
      <w:jc w:val="left"/>
      <w:textAlignment w:val="auto"/>
    </w:pPr>
    <w:rPr>
      <w:rFonts w:ascii="MS PGothic" w:eastAsia="MS PGothic" w:hAnsi="MS PGothic" w:cs="MS PGothic"/>
      <w:spacing w:val="0"/>
      <w:szCs w:val="24"/>
    </w:rPr>
  </w:style>
  <w:style w:type="paragraph" w:styleId="a8">
    <w:name w:val="Balloon Text"/>
    <w:basedOn w:val="a"/>
    <w:link w:val="Char1"/>
    <w:uiPriority w:val="99"/>
    <w:semiHidden/>
    <w:rsid w:val="00047231"/>
    <w:rPr>
      <w:rFonts w:ascii="Cambria" w:eastAsia="MS Gothic" w:hAnsi="Cambria"/>
      <w:sz w:val="18"/>
      <w:szCs w:val="18"/>
    </w:rPr>
  </w:style>
  <w:style w:type="character" w:customStyle="1" w:styleId="Char1">
    <w:name w:val="批注框文本 Char"/>
    <w:basedOn w:val="a0"/>
    <w:link w:val="a8"/>
    <w:uiPriority w:val="99"/>
    <w:semiHidden/>
    <w:locked/>
    <w:rsid w:val="00047231"/>
    <w:rPr>
      <w:rFonts w:ascii="Cambria" w:eastAsia="MS Gothic" w:hAnsi="Cambria" w:cs="Times New Roman"/>
      <w:spacing w:val="-10"/>
      <w:sz w:val="18"/>
      <w:lang w:val="en-US"/>
    </w:rPr>
  </w:style>
  <w:style w:type="paragraph" w:styleId="a9">
    <w:name w:val="annotation text"/>
    <w:basedOn w:val="a"/>
    <w:link w:val="Char2"/>
    <w:uiPriority w:val="99"/>
    <w:rsid w:val="009037AF"/>
    <w:pPr>
      <w:adjustRightInd/>
      <w:jc w:val="left"/>
      <w:textAlignment w:val="auto"/>
    </w:pPr>
    <w:rPr>
      <w:rFonts w:eastAsia="宋体"/>
      <w:spacing w:val="0"/>
      <w:kern w:val="2"/>
      <w:sz w:val="21"/>
      <w:szCs w:val="22"/>
    </w:rPr>
  </w:style>
  <w:style w:type="character" w:customStyle="1" w:styleId="Char2">
    <w:name w:val="批注文字 Char"/>
    <w:basedOn w:val="a0"/>
    <w:link w:val="a9"/>
    <w:uiPriority w:val="99"/>
    <w:locked/>
    <w:rsid w:val="009037AF"/>
    <w:rPr>
      <w:rFonts w:eastAsia="宋体" w:cs="Times New Roman"/>
      <w:kern w:val="2"/>
      <w:sz w:val="22"/>
      <w:szCs w:val="22"/>
      <w:lang w:val="en-US" w:eastAsia="ja-JP"/>
    </w:rPr>
  </w:style>
  <w:style w:type="character" w:styleId="aa">
    <w:name w:val="annotation reference"/>
    <w:basedOn w:val="a0"/>
    <w:uiPriority w:val="99"/>
    <w:semiHidden/>
    <w:rsid w:val="009037AF"/>
    <w:rPr>
      <w:rFonts w:cs="Times New Roman"/>
      <w:sz w:val="21"/>
    </w:rPr>
  </w:style>
  <w:style w:type="paragraph" w:styleId="ab">
    <w:name w:val="annotation subject"/>
    <w:basedOn w:val="a9"/>
    <w:next w:val="a9"/>
    <w:link w:val="Char3"/>
    <w:uiPriority w:val="99"/>
    <w:semiHidden/>
    <w:rsid w:val="009037AF"/>
    <w:pPr>
      <w:adjustRightInd w:val="0"/>
      <w:textAlignment w:val="baseline"/>
    </w:pPr>
    <w:rPr>
      <w:rFonts w:eastAsia="MS Mincho"/>
      <w:b/>
      <w:bCs/>
      <w:spacing w:val="-10"/>
      <w:kern w:val="0"/>
      <w:sz w:val="24"/>
      <w:szCs w:val="20"/>
    </w:rPr>
  </w:style>
  <w:style w:type="character" w:customStyle="1" w:styleId="Char3">
    <w:name w:val="批注主题 Char"/>
    <w:basedOn w:val="Char2"/>
    <w:link w:val="ab"/>
    <w:uiPriority w:val="99"/>
    <w:semiHidden/>
    <w:locked/>
    <w:rsid w:val="009037AF"/>
    <w:rPr>
      <w:rFonts w:eastAsia="宋体" w:cs="Times New Roman"/>
      <w:b/>
      <w:bCs/>
      <w:spacing w:val="-10"/>
      <w:kern w:val="2"/>
      <w:sz w:val="22"/>
      <w:szCs w:val="22"/>
      <w:lang w:val="en-US" w:eastAsia="ja-JP"/>
    </w:rPr>
  </w:style>
  <w:style w:type="character" w:customStyle="1" w:styleId="labellist1">
    <w:name w:val="label_list1"/>
    <w:uiPriority w:val="99"/>
    <w:rsid w:val="009037AF"/>
  </w:style>
  <w:style w:type="character" w:customStyle="1" w:styleId="A12">
    <w:name w:val="A1+2"/>
    <w:uiPriority w:val="99"/>
    <w:rsid w:val="00060C10"/>
    <w:rPr>
      <w:color w:val="211D1E"/>
      <w:sz w:val="19"/>
    </w:rPr>
  </w:style>
  <w:style w:type="table" w:styleId="ac">
    <w:name w:val="Table Grid"/>
    <w:basedOn w:val="a1"/>
    <w:uiPriority w:val="99"/>
    <w:rsid w:val="004E0B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79D7"/>
    <w:pPr>
      <w:widowControl w:val="0"/>
      <w:adjustRightInd w:val="0"/>
      <w:jc w:val="both"/>
      <w:textAlignment w:val="baseline"/>
    </w:pPr>
    <w:rPr>
      <w:spacing w:val="-10"/>
      <w:kern w:val="0"/>
      <w:sz w:val="24"/>
      <w:szCs w:val="20"/>
      <w:lang w:eastAsia="ja-JP"/>
    </w:rPr>
  </w:style>
  <w:style w:type="paragraph" w:styleId="1">
    <w:name w:val="heading 1"/>
    <w:basedOn w:val="a"/>
    <w:next w:val="a"/>
    <w:link w:val="1Char"/>
    <w:uiPriority w:val="99"/>
    <w:qFormat/>
    <w:rsid w:val="004963F0"/>
    <w:pPr>
      <w:keepNext/>
      <w:spacing w:before="240" w:after="60"/>
      <w:outlineLvl w:val="0"/>
    </w:pPr>
    <w:rPr>
      <w:rFonts w:ascii="Arial" w:hAnsi="Arial"/>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eastAsia="MS Gothic" w:hAnsi="Calibri" w:cs="Times New Roman"/>
      <w:b/>
      <w:bCs/>
      <w:spacing w:val="-10"/>
      <w:kern w:val="32"/>
      <w:sz w:val="32"/>
      <w:szCs w:val="32"/>
      <w:lang w:val="en-US" w:eastAsia="ja-JP"/>
    </w:rPr>
  </w:style>
  <w:style w:type="paragraph" w:styleId="a3">
    <w:name w:val="footer"/>
    <w:basedOn w:val="a"/>
    <w:link w:val="Char"/>
    <w:uiPriority w:val="99"/>
    <w:semiHidden/>
    <w:rsid w:val="005179D7"/>
    <w:pPr>
      <w:tabs>
        <w:tab w:val="center" w:pos="4252"/>
        <w:tab w:val="right" w:pos="8504"/>
      </w:tabs>
      <w:snapToGrid w:val="0"/>
    </w:pPr>
    <w:rPr>
      <w:lang w:eastAsia="en-US"/>
    </w:rPr>
  </w:style>
  <w:style w:type="character" w:customStyle="1" w:styleId="Char">
    <w:name w:val="页脚 Char"/>
    <w:basedOn w:val="a0"/>
    <w:link w:val="a3"/>
    <w:uiPriority w:val="99"/>
    <w:locked/>
    <w:rsid w:val="005179D7"/>
    <w:rPr>
      <w:rFonts w:ascii="Century" w:eastAsia="MS Mincho" w:hAnsi="Century" w:cs="Times New Roman"/>
      <w:spacing w:val="-10"/>
      <w:kern w:val="0"/>
      <w:sz w:val="20"/>
    </w:rPr>
  </w:style>
  <w:style w:type="character" w:styleId="a4">
    <w:name w:val="page number"/>
    <w:basedOn w:val="a0"/>
    <w:uiPriority w:val="99"/>
    <w:semiHidden/>
    <w:rsid w:val="005179D7"/>
    <w:rPr>
      <w:rFonts w:cs="Times New Roman"/>
    </w:rPr>
  </w:style>
  <w:style w:type="paragraph" w:styleId="3">
    <w:name w:val="Body Text Indent 3"/>
    <w:basedOn w:val="a"/>
    <w:link w:val="3Char"/>
    <w:uiPriority w:val="99"/>
    <w:semiHidden/>
    <w:rsid w:val="005179D7"/>
    <w:pPr>
      <w:adjustRightInd/>
      <w:ind w:leftChars="200" w:left="480"/>
      <w:textAlignment w:val="auto"/>
    </w:pPr>
    <w:rPr>
      <w:rFonts w:ascii="Times" w:hAnsi="Times"/>
      <w:spacing w:val="0"/>
      <w:lang w:eastAsia="en-US"/>
    </w:rPr>
  </w:style>
  <w:style w:type="character" w:customStyle="1" w:styleId="3Char">
    <w:name w:val="正文文本缩进 3 Char"/>
    <w:basedOn w:val="a0"/>
    <w:link w:val="3"/>
    <w:uiPriority w:val="99"/>
    <w:locked/>
    <w:rsid w:val="005179D7"/>
    <w:rPr>
      <w:rFonts w:ascii="Times" w:eastAsia="MS Mincho" w:hAnsi="Times" w:cs="Times New Roman"/>
      <w:sz w:val="20"/>
    </w:rPr>
  </w:style>
  <w:style w:type="character" w:customStyle="1" w:styleId="apple-converted-space">
    <w:name w:val="apple-converted-space"/>
    <w:uiPriority w:val="99"/>
    <w:rsid w:val="005179D7"/>
  </w:style>
  <w:style w:type="character" w:styleId="a5">
    <w:name w:val="Hyperlink"/>
    <w:basedOn w:val="a0"/>
    <w:uiPriority w:val="99"/>
    <w:semiHidden/>
    <w:rsid w:val="005179D7"/>
    <w:rPr>
      <w:rFonts w:cs="Times New Roman"/>
      <w:color w:val="0000FF"/>
      <w:u w:val="single"/>
    </w:rPr>
  </w:style>
  <w:style w:type="paragraph" w:styleId="a6">
    <w:name w:val="header"/>
    <w:basedOn w:val="a"/>
    <w:link w:val="Char0"/>
    <w:uiPriority w:val="99"/>
    <w:semiHidden/>
    <w:rsid w:val="005179D7"/>
    <w:pPr>
      <w:tabs>
        <w:tab w:val="center" w:pos="4252"/>
        <w:tab w:val="right" w:pos="8504"/>
      </w:tabs>
      <w:snapToGrid w:val="0"/>
    </w:pPr>
    <w:rPr>
      <w:lang w:eastAsia="en-US"/>
    </w:rPr>
  </w:style>
  <w:style w:type="character" w:customStyle="1" w:styleId="Char0">
    <w:name w:val="页眉 Char"/>
    <w:basedOn w:val="a0"/>
    <w:link w:val="a6"/>
    <w:uiPriority w:val="99"/>
    <w:locked/>
    <w:rsid w:val="005179D7"/>
    <w:rPr>
      <w:rFonts w:cs="Times New Roman"/>
      <w:spacing w:val="-10"/>
      <w:sz w:val="24"/>
    </w:rPr>
  </w:style>
  <w:style w:type="character" w:customStyle="1" w:styleId="apple-style-span">
    <w:name w:val="apple-style-span"/>
    <w:uiPriority w:val="99"/>
    <w:rsid w:val="005179D7"/>
  </w:style>
  <w:style w:type="character" w:customStyle="1" w:styleId="highlight">
    <w:name w:val="highlight"/>
    <w:uiPriority w:val="99"/>
    <w:rsid w:val="005179D7"/>
  </w:style>
  <w:style w:type="paragraph" w:styleId="a7">
    <w:name w:val="Normal (Web)"/>
    <w:basedOn w:val="a"/>
    <w:uiPriority w:val="99"/>
    <w:rsid w:val="005179D7"/>
    <w:pPr>
      <w:widowControl/>
      <w:adjustRightInd/>
      <w:spacing w:before="100" w:beforeAutospacing="1" w:after="100" w:afterAutospacing="1"/>
      <w:jc w:val="left"/>
      <w:textAlignment w:val="auto"/>
    </w:pPr>
    <w:rPr>
      <w:rFonts w:ascii="MS PGothic" w:eastAsia="MS PGothic" w:hAnsi="MS PGothic" w:cs="MS PGothic"/>
      <w:spacing w:val="0"/>
      <w:szCs w:val="24"/>
    </w:rPr>
  </w:style>
  <w:style w:type="paragraph" w:styleId="a8">
    <w:name w:val="Balloon Text"/>
    <w:basedOn w:val="a"/>
    <w:link w:val="Char1"/>
    <w:uiPriority w:val="99"/>
    <w:semiHidden/>
    <w:rsid w:val="00047231"/>
    <w:rPr>
      <w:rFonts w:ascii="Cambria" w:eastAsia="MS Gothic" w:hAnsi="Cambria"/>
      <w:sz w:val="18"/>
      <w:szCs w:val="18"/>
    </w:rPr>
  </w:style>
  <w:style w:type="character" w:customStyle="1" w:styleId="Char1">
    <w:name w:val="批注框文本 Char"/>
    <w:basedOn w:val="a0"/>
    <w:link w:val="a8"/>
    <w:uiPriority w:val="99"/>
    <w:semiHidden/>
    <w:locked/>
    <w:rsid w:val="00047231"/>
    <w:rPr>
      <w:rFonts w:ascii="Cambria" w:eastAsia="MS Gothic" w:hAnsi="Cambria" w:cs="Times New Roman"/>
      <w:spacing w:val="-10"/>
      <w:sz w:val="18"/>
      <w:lang w:val="en-US"/>
    </w:rPr>
  </w:style>
  <w:style w:type="paragraph" w:styleId="a9">
    <w:name w:val="annotation text"/>
    <w:basedOn w:val="a"/>
    <w:link w:val="Char2"/>
    <w:uiPriority w:val="99"/>
    <w:rsid w:val="009037AF"/>
    <w:pPr>
      <w:adjustRightInd/>
      <w:jc w:val="left"/>
      <w:textAlignment w:val="auto"/>
    </w:pPr>
    <w:rPr>
      <w:rFonts w:eastAsia="宋体"/>
      <w:spacing w:val="0"/>
      <w:kern w:val="2"/>
      <w:sz w:val="21"/>
      <w:szCs w:val="22"/>
    </w:rPr>
  </w:style>
  <w:style w:type="character" w:customStyle="1" w:styleId="Char2">
    <w:name w:val="批注文字 Char"/>
    <w:basedOn w:val="a0"/>
    <w:link w:val="a9"/>
    <w:uiPriority w:val="99"/>
    <w:locked/>
    <w:rsid w:val="009037AF"/>
    <w:rPr>
      <w:rFonts w:eastAsia="宋体" w:cs="Times New Roman"/>
      <w:kern w:val="2"/>
      <w:sz w:val="22"/>
      <w:szCs w:val="22"/>
      <w:lang w:val="en-US" w:eastAsia="ja-JP"/>
    </w:rPr>
  </w:style>
  <w:style w:type="character" w:styleId="aa">
    <w:name w:val="annotation reference"/>
    <w:basedOn w:val="a0"/>
    <w:uiPriority w:val="99"/>
    <w:semiHidden/>
    <w:rsid w:val="009037AF"/>
    <w:rPr>
      <w:rFonts w:cs="Times New Roman"/>
      <w:sz w:val="21"/>
    </w:rPr>
  </w:style>
  <w:style w:type="paragraph" w:styleId="ab">
    <w:name w:val="annotation subject"/>
    <w:basedOn w:val="a9"/>
    <w:next w:val="a9"/>
    <w:link w:val="Char3"/>
    <w:uiPriority w:val="99"/>
    <w:semiHidden/>
    <w:rsid w:val="009037AF"/>
    <w:pPr>
      <w:adjustRightInd w:val="0"/>
      <w:textAlignment w:val="baseline"/>
    </w:pPr>
    <w:rPr>
      <w:rFonts w:eastAsia="MS Mincho"/>
      <w:b/>
      <w:bCs/>
      <w:spacing w:val="-10"/>
      <w:kern w:val="0"/>
      <w:sz w:val="24"/>
      <w:szCs w:val="20"/>
    </w:rPr>
  </w:style>
  <w:style w:type="character" w:customStyle="1" w:styleId="Char3">
    <w:name w:val="批注主题 Char"/>
    <w:basedOn w:val="Char2"/>
    <w:link w:val="ab"/>
    <w:uiPriority w:val="99"/>
    <w:semiHidden/>
    <w:locked/>
    <w:rsid w:val="009037AF"/>
    <w:rPr>
      <w:rFonts w:eastAsia="宋体" w:cs="Times New Roman"/>
      <w:b/>
      <w:bCs/>
      <w:spacing w:val="-10"/>
      <w:kern w:val="2"/>
      <w:sz w:val="22"/>
      <w:szCs w:val="22"/>
      <w:lang w:val="en-US" w:eastAsia="ja-JP"/>
    </w:rPr>
  </w:style>
  <w:style w:type="character" w:customStyle="1" w:styleId="labellist1">
    <w:name w:val="label_list1"/>
    <w:uiPriority w:val="99"/>
    <w:rsid w:val="009037AF"/>
  </w:style>
  <w:style w:type="character" w:customStyle="1" w:styleId="A12">
    <w:name w:val="A1+2"/>
    <w:uiPriority w:val="99"/>
    <w:rsid w:val="00060C10"/>
    <w:rPr>
      <w:color w:val="211D1E"/>
      <w:sz w:val="19"/>
    </w:rPr>
  </w:style>
  <w:style w:type="table" w:styleId="ac">
    <w:name w:val="Table Grid"/>
    <w:basedOn w:val="a1"/>
    <w:uiPriority w:val="99"/>
    <w:rsid w:val="004E0B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8550">
      <w:marLeft w:val="0"/>
      <w:marRight w:val="0"/>
      <w:marTop w:val="0"/>
      <w:marBottom w:val="0"/>
      <w:divBdr>
        <w:top w:val="none" w:sz="0" w:space="0" w:color="auto"/>
        <w:left w:val="none" w:sz="0" w:space="0" w:color="auto"/>
        <w:bottom w:val="none" w:sz="0" w:space="0" w:color="auto"/>
        <w:right w:val="none" w:sz="0" w:space="0" w:color="auto"/>
      </w:divBdr>
      <w:divsChild>
        <w:div w:id="110708541">
          <w:marLeft w:val="0"/>
          <w:marRight w:val="0"/>
          <w:marTop w:val="0"/>
          <w:marBottom w:val="0"/>
          <w:divBdr>
            <w:top w:val="none" w:sz="0" w:space="0" w:color="auto"/>
            <w:left w:val="none" w:sz="0" w:space="0" w:color="auto"/>
            <w:bottom w:val="none" w:sz="0" w:space="0" w:color="auto"/>
            <w:right w:val="none" w:sz="0" w:space="0" w:color="auto"/>
          </w:divBdr>
          <w:divsChild>
            <w:div w:id="110708526">
              <w:marLeft w:val="0"/>
              <w:marRight w:val="0"/>
              <w:marTop w:val="0"/>
              <w:marBottom w:val="0"/>
              <w:divBdr>
                <w:top w:val="none" w:sz="0" w:space="0" w:color="auto"/>
                <w:left w:val="none" w:sz="0" w:space="0" w:color="auto"/>
                <w:bottom w:val="none" w:sz="0" w:space="0" w:color="auto"/>
                <w:right w:val="none" w:sz="0" w:space="0" w:color="auto"/>
              </w:divBdr>
            </w:div>
            <w:div w:id="110708527">
              <w:marLeft w:val="0"/>
              <w:marRight w:val="0"/>
              <w:marTop w:val="0"/>
              <w:marBottom w:val="0"/>
              <w:divBdr>
                <w:top w:val="none" w:sz="0" w:space="0" w:color="auto"/>
                <w:left w:val="none" w:sz="0" w:space="0" w:color="auto"/>
                <w:bottom w:val="none" w:sz="0" w:space="0" w:color="auto"/>
                <w:right w:val="none" w:sz="0" w:space="0" w:color="auto"/>
              </w:divBdr>
            </w:div>
            <w:div w:id="110708528">
              <w:marLeft w:val="0"/>
              <w:marRight w:val="0"/>
              <w:marTop w:val="0"/>
              <w:marBottom w:val="0"/>
              <w:divBdr>
                <w:top w:val="none" w:sz="0" w:space="0" w:color="auto"/>
                <w:left w:val="none" w:sz="0" w:space="0" w:color="auto"/>
                <w:bottom w:val="none" w:sz="0" w:space="0" w:color="auto"/>
                <w:right w:val="none" w:sz="0" w:space="0" w:color="auto"/>
              </w:divBdr>
            </w:div>
            <w:div w:id="110708529">
              <w:marLeft w:val="0"/>
              <w:marRight w:val="0"/>
              <w:marTop w:val="0"/>
              <w:marBottom w:val="0"/>
              <w:divBdr>
                <w:top w:val="none" w:sz="0" w:space="0" w:color="auto"/>
                <w:left w:val="none" w:sz="0" w:space="0" w:color="auto"/>
                <w:bottom w:val="none" w:sz="0" w:space="0" w:color="auto"/>
                <w:right w:val="none" w:sz="0" w:space="0" w:color="auto"/>
              </w:divBdr>
            </w:div>
            <w:div w:id="110708530">
              <w:marLeft w:val="0"/>
              <w:marRight w:val="0"/>
              <w:marTop w:val="0"/>
              <w:marBottom w:val="0"/>
              <w:divBdr>
                <w:top w:val="none" w:sz="0" w:space="0" w:color="auto"/>
                <w:left w:val="none" w:sz="0" w:space="0" w:color="auto"/>
                <w:bottom w:val="none" w:sz="0" w:space="0" w:color="auto"/>
                <w:right w:val="none" w:sz="0" w:space="0" w:color="auto"/>
              </w:divBdr>
            </w:div>
            <w:div w:id="110708531">
              <w:marLeft w:val="0"/>
              <w:marRight w:val="0"/>
              <w:marTop w:val="0"/>
              <w:marBottom w:val="0"/>
              <w:divBdr>
                <w:top w:val="none" w:sz="0" w:space="0" w:color="auto"/>
                <w:left w:val="none" w:sz="0" w:space="0" w:color="auto"/>
                <w:bottom w:val="none" w:sz="0" w:space="0" w:color="auto"/>
                <w:right w:val="none" w:sz="0" w:space="0" w:color="auto"/>
              </w:divBdr>
            </w:div>
            <w:div w:id="110708532">
              <w:marLeft w:val="0"/>
              <w:marRight w:val="0"/>
              <w:marTop w:val="0"/>
              <w:marBottom w:val="0"/>
              <w:divBdr>
                <w:top w:val="none" w:sz="0" w:space="0" w:color="auto"/>
                <w:left w:val="none" w:sz="0" w:space="0" w:color="auto"/>
                <w:bottom w:val="none" w:sz="0" w:space="0" w:color="auto"/>
                <w:right w:val="none" w:sz="0" w:space="0" w:color="auto"/>
              </w:divBdr>
            </w:div>
            <w:div w:id="110708533">
              <w:marLeft w:val="0"/>
              <w:marRight w:val="0"/>
              <w:marTop w:val="0"/>
              <w:marBottom w:val="0"/>
              <w:divBdr>
                <w:top w:val="none" w:sz="0" w:space="0" w:color="auto"/>
                <w:left w:val="none" w:sz="0" w:space="0" w:color="auto"/>
                <w:bottom w:val="none" w:sz="0" w:space="0" w:color="auto"/>
                <w:right w:val="none" w:sz="0" w:space="0" w:color="auto"/>
              </w:divBdr>
            </w:div>
            <w:div w:id="110708534">
              <w:marLeft w:val="0"/>
              <w:marRight w:val="0"/>
              <w:marTop w:val="0"/>
              <w:marBottom w:val="0"/>
              <w:divBdr>
                <w:top w:val="none" w:sz="0" w:space="0" w:color="auto"/>
                <w:left w:val="none" w:sz="0" w:space="0" w:color="auto"/>
                <w:bottom w:val="none" w:sz="0" w:space="0" w:color="auto"/>
                <w:right w:val="none" w:sz="0" w:space="0" w:color="auto"/>
              </w:divBdr>
            </w:div>
            <w:div w:id="110708535">
              <w:marLeft w:val="0"/>
              <w:marRight w:val="0"/>
              <w:marTop w:val="0"/>
              <w:marBottom w:val="0"/>
              <w:divBdr>
                <w:top w:val="none" w:sz="0" w:space="0" w:color="auto"/>
                <w:left w:val="none" w:sz="0" w:space="0" w:color="auto"/>
                <w:bottom w:val="none" w:sz="0" w:space="0" w:color="auto"/>
                <w:right w:val="none" w:sz="0" w:space="0" w:color="auto"/>
              </w:divBdr>
            </w:div>
            <w:div w:id="110708536">
              <w:marLeft w:val="0"/>
              <w:marRight w:val="0"/>
              <w:marTop w:val="0"/>
              <w:marBottom w:val="0"/>
              <w:divBdr>
                <w:top w:val="none" w:sz="0" w:space="0" w:color="auto"/>
                <w:left w:val="none" w:sz="0" w:space="0" w:color="auto"/>
                <w:bottom w:val="none" w:sz="0" w:space="0" w:color="auto"/>
                <w:right w:val="none" w:sz="0" w:space="0" w:color="auto"/>
              </w:divBdr>
            </w:div>
            <w:div w:id="110708537">
              <w:marLeft w:val="0"/>
              <w:marRight w:val="0"/>
              <w:marTop w:val="0"/>
              <w:marBottom w:val="0"/>
              <w:divBdr>
                <w:top w:val="none" w:sz="0" w:space="0" w:color="auto"/>
                <w:left w:val="none" w:sz="0" w:space="0" w:color="auto"/>
                <w:bottom w:val="none" w:sz="0" w:space="0" w:color="auto"/>
                <w:right w:val="none" w:sz="0" w:space="0" w:color="auto"/>
              </w:divBdr>
            </w:div>
            <w:div w:id="110708538">
              <w:marLeft w:val="0"/>
              <w:marRight w:val="0"/>
              <w:marTop w:val="0"/>
              <w:marBottom w:val="0"/>
              <w:divBdr>
                <w:top w:val="none" w:sz="0" w:space="0" w:color="auto"/>
                <w:left w:val="none" w:sz="0" w:space="0" w:color="auto"/>
                <w:bottom w:val="none" w:sz="0" w:space="0" w:color="auto"/>
                <w:right w:val="none" w:sz="0" w:space="0" w:color="auto"/>
              </w:divBdr>
            </w:div>
            <w:div w:id="110708539">
              <w:marLeft w:val="0"/>
              <w:marRight w:val="0"/>
              <w:marTop w:val="0"/>
              <w:marBottom w:val="0"/>
              <w:divBdr>
                <w:top w:val="none" w:sz="0" w:space="0" w:color="auto"/>
                <w:left w:val="none" w:sz="0" w:space="0" w:color="auto"/>
                <w:bottom w:val="none" w:sz="0" w:space="0" w:color="auto"/>
                <w:right w:val="none" w:sz="0" w:space="0" w:color="auto"/>
              </w:divBdr>
            </w:div>
            <w:div w:id="110708540">
              <w:marLeft w:val="0"/>
              <w:marRight w:val="0"/>
              <w:marTop w:val="0"/>
              <w:marBottom w:val="0"/>
              <w:divBdr>
                <w:top w:val="none" w:sz="0" w:space="0" w:color="auto"/>
                <w:left w:val="none" w:sz="0" w:space="0" w:color="auto"/>
                <w:bottom w:val="none" w:sz="0" w:space="0" w:color="auto"/>
                <w:right w:val="none" w:sz="0" w:space="0" w:color="auto"/>
              </w:divBdr>
            </w:div>
            <w:div w:id="110708542">
              <w:marLeft w:val="0"/>
              <w:marRight w:val="0"/>
              <w:marTop w:val="0"/>
              <w:marBottom w:val="0"/>
              <w:divBdr>
                <w:top w:val="none" w:sz="0" w:space="0" w:color="auto"/>
                <w:left w:val="none" w:sz="0" w:space="0" w:color="auto"/>
                <w:bottom w:val="none" w:sz="0" w:space="0" w:color="auto"/>
                <w:right w:val="none" w:sz="0" w:space="0" w:color="auto"/>
              </w:divBdr>
            </w:div>
            <w:div w:id="110708543">
              <w:marLeft w:val="0"/>
              <w:marRight w:val="0"/>
              <w:marTop w:val="0"/>
              <w:marBottom w:val="0"/>
              <w:divBdr>
                <w:top w:val="none" w:sz="0" w:space="0" w:color="auto"/>
                <w:left w:val="none" w:sz="0" w:space="0" w:color="auto"/>
                <w:bottom w:val="none" w:sz="0" w:space="0" w:color="auto"/>
                <w:right w:val="none" w:sz="0" w:space="0" w:color="auto"/>
              </w:divBdr>
            </w:div>
            <w:div w:id="110708544">
              <w:marLeft w:val="0"/>
              <w:marRight w:val="0"/>
              <w:marTop w:val="0"/>
              <w:marBottom w:val="0"/>
              <w:divBdr>
                <w:top w:val="none" w:sz="0" w:space="0" w:color="auto"/>
                <w:left w:val="none" w:sz="0" w:space="0" w:color="auto"/>
                <w:bottom w:val="none" w:sz="0" w:space="0" w:color="auto"/>
                <w:right w:val="none" w:sz="0" w:space="0" w:color="auto"/>
              </w:divBdr>
            </w:div>
            <w:div w:id="110708545">
              <w:marLeft w:val="0"/>
              <w:marRight w:val="0"/>
              <w:marTop w:val="0"/>
              <w:marBottom w:val="0"/>
              <w:divBdr>
                <w:top w:val="none" w:sz="0" w:space="0" w:color="auto"/>
                <w:left w:val="none" w:sz="0" w:space="0" w:color="auto"/>
                <w:bottom w:val="none" w:sz="0" w:space="0" w:color="auto"/>
                <w:right w:val="none" w:sz="0" w:space="0" w:color="auto"/>
              </w:divBdr>
            </w:div>
            <w:div w:id="110708546">
              <w:marLeft w:val="0"/>
              <w:marRight w:val="0"/>
              <w:marTop w:val="0"/>
              <w:marBottom w:val="0"/>
              <w:divBdr>
                <w:top w:val="none" w:sz="0" w:space="0" w:color="auto"/>
                <w:left w:val="none" w:sz="0" w:space="0" w:color="auto"/>
                <w:bottom w:val="none" w:sz="0" w:space="0" w:color="auto"/>
                <w:right w:val="none" w:sz="0" w:space="0" w:color="auto"/>
              </w:divBdr>
            </w:div>
            <w:div w:id="110708547">
              <w:marLeft w:val="0"/>
              <w:marRight w:val="0"/>
              <w:marTop w:val="0"/>
              <w:marBottom w:val="0"/>
              <w:divBdr>
                <w:top w:val="none" w:sz="0" w:space="0" w:color="auto"/>
                <w:left w:val="none" w:sz="0" w:space="0" w:color="auto"/>
                <w:bottom w:val="none" w:sz="0" w:space="0" w:color="auto"/>
                <w:right w:val="none" w:sz="0" w:space="0" w:color="auto"/>
              </w:divBdr>
            </w:div>
            <w:div w:id="110708548">
              <w:marLeft w:val="0"/>
              <w:marRight w:val="0"/>
              <w:marTop w:val="0"/>
              <w:marBottom w:val="0"/>
              <w:divBdr>
                <w:top w:val="none" w:sz="0" w:space="0" w:color="auto"/>
                <w:left w:val="none" w:sz="0" w:space="0" w:color="auto"/>
                <w:bottom w:val="none" w:sz="0" w:space="0" w:color="auto"/>
                <w:right w:val="none" w:sz="0" w:space="0" w:color="auto"/>
              </w:divBdr>
            </w:div>
            <w:div w:id="110708549">
              <w:marLeft w:val="0"/>
              <w:marRight w:val="0"/>
              <w:marTop w:val="0"/>
              <w:marBottom w:val="0"/>
              <w:divBdr>
                <w:top w:val="none" w:sz="0" w:space="0" w:color="auto"/>
                <w:left w:val="none" w:sz="0" w:space="0" w:color="auto"/>
                <w:bottom w:val="none" w:sz="0" w:space="0" w:color="auto"/>
                <w:right w:val="none" w:sz="0" w:space="0" w:color="auto"/>
              </w:divBdr>
            </w:div>
            <w:div w:id="110708551">
              <w:marLeft w:val="0"/>
              <w:marRight w:val="0"/>
              <w:marTop w:val="0"/>
              <w:marBottom w:val="0"/>
              <w:divBdr>
                <w:top w:val="none" w:sz="0" w:space="0" w:color="auto"/>
                <w:left w:val="none" w:sz="0" w:space="0" w:color="auto"/>
                <w:bottom w:val="none" w:sz="0" w:space="0" w:color="auto"/>
                <w:right w:val="none" w:sz="0" w:space="0" w:color="auto"/>
              </w:divBdr>
            </w:div>
            <w:div w:id="110708552">
              <w:marLeft w:val="0"/>
              <w:marRight w:val="0"/>
              <w:marTop w:val="0"/>
              <w:marBottom w:val="0"/>
              <w:divBdr>
                <w:top w:val="none" w:sz="0" w:space="0" w:color="auto"/>
                <w:left w:val="none" w:sz="0" w:space="0" w:color="auto"/>
                <w:bottom w:val="none" w:sz="0" w:space="0" w:color="auto"/>
                <w:right w:val="none" w:sz="0" w:space="0" w:color="auto"/>
              </w:divBdr>
            </w:div>
            <w:div w:id="110708554">
              <w:marLeft w:val="0"/>
              <w:marRight w:val="0"/>
              <w:marTop w:val="0"/>
              <w:marBottom w:val="0"/>
              <w:divBdr>
                <w:top w:val="none" w:sz="0" w:space="0" w:color="auto"/>
                <w:left w:val="none" w:sz="0" w:space="0" w:color="auto"/>
                <w:bottom w:val="none" w:sz="0" w:space="0" w:color="auto"/>
                <w:right w:val="none" w:sz="0" w:space="0" w:color="auto"/>
              </w:divBdr>
            </w:div>
            <w:div w:id="1107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se@toranomon.g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5475</Words>
  <Characters>31209</Characters>
  <Application>Microsoft Office Word</Application>
  <DocSecurity>0</DocSecurity>
  <Lines>260</Lines>
  <Paragraphs>73</Paragraphs>
  <ScaleCrop>false</ScaleCrop>
  <Company>Hewlett-Packard Company</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gokobayashi</dc:creator>
  <cp:lastModifiedBy>LS Ma</cp:lastModifiedBy>
  <cp:revision>2</cp:revision>
  <dcterms:created xsi:type="dcterms:W3CDTF">2013-12-03T02:30:00Z</dcterms:created>
  <dcterms:modified xsi:type="dcterms:W3CDTF">2013-12-03T02:30:00Z</dcterms:modified>
</cp:coreProperties>
</file>