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CC" w:rsidRPr="00DF30C4" w:rsidRDefault="00C172CC" w:rsidP="00DF30C4">
      <w:pPr>
        <w:tabs>
          <w:tab w:val="left" w:pos="426"/>
        </w:tabs>
        <w:spacing w:line="360" w:lineRule="auto"/>
        <w:jc w:val="left"/>
        <w:rPr>
          <w:rFonts w:ascii="Book Antiqua" w:eastAsia="宋体" w:hAnsi="Book Antiqua"/>
          <w:i/>
          <w:sz w:val="24"/>
          <w:szCs w:val="24"/>
          <w:lang w:eastAsia="zh-CN"/>
        </w:rPr>
      </w:pPr>
      <w:r w:rsidRPr="00DF30C4">
        <w:rPr>
          <w:rFonts w:ascii="Book Antiqua" w:eastAsia="宋体" w:hAnsi="Book Antiqua"/>
          <w:b/>
          <w:sz w:val="24"/>
          <w:szCs w:val="24"/>
          <w:lang w:eastAsia="zh-CN"/>
        </w:rPr>
        <w:t xml:space="preserve">Name of journal: </w:t>
      </w:r>
      <w:r w:rsidRPr="00DF30C4">
        <w:rPr>
          <w:rFonts w:ascii="Book Antiqua" w:eastAsia="宋体" w:hAnsi="Book Antiqua"/>
          <w:i/>
          <w:sz w:val="24"/>
          <w:szCs w:val="24"/>
          <w:lang w:eastAsia="zh-CN"/>
        </w:rPr>
        <w:t>World Journal of Gastroenterology</w:t>
      </w:r>
    </w:p>
    <w:p w:rsidR="00C172CC" w:rsidRPr="00DF30C4" w:rsidRDefault="00C172CC" w:rsidP="00DF30C4">
      <w:pPr>
        <w:tabs>
          <w:tab w:val="left" w:pos="426"/>
        </w:tabs>
        <w:spacing w:line="360" w:lineRule="auto"/>
        <w:jc w:val="left"/>
        <w:rPr>
          <w:rFonts w:ascii="Book Antiqua" w:eastAsia="宋体" w:hAnsi="Book Antiqua"/>
          <w:b/>
          <w:sz w:val="24"/>
          <w:szCs w:val="24"/>
          <w:lang w:eastAsia="zh-CN"/>
        </w:rPr>
      </w:pPr>
      <w:r w:rsidRPr="00DF30C4">
        <w:rPr>
          <w:rFonts w:ascii="Book Antiqua" w:eastAsia="宋体" w:hAnsi="Book Antiqua"/>
          <w:b/>
          <w:sz w:val="24"/>
          <w:szCs w:val="24"/>
          <w:lang w:eastAsia="zh-CN"/>
        </w:rPr>
        <w:t>ESPS Manuscript NO: 4949</w:t>
      </w:r>
    </w:p>
    <w:p w:rsidR="00C172CC" w:rsidRPr="00DF30C4" w:rsidRDefault="00C172CC" w:rsidP="00DF30C4">
      <w:pPr>
        <w:tabs>
          <w:tab w:val="left" w:pos="426"/>
        </w:tabs>
        <w:spacing w:line="360" w:lineRule="auto"/>
        <w:jc w:val="left"/>
        <w:rPr>
          <w:rFonts w:ascii="Book Antiqua" w:eastAsia="宋体" w:hAnsi="Book Antiqua"/>
          <w:b/>
          <w:sz w:val="24"/>
          <w:szCs w:val="24"/>
          <w:lang w:eastAsia="zh-CN"/>
        </w:rPr>
      </w:pPr>
      <w:r w:rsidRPr="00DF30C4">
        <w:rPr>
          <w:rFonts w:ascii="Book Antiqua" w:eastAsia="宋体" w:hAnsi="Book Antiqua"/>
          <w:b/>
          <w:sz w:val="24"/>
          <w:szCs w:val="24"/>
          <w:lang w:eastAsia="zh-CN"/>
        </w:rPr>
        <w:t xml:space="preserve">Columns: </w:t>
      </w:r>
      <w:r w:rsidRPr="00DF30C4">
        <w:rPr>
          <w:rFonts w:ascii="Book Antiqua" w:hAnsi="Book Antiqua"/>
          <w:b/>
          <w:sz w:val="24"/>
          <w:szCs w:val="24"/>
        </w:rPr>
        <w:t>BRIEF ARTICLE</w:t>
      </w:r>
    </w:p>
    <w:p w:rsidR="00C172CC" w:rsidRPr="00DF30C4" w:rsidRDefault="00C172CC" w:rsidP="00DF30C4">
      <w:pPr>
        <w:tabs>
          <w:tab w:val="left" w:pos="426"/>
        </w:tabs>
        <w:spacing w:line="360" w:lineRule="auto"/>
        <w:jc w:val="left"/>
        <w:rPr>
          <w:rFonts w:ascii="Book Antiqua" w:eastAsia="宋体" w:hAnsi="Book Antiqua"/>
          <w:b/>
          <w:sz w:val="24"/>
          <w:szCs w:val="24"/>
          <w:lang w:eastAsia="zh-CN"/>
        </w:rPr>
      </w:pPr>
    </w:p>
    <w:p w:rsidR="00C172CC" w:rsidRPr="00DF30C4" w:rsidRDefault="00C172CC" w:rsidP="00AC235B">
      <w:pPr>
        <w:tabs>
          <w:tab w:val="left" w:pos="426"/>
        </w:tabs>
        <w:spacing w:line="360" w:lineRule="auto"/>
        <w:rPr>
          <w:rFonts w:ascii="Book Antiqua" w:hAnsi="Book Antiqua"/>
          <w:b/>
          <w:sz w:val="24"/>
          <w:szCs w:val="24"/>
        </w:rPr>
      </w:pPr>
      <w:r w:rsidRPr="00DF30C4">
        <w:rPr>
          <w:rFonts w:ascii="Book Antiqua" w:hAnsi="Book Antiqua"/>
          <w:b/>
          <w:sz w:val="24"/>
          <w:szCs w:val="24"/>
        </w:rPr>
        <w:t>Long-term follow-up of ulcerative colitis patients treated on the basis of their cytomegalovirus antigen status</w:t>
      </w:r>
      <w:bookmarkStart w:id="0" w:name="_GoBack"/>
      <w:bookmarkEnd w:id="0"/>
    </w:p>
    <w:p w:rsidR="00C172CC" w:rsidRPr="00DF30C4" w:rsidRDefault="00C172CC" w:rsidP="00DF30C4">
      <w:pPr>
        <w:spacing w:line="360" w:lineRule="auto"/>
        <w:rPr>
          <w:rFonts w:ascii="Book Antiqua" w:eastAsia="Arial Unicode MS" w:hAnsi="Book Antiqua"/>
          <w:b/>
          <w:sz w:val="24"/>
          <w:szCs w:val="24"/>
        </w:rPr>
      </w:pPr>
    </w:p>
    <w:p w:rsidR="00C172CC" w:rsidRPr="00DF30C4" w:rsidRDefault="00C172CC" w:rsidP="00DF30C4">
      <w:pPr>
        <w:spacing w:line="360" w:lineRule="auto"/>
        <w:rPr>
          <w:rFonts w:ascii="Book Antiqua" w:eastAsia="Arial Unicode MS" w:hAnsi="Book Antiqua"/>
          <w:sz w:val="24"/>
          <w:szCs w:val="24"/>
          <w:lang w:eastAsia="zh-CN"/>
        </w:rPr>
      </w:pPr>
      <w:r w:rsidRPr="00DF30C4">
        <w:rPr>
          <w:rFonts w:ascii="Book Antiqua" w:eastAsia="Arial Unicode MS" w:hAnsi="Book Antiqua"/>
          <w:sz w:val="24"/>
          <w:szCs w:val="24"/>
        </w:rPr>
        <w:t>Inokuchi</w:t>
      </w:r>
      <w:r w:rsidRPr="00DF30C4">
        <w:rPr>
          <w:rFonts w:ascii="Book Antiqua" w:eastAsia="Arial Unicode MS" w:hAnsi="Book Antiqua"/>
          <w:sz w:val="24"/>
          <w:szCs w:val="24"/>
          <w:lang w:eastAsia="zh-CN"/>
        </w:rPr>
        <w:t xml:space="preserve"> T</w:t>
      </w:r>
      <w:r w:rsidRPr="00DF30C4">
        <w:rPr>
          <w:rFonts w:ascii="Book Antiqua" w:eastAsia="Arial Unicode MS" w:hAnsi="Book Antiqua"/>
          <w:i/>
          <w:sz w:val="24"/>
          <w:szCs w:val="24"/>
          <w:lang w:eastAsia="zh-CN"/>
        </w:rPr>
        <w:t xml:space="preserve"> et al</w:t>
      </w:r>
      <w:r w:rsidRPr="00DF30C4">
        <w:rPr>
          <w:rFonts w:ascii="Book Antiqua" w:eastAsia="Arial Unicode MS" w:hAnsi="Book Antiqua"/>
          <w:sz w:val="24"/>
          <w:szCs w:val="24"/>
          <w:lang w:eastAsia="zh-CN"/>
        </w:rPr>
        <w:t>.</w:t>
      </w:r>
      <w:r>
        <w:rPr>
          <w:rFonts w:ascii="Book Antiqua" w:eastAsia="Arial Unicode MS" w:hAnsi="Book Antiqua"/>
          <w:sz w:val="24"/>
          <w:szCs w:val="24"/>
        </w:rPr>
        <w:t xml:space="preserve"> </w:t>
      </w:r>
      <w:r w:rsidRPr="00DF30C4">
        <w:rPr>
          <w:rFonts w:ascii="Book Antiqua" w:eastAsia="Arial Unicode MS" w:hAnsi="Book Antiqua"/>
          <w:sz w:val="24"/>
          <w:szCs w:val="24"/>
        </w:rPr>
        <w:t>Ulcerative colitis and cytomegalovirus antigen</w:t>
      </w:r>
    </w:p>
    <w:p w:rsidR="00C172CC" w:rsidRPr="00DF30C4" w:rsidRDefault="00C172CC" w:rsidP="00DF30C4">
      <w:pPr>
        <w:spacing w:line="360" w:lineRule="auto"/>
        <w:rPr>
          <w:rFonts w:ascii="Book Antiqua" w:eastAsia="Arial Unicode MS" w:hAnsi="Book Antiqua"/>
          <w:b/>
          <w:sz w:val="24"/>
          <w:szCs w:val="24"/>
          <w:lang w:eastAsia="zh-CN"/>
        </w:rPr>
      </w:pPr>
    </w:p>
    <w:p w:rsidR="00C172CC" w:rsidRPr="00DF30C4" w:rsidRDefault="00C172CC" w:rsidP="00DF30C4">
      <w:pPr>
        <w:spacing w:line="360" w:lineRule="auto"/>
        <w:rPr>
          <w:rFonts w:ascii="Book Antiqua" w:eastAsia="Arial Unicode MS" w:hAnsi="Book Antiqua"/>
          <w:sz w:val="24"/>
          <w:szCs w:val="24"/>
          <w:lang w:eastAsia="zh-CN"/>
        </w:rPr>
      </w:pPr>
      <w:r w:rsidRPr="00DF30C4">
        <w:rPr>
          <w:rFonts w:ascii="Book Antiqua" w:eastAsia="Arial Unicode MS" w:hAnsi="Book Antiqua"/>
          <w:sz w:val="24"/>
          <w:szCs w:val="24"/>
        </w:rPr>
        <w:t xml:space="preserve">Toshihiro Inokuchi, Jun Kato, Sakiko Hiraoka, Hideyuki Suzuki, Asuka Nakarai, </w:t>
      </w:r>
      <w:r w:rsidRPr="00DF30C4">
        <w:rPr>
          <w:rFonts w:ascii="Book Antiqua" w:hAnsi="Book Antiqua"/>
          <w:kern w:val="1"/>
          <w:sz w:val="24"/>
          <w:szCs w:val="24"/>
          <w:lang w:eastAsia="ar-SA"/>
        </w:rPr>
        <w:t>Tomoko Hirakawa</w:t>
      </w:r>
      <w:r w:rsidRPr="00DF30C4">
        <w:rPr>
          <w:rFonts w:ascii="Book Antiqua" w:hAnsi="Book Antiqua"/>
          <w:kern w:val="1"/>
          <w:sz w:val="24"/>
          <w:szCs w:val="24"/>
        </w:rPr>
        <w:t>,</w:t>
      </w:r>
      <w:r w:rsidRPr="00DF30C4">
        <w:rPr>
          <w:rFonts w:ascii="Book Antiqua" w:eastAsia="Arial Unicode MS" w:hAnsi="Book Antiqua"/>
          <w:sz w:val="24"/>
          <w:szCs w:val="24"/>
        </w:rPr>
        <w:t xml:space="preserve"> Mitsuhiro Akita, Sakuma Takahashi, Keita Harada, Hiroyuki Okada, Kazuhide Yamamoto</w:t>
      </w:r>
    </w:p>
    <w:p w:rsidR="00C172CC" w:rsidRPr="00DF30C4" w:rsidRDefault="00C172CC" w:rsidP="00DF30C4">
      <w:pPr>
        <w:spacing w:line="360" w:lineRule="auto"/>
        <w:rPr>
          <w:rFonts w:ascii="Book Antiqua" w:eastAsia="Arial Unicode MS" w:hAnsi="Book Antiqua"/>
          <w:sz w:val="24"/>
          <w:szCs w:val="24"/>
          <w:lang w:eastAsia="zh-CN"/>
        </w:rPr>
      </w:pPr>
    </w:p>
    <w:p w:rsidR="00C172CC" w:rsidRPr="00DF30C4" w:rsidRDefault="00C172CC" w:rsidP="00DF30C4">
      <w:pPr>
        <w:spacing w:line="360" w:lineRule="auto"/>
        <w:rPr>
          <w:rFonts w:ascii="Book Antiqua" w:eastAsia="Arial Unicode MS" w:hAnsi="Book Antiqua"/>
          <w:b/>
          <w:sz w:val="24"/>
          <w:szCs w:val="24"/>
          <w:lang w:eastAsia="zh-CN"/>
        </w:rPr>
      </w:pPr>
      <w:r w:rsidRPr="00DF30C4">
        <w:rPr>
          <w:rFonts w:ascii="Book Antiqua" w:eastAsia="Arial Unicode MS" w:hAnsi="Book Antiqua"/>
          <w:b/>
          <w:sz w:val="24"/>
          <w:szCs w:val="24"/>
        </w:rPr>
        <w:t xml:space="preserve">Toshihiro Inokuchi, Sakiko Hiraoka, Hideyuki Suzuki, Asuka Nakarai, </w:t>
      </w:r>
      <w:r w:rsidRPr="00DF30C4">
        <w:rPr>
          <w:rFonts w:ascii="Book Antiqua" w:hAnsi="Book Antiqua"/>
          <w:b/>
          <w:kern w:val="1"/>
          <w:sz w:val="24"/>
          <w:szCs w:val="24"/>
          <w:lang w:eastAsia="ar-SA"/>
        </w:rPr>
        <w:t>Tomoko Hirakawa</w:t>
      </w:r>
      <w:r w:rsidRPr="00DF30C4">
        <w:rPr>
          <w:rFonts w:ascii="Book Antiqua" w:hAnsi="Book Antiqua"/>
          <w:b/>
          <w:kern w:val="1"/>
          <w:sz w:val="24"/>
          <w:szCs w:val="24"/>
        </w:rPr>
        <w:t>,</w:t>
      </w:r>
      <w:r w:rsidRPr="00DF30C4">
        <w:rPr>
          <w:rFonts w:ascii="Book Antiqua" w:eastAsia="Arial Unicode MS" w:hAnsi="Book Antiqua"/>
          <w:b/>
          <w:sz w:val="24"/>
          <w:szCs w:val="24"/>
        </w:rPr>
        <w:t xml:space="preserve"> Mitsuhiro Akita, Sakuma Takahashi, Keita Harada, Hiroyuki Okada, Kazuhide Yamamoto</w:t>
      </w:r>
      <w:r w:rsidRPr="00DF30C4">
        <w:rPr>
          <w:rFonts w:ascii="Book Antiqua" w:eastAsia="Arial Unicode MS" w:hAnsi="Book Antiqua"/>
          <w:b/>
          <w:sz w:val="24"/>
          <w:szCs w:val="24"/>
          <w:lang w:eastAsia="zh-CN"/>
        </w:rPr>
        <w:t xml:space="preserve">, </w:t>
      </w:r>
      <w:r w:rsidRPr="00DF30C4">
        <w:rPr>
          <w:rFonts w:ascii="Book Antiqua" w:eastAsia="Arial Unicode MS" w:hAnsi="Book Antiqua"/>
          <w:sz w:val="24"/>
          <w:szCs w:val="24"/>
        </w:rPr>
        <w:t xml:space="preserve">Department of Gastroenterology and Hepatology, Okayama University Graduate School of Medicine, Dentistry and Pharmaceutical Sciences, </w:t>
      </w:r>
      <w:r w:rsidRPr="00DF30C4">
        <w:rPr>
          <w:rFonts w:ascii="Book Antiqua" w:eastAsia="Arial Unicode MS" w:hAnsi="Book Antiqua"/>
          <w:sz w:val="24"/>
          <w:szCs w:val="24"/>
          <w:lang w:val="pl-PL"/>
        </w:rPr>
        <w:t>Okayama 700-8558,</w:t>
      </w:r>
      <w:r w:rsidRPr="00DF30C4">
        <w:rPr>
          <w:rFonts w:ascii="Book Antiqua" w:eastAsia="Arial Unicode MS" w:hAnsi="Book Antiqua"/>
          <w:sz w:val="24"/>
          <w:szCs w:val="24"/>
        </w:rPr>
        <w:t xml:space="preserve"> Japan</w:t>
      </w:r>
    </w:p>
    <w:p w:rsidR="00C172CC" w:rsidRPr="00DF30C4" w:rsidRDefault="00C172CC" w:rsidP="00DF30C4">
      <w:pPr>
        <w:spacing w:line="360" w:lineRule="auto"/>
        <w:rPr>
          <w:rFonts w:ascii="Book Antiqua" w:eastAsia="Arial Unicode MS" w:hAnsi="Book Antiqua"/>
          <w:sz w:val="24"/>
          <w:szCs w:val="24"/>
          <w:lang w:eastAsia="zh-CN"/>
        </w:rPr>
      </w:pPr>
    </w:p>
    <w:p w:rsidR="00C172CC" w:rsidRPr="00DF30C4" w:rsidRDefault="00C172CC" w:rsidP="00DF30C4">
      <w:pPr>
        <w:spacing w:line="360" w:lineRule="auto"/>
        <w:rPr>
          <w:rFonts w:ascii="Book Antiqua" w:eastAsia="Arial Unicode MS" w:hAnsi="Book Antiqua"/>
          <w:sz w:val="24"/>
          <w:szCs w:val="24"/>
        </w:rPr>
      </w:pPr>
      <w:r w:rsidRPr="00DF30C4">
        <w:rPr>
          <w:rFonts w:ascii="Book Antiqua" w:eastAsia="Arial Unicode MS" w:hAnsi="Book Antiqua"/>
          <w:b/>
          <w:sz w:val="24"/>
          <w:szCs w:val="24"/>
        </w:rPr>
        <w:t>Jun Kato,</w:t>
      </w:r>
      <w:r w:rsidRPr="00DF30C4">
        <w:rPr>
          <w:rFonts w:ascii="Book Antiqua" w:eastAsia="Arial Unicode MS" w:hAnsi="Book Antiqua"/>
          <w:sz w:val="24"/>
          <w:szCs w:val="24"/>
          <w:lang w:eastAsia="zh-CN"/>
        </w:rPr>
        <w:t xml:space="preserve"> </w:t>
      </w:r>
      <w:r w:rsidRPr="00DF30C4">
        <w:rPr>
          <w:rFonts w:ascii="Book Antiqua" w:eastAsia="Arial Unicode MS" w:hAnsi="Book Antiqua"/>
          <w:sz w:val="24"/>
          <w:szCs w:val="24"/>
        </w:rPr>
        <w:t>Second Department of Internal Medicine, Wakayama Medical University, Wakayama</w:t>
      </w:r>
      <w:r>
        <w:rPr>
          <w:rFonts w:ascii="Book Antiqua" w:eastAsia="Arial Unicode MS" w:hAnsi="Book Antiqua"/>
          <w:sz w:val="24"/>
          <w:szCs w:val="24"/>
          <w:lang w:eastAsia="zh-CN"/>
        </w:rPr>
        <w:t xml:space="preserve"> </w:t>
      </w:r>
      <w:r w:rsidRPr="0058713E">
        <w:rPr>
          <w:rFonts w:ascii="Book Antiqua" w:eastAsia="Arial Unicode MS" w:hAnsi="Book Antiqua"/>
          <w:sz w:val="24"/>
          <w:szCs w:val="24"/>
          <w:lang w:eastAsia="zh-CN"/>
        </w:rPr>
        <w:t>641-0012</w:t>
      </w:r>
      <w:r w:rsidRPr="00DF30C4">
        <w:rPr>
          <w:rFonts w:ascii="Book Antiqua" w:eastAsia="Arial Unicode MS" w:hAnsi="Book Antiqua"/>
          <w:sz w:val="24"/>
          <w:szCs w:val="24"/>
        </w:rPr>
        <w:t xml:space="preserve">, Japan </w:t>
      </w:r>
    </w:p>
    <w:p w:rsidR="00C172CC" w:rsidRPr="00DF30C4" w:rsidRDefault="00C172CC" w:rsidP="00DF30C4">
      <w:pPr>
        <w:spacing w:line="360" w:lineRule="auto"/>
        <w:rPr>
          <w:rFonts w:ascii="Book Antiqua" w:hAnsi="Book Antiqua"/>
          <w:sz w:val="24"/>
          <w:szCs w:val="24"/>
        </w:rPr>
      </w:pPr>
      <w:r w:rsidRPr="00DF30C4">
        <w:rPr>
          <w:rFonts w:ascii="Book Antiqua" w:hAnsi="Book Antiqua"/>
          <w:sz w:val="24"/>
          <w:szCs w:val="24"/>
        </w:rPr>
        <w:t xml:space="preserve"> </w:t>
      </w:r>
    </w:p>
    <w:p w:rsidR="00C172CC" w:rsidRPr="00DF30C4" w:rsidRDefault="00C172CC" w:rsidP="00DF30C4">
      <w:pPr>
        <w:spacing w:line="360" w:lineRule="auto"/>
        <w:rPr>
          <w:rFonts w:ascii="Book Antiqua" w:hAnsi="Book Antiqua"/>
          <w:sz w:val="24"/>
          <w:szCs w:val="24"/>
        </w:rPr>
      </w:pPr>
      <w:r w:rsidRPr="00DF30C4">
        <w:rPr>
          <w:rFonts w:ascii="Book Antiqua" w:hAnsi="Book Antiqua"/>
          <w:b/>
          <w:sz w:val="24"/>
          <w:szCs w:val="24"/>
        </w:rPr>
        <w:t xml:space="preserve">Author contributions: </w:t>
      </w:r>
      <w:r w:rsidRPr="00DF30C4">
        <w:rPr>
          <w:rFonts w:ascii="Book Antiqua" w:hAnsi="Book Antiqua"/>
          <w:sz w:val="24"/>
          <w:szCs w:val="24"/>
        </w:rPr>
        <w:t>Inokuchi T performed the research; Nakarai A, Hirakawa T, Akita M, Takahashi S and Harada K collected the data; Suzuki H, Kato J and Hiraoka S designed the research study; Inokuchi T wrote the paper; Okada H and Yamamoto K contributed to the design of the study.</w:t>
      </w:r>
    </w:p>
    <w:p w:rsidR="00C172CC" w:rsidRPr="00DF30C4" w:rsidRDefault="00C172CC" w:rsidP="00DF30C4">
      <w:pPr>
        <w:spacing w:line="360" w:lineRule="auto"/>
        <w:ind w:leftChars="270" w:left="567"/>
        <w:rPr>
          <w:rFonts w:ascii="Book Antiqua" w:eastAsia="Arial Unicode MS" w:hAnsi="Book Antiqua"/>
          <w:sz w:val="24"/>
          <w:szCs w:val="24"/>
        </w:rPr>
      </w:pPr>
    </w:p>
    <w:p w:rsidR="00C172CC" w:rsidRPr="00DF30C4" w:rsidRDefault="00C172CC" w:rsidP="00DF30C4">
      <w:pPr>
        <w:spacing w:line="360" w:lineRule="auto"/>
        <w:rPr>
          <w:rStyle w:val="a9"/>
          <w:rFonts w:ascii="Book Antiqua" w:eastAsia="Arial Unicode MS" w:hAnsi="Book Antiqua"/>
          <w:sz w:val="24"/>
          <w:szCs w:val="24"/>
          <w:lang w:eastAsia="zh-CN"/>
        </w:rPr>
      </w:pPr>
      <w:r w:rsidRPr="00DF30C4">
        <w:rPr>
          <w:rFonts w:ascii="Book Antiqua" w:eastAsia="Arial Unicode MS" w:hAnsi="Book Antiqua"/>
          <w:b/>
          <w:sz w:val="24"/>
          <w:szCs w:val="24"/>
        </w:rPr>
        <w:t>Correspondence</w:t>
      </w:r>
      <w:r w:rsidRPr="00DF30C4">
        <w:rPr>
          <w:rFonts w:ascii="Book Antiqua" w:eastAsia="Arial Unicode MS" w:hAnsi="Book Antiqua"/>
          <w:b/>
          <w:sz w:val="24"/>
          <w:szCs w:val="24"/>
          <w:lang w:eastAsia="zh-CN"/>
        </w:rPr>
        <w:t xml:space="preserve"> to</w:t>
      </w:r>
      <w:r w:rsidRPr="00DF30C4">
        <w:rPr>
          <w:rFonts w:ascii="Book Antiqua" w:eastAsia="Arial Unicode MS" w:hAnsi="Book Antiqua"/>
          <w:b/>
          <w:sz w:val="24"/>
          <w:szCs w:val="24"/>
        </w:rPr>
        <w:t>:</w:t>
      </w:r>
      <w:r>
        <w:rPr>
          <w:rFonts w:ascii="Book Antiqua" w:eastAsia="Arial Unicode MS" w:hAnsi="Book Antiqua"/>
          <w:b/>
          <w:sz w:val="24"/>
          <w:szCs w:val="24"/>
          <w:lang w:eastAsia="zh-CN"/>
        </w:rPr>
        <w:t xml:space="preserve"> </w:t>
      </w:r>
      <w:r w:rsidRPr="00DF30C4">
        <w:rPr>
          <w:rFonts w:ascii="Book Antiqua" w:eastAsia="Arial Unicode MS" w:hAnsi="Book Antiqua"/>
          <w:b/>
          <w:sz w:val="24"/>
          <w:szCs w:val="24"/>
        </w:rPr>
        <w:t>Toshihiro Inokuchi, MD</w:t>
      </w:r>
      <w:r w:rsidRPr="00DF30C4">
        <w:rPr>
          <w:rFonts w:ascii="Book Antiqua" w:eastAsia="Arial Unicode MS" w:hAnsi="Book Antiqua"/>
          <w:b/>
          <w:sz w:val="24"/>
          <w:szCs w:val="24"/>
          <w:lang w:eastAsia="zh-CN"/>
        </w:rPr>
        <w:t xml:space="preserve">, </w:t>
      </w:r>
      <w:r w:rsidRPr="00DF30C4">
        <w:rPr>
          <w:rFonts w:ascii="Book Antiqua" w:eastAsia="Arial Unicode MS" w:hAnsi="Book Antiqua"/>
          <w:sz w:val="24"/>
          <w:szCs w:val="24"/>
        </w:rPr>
        <w:t>Department of Gastroenterology and Hepatology,</w:t>
      </w:r>
      <w:r w:rsidRPr="00DF30C4">
        <w:rPr>
          <w:rFonts w:ascii="Book Antiqua" w:eastAsia="Arial Unicode MS" w:hAnsi="Book Antiqua"/>
          <w:b/>
          <w:sz w:val="24"/>
          <w:szCs w:val="24"/>
          <w:lang w:eastAsia="zh-CN"/>
        </w:rPr>
        <w:t xml:space="preserve"> </w:t>
      </w:r>
      <w:r w:rsidRPr="00DF30C4">
        <w:rPr>
          <w:rFonts w:ascii="Book Antiqua" w:eastAsia="Arial Unicode MS" w:hAnsi="Book Antiqua"/>
          <w:sz w:val="24"/>
          <w:szCs w:val="24"/>
        </w:rPr>
        <w:t>Okayama University Graduate School of Medicine, Dentistry and Pharmaceutical Sciences,</w:t>
      </w:r>
      <w:r w:rsidRPr="00DF30C4">
        <w:rPr>
          <w:rFonts w:ascii="Book Antiqua" w:eastAsia="Arial Unicode MS" w:hAnsi="Book Antiqua"/>
          <w:sz w:val="24"/>
          <w:szCs w:val="24"/>
          <w:lang w:val="pl-PL"/>
        </w:rPr>
        <w:t>2-5-1 Shikata-cho, Kita-ku, Okayama 700-8558, Japan</w:t>
      </w:r>
      <w:r w:rsidRPr="00DF30C4">
        <w:rPr>
          <w:rFonts w:ascii="Book Antiqua" w:eastAsia="Arial Unicode MS" w:hAnsi="Book Antiqua"/>
          <w:sz w:val="24"/>
          <w:szCs w:val="24"/>
          <w:lang w:val="pl-PL" w:eastAsia="zh-CN"/>
        </w:rPr>
        <w:t>.</w:t>
      </w:r>
      <w:r w:rsidRPr="00DF30C4">
        <w:rPr>
          <w:rFonts w:ascii="Book Antiqua" w:eastAsia="Arial Unicode MS" w:hAnsi="Book Antiqua"/>
          <w:sz w:val="24"/>
          <w:szCs w:val="24"/>
        </w:rPr>
        <w:t xml:space="preserve"> </w:t>
      </w:r>
      <w:hyperlink r:id="rId8" w:history="1">
        <w:r w:rsidRPr="00DF30C4">
          <w:rPr>
            <w:rStyle w:val="a9"/>
            <w:rFonts w:ascii="Book Antiqua" w:eastAsia="Arial Unicode MS" w:hAnsi="Book Antiqua"/>
            <w:sz w:val="24"/>
            <w:szCs w:val="24"/>
          </w:rPr>
          <w:t>toshpi@yahoo.co.jp</w:t>
        </w:r>
      </w:hyperlink>
    </w:p>
    <w:p w:rsidR="00C172CC" w:rsidRPr="00DF30C4" w:rsidRDefault="00C172CC" w:rsidP="00DF30C4">
      <w:pPr>
        <w:spacing w:line="360" w:lineRule="auto"/>
        <w:rPr>
          <w:rFonts w:ascii="Book Antiqua" w:eastAsia="Arial Unicode MS" w:hAnsi="Book Antiqua"/>
          <w:sz w:val="24"/>
          <w:szCs w:val="24"/>
          <w:lang w:eastAsia="zh-CN"/>
        </w:rPr>
      </w:pPr>
    </w:p>
    <w:p w:rsidR="00C172CC" w:rsidRPr="00DF30C4" w:rsidRDefault="00C172CC" w:rsidP="00DF30C4">
      <w:pPr>
        <w:spacing w:line="360" w:lineRule="auto"/>
        <w:rPr>
          <w:rFonts w:ascii="Book Antiqua" w:eastAsia="Arial Unicode MS" w:hAnsi="Book Antiqua"/>
          <w:sz w:val="24"/>
          <w:szCs w:val="24"/>
        </w:rPr>
      </w:pPr>
      <w:r w:rsidRPr="00DF30C4">
        <w:rPr>
          <w:rFonts w:ascii="Book Antiqua" w:hAnsi="Book Antiqua"/>
          <w:b/>
          <w:sz w:val="24"/>
          <w:szCs w:val="24"/>
        </w:rPr>
        <w:t>Telephone:</w:t>
      </w:r>
      <w:r>
        <w:rPr>
          <w:rFonts w:ascii="Book Antiqua" w:hAnsi="Book Antiqua"/>
          <w:sz w:val="24"/>
          <w:szCs w:val="24"/>
        </w:rPr>
        <w:t xml:space="preserve"> </w:t>
      </w:r>
      <w:r w:rsidRPr="00DF30C4">
        <w:rPr>
          <w:rFonts w:ascii="Book Antiqua" w:eastAsia="Arial Unicode MS" w:hAnsi="Book Antiqua"/>
          <w:sz w:val="24"/>
          <w:szCs w:val="24"/>
        </w:rPr>
        <w:t>+81-86-2357219</w:t>
      </w:r>
      <w:r w:rsidRPr="00DF30C4">
        <w:rPr>
          <w:rFonts w:ascii="Book Antiqua" w:hAnsi="Book Antiqua"/>
          <w:b/>
          <w:sz w:val="24"/>
          <w:szCs w:val="24"/>
        </w:rPr>
        <w:t xml:space="preserve">Fax: </w:t>
      </w:r>
      <w:r w:rsidRPr="00DF30C4">
        <w:rPr>
          <w:rFonts w:ascii="Book Antiqua" w:eastAsia="Arial Unicode MS" w:hAnsi="Book Antiqua"/>
          <w:sz w:val="24"/>
          <w:szCs w:val="24"/>
        </w:rPr>
        <w:t>+81-86-2255991</w:t>
      </w:r>
    </w:p>
    <w:p w:rsidR="00C172CC" w:rsidRPr="00DF30C4" w:rsidRDefault="00C172CC" w:rsidP="00DF30C4">
      <w:pPr>
        <w:spacing w:line="360" w:lineRule="auto"/>
        <w:rPr>
          <w:rFonts w:ascii="Book Antiqua" w:hAnsi="Book Antiqua"/>
          <w:sz w:val="24"/>
          <w:szCs w:val="24"/>
        </w:rPr>
      </w:pPr>
    </w:p>
    <w:p w:rsidR="00C172CC" w:rsidRPr="00DF30C4" w:rsidRDefault="00C172CC" w:rsidP="00DF30C4">
      <w:pPr>
        <w:spacing w:line="360" w:lineRule="auto"/>
        <w:rPr>
          <w:rFonts w:ascii="Book Antiqua" w:eastAsia="宋体" w:hAnsi="Book Antiqua"/>
          <w:sz w:val="24"/>
          <w:szCs w:val="24"/>
          <w:lang w:eastAsia="zh-CN"/>
        </w:rPr>
      </w:pPr>
      <w:r w:rsidRPr="00DF30C4">
        <w:rPr>
          <w:rFonts w:ascii="Book Antiqua" w:hAnsi="Book Antiqua"/>
          <w:b/>
          <w:sz w:val="24"/>
          <w:szCs w:val="24"/>
        </w:rPr>
        <w:t>Received:</w:t>
      </w:r>
      <w:r>
        <w:rPr>
          <w:rFonts w:ascii="Book Antiqua" w:hAnsi="Book Antiqua"/>
          <w:b/>
          <w:sz w:val="24"/>
          <w:szCs w:val="24"/>
        </w:rPr>
        <w:t xml:space="preserve"> </w:t>
      </w:r>
      <w:r w:rsidRPr="00DF30C4">
        <w:rPr>
          <w:rFonts w:ascii="Book Antiqua" w:eastAsia="宋体" w:hAnsi="Book Antiqua"/>
          <w:sz w:val="24"/>
          <w:szCs w:val="24"/>
          <w:lang w:eastAsia="zh-CN"/>
        </w:rPr>
        <w:t>August 5, 2013</w:t>
      </w:r>
      <w:r>
        <w:rPr>
          <w:rFonts w:ascii="Book Antiqua" w:eastAsia="宋体" w:hAnsi="Book Antiqua"/>
          <w:sz w:val="24"/>
          <w:szCs w:val="24"/>
          <w:lang w:eastAsia="zh-CN"/>
        </w:rPr>
        <w:t xml:space="preserve"> </w:t>
      </w:r>
      <w:r w:rsidRPr="00DF30C4">
        <w:rPr>
          <w:rFonts w:ascii="Book Antiqua" w:hAnsi="Book Antiqua"/>
          <w:b/>
          <w:sz w:val="24"/>
          <w:szCs w:val="24"/>
        </w:rPr>
        <w:t>Revised:</w:t>
      </w:r>
      <w:r>
        <w:rPr>
          <w:rFonts w:ascii="Book Antiqua" w:hAnsi="Book Antiqua"/>
          <w:b/>
          <w:sz w:val="24"/>
          <w:szCs w:val="24"/>
        </w:rPr>
        <w:t xml:space="preserve"> </w:t>
      </w:r>
      <w:r w:rsidRPr="00DF30C4">
        <w:rPr>
          <w:rFonts w:ascii="Book Antiqua" w:eastAsia="宋体" w:hAnsi="Book Antiqua"/>
          <w:sz w:val="24"/>
          <w:szCs w:val="24"/>
          <w:lang w:eastAsia="zh-CN"/>
        </w:rPr>
        <w:t>September 29, 2013</w:t>
      </w:r>
    </w:p>
    <w:p w:rsidR="00DD542A" w:rsidRPr="00DE65F2" w:rsidRDefault="00C172CC" w:rsidP="00DD542A">
      <w:pPr>
        <w:rPr>
          <w:rFonts w:ascii="Book Antiqua" w:hAnsi="Book Antiqua"/>
          <w:sz w:val="24"/>
          <w:szCs w:val="24"/>
        </w:rPr>
      </w:pPr>
      <w:r w:rsidRPr="00DF30C4">
        <w:rPr>
          <w:rFonts w:ascii="Book Antiqua" w:hAnsi="Book Antiqua"/>
          <w:b/>
          <w:sz w:val="24"/>
          <w:szCs w:val="24"/>
        </w:rPr>
        <w:t>Accepted:</w:t>
      </w:r>
      <w:r>
        <w:rPr>
          <w:rFonts w:ascii="Book Antiqua" w:hAnsi="Book Antiqua"/>
          <w:b/>
          <w:sz w:val="24"/>
          <w:szCs w:val="24"/>
        </w:rPr>
        <w:t xml:space="preserve"> </w:t>
      </w:r>
      <w:r w:rsidR="00DD542A" w:rsidRPr="00DE65F2">
        <w:rPr>
          <w:rFonts w:ascii="Book Antiqua" w:hAnsi="Book Antiqua"/>
          <w:sz w:val="24"/>
          <w:szCs w:val="24"/>
        </w:rPr>
        <w:t>October 19, 2013</w:t>
      </w:r>
    </w:p>
    <w:p w:rsidR="00C172CC" w:rsidRPr="00DF30C4" w:rsidRDefault="00C172CC" w:rsidP="00DF30C4">
      <w:pPr>
        <w:spacing w:line="360" w:lineRule="auto"/>
        <w:rPr>
          <w:rFonts w:ascii="Book Antiqua" w:hAnsi="Book Antiqua"/>
          <w:b/>
          <w:sz w:val="24"/>
          <w:szCs w:val="24"/>
        </w:rPr>
      </w:pPr>
    </w:p>
    <w:p w:rsidR="00C172CC" w:rsidRPr="00DF30C4" w:rsidRDefault="00C172CC" w:rsidP="00DF30C4">
      <w:pPr>
        <w:spacing w:line="360" w:lineRule="auto"/>
        <w:rPr>
          <w:rFonts w:ascii="Book Antiqua" w:hAnsi="Book Antiqua"/>
          <w:b/>
          <w:sz w:val="24"/>
          <w:szCs w:val="24"/>
        </w:rPr>
      </w:pPr>
      <w:r w:rsidRPr="00DF30C4">
        <w:rPr>
          <w:rFonts w:ascii="Book Antiqua" w:hAnsi="Book Antiqua"/>
          <w:b/>
          <w:sz w:val="24"/>
          <w:szCs w:val="24"/>
        </w:rPr>
        <w:t xml:space="preserve">Published online: </w:t>
      </w:r>
    </w:p>
    <w:p w:rsidR="00C172CC" w:rsidRPr="00DF30C4" w:rsidRDefault="00C172CC" w:rsidP="00DF30C4">
      <w:pPr>
        <w:widowControl/>
        <w:spacing w:line="360" w:lineRule="auto"/>
        <w:jc w:val="left"/>
        <w:rPr>
          <w:rFonts w:ascii="Book Antiqua" w:eastAsia="Arial Unicode MS" w:hAnsi="Book Antiqua"/>
          <w:sz w:val="24"/>
          <w:szCs w:val="24"/>
          <w:lang w:eastAsia="zh-CN"/>
        </w:rPr>
      </w:pPr>
    </w:p>
    <w:p w:rsidR="00C172CC" w:rsidRPr="00DF30C4" w:rsidRDefault="00C172CC" w:rsidP="00DF30C4">
      <w:pPr>
        <w:widowControl/>
        <w:spacing w:line="360" w:lineRule="auto"/>
        <w:jc w:val="left"/>
        <w:rPr>
          <w:rFonts w:ascii="Book Antiqua" w:eastAsia="Arial Unicode MS" w:hAnsi="Book Antiqua"/>
          <w:sz w:val="24"/>
          <w:szCs w:val="24"/>
        </w:rPr>
      </w:pPr>
      <w:r w:rsidRPr="00DF30C4">
        <w:rPr>
          <w:rFonts w:ascii="Book Antiqua" w:hAnsi="Book Antiqua"/>
          <w:b/>
          <w:sz w:val="24"/>
          <w:szCs w:val="24"/>
        </w:rPr>
        <w:t>Abstract</w:t>
      </w:r>
    </w:p>
    <w:p w:rsidR="00C172CC" w:rsidRPr="00DF30C4" w:rsidRDefault="00C172CC" w:rsidP="00DF30C4">
      <w:pPr>
        <w:widowControl/>
        <w:spacing w:line="360" w:lineRule="auto"/>
        <w:rPr>
          <w:rFonts w:ascii="Book Antiqua" w:eastAsia="宋体" w:hAnsi="Book Antiqua"/>
          <w:kern w:val="0"/>
          <w:sz w:val="24"/>
          <w:szCs w:val="24"/>
          <w:lang w:eastAsia="zh-CN"/>
        </w:rPr>
      </w:pPr>
      <w:r w:rsidRPr="00DF30C4">
        <w:rPr>
          <w:rFonts w:ascii="Book Antiqua" w:hAnsi="Book Antiqua"/>
          <w:b/>
          <w:kern w:val="0"/>
          <w:sz w:val="24"/>
          <w:szCs w:val="24"/>
        </w:rPr>
        <w:t>AIM:</w:t>
      </w:r>
      <w:r w:rsidRPr="00DF30C4">
        <w:rPr>
          <w:rFonts w:ascii="Book Antiqua" w:hAnsi="Book Antiqua"/>
          <w:kern w:val="0"/>
          <w:sz w:val="24"/>
          <w:szCs w:val="24"/>
        </w:rPr>
        <w:t xml:space="preserve"> To clarify the impact of cytomegalovirus (CMV) activation and antiviral therapy based on CMV antigen status on the long-term clinical course of ulcerative colitis (UC) patients.</w:t>
      </w:r>
    </w:p>
    <w:p w:rsidR="00C172CC" w:rsidRPr="00DF30C4" w:rsidRDefault="00C172CC" w:rsidP="00DF30C4">
      <w:pPr>
        <w:widowControl/>
        <w:spacing w:line="360" w:lineRule="auto"/>
        <w:rPr>
          <w:rFonts w:ascii="Book Antiqua" w:eastAsia="宋体" w:hAnsi="Book Antiqua"/>
          <w:kern w:val="0"/>
          <w:sz w:val="24"/>
          <w:szCs w:val="24"/>
          <w:lang w:eastAsia="zh-CN"/>
        </w:rPr>
      </w:pPr>
    </w:p>
    <w:p w:rsidR="00C172CC" w:rsidRPr="00DF30C4" w:rsidRDefault="00C172CC" w:rsidP="00DF30C4">
      <w:pPr>
        <w:widowControl/>
        <w:spacing w:line="360" w:lineRule="auto"/>
        <w:rPr>
          <w:rFonts w:ascii="Book Antiqua" w:eastAsia="Arial Unicode MS" w:hAnsi="Book Antiqua"/>
          <w:iCs/>
          <w:sz w:val="24"/>
          <w:szCs w:val="24"/>
          <w:lang w:eastAsia="zh-CN"/>
        </w:rPr>
      </w:pPr>
      <w:r w:rsidRPr="00DF30C4">
        <w:rPr>
          <w:rFonts w:ascii="Book Antiqua" w:hAnsi="Book Antiqua"/>
          <w:b/>
          <w:kern w:val="0"/>
          <w:sz w:val="24"/>
          <w:szCs w:val="24"/>
        </w:rPr>
        <w:t>METHODS:</w:t>
      </w:r>
      <w:r w:rsidRPr="00DF30C4">
        <w:rPr>
          <w:rFonts w:ascii="Book Antiqua" w:hAnsi="Book Antiqua"/>
          <w:b/>
          <w:i/>
          <w:kern w:val="0"/>
          <w:sz w:val="24"/>
          <w:szCs w:val="24"/>
        </w:rPr>
        <w:t xml:space="preserve"> </w:t>
      </w:r>
      <w:r w:rsidRPr="00DF30C4">
        <w:rPr>
          <w:rFonts w:ascii="Book Antiqua" w:hAnsi="Book Antiqua"/>
          <w:sz w:val="24"/>
          <w:szCs w:val="24"/>
        </w:rPr>
        <w:t xml:space="preserve">UC patients with flare-up were </w:t>
      </w:r>
      <w:r w:rsidRPr="00DF30C4">
        <w:rPr>
          <w:rFonts w:ascii="Book Antiqua" w:eastAsia="Arial Unicode MS" w:hAnsi="Book Antiqua"/>
          <w:sz w:val="24"/>
          <w:szCs w:val="24"/>
        </w:rPr>
        <w:t>divided into CMV-positive and -negative groups according to the CMV antigenemia assay. T</w:t>
      </w:r>
      <w:r w:rsidRPr="00DF30C4">
        <w:rPr>
          <w:rFonts w:ascii="Book Antiqua" w:eastAsia="Arial Unicode MS" w:hAnsi="Book Antiqua"/>
          <w:iCs/>
          <w:sz w:val="24"/>
          <w:szCs w:val="24"/>
        </w:rPr>
        <w:t>he main treatment strategy provided for the patients in the CMV-positive group comprised of a dose reduction of corticosteroids and administration of ganciclovir.</w:t>
      </w:r>
    </w:p>
    <w:p w:rsidR="00C172CC" w:rsidRPr="00DF30C4" w:rsidRDefault="00C172CC" w:rsidP="00DF30C4">
      <w:pPr>
        <w:widowControl/>
        <w:spacing w:line="360" w:lineRule="auto"/>
        <w:rPr>
          <w:rFonts w:ascii="Book Antiqua" w:eastAsia="Arial Unicode MS" w:hAnsi="Book Antiqua"/>
          <w:iCs/>
          <w:sz w:val="24"/>
          <w:szCs w:val="24"/>
          <w:lang w:eastAsia="zh-CN"/>
        </w:rPr>
      </w:pPr>
    </w:p>
    <w:p w:rsidR="00C172CC" w:rsidRPr="00DF30C4" w:rsidRDefault="00C172CC" w:rsidP="00DF30C4">
      <w:pPr>
        <w:widowControl/>
        <w:spacing w:line="360" w:lineRule="auto"/>
        <w:rPr>
          <w:rFonts w:ascii="Book Antiqua" w:eastAsia="Arial Unicode MS" w:hAnsi="Book Antiqua"/>
          <w:sz w:val="24"/>
          <w:szCs w:val="24"/>
          <w:lang w:eastAsia="zh-CN"/>
        </w:rPr>
      </w:pPr>
      <w:r w:rsidRPr="00DF30C4">
        <w:rPr>
          <w:rFonts w:ascii="Book Antiqua" w:hAnsi="Book Antiqua"/>
          <w:b/>
          <w:kern w:val="0"/>
          <w:sz w:val="24"/>
          <w:szCs w:val="24"/>
        </w:rPr>
        <w:t>RESULTS</w:t>
      </w:r>
      <w:r w:rsidRPr="00DF30C4">
        <w:rPr>
          <w:rFonts w:ascii="Book Antiqua" w:hAnsi="Book Antiqua"/>
          <w:b/>
          <w:i/>
          <w:kern w:val="0"/>
          <w:sz w:val="24"/>
          <w:szCs w:val="24"/>
        </w:rPr>
        <w:t>:</w:t>
      </w:r>
      <w:r w:rsidRPr="00DF30C4">
        <w:rPr>
          <w:rFonts w:ascii="Book Antiqua" w:eastAsia="Arial Unicode MS" w:hAnsi="Book Antiqua"/>
          <w:sz w:val="24"/>
          <w:szCs w:val="24"/>
        </w:rPr>
        <w:t xml:space="preserve"> </w:t>
      </w:r>
      <w:r w:rsidRPr="00DF30C4">
        <w:rPr>
          <w:rFonts w:ascii="Book Antiqua" w:hAnsi="Book Antiqua"/>
          <w:sz w:val="24"/>
          <w:szCs w:val="24"/>
        </w:rPr>
        <w:t>The median number of days to initial remission was significantly greater for the patients in the CMV-positive group (21 d</w:t>
      </w:r>
      <w:r w:rsidRPr="00DF30C4">
        <w:rPr>
          <w:rFonts w:ascii="Book Antiqua" w:eastAsia="宋体" w:hAnsi="Book Antiqua"/>
          <w:sz w:val="24"/>
          <w:szCs w:val="24"/>
          <w:lang w:eastAsia="zh-CN"/>
        </w:rPr>
        <w:t xml:space="preserve"> </w:t>
      </w:r>
      <w:r w:rsidRPr="00DF30C4">
        <w:rPr>
          <w:rFonts w:ascii="Book Antiqua" w:hAnsi="Book Antiqua"/>
          <w:i/>
          <w:sz w:val="24"/>
          <w:szCs w:val="24"/>
        </w:rPr>
        <w:t xml:space="preserve">vs </w:t>
      </w:r>
      <w:r w:rsidRPr="00DF30C4">
        <w:rPr>
          <w:rFonts w:ascii="Book Antiqua" w:hAnsi="Book Antiqua"/>
          <w:sz w:val="24"/>
          <w:szCs w:val="24"/>
        </w:rPr>
        <w:t xml:space="preserve">16 d, </w:t>
      </w:r>
      <w:r w:rsidRPr="00DF30C4">
        <w:rPr>
          <w:rFonts w:ascii="Book Antiqua" w:hAnsi="Book Antiqua"/>
          <w:i/>
          <w:sz w:val="24"/>
          <w:szCs w:val="24"/>
        </w:rPr>
        <w:t>P</w:t>
      </w:r>
      <w:r w:rsidRPr="00DF30C4">
        <w:rPr>
          <w:rFonts w:ascii="Book Antiqua" w:hAnsi="Book Antiqua"/>
          <w:sz w:val="24"/>
          <w:szCs w:val="24"/>
        </w:rPr>
        <w:t xml:space="preserve"> = 0.009). However, the relapse rate after remission and colectomy rate during more than 30 months of observation did not differ between the two groups. Multivariate analysis revealed that administration of ganciclovir was the only factor for avoiding colectomy in patients of the </w:t>
      </w:r>
      <w:r w:rsidRPr="00DF30C4">
        <w:rPr>
          <w:rFonts w:ascii="Book Antiqua" w:eastAsia="Arial Unicode MS" w:hAnsi="Book Antiqua"/>
          <w:sz w:val="24"/>
          <w:szCs w:val="24"/>
        </w:rPr>
        <w:t>CMV-positive group.</w:t>
      </w:r>
    </w:p>
    <w:p w:rsidR="00C172CC" w:rsidRPr="00DF30C4" w:rsidRDefault="00C172CC" w:rsidP="00DF30C4">
      <w:pPr>
        <w:widowControl/>
        <w:spacing w:line="360" w:lineRule="auto"/>
        <w:rPr>
          <w:rFonts w:ascii="Book Antiqua" w:eastAsia="Arial Unicode MS" w:hAnsi="Book Antiqua"/>
          <w:sz w:val="24"/>
          <w:szCs w:val="24"/>
          <w:lang w:eastAsia="zh-CN"/>
        </w:rPr>
      </w:pPr>
    </w:p>
    <w:p w:rsidR="00C172CC" w:rsidRPr="00DF30C4" w:rsidRDefault="00C172CC" w:rsidP="00DF30C4">
      <w:pPr>
        <w:widowControl/>
        <w:spacing w:line="360" w:lineRule="auto"/>
        <w:rPr>
          <w:rFonts w:ascii="Book Antiqua" w:eastAsia="MS PGothic" w:hAnsi="Book Antiqua"/>
          <w:sz w:val="24"/>
          <w:szCs w:val="24"/>
        </w:rPr>
      </w:pPr>
      <w:r w:rsidRPr="00DF30C4">
        <w:rPr>
          <w:rFonts w:ascii="Book Antiqua" w:hAnsi="Book Antiqua"/>
          <w:b/>
          <w:kern w:val="0"/>
          <w:sz w:val="24"/>
          <w:szCs w:val="24"/>
        </w:rPr>
        <w:t>CONCLUSION</w:t>
      </w:r>
      <w:r w:rsidRPr="00DF30C4">
        <w:rPr>
          <w:rFonts w:ascii="Book Antiqua" w:hAnsi="Book Antiqua"/>
          <w:b/>
          <w:i/>
          <w:kern w:val="0"/>
          <w:sz w:val="24"/>
          <w:szCs w:val="24"/>
        </w:rPr>
        <w:t>:</w:t>
      </w:r>
      <w:r w:rsidRPr="00DF30C4">
        <w:rPr>
          <w:rFonts w:ascii="Book Antiqua" w:hAnsi="Book Antiqua"/>
          <w:kern w:val="0"/>
          <w:sz w:val="24"/>
          <w:szCs w:val="24"/>
        </w:rPr>
        <w:t xml:space="preserve"> </w:t>
      </w:r>
      <w:r w:rsidRPr="00DF30C4">
        <w:rPr>
          <w:rFonts w:ascii="Book Antiqua" w:eastAsia="MS PGothic" w:hAnsi="Book Antiqua"/>
          <w:sz w:val="24"/>
          <w:szCs w:val="24"/>
        </w:rPr>
        <w:t>CMV antigen status did not significantly affect the long-term prognosis in UC patients under treatment with appropriate antiviral therapy.</w:t>
      </w:r>
    </w:p>
    <w:p w:rsidR="00C172CC" w:rsidRPr="00DF30C4" w:rsidRDefault="00C172CC" w:rsidP="00DF30C4">
      <w:pPr>
        <w:spacing w:line="360" w:lineRule="auto"/>
        <w:rPr>
          <w:rFonts w:ascii="Book Antiqua" w:eastAsia="宋体" w:hAnsi="Book Antiqua"/>
          <w:sz w:val="24"/>
          <w:szCs w:val="24"/>
          <w:lang w:eastAsia="zh-CN"/>
        </w:rPr>
      </w:pPr>
    </w:p>
    <w:p w:rsidR="00C172CC" w:rsidRPr="00DF30C4" w:rsidRDefault="00C172CC" w:rsidP="00DF30C4">
      <w:pPr>
        <w:spacing w:line="360" w:lineRule="auto"/>
        <w:rPr>
          <w:rFonts w:ascii="Book Antiqua" w:hAnsi="Book Antiqua"/>
          <w:sz w:val="24"/>
          <w:szCs w:val="24"/>
        </w:rPr>
      </w:pPr>
      <w:r w:rsidRPr="00DF30C4">
        <w:rPr>
          <w:rFonts w:ascii="Book Antiqua" w:hAnsi="Book Antiqua"/>
          <w:sz w:val="24"/>
          <w:szCs w:val="24"/>
        </w:rPr>
        <w:sym w:font="Symbol" w:char="F0D3"/>
      </w:r>
      <w:r w:rsidRPr="00DF30C4">
        <w:rPr>
          <w:rFonts w:ascii="Book Antiqua" w:hAnsi="Book Antiqua"/>
          <w:sz w:val="24"/>
          <w:szCs w:val="24"/>
        </w:rPr>
        <w:t xml:space="preserve"> 2013 Baishideng. All rights reserved.</w:t>
      </w:r>
    </w:p>
    <w:p w:rsidR="00C172CC" w:rsidRPr="00DF30C4" w:rsidRDefault="00C172CC" w:rsidP="00DF30C4">
      <w:pPr>
        <w:widowControl/>
        <w:spacing w:line="360" w:lineRule="auto"/>
        <w:rPr>
          <w:rFonts w:ascii="Book Antiqua" w:eastAsia="MS PGothic" w:hAnsi="Book Antiqua"/>
          <w:sz w:val="24"/>
          <w:szCs w:val="24"/>
        </w:rPr>
      </w:pPr>
    </w:p>
    <w:p w:rsidR="00C172CC" w:rsidRPr="00DF30C4" w:rsidRDefault="00C172CC" w:rsidP="00DF30C4">
      <w:pPr>
        <w:spacing w:line="360" w:lineRule="auto"/>
        <w:rPr>
          <w:rFonts w:ascii="Book Antiqua" w:eastAsia="Arial Unicode MS" w:hAnsi="Book Antiqua"/>
          <w:sz w:val="24"/>
          <w:szCs w:val="24"/>
          <w:lang w:eastAsia="zh-CN"/>
        </w:rPr>
      </w:pPr>
      <w:r w:rsidRPr="00DF30C4">
        <w:rPr>
          <w:rFonts w:ascii="Book Antiqua" w:eastAsia="Arial Unicode MS" w:hAnsi="Book Antiqua"/>
          <w:b/>
          <w:sz w:val="24"/>
          <w:szCs w:val="24"/>
        </w:rPr>
        <w:t xml:space="preserve">Key words: </w:t>
      </w:r>
      <w:r w:rsidRPr="00DF30C4">
        <w:rPr>
          <w:rFonts w:ascii="Book Antiqua" w:eastAsia="Arial Unicode MS" w:hAnsi="Book Antiqua"/>
          <w:sz w:val="24"/>
          <w:szCs w:val="24"/>
        </w:rPr>
        <w:t>Ulcerative colitis; Cytomegalovirus; Cytomegalovirus antigenemia assay</w:t>
      </w:r>
    </w:p>
    <w:p w:rsidR="00C172CC" w:rsidRPr="00DF30C4" w:rsidRDefault="00C172CC" w:rsidP="00DF30C4">
      <w:pPr>
        <w:spacing w:line="360" w:lineRule="auto"/>
        <w:rPr>
          <w:rFonts w:ascii="Book Antiqua" w:eastAsia="Arial Unicode MS" w:hAnsi="Book Antiqua"/>
          <w:sz w:val="24"/>
          <w:szCs w:val="24"/>
          <w:lang w:eastAsia="zh-CN"/>
        </w:rPr>
      </w:pPr>
    </w:p>
    <w:p w:rsidR="00C172CC" w:rsidRPr="00DF30C4" w:rsidRDefault="00C172CC" w:rsidP="00DF30C4">
      <w:pPr>
        <w:spacing w:line="360" w:lineRule="auto"/>
        <w:rPr>
          <w:rFonts w:ascii="Book Antiqua" w:eastAsia="宋体" w:hAnsi="Book Antiqua"/>
          <w:sz w:val="24"/>
          <w:szCs w:val="24"/>
          <w:lang w:eastAsia="zh-CN"/>
        </w:rPr>
      </w:pPr>
      <w:r w:rsidRPr="00DF30C4">
        <w:rPr>
          <w:rFonts w:ascii="Book Antiqua" w:hAnsi="Book Antiqua"/>
          <w:b/>
          <w:sz w:val="24"/>
          <w:szCs w:val="24"/>
        </w:rPr>
        <w:t>Core tip:</w:t>
      </w:r>
      <w:r w:rsidRPr="00DF30C4">
        <w:rPr>
          <w:rFonts w:ascii="Book Antiqua" w:hAnsi="Book Antiqua"/>
          <w:sz w:val="24"/>
          <w:szCs w:val="24"/>
        </w:rPr>
        <w:t xml:space="preserve"> Cytomegalovirus (CMV) reactivation plays a deleterious role in patients with ulcerative colitis (UC). Although antiviral therapy for UC with positive CMV antigen may be effective in the short-term, long-term prognosis of UC patients with CMV treated by antiviral </w:t>
      </w:r>
      <w:r w:rsidRPr="00DF30C4">
        <w:rPr>
          <w:rFonts w:ascii="Book Antiqua" w:hAnsi="Book Antiqua"/>
          <w:sz w:val="24"/>
          <w:szCs w:val="24"/>
        </w:rPr>
        <w:lastRenderedPageBreak/>
        <w:t>agents is not fully known. Our study revealed that positive CMV antigen status is likely to prolong time to remission in the treatment of flare-up of UC, but long-term prognosis including colectomy rate was not affected by CMV antigen status treated with antiviral agents. Ganciclovir use is an independent factor for avoidance of colectomy in UC patients positive for CMV antigen.</w:t>
      </w:r>
    </w:p>
    <w:p w:rsidR="00C172CC" w:rsidRPr="00DF30C4" w:rsidRDefault="00C172CC" w:rsidP="00DF30C4">
      <w:pPr>
        <w:spacing w:line="360" w:lineRule="auto"/>
        <w:rPr>
          <w:rFonts w:ascii="Book Antiqua" w:eastAsia="宋体" w:hAnsi="Book Antiqua" w:cs="Arial Unicode MS"/>
          <w:b/>
          <w:sz w:val="24"/>
          <w:szCs w:val="24"/>
          <w:lang w:eastAsia="zh-CN"/>
        </w:rPr>
      </w:pPr>
    </w:p>
    <w:p w:rsidR="00C172CC" w:rsidRPr="00DF30C4" w:rsidRDefault="00C172CC" w:rsidP="00DF30C4">
      <w:pPr>
        <w:spacing w:line="360" w:lineRule="auto"/>
        <w:rPr>
          <w:rFonts w:ascii="Book Antiqua" w:eastAsia="Arial Unicode MS" w:hAnsi="Book Antiqua"/>
          <w:sz w:val="24"/>
          <w:szCs w:val="24"/>
          <w:lang w:eastAsia="zh-CN"/>
        </w:rPr>
      </w:pPr>
      <w:r w:rsidRPr="00DF30C4">
        <w:rPr>
          <w:rFonts w:ascii="Book Antiqua" w:eastAsia="Arial Unicode MS" w:hAnsi="Book Antiqua"/>
          <w:sz w:val="24"/>
          <w:szCs w:val="24"/>
        </w:rPr>
        <w:t>Inokuchi T, Kato</w:t>
      </w:r>
      <w:r w:rsidRPr="00DF30C4">
        <w:rPr>
          <w:rFonts w:ascii="Book Antiqua" w:eastAsia="Arial Unicode MS" w:hAnsi="Book Antiqua"/>
          <w:sz w:val="24"/>
          <w:szCs w:val="24"/>
          <w:lang w:eastAsia="zh-CN"/>
        </w:rPr>
        <w:t xml:space="preserve"> </w:t>
      </w:r>
      <w:r w:rsidRPr="00DF30C4">
        <w:rPr>
          <w:rFonts w:ascii="Book Antiqua" w:eastAsia="Arial Unicode MS" w:hAnsi="Book Antiqua"/>
          <w:sz w:val="24"/>
          <w:szCs w:val="24"/>
        </w:rPr>
        <w:t>J, Hiraoka S,</w:t>
      </w:r>
      <w:r>
        <w:rPr>
          <w:rFonts w:ascii="Book Antiqua" w:eastAsia="Arial Unicode MS" w:hAnsi="Book Antiqua"/>
          <w:sz w:val="24"/>
          <w:szCs w:val="24"/>
          <w:lang w:eastAsia="zh-CN"/>
        </w:rPr>
        <w:t xml:space="preserve"> </w:t>
      </w:r>
      <w:r w:rsidRPr="00DF30C4">
        <w:rPr>
          <w:rFonts w:ascii="Book Antiqua" w:eastAsia="Arial Unicode MS" w:hAnsi="Book Antiqua"/>
          <w:sz w:val="24"/>
          <w:szCs w:val="24"/>
        </w:rPr>
        <w:t xml:space="preserve">Suzuki H, Nakarai A, </w:t>
      </w:r>
      <w:r w:rsidRPr="00DF30C4">
        <w:rPr>
          <w:rFonts w:ascii="Book Antiqua" w:hAnsi="Book Antiqua"/>
          <w:kern w:val="1"/>
          <w:sz w:val="24"/>
          <w:szCs w:val="24"/>
          <w:lang w:eastAsia="ar-SA"/>
        </w:rPr>
        <w:t>Hirakawa T</w:t>
      </w:r>
      <w:r w:rsidRPr="00DF30C4">
        <w:rPr>
          <w:rFonts w:ascii="Book Antiqua" w:hAnsi="Book Antiqua"/>
          <w:kern w:val="1"/>
          <w:sz w:val="24"/>
          <w:szCs w:val="24"/>
        </w:rPr>
        <w:t>,</w:t>
      </w:r>
      <w:r w:rsidRPr="00DF30C4">
        <w:rPr>
          <w:rFonts w:ascii="Book Antiqua" w:eastAsia="Arial Unicode MS" w:hAnsi="Book Antiqua"/>
          <w:sz w:val="24"/>
          <w:szCs w:val="24"/>
        </w:rPr>
        <w:t xml:space="preserve"> Akita M, Takahashi S, Harada K, Okada H, Yamamoto K</w:t>
      </w:r>
      <w:r w:rsidRPr="00DF30C4">
        <w:rPr>
          <w:rFonts w:ascii="Book Antiqua" w:eastAsia="Arial Unicode MS" w:hAnsi="Book Antiqua"/>
          <w:sz w:val="24"/>
          <w:szCs w:val="24"/>
          <w:lang w:eastAsia="zh-CN"/>
        </w:rPr>
        <w:t>. Long-term follow-up of ulcerative colitis patients treated on the basis of their cytomegalovirus antigen status</w:t>
      </w:r>
    </w:p>
    <w:p w:rsidR="00C172CC" w:rsidRPr="00DF30C4" w:rsidRDefault="00C172CC" w:rsidP="00DF30C4">
      <w:pPr>
        <w:spacing w:line="360" w:lineRule="auto"/>
        <w:rPr>
          <w:rFonts w:ascii="Book Antiqua" w:eastAsia="Arial Unicode MS" w:hAnsi="Book Antiqua"/>
          <w:sz w:val="24"/>
          <w:szCs w:val="24"/>
          <w:lang w:eastAsia="zh-CN"/>
        </w:rPr>
      </w:pPr>
    </w:p>
    <w:p w:rsidR="00C172CC" w:rsidRPr="00DF30C4" w:rsidRDefault="00C172CC" w:rsidP="00DF30C4">
      <w:pPr>
        <w:spacing w:line="360" w:lineRule="auto"/>
        <w:rPr>
          <w:rFonts w:ascii="Book Antiqua" w:hAnsi="Book Antiqua"/>
          <w:iCs/>
          <w:sz w:val="24"/>
          <w:szCs w:val="24"/>
        </w:rPr>
      </w:pPr>
      <w:r w:rsidRPr="00DF30C4">
        <w:rPr>
          <w:rFonts w:ascii="Book Antiqua" w:hAnsi="Book Antiqua"/>
          <w:b/>
          <w:iCs/>
          <w:sz w:val="24"/>
          <w:szCs w:val="24"/>
        </w:rPr>
        <w:t xml:space="preserve">Available from: </w:t>
      </w:r>
    </w:p>
    <w:p w:rsidR="00C172CC" w:rsidRPr="00DF30C4" w:rsidRDefault="00C172CC" w:rsidP="00DF30C4">
      <w:pPr>
        <w:spacing w:line="360" w:lineRule="auto"/>
        <w:rPr>
          <w:rFonts w:ascii="Book Antiqua" w:hAnsi="Book Antiqua"/>
          <w:sz w:val="24"/>
          <w:szCs w:val="24"/>
        </w:rPr>
      </w:pPr>
      <w:r w:rsidRPr="00DF30C4">
        <w:rPr>
          <w:rFonts w:ascii="Book Antiqua" w:hAnsi="Book Antiqua"/>
          <w:b/>
          <w:iCs/>
          <w:sz w:val="24"/>
          <w:szCs w:val="24"/>
        </w:rPr>
        <w:t xml:space="preserve">DOI: </w:t>
      </w:r>
    </w:p>
    <w:p w:rsidR="00C172CC" w:rsidRPr="00DF30C4" w:rsidRDefault="00C172CC" w:rsidP="00DF30C4">
      <w:pPr>
        <w:spacing w:line="360" w:lineRule="auto"/>
        <w:rPr>
          <w:rFonts w:ascii="Book Antiqua" w:hAnsi="Book Antiqua"/>
          <w:sz w:val="24"/>
          <w:szCs w:val="24"/>
        </w:rPr>
      </w:pPr>
    </w:p>
    <w:p w:rsidR="00C172CC" w:rsidRPr="00DF30C4" w:rsidRDefault="00C172CC" w:rsidP="00DF30C4">
      <w:pPr>
        <w:widowControl/>
        <w:spacing w:line="360" w:lineRule="auto"/>
        <w:jc w:val="left"/>
        <w:rPr>
          <w:rFonts w:ascii="Book Antiqua" w:hAnsi="Book Antiqua"/>
          <w:sz w:val="24"/>
          <w:szCs w:val="24"/>
        </w:rPr>
      </w:pPr>
      <w:r w:rsidRPr="00DF30C4">
        <w:rPr>
          <w:rFonts w:ascii="Book Antiqua" w:hAnsi="Book Antiqua"/>
          <w:b/>
          <w:kern w:val="0"/>
          <w:sz w:val="24"/>
          <w:szCs w:val="24"/>
        </w:rPr>
        <w:t>INTRODUCTION</w:t>
      </w:r>
    </w:p>
    <w:p w:rsidR="00C172CC" w:rsidRPr="00DF30C4" w:rsidRDefault="00C172CC" w:rsidP="00DF30C4">
      <w:pPr>
        <w:spacing w:line="360" w:lineRule="auto"/>
        <w:rPr>
          <w:rFonts w:ascii="Book Antiqua" w:hAnsi="Book Antiqua"/>
          <w:kern w:val="0"/>
          <w:sz w:val="24"/>
          <w:szCs w:val="24"/>
        </w:rPr>
      </w:pPr>
      <w:r w:rsidRPr="00DF30C4">
        <w:rPr>
          <w:rFonts w:ascii="Book Antiqua" w:hAnsi="Book Antiqua"/>
          <w:kern w:val="0"/>
          <w:sz w:val="24"/>
          <w:szCs w:val="24"/>
        </w:rPr>
        <w:t>Ulcerative colitis (UC) is a chronic inflammatory bowel disease (IBD) characterized by periods of remission and clinical relapses, the affected mucosa spreading from the rectum to the proximal large intestine, diffusely, circumferentially and continuously. The symptoms include bloody diarrhea, fever, tachycardia, anemia, and colicky abdominal pain</w:t>
      </w:r>
      <w:r w:rsidRPr="00DF30C4">
        <w:rPr>
          <w:rFonts w:ascii="Book Antiqua" w:hAnsi="Book Antiqua"/>
          <w:kern w:val="0"/>
          <w:sz w:val="24"/>
          <w:szCs w:val="24"/>
          <w:vertAlign w:val="superscript"/>
        </w:rPr>
        <w:t>[</w:t>
      </w:r>
      <w:r w:rsidR="007C6050">
        <w:fldChar w:fldCharType="begin"/>
      </w:r>
      <w:r w:rsidR="007C6050">
        <w:instrText xml:space="preserve"> REF _Ref365851166 \r \h  \* MERGEFORMAT </w:instrText>
      </w:r>
      <w:r w:rsidR="007C6050">
        <w:fldChar w:fldCharType="separate"/>
      </w:r>
      <w:r w:rsidRPr="00DF30C4">
        <w:t>1</w:t>
      </w:r>
      <w:r w:rsidR="007C6050">
        <w:fldChar w:fldCharType="end"/>
      </w:r>
      <w:r w:rsidRPr="00DF30C4">
        <w:rPr>
          <w:rFonts w:ascii="Book Antiqua" w:hAnsi="Book Antiqua"/>
          <w:kern w:val="0"/>
          <w:sz w:val="24"/>
          <w:szCs w:val="24"/>
          <w:vertAlign w:val="superscript"/>
        </w:rPr>
        <w:t>]</w:t>
      </w:r>
      <w:r w:rsidRPr="00DF30C4">
        <w:rPr>
          <w:rFonts w:ascii="Book Antiqua" w:hAnsi="Book Antiqua"/>
          <w:kern w:val="0"/>
          <w:sz w:val="24"/>
          <w:szCs w:val="24"/>
        </w:rPr>
        <w:t>. In this decade, anti-tumor necrosis factor-α (TNF-α) antibodies, calcineurin inhibitors and apheresis, in addition to amino-salicylates and corticosteroids, have been used widely for the treatment of UC with relapse. The clinical course of UC patients has improved, but 20-30% of patients with total colitis still come to colectomy</w:t>
      </w:r>
      <w:r w:rsidRPr="00DF30C4">
        <w:rPr>
          <w:rFonts w:ascii="Book Antiqua" w:hAnsi="Book Antiqua"/>
          <w:kern w:val="0"/>
          <w:sz w:val="24"/>
          <w:szCs w:val="24"/>
          <w:vertAlign w:val="superscript"/>
        </w:rPr>
        <w:t>[</w:t>
      </w:r>
      <w:r w:rsidR="007C6050">
        <w:fldChar w:fldCharType="begin"/>
      </w:r>
      <w:r w:rsidR="007C6050">
        <w:instrText xml:space="preserve"> REF _Ref338175055 \r \h  \* MERGEFORMAT </w:instrText>
      </w:r>
      <w:r w:rsidR="007C6050">
        <w:fldChar w:fldCharType="separate"/>
      </w:r>
      <w:r w:rsidRPr="00DF30C4">
        <w:t>2</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w:instrText>
      </w:r>
      <w:r w:rsidR="007C6050">
        <w:instrText xml:space="preserve">REF _Ref338175074 \r \h  \* MERGEFORMAT </w:instrText>
      </w:r>
      <w:r w:rsidR="007C6050">
        <w:fldChar w:fldCharType="separate"/>
      </w:r>
      <w:r w:rsidRPr="00DF30C4">
        <w:t>4</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Although the mortality of UC patients is not significantly higher than standardized mortality ratios of non-IBD populations, the cause of UC remains uncertain and there is still room for further research</w:t>
      </w:r>
      <w:r w:rsidRPr="00DF30C4">
        <w:rPr>
          <w:rFonts w:ascii="Book Antiqua" w:hAnsi="Book Antiqua"/>
          <w:kern w:val="0"/>
          <w:sz w:val="24"/>
          <w:szCs w:val="24"/>
          <w:vertAlign w:val="superscript"/>
        </w:rPr>
        <w:t>[</w:t>
      </w:r>
      <w:r w:rsidR="007C6050">
        <w:fldChar w:fldCharType="begin"/>
      </w:r>
      <w:r w:rsidR="007C6050">
        <w:instrText xml:space="preserve"> REF _Ref338175166 \r \h  \* MERGEFORMAT </w:instrText>
      </w:r>
      <w:r w:rsidR="007C6050">
        <w:fldChar w:fldCharType="separate"/>
      </w:r>
      <w:r w:rsidRPr="00DF30C4">
        <w:t>5</w:t>
      </w:r>
      <w:r w:rsidR="007C6050">
        <w:fldChar w:fldCharType="end"/>
      </w:r>
      <w:r w:rsidRPr="00DF30C4">
        <w:rPr>
          <w:rFonts w:ascii="Book Antiqua" w:hAnsi="Book Antiqua"/>
          <w:kern w:val="0"/>
          <w:sz w:val="24"/>
          <w:szCs w:val="24"/>
          <w:vertAlign w:val="superscript"/>
        </w:rPr>
        <w:t>-</w:t>
      </w:r>
      <w:r w:rsidR="007C6050">
        <w:fldChar w:fldCharType="begin"/>
      </w:r>
      <w:r w:rsidR="007C6050">
        <w:instrText xml:space="preserve"> REF _Ref338282123 \r \h  \* MERGEFORMAT </w:instrText>
      </w:r>
      <w:r w:rsidR="007C6050">
        <w:fldChar w:fldCharType="separate"/>
      </w:r>
      <w:r w:rsidRPr="00DF30C4">
        <w:t>7</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p>
    <w:p w:rsidR="00C172CC" w:rsidRPr="00DF30C4" w:rsidRDefault="00C172CC" w:rsidP="00DF30C4">
      <w:pPr>
        <w:spacing w:line="360" w:lineRule="auto"/>
        <w:ind w:firstLineChars="200" w:firstLine="480"/>
        <w:rPr>
          <w:rFonts w:ascii="Book Antiqua" w:hAnsi="Book Antiqua"/>
          <w:kern w:val="0"/>
          <w:sz w:val="24"/>
          <w:szCs w:val="24"/>
        </w:rPr>
      </w:pPr>
      <w:r w:rsidRPr="00DF30C4">
        <w:rPr>
          <w:rFonts w:ascii="Book Antiqua" w:hAnsi="Book Antiqua"/>
          <w:kern w:val="0"/>
          <w:sz w:val="24"/>
          <w:szCs w:val="24"/>
        </w:rPr>
        <w:t>Cytomegalovirus (CMV) reactivation is sometimes associated with relapse of UC. A number of reports have debated the pathogenicity of CMV in UC patients and there are contrasting hypotheses that this is a pathogenic virus exacerbating the clinical course of IBD patients and that it is “an innocent bystander” and does not contribute to increased morbidity and mortality of UC patients</w:t>
      </w:r>
      <w:r w:rsidRPr="00DF30C4">
        <w:rPr>
          <w:rFonts w:ascii="Book Antiqua" w:hAnsi="Book Antiqua"/>
          <w:kern w:val="0"/>
          <w:sz w:val="24"/>
          <w:szCs w:val="24"/>
          <w:vertAlign w:val="superscript"/>
        </w:rPr>
        <w:t>[</w:t>
      </w:r>
      <w:r w:rsidR="007C6050">
        <w:fldChar w:fldCharType="begin"/>
      </w:r>
      <w:r w:rsidR="007C6050">
        <w:instrText xml:space="preserve"> REF _Ref338175166 \r \h  \* MERGEFORMAT </w:instrText>
      </w:r>
      <w:r w:rsidR="007C6050">
        <w:fldChar w:fldCharType="separate"/>
      </w:r>
      <w:r w:rsidRPr="00DF30C4">
        <w:t>5</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_Ref338281128 \r \h  \* MERGEFORMAT </w:instrText>
      </w:r>
      <w:r w:rsidR="007C6050">
        <w:fldChar w:fldCharType="separate"/>
      </w:r>
      <w:r w:rsidRPr="00DF30C4">
        <w:rPr>
          <w:rFonts w:ascii="Book Antiqua" w:hAnsi="Book Antiqua"/>
          <w:kern w:val="0"/>
          <w:sz w:val="24"/>
          <w:szCs w:val="24"/>
          <w:vertAlign w:val="superscript"/>
        </w:rPr>
        <w:t>14</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As the influence of CMV infection on the UC patient remains uncertain, the clinical management of UC patients with CMV reactivation has not yet been </w:t>
      </w:r>
      <w:r w:rsidRPr="00DF30C4">
        <w:rPr>
          <w:rFonts w:ascii="Book Antiqua" w:hAnsi="Book Antiqua"/>
          <w:kern w:val="0"/>
          <w:sz w:val="24"/>
          <w:szCs w:val="24"/>
        </w:rPr>
        <w:lastRenderedPageBreak/>
        <w:t>standardized. In this context, some studies reported that antiviral therapy decreased the colectomy rate and mortality of UC patients with CMV reactivation</w:t>
      </w:r>
      <w:r w:rsidRPr="00DF30C4">
        <w:rPr>
          <w:rFonts w:ascii="Book Antiqua" w:hAnsi="Book Antiqua"/>
          <w:kern w:val="0"/>
          <w:sz w:val="24"/>
          <w:szCs w:val="24"/>
          <w:vertAlign w:val="superscript"/>
        </w:rPr>
        <w:t>[</w:t>
      </w:r>
      <w:r w:rsidR="007C6050">
        <w:fldChar w:fldCharType="begin"/>
      </w:r>
      <w:r w:rsidR="007C6050">
        <w:instrText xml:space="preserve"> REF _Ref338282126 \r \h  \* MERGEFORMAT </w:instrText>
      </w:r>
      <w:r w:rsidR="007C6050">
        <w:fldChar w:fldCharType="separate"/>
      </w:r>
      <w:r w:rsidRPr="00DF30C4">
        <w:t>8</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_Ref338276628 \r \h  \* MERGEFORMAT </w:instrText>
      </w:r>
      <w:r w:rsidR="007C6050">
        <w:fldChar w:fldCharType="separate"/>
      </w:r>
      <w:r w:rsidRPr="00DF30C4">
        <w:t>9</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Meanwhile, another reported that there were no significant differences in the rates of remission and colectomy between UC patients with and without CMV</w:t>
      </w:r>
      <w:r w:rsidRPr="00DF30C4">
        <w:rPr>
          <w:rFonts w:ascii="Book Antiqua" w:hAnsi="Book Antiqua"/>
          <w:kern w:val="0"/>
          <w:sz w:val="24"/>
          <w:szCs w:val="24"/>
          <w:vertAlign w:val="superscript"/>
        </w:rPr>
        <w:t>[</w:t>
      </w:r>
      <w:r w:rsidR="007C6050">
        <w:fldChar w:fldCharType="begin"/>
      </w:r>
      <w:r w:rsidR="007C6050">
        <w:instrText xml:space="preserve"> REF _Ref338175210 \r \h  \* MERGEFORMAT </w:instrText>
      </w:r>
      <w:r w:rsidR="007C6050">
        <w:fldChar w:fldCharType="separate"/>
      </w:r>
      <w:r w:rsidRPr="00DF30C4">
        <w:rPr>
          <w:rFonts w:ascii="Book Antiqua" w:hAnsi="Book Antiqua"/>
          <w:kern w:val="0"/>
          <w:sz w:val="24"/>
          <w:szCs w:val="24"/>
          <w:vertAlign w:val="superscript"/>
        </w:rPr>
        <w:t>10</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Moreover, it is problematic that there are so few studies indicating the long-term prognosis of UC patients complicated with CMV.</w:t>
      </w:r>
    </w:p>
    <w:p w:rsidR="00C172CC" w:rsidRPr="00DF30C4" w:rsidRDefault="00C172CC" w:rsidP="00DF30C4">
      <w:pPr>
        <w:spacing w:line="360" w:lineRule="auto"/>
        <w:ind w:firstLineChars="200" w:firstLine="480"/>
        <w:rPr>
          <w:rFonts w:ascii="Book Antiqua" w:hAnsi="Book Antiqua"/>
          <w:kern w:val="0"/>
          <w:sz w:val="24"/>
          <w:szCs w:val="24"/>
        </w:rPr>
      </w:pPr>
      <w:r w:rsidRPr="00DF30C4">
        <w:rPr>
          <w:rFonts w:ascii="Book Antiqua" w:hAnsi="Book Antiqua"/>
          <w:kern w:val="0"/>
          <w:sz w:val="24"/>
          <w:szCs w:val="24"/>
        </w:rPr>
        <w:t xml:space="preserve">Another important problem regarding CMV infection of UC patients is the diagnostic modality. There are several diagnostic techniques for CMV “infection”, including endoscopy, histology, serology, viral culture, CMV antigenemia assay and CMV DNA testing, which have varying sensitivity and specificity. At this point, </w:t>
      </w:r>
      <w:r w:rsidRPr="00DF30C4">
        <w:rPr>
          <w:rFonts w:ascii="Book Antiqua" w:hAnsi="Book Antiqua"/>
          <w:sz w:val="24"/>
          <w:szCs w:val="24"/>
        </w:rPr>
        <w:t>immunohistochemistry (IHC)</w:t>
      </w:r>
      <w:r w:rsidRPr="00DF30C4">
        <w:rPr>
          <w:rFonts w:ascii="Book Antiqua" w:hAnsi="Book Antiqua"/>
          <w:kern w:val="0"/>
          <w:sz w:val="24"/>
          <w:szCs w:val="24"/>
        </w:rPr>
        <w:t xml:space="preserve"> or CMV DNA testing of intestinal mucosa tissue is recommended for diagnosis of CMV “disease” in IBD patients, according to several guidelines</w:t>
      </w:r>
      <w:r w:rsidRPr="00DF30C4">
        <w:rPr>
          <w:rFonts w:ascii="Book Antiqua" w:hAnsi="Book Antiqua"/>
          <w:kern w:val="0"/>
          <w:sz w:val="24"/>
          <w:szCs w:val="24"/>
          <w:vertAlign w:val="superscript"/>
        </w:rPr>
        <w:t>[</w:t>
      </w:r>
      <w:r w:rsidR="007C6050">
        <w:fldChar w:fldCharType="begin"/>
      </w:r>
      <w:r w:rsidR="007C6050">
        <w:instrText xml:space="preserve"> REF _Ref339692054 \r \h</w:instrText>
      </w:r>
      <w:r w:rsidR="007C6050">
        <w:instrText xml:space="preserve">  \* MERGEFORMAT </w:instrText>
      </w:r>
      <w:r w:rsidR="007C6050">
        <w:fldChar w:fldCharType="separate"/>
      </w:r>
      <w:r w:rsidRPr="00DF30C4">
        <w:rPr>
          <w:rFonts w:ascii="Book Antiqua" w:hAnsi="Book Antiqua"/>
          <w:sz w:val="24"/>
          <w:szCs w:val="24"/>
          <w:vertAlign w:val="superscript"/>
        </w:rPr>
        <w:t>15</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_Ref339692060 \r \h  \* MERGEFORMAT </w:instrText>
      </w:r>
      <w:r w:rsidR="007C6050">
        <w:fldChar w:fldCharType="separate"/>
      </w:r>
      <w:r w:rsidRPr="00DF30C4">
        <w:rPr>
          <w:rFonts w:ascii="Book Antiqua" w:hAnsi="Book Antiqua"/>
          <w:kern w:val="0"/>
          <w:sz w:val="24"/>
          <w:szCs w:val="24"/>
          <w:vertAlign w:val="superscript"/>
        </w:rPr>
        <w:t>17</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However, these require colonoscopy and the former may have too low sensitivity and the latter too high sensitivity for the indication of antiviral therapy</w:t>
      </w:r>
      <w:r w:rsidRPr="00DF30C4">
        <w:rPr>
          <w:rFonts w:ascii="Book Antiqua" w:hAnsi="Book Antiqua"/>
          <w:kern w:val="0"/>
          <w:sz w:val="24"/>
          <w:szCs w:val="24"/>
          <w:vertAlign w:val="superscript"/>
        </w:rPr>
        <w:t>[</w:t>
      </w:r>
      <w:r w:rsidR="007C6050">
        <w:fldChar w:fldCharType="begin"/>
      </w:r>
      <w:r w:rsidR="007C6050">
        <w:instrText xml:space="preserve"> REF _Ref339436195 \r \h  \* MERGEFORMAT </w:instrText>
      </w:r>
      <w:r w:rsidR="007C6050">
        <w:fldChar w:fldCharType="separate"/>
      </w:r>
      <w:r w:rsidRPr="00DF30C4">
        <w:t>8</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_Ref338538332 \r \h  \* MERGEFORMAT </w:instrText>
      </w:r>
      <w:r w:rsidR="007C6050">
        <w:fldChar w:fldCharType="separate"/>
      </w:r>
      <w:r w:rsidRPr="00DF30C4">
        <w:rPr>
          <w:rFonts w:ascii="Book Antiqua" w:hAnsi="Book Antiqua"/>
          <w:kern w:val="0"/>
          <w:sz w:val="24"/>
          <w:szCs w:val="24"/>
          <w:vertAlign w:val="superscript"/>
        </w:rPr>
        <w:t>16</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_Ref339697913 \r \h  \* MERGEFORMAT </w:instrText>
      </w:r>
      <w:r w:rsidR="007C6050">
        <w:fldChar w:fldCharType="separate"/>
      </w:r>
      <w:r w:rsidRPr="00DF30C4">
        <w:rPr>
          <w:rFonts w:ascii="Book Antiqua" w:hAnsi="Book Antiqua"/>
          <w:kern w:val="0"/>
          <w:sz w:val="24"/>
          <w:szCs w:val="24"/>
          <w:vertAlign w:val="superscript"/>
        </w:rPr>
        <w:t>18</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The CMV antigenemia assay has been widely used for pre-emptive therapy in hematopoietic stem cell transplantation</w:t>
      </w:r>
      <w:r w:rsidRPr="00DF30C4">
        <w:rPr>
          <w:rFonts w:ascii="Book Antiqua" w:hAnsi="Book Antiqua"/>
          <w:kern w:val="0"/>
          <w:sz w:val="24"/>
          <w:szCs w:val="24"/>
          <w:vertAlign w:val="superscript"/>
        </w:rPr>
        <w:t>[</w:t>
      </w:r>
      <w:r w:rsidR="007C6050">
        <w:fldChar w:fldCharType="begin"/>
      </w:r>
      <w:r w:rsidR="007C6050">
        <w:instrText xml:space="preserve"> REF _Ref338533447 \r \h  \* MERGEFORMAT </w:instrText>
      </w:r>
      <w:r w:rsidR="007C6050">
        <w:fldChar w:fldCharType="separate"/>
      </w:r>
      <w:r w:rsidRPr="00DF30C4">
        <w:rPr>
          <w:rFonts w:ascii="Book Antiqua" w:hAnsi="Book Antiqua"/>
          <w:kern w:val="0"/>
          <w:sz w:val="24"/>
          <w:szCs w:val="24"/>
          <w:vertAlign w:val="superscript"/>
        </w:rPr>
        <w:t>19</w:t>
      </w:r>
      <w:r w:rsidR="007C6050">
        <w:fldChar w:fldCharType="end"/>
      </w:r>
      <w:r w:rsidRPr="00DF30C4">
        <w:rPr>
          <w:rFonts w:ascii="Book Antiqua" w:hAnsi="Book Antiqua"/>
          <w:kern w:val="0"/>
          <w:sz w:val="24"/>
          <w:szCs w:val="24"/>
          <w:vertAlign w:val="superscript"/>
        </w:rPr>
        <w:t>-</w:t>
      </w:r>
      <w:r w:rsidR="007C6050">
        <w:fldChar w:fldCharType="begin"/>
      </w:r>
      <w:r w:rsidR="007C6050">
        <w:instrText xml:space="preserve"> REF _Ref339372833 \r \h  \* MERGEFORMAT </w:instrText>
      </w:r>
      <w:r w:rsidR="007C6050">
        <w:fldChar w:fldCharType="separate"/>
      </w:r>
      <w:r w:rsidRPr="00DF30C4">
        <w:rPr>
          <w:rFonts w:ascii="Book Antiqua" w:hAnsi="Book Antiqua"/>
          <w:kern w:val="0"/>
          <w:sz w:val="24"/>
          <w:szCs w:val="24"/>
          <w:vertAlign w:val="superscript"/>
        </w:rPr>
        <w:t>22</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In the field of UC, in contrast, relatively few studies evaluated the clinical significance of the CMV antigenemia assay, e.g., for decision of administration of antiviral therapy</w:t>
      </w:r>
      <w:r w:rsidRPr="00DF30C4">
        <w:rPr>
          <w:rFonts w:ascii="Book Antiqua" w:hAnsi="Book Antiqua"/>
          <w:kern w:val="0"/>
          <w:sz w:val="24"/>
          <w:szCs w:val="24"/>
          <w:vertAlign w:val="superscript"/>
        </w:rPr>
        <w:t>[</w:t>
      </w:r>
      <w:r w:rsidR="007C6050">
        <w:fldChar w:fldCharType="begin"/>
      </w:r>
      <w:r w:rsidR="007C6050">
        <w:instrText xml:space="preserve"> REF _Ref339436195 \r \h  \* MERGEFORMAT </w:instrText>
      </w:r>
      <w:r w:rsidR="007C6050">
        <w:fldChar w:fldCharType="separate"/>
      </w:r>
      <w:r w:rsidRPr="00DF30C4">
        <w:t>8</w:t>
      </w:r>
      <w:r w:rsidR="007C6050">
        <w:fldChar w:fldCharType="end"/>
      </w:r>
      <w:r w:rsidRPr="00DF30C4">
        <w:rPr>
          <w:rFonts w:ascii="Book Antiqua" w:hAnsi="Book Antiqua"/>
          <w:kern w:val="0"/>
          <w:sz w:val="24"/>
          <w:szCs w:val="24"/>
          <w:vertAlign w:val="superscript"/>
        </w:rPr>
        <w:t>,</w:t>
      </w:r>
      <w:r w:rsidR="007C6050">
        <w:fldChar w:fldCharType="begin"/>
      </w:r>
      <w:r w:rsidR="007C6050">
        <w:instrText xml:space="preserve"> REF _Ref343118696 \r \h  \* MERGEFORMAT </w:instrText>
      </w:r>
      <w:r w:rsidR="007C6050">
        <w:fldChar w:fldCharType="separate"/>
      </w:r>
      <w:r w:rsidRPr="00DF30C4">
        <w:rPr>
          <w:rFonts w:ascii="Book Antiqua" w:hAnsi="Book Antiqua"/>
          <w:kern w:val="0"/>
          <w:sz w:val="24"/>
          <w:szCs w:val="24"/>
          <w:vertAlign w:val="superscript"/>
        </w:rPr>
        <w:t>10</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However, the CMV antigenemia assay has advantages in that it is relatively inexpensive and facilitates monitoring of CMV activity continuously without endoscopy. Moreover, the assay may have less sample bias than examinations using tissues from the colon. </w:t>
      </w:r>
    </w:p>
    <w:p w:rsidR="00C172CC" w:rsidRPr="00DF30C4" w:rsidRDefault="00C172CC" w:rsidP="00DF30C4">
      <w:pPr>
        <w:spacing w:line="360" w:lineRule="auto"/>
        <w:ind w:firstLineChars="200" w:firstLine="480"/>
        <w:rPr>
          <w:rFonts w:ascii="Book Antiqua" w:hAnsi="Book Antiqua"/>
          <w:kern w:val="0"/>
          <w:sz w:val="24"/>
          <w:szCs w:val="24"/>
        </w:rPr>
      </w:pPr>
      <w:r w:rsidRPr="00DF30C4">
        <w:rPr>
          <w:rFonts w:ascii="Book Antiqua" w:hAnsi="Book Antiqua"/>
          <w:kern w:val="0"/>
          <w:sz w:val="24"/>
          <w:szCs w:val="24"/>
        </w:rPr>
        <w:t xml:space="preserve">We have examined the CMV status in relapse of UC patients using the CMV antigenemia assay and treatment strategies were determined based on the CMV antigen status. The mainstay of our strategy for the patients found to be CMV antigen positive comprised ganciclovir administration and dose reduction of corticosteroids. The patients treated according to the strategy were followed-up at our institute for a relatively long period and the disease course of those patients may reveal the impact of CMV reactivation and antiviral therapy on the long-term prognosis of UC patients with CMV. </w:t>
      </w:r>
    </w:p>
    <w:p w:rsidR="00C172CC" w:rsidRPr="00DF30C4" w:rsidRDefault="00C172CC" w:rsidP="00DF30C4">
      <w:pPr>
        <w:spacing w:line="360" w:lineRule="auto"/>
        <w:ind w:firstLineChars="200" w:firstLine="480"/>
        <w:rPr>
          <w:rFonts w:ascii="Book Antiqua" w:eastAsia="宋体" w:hAnsi="Book Antiqua"/>
          <w:sz w:val="24"/>
          <w:szCs w:val="24"/>
          <w:lang w:eastAsia="zh-CN"/>
        </w:rPr>
      </w:pPr>
      <w:r w:rsidRPr="00DF30C4">
        <w:rPr>
          <w:rFonts w:ascii="Book Antiqua" w:hAnsi="Book Antiqua"/>
          <w:kern w:val="0"/>
          <w:sz w:val="24"/>
          <w:szCs w:val="24"/>
        </w:rPr>
        <w:t>In this study, therefore, we investigated the long-term disease course of UC patients diagnosed as CMV-positive and -negative using the CMV antigenemia assay.</w:t>
      </w:r>
      <w:r w:rsidRPr="00DF30C4">
        <w:rPr>
          <w:rFonts w:ascii="Book Antiqua" w:hAnsi="Book Antiqua"/>
          <w:b/>
          <w:sz w:val="24"/>
          <w:szCs w:val="24"/>
        </w:rPr>
        <w:t xml:space="preserve"> </w:t>
      </w:r>
      <w:r w:rsidRPr="00DF30C4">
        <w:rPr>
          <w:rFonts w:ascii="Book Antiqua" w:hAnsi="Book Antiqua"/>
          <w:sz w:val="24"/>
          <w:szCs w:val="24"/>
        </w:rPr>
        <w:t>The aim of this study was to clarify the impact of CMV antigen and antiviral therapy on the UC patients’ prognosis: remission rate, relapse rate and colectomy rate.</w:t>
      </w:r>
    </w:p>
    <w:p w:rsidR="00C172CC" w:rsidRPr="00DF30C4" w:rsidRDefault="00C172CC" w:rsidP="00DF30C4">
      <w:pPr>
        <w:spacing w:line="360" w:lineRule="auto"/>
        <w:rPr>
          <w:rFonts w:ascii="Book Antiqua" w:eastAsia="宋体" w:hAnsi="Book Antiqua"/>
          <w:sz w:val="24"/>
          <w:szCs w:val="24"/>
          <w:lang w:eastAsia="zh-CN"/>
        </w:rPr>
      </w:pPr>
    </w:p>
    <w:p w:rsidR="00C172CC" w:rsidRDefault="00C172CC" w:rsidP="00A1584C">
      <w:pPr>
        <w:widowControl/>
        <w:spacing w:line="360" w:lineRule="auto"/>
        <w:jc w:val="left"/>
        <w:rPr>
          <w:rFonts w:ascii="Book Antiqua" w:hAnsi="Book Antiqua"/>
          <w:b/>
          <w:sz w:val="24"/>
          <w:szCs w:val="24"/>
        </w:rPr>
      </w:pPr>
      <w:r w:rsidRPr="00DF30C4">
        <w:rPr>
          <w:rFonts w:ascii="Book Antiqua" w:hAnsi="Book Antiqua"/>
          <w:b/>
          <w:sz w:val="24"/>
          <w:szCs w:val="24"/>
        </w:rPr>
        <w:t>MATERIALS AND METHODS</w:t>
      </w:r>
    </w:p>
    <w:p w:rsidR="00C172CC" w:rsidRPr="00DF30C4" w:rsidRDefault="00C172CC" w:rsidP="00DF30C4">
      <w:pPr>
        <w:widowControl/>
        <w:spacing w:line="360" w:lineRule="auto"/>
        <w:rPr>
          <w:rFonts w:ascii="Book Antiqua" w:hAnsi="Book Antiqua"/>
          <w:b/>
          <w:i/>
          <w:sz w:val="24"/>
          <w:szCs w:val="24"/>
        </w:rPr>
      </w:pPr>
      <w:r w:rsidRPr="00DF30C4">
        <w:rPr>
          <w:rFonts w:ascii="Book Antiqua" w:hAnsi="Book Antiqua"/>
          <w:b/>
          <w:i/>
          <w:sz w:val="24"/>
          <w:szCs w:val="24"/>
        </w:rPr>
        <w:t>Patients</w:t>
      </w:r>
    </w:p>
    <w:p w:rsidR="00C172CC" w:rsidRDefault="00C172CC" w:rsidP="00A1584C">
      <w:pPr>
        <w:widowControl/>
        <w:spacing w:line="360" w:lineRule="auto"/>
        <w:ind w:left="2"/>
        <w:rPr>
          <w:rFonts w:ascii="Book Antiqua" w:eastAsia="宋体" w:hAnsi="Book Antiqua"/>
          <w:sz w:val="24"/>
          <w:szCs w:val="24"/>
          <w:lang w:eastAsia="zh-CN"/>
        </w:rPr>
      </w:pPr>
      <w:r w:rsidRPr="00DF30C4">
        <w:rPr>
          <w:rFonts w:ascii="Book Antiqua" w:hAnsi="Book Antiqua"/>
          <w:sz w:val="24"/>
          <w:szCs w:val="24"/>
        </w:rPr>
        <w:t xml:space="preserve">We retrospectively analyzed UC patients who were treated for their first-attack or relapse of disease at </w:t>
      </w:r>
      <w:r w:rsidRPr="00DF30C4">
        <w:rPr>
          <w:rFonts w:ascii="Book Antiqua" w:eastAsia="Arial Unicode MS" w:hAnsi="Book Antiqua"/>
          <w:sz w:val="24"/>
          <w:szCs w:val="24"/>
        </w:rPr>
        <w:t>Okayama University Hospital</w:t>
      </w:r>
      <w:r w:rsidRPr="00DF30C4">
        <w:rPr>
          <w:rFonts w:ascii="Book Antiqua" w:hAnsi="Book Antiqua"/>
          <w:sz w:val="24"/>
          <w:szCs w:val="24"/>
        </w:rPr>
        <w:t xml:space="preserve"> from April 2004 to November 2011</w:t>
      </w:r>
      <w:r w:rsidRPr="00DF30C4">
        <w:rPr>
          <w:rFonts w:ascii="Book Antiqua" w:eastAsia="Arial Unicode MS" w:hAnsi="Book Antiqua"/>
          <w:sz w:val="24"/>
          <w:szCs w:val="24"/>
        </w:rPr>
        <w:t xml:space="preserve">. Inclusion criteria were disease activity of </w:t>
      </w:r>
      <w:r w:rsidRPr="00DF30C4">
        <w:rPr>
          <w:rFonts w:ascii="Book Antiqua" w:hAnsi="Book Antiqua"/>
          <w:sz w:val="24"/>
          <w:szCs w:val="24"/>
        </w:rPr>
        <w:t xml:space="preserve">Lichtiger’s clinical activity index (CAI) </w:t>
      </w:r>
      <w:r w:rsidRPr="00DF30C4">
        <w:rPr>
          <w:rFonts w:ascii="Book Antiqua" w:eastAsia="Arial Unicode MS" w:hAnsi="Book Antiqua"/>
          <w:sz w:val="24"/>
          <w:szCs w:val="24"/>
        </w:rPr>
        <w:t>7 or more and having results of CMV antigen status evaluated by CMV antigenemia assay, and 121 patients met the criteria</w:t>
      </w:r>
      <w:r w:rsidRPr="00DF30C4">
        <w:rPr>
          <w:rFonts w:ascii="Book Antiqua" w:eastAsia="Arial Unicode MS" w:hAnsi="Book Antiqua"/>
          <w:sz w:val="24"/>
          <w:szCs w:val="24"/>
          <w:vertAlign w:val="superscript"/>
        </w:rPr>
        <w:t>[</w:t>
      </w:r>
      <w:r w:rsidR="007C6050">
        <w:fldChar w:fldCharType="begin"/>
      </w:r>
      <w:r w:rsidR="007C6050">
        <w:instrText xml:space="preserve"> REF _Ref344681809 \r \h  \* MERGEFORMAT </w:instrText>
      </w:r>
      <w:r w:rsidR="007C6050">
        <w:fldChar w:fldCharType="separate"/>
      </w:r>
      <w:r w:rsidRPr="00DF30C4">
        <w:rPr>
          <w:rFonts w:ascii="Book Antiqua" w:eastAsia="Arial Unicode MS" w:hAnsi="Book Antiqua"/>
          <w:sz w:val="24"/>
          <w:szCs w:val="24"/>
          <w:vertAlign w:val="superscript"/>
        </w:rPr>
        <w:t>23</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eastAsia="Arial Unicode MS" w:hAnsi="Book Antiqua"/>
          <w:sz w:val="24"/>
          <w:szCs w:val="24"/>
        </w:rPr>
        <w:t xml:space="preserve"> Of these patients,</w:t>
      </w:r>
      <w:r w:rsidRPr="00DF30C4">
        <w:rPr>
          <w:rFonts w:ascii="Book Antiqua" w:hAnsi="Book Antiqua"/>
          <w:sz w:val="24"/>
          <w:szCs w:val="24"/>
        </w:rPr>
        <w:t xml:space="preserve"> 3 who underwent emergency colectomy prior to the outcome of the CMV antigenemia assay were excluded. </w:t>
      </w:r>
      <w:r w:rsidRPr="00DF30C4">
        <w:rPr>
          <w:rFonts w:ascii="Book Antiqua" w:eastAsia="Arial Unicode MS" w:hAnsi="Book Antiqua"/>
          <w:sz w:val="24"/>
          <w:szCs w:val="24"/>
        </w:rPr>
        <w:t>The remaining 118 patients were treated according to the strategy based on CMV antigen status, as shown below, and</w:t>
      </w:r>
      <w:r w:rsidRPr="00DF30C4">
        <w:rPr>
          <w:rFonts w:ascii="Book Antiqua" w:hAnsi="Book Antiqua"/>
          <w:sz w:val="24"/>
          <w:szCs w:val="24"/>
        </w:rPr>
        <w:t xml:space="preserve"> clinical, operative, pathological and treatment data were obtained from the patients’ medical records. </w:t>
      </w:r>
    </w:p>
    <w:p w:rsidR="00C172CC" w:rsidRPr="00DF30C4" w:rsidRDefault="00C172CC" w:rsidP="00DF30C4">
      <w:pPr>
        <w:widowControl/>
        <w:spacing w:line="360" w:lineRule="auto"/>
        <w:rPr>
          <w:rFonts w:ascii="Book Antiqua" w:hAnsi="Book Antiqua"/>
          <w:b/>
          <w:i/>
          <w:sz w:val="24"/>
          <w:szCs w:val="24"/>
        </w:rPr>
      </w:pPr>
    </w:p>
    <w:p w:rsidR="00C172CC" w:rsidRPr="00DF30C4" w:rsidRDefault="00C172CC" w:rsidP="00DF30C4">
      <w:pPr>
        <w:widowControl/>
        <w:spacing w:line="360" w:lineRule="auto"/>
        <w:rPr>
          <w:rFonts w:ascii="Book Antiqua" w:hAnsi="Book Antiqua"/>
          <w:b/>
          <w:i/>
          <w:sz w:val="24"/>
          <w:szCs w:val="24"/>
        </w:rPr>
      </w:pPr>
      <w:r w:rsidRPr="00DF30C4">
        <w:rPr>
          <w:rFonts w:ascii="Book Antiqua" w:hAnsi="Book Antiqua"/>
          <w:b/>
          <w:i/>
          <w:sz w:val="24"/>
          <w:szCs w:val="24"/>
        </w:rPr>
        <w:t>CMV evaluation</w:t>
      </w:r>
    </w:p>
    <w:p w:rsidR="00C172CC" w:rsidRPr="00DF30C4" w:rsidRDefault="00C172CC" w:rsidP="00DF30C4">
      <w:pPr>
        <w:widowControl/>
        <w:spacing w:line="360" w:lineRule="auto"/>
        <w:ind w:left="2"/>
        <w:rPr>
          <w:rFonts w:ascii="Book Antiqua" w:hAnsi="Book Antiqua"/>
          <w:sz w:val="24"/>
          <w:szCs w:val="24"/>
        </w:rPr>
      </w:pPr>
      <w:r w:rsidRPr="00DF30C4">
        <w:rPr>
          <w:rFonts w:ascii="Book Antiqua" w:eastAsia="Arial Unicode MS" w:hAnsi="Book Antiqua"/>
          <w:sz w:val="24"/>
          <w:szCs w:val="24"/>
        </w:rPr>
        <w:t>CMV antigen status was evaluated using the CMV-pp65 antigenemia assay (SRL, Tokyo, Japan). The test is based on immunocytochemical detection of CMV immediate early antigens in blood leukocytes. The results were expressed as the number of CMV-pp65-positive cells per 5×10</w:t>
      </w:r>
      <w:r w:rsidRPr="00DF30C4">
        <w:rPr>
          <w:rFonts w:ascii="Book Antiqua" w:eastAsia="Arial Unicode MS" w:hAnsi="Book Antiqua"/>
          <w:sz w:val="24"/>
          <w:szCs w:val="24"/>
          <w:vertAlign w:val="superscript"/>
        </w:rPr>
        <w:t>4</w:t>
      </w:r>
      <w:r w:rsidRPr="00DF30C4">
        <w:rPr>
          <w:rFonts w:ascii="Book Antiqua" w:eastAsia="Arial Unicode MS" w:hAnsi="Book Antiqua"/>
          <w:sz w:val="24"/>
          <w:szCs w:val="24"/>
        </w:rPr>
        <w:t xml:space="preserve"> leukocytes and reported on the day following blood submission to the laboratory, although this took a few days at weekend. A positive result from the CMV antigenemia assay was defined as detection of one or more CMV-pp65-positive cells. Patients were divided into two groups according to CMV antigen status: CMV-positive group and CMV-negative group.</w:t>
      </w:r>
      <w:r w:rsidRPr="00DF30C4">
        <w:rPr>
          <w:rFonts w:ascii="Book Antiqua" w:hAnsi="Book Antiqua"/>
          <w:sz w:val="24"/>
          <w:szCs w:val="24"/>
        </w:rPr>
        <w:t xml:space="preserve"> CMV antigenemia assay was performed when treatment was started in relapse of UC patients and disease condition did not become better despite administration of immunosuppressive therapy. CMV antigenemia was usually measured once two weeks in patients with positive CMV antigen on the initial assay. Those of whom disease condition worsened after starting ganciclovir received the assay once a week. </w:t>
      </w:r>
    </w:p>
    <w:p w:rsidR="00C172CC" w:rsidRPr="00DF30C4" w:rsidRDefault="00C172CC" w:rsidP="00DF30C4">
      <w:pPr>
        <w:widowControl/>
        <w:spacing w:line="360" w:lineRule="auto"/>
        <w:ind w:firstLineChars="200" w:firstLine="480"/>
        <w:rPr>
          <w:rFonts w:ascii="Book Antiqua" w:eastAsia="宋体" w:hAnsi="Book Antiqua"/>
          <w:sz w:val="24"/>
          <w:szCs w:val="24"/>
          <w:lang w:eastAsia="zh-CN"/>
        </w:rPr>
      </w:pPr>
      <w:r w:rsidRPr="00DF30C4">
        <w:rPr>
          <w:rFonts w:ascii="Book Antiqua" w:hAnsi="Book Antiqua"/>
          <w:sz w:val="24"/>
          <w:szCs w:val="24"/>
        </w:rPr>
        <w:t>If general condition permitted, we performed colonoscopy around the time of the CMV antigenemia assay and took biopsies for hematoxylin and eosin staining to search for CMV inclusion bodies and for IHC staining with a monoclonal antibody against CMV by means of an automated preparation and processing system, Ventana</w:t>
      </w:r>
      <w:r w:rsidRPr="00DF30C4">
        <w:rPr>
          <w:rFonts w:ascii="Book Antiqua" w:hAnsi="Book Antiqua"/>
          <w:sz w:val="24"/>
          <w:szCs w:val="24"/>
          <w:vertAlign w:val="superscript"/>
        </w:rPr>
        <w:t>®</w:t>
      </w:r>
      <w:r w:rsidRPr="00DF30C4">
        <w:rPr>
          <w:rFonts w:ascii="Book Antiqua" w:hAnsi="Book Antiqua"/>
          <w:sz w:val="24"/>
          <w:szCs w:val="24"/>
        </w:rPr>
        <w:t xml:space="preserve"> (Roche Diagnostics, Tokyo, Japan). </w:t>
      </w:r>
    </w:p>
    <w:p w:rsidR="00C172CC" w:rsidRPr="00DF30C4" w:rsidRDefault="00C172CC" w:rsidP="00DF30C4">
      <w:pPr>
        <w:widowControl/>
        <w:spacing w:line="360" w:lineRule="auto"/>
        <w:rPr>
          <w:rFonts w:ascii="Book Antiqua" w:hAnsi="Book Antiqua"/>
          <w:b/>
          <w:i/>
          <w:sz w:val="24"/>
          <w:szCs w:val="24"/>
        </w:rPr>
      </w:pPr>
    </w:p>
    <w:p w:rsidR="00C172CC" w:rsidRPr="00DF30C4" w:rsidRDefault="00C172CC" w:rsidP="00DF30C4">
      <w:pPr>
        <w:widowControl/>
        <w:spacing w:line="360" w:lineRule="auto"/>
        <w:rPr>
          <w:rFonts w:ascii="Book Antiqua" w:hAnsi="Book Antiqua"/>
          <w:b/>
          <w:i/>
          <w:sz w:val="24"/>
          <w:szCs w:val="24"/>
        </w:rPr>
      </w:pPr>
      <w:r w:rsidRPr="00DF30C4">
        <w:rPr>
          <w:rFonts w:ascii="Book Antiqua" w:hAnsi="Book Antiqua"/>
          <w:b/>
          <w:i/>
          <w:sz w:val="24"/>
          <w:szCs w:val="24"/>
        </w:rPr>
        <w:lastRenderedPageBreak/>
        <w:t>Treatment strategy</w:t>
      </w:r>
    </w:p>
    <w:p w:rsidR="00C172CC" w:rsidRPr="00DF30C4" w:rsidRDefault="00C172CC" w:rsidP="00DF30C4">
      <w:pPr>
        <w:widowControl/>
        <w:tabs>
          <w:tab w:val="left" w:pos="2646"/>
        </w:tabs>
        <w:spacing w:line="360" w:lineRule="auto"/>
        <w:rPr>
          <w:rFonts w:ascii="Book Antiqua" w:eastAsia="MinionPro-It" w:hAnsi="Book Antiqua"/>
          <w:iCs/>
          <w:sz w:val="24"/>
          <w:szCs w:val="24"/>
        </w:rPr>
      </w:pPr>
      <w:r w:rsidRPr="00DF30C4">
        <w:rPr>
          <w:rFonts w:ascii="Book Antiqua" w:hAnsi="Book Antiqua"/>
          <w:sz w:val="24"/>
          <w:szCs w:val="24"/>
        </w:rPr>
        <w:t>In our hospital, UC patients were treated based on the guidelines published by the British Society of Gastroenterology,</w:t>
      </w:r>
      <w:r w:rsidRPr="00DF30C4">
        <w:rPr>
          <w:rFonts w:ascii="Book Antiqua" w:eastAsia="MinionPro-It" w:hAnsi="Book Antiqua"/>
          <w:iCs/>
          <w:sz w:val="24"/>
          <w:szCs w:val="24"/>
        </w:rPr>
        <w:t xml:space="preserve"> the European Crohn's and Colitis Organization, and the American College of Gastroenterology</w:t>
      </w:r>
      <w:r w:rsidRPr="00DF30C4">
        <w:rPr>
          <w:rFonts w:ascii="Book Antiqua" w:eastAsia="MinionPro-It" w:hAnsi="Book Antiqua"/>
          <w:iCs/>
          <w:sz w:val="24"/>
          <w:szCs w:val="24"/>
          <w:vertAlign w:val="superscript"/>
        </w:rPr>
        <w:t>[</w:t>
      </w:r>
      <w:r w:rsidR="007C6050">
        <w:fldChar w:fldCharType="begin"/>
      </w:r>
      <w:r w:rsidR="007C6050">
        <w:instrText xml:space="preserve"> REF _Ref324498272 \r \h  \* MERGEFORMAT </w:instrText>
      </w:r>
      <w:r w:rsidR="007C6050">
        <w:fldChar w:fldCharType="separate"/>
      </w:r>
      <w:r w:rsidRPr="00DF30C4">
        <w:rPr>
          <w:rFonts w:ascii="Book Antiqua" w:hAnsi="Book Antiqua"/>
          <w:sz w:val="24"/>
          <w:szCs w:val="24"/>
          <w:vertAlign w:val="superscript"/>
        </w:rPr>
        <w:t>15</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_Ref324498279 \r \h  \* MERGEFORMAT </w:instrText>
      </w:r>
      <w:r w:rsidR="007C6050">
        <w:fldChar w:fldCharType="separate"/>
      </w:r>
      <w:r w:rsidRPr="00DF30C4">
        <w:rPr>
          <w:rFonts w:ascii="Book Antiqua" w:eastAsia="MinionPro-It" w:hAnsi="Book Antiqua"/>
          <w:iCs/>
          <w:sz w:val="24"/>
          <w:szCs w:val="24"/>
          <w:vertAlign w:val="superscript"/>
        </w:rPr>
        <w:t>17</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_Ref346433873 \r \h  \* MERGEFORMAT </w:instrText>
      </w:r>
      <w:r w:rsidR="007C6050">
        <w:fldChar w:fldCharType="separate"/>
      </w:r>
      <w:r w:rsidRPr="00DF30C4">
        <w:rPr>
          <w:rFonts w:ascii="Book Antiqua" w:hAnsi="Book Antiqua"/>
          <w:sz w:val="24"/>
          <w:szCs w:val="24"/>
          <w:vertAlign w:val="superscript"/>
        </w:rPr>
        <w:t>24</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eastAsia="MinionPro-It" w:hAnsi="Book Antiqua"/>
          <w:iCs/>
          <w:sz w:val="24"/>
          <w:szCs w:val="24"/>
        </w:rPr>
        <w:t xml:space="preserve"> In general, a sufficient dose of corticosteroids, 0.5-1 mg/kg</w:t>
      </w:r>
      <w:r w:rsidRPr="00DF30C4">
        <w:rPr>
          <w:rFonts w:ascii="Book Antiqua" w:eastAsia="宋体" w:hAnsi="Book Antiqua"/>
          <w:iCs/>
          <w:sz w:val="24"/>
          <w:szCs w:val="24"/>
          <w:lang w:eastAsia="zh-CN"/>
        </w:rPr>
        <w:t xml:space="preserve"> per </w:t>
      </w:r>
      <w:r w:rsidRPr="00DF30C4">
        <w:rPr>
          <w:rFonts w:ascii="Book Antiqua" w:eastAsia="MinionPro-It" w:hAnsi="Book Antiqua"/>
          <w:iCs/>
          <w:sz w:val="24"/>
          <w:szCs w:val="24"/>
        </w:rPr>
        <w:t>day of prednisolone for patients with moderate activity and 1-1.5 mg/kg</w:t>
      </w:r>
      <w:r w:rsidRPr="00DF30C4">
        <w:rPr>
          <w:rFonts w:ascii="Book Antiqua" w:eastAsia="宋体" w:hAnsi="Book Antiqua"/>
          <w:iCs/>
          <w:sz w:val="24"/>
          <w:szCs w:val="24"/>
          <w:lang w:eastAsia="zh-CN"/>
        </w:rPr>
        <w:t xml:space="preserve"> per</w:t>
      </w:r>
      <w:r w:rsidRPr="00DF30C4">
        <w:rPr>
          <w:rFonts w:ascii="Book Antiqua" w:eastAsia="MinionPro-It" w:hAnsi="Book Antiqua"/>
          <w:iCs/>
          <w:sz w:val="24"/>
          <w:szCs w:val="24"/>
        </w:rPr>
        <w:t xml:space="preserve"> day for patients with severe activity, was administered with a target period set at two weeks and then gradually reduced by 5-10 mg/d</w:t>
      </w:r>
      <w:r w:rsidRPr="00DF30C4">
        <w:rPr>
          <w:rFonts w:ascii="Book Antiqua" w:eastAsia="宋体" w:hAnsi="Book Antiqua"/>
          <w:iCs/>
          <w:sz w:val="24"/>
          <w:szCs w:val="24"/>
          <w:lang w:eastAsia="zh-CN"/>
        </w:rPr>
        <w:t xml:space="preserve"> </w:t>
      </w:r>
      <w:r w:rsidRPr="00DF30C4">
        <w:rPr>
          <w:rFonts w:ascii="Book Antiqua" w:eastAsia="MinionPro-It" w:hAnsi="Book Antiqua"/>
          <w:iCs/>
          <w:sz w:val="24"/>
          <w:szCs w:val="24"/>
        </w:rPr>
        <w:t>at weekly intervals until a daily dose of 20 mg was reached. In patients with a steroid-refractory or -dependent course, another treatment, such as apheresis, a calcineurin inhibitor or anti-TNF-α</w:t>
      </w:r>
      <w:r w:rsidRPr="00DF30C4">
        <w:rPr>
          <w:rFonts w:ascii="Book Antiqua" w:eastAsia="Arial Unicode MS" w:hAnsi="Book Antiqua"/>
          <w:iCs/>
          <w:sz w:val="24"/>
          <w:szCs w:val="24"/>
        </w:rPr>
        <w:t xml:space="preserve"> antibody, was</w:t>
      </w:r>
      <w:r w:rsidRPr="00DF30C4">
        <w:rPr>
          <w:rFonts w:ascii="Book Antiqua" w:eastAsia="MinionPro-It" w:hAnsi="Book Antiqua"/>
          <w:iCs/>
          <w:sz w:val="24"/>
          <w:szCs w:val="24"/>
        </w:rPr>
        <w:t xml:space="preserve"> started </w:t>
      </w:r>
      <w:r w:rsidRPr="00DF30C4">
        <w:rPr>
          <w:rFonts w:ascii="Book Antiqua" w:eastAsia="Arial Unicode MS" w:hAnsi="Book Antiqua"/>
          <w:iCs/>
          <w:sz w:val="24"/>
          <w:szCs w:val="24"/>
        </w:rPr>
        <w:t>according to their disease severity and treatment history. In this study, anti-TNF-α antibody was used less frequently because infliximab for UC was approved in Japan in June 2010. The effectiveness of additional treatments was also evaluated within about two weeks. Antiviral therapy with ganciclovir was not generally administered for patients in the CMV-negative group. However, antiviral therapy was administered for some patients who underwent acute exacerbation with endoscopic findings suggestive of CMV infection such as large, deep, or longitudinal ulcers</w:t>
      </w:r>
      <w:r w:rsidRPr="00DF30C4">
        <w:rPr>
          <w:rFonts w:ascii="Book Antiqua" w:eastAsia="Arial Unicode MS" w:hAnsi="Book Antiqua"/>
          <w:iCs/>
          <w:sz w:val="24"/>
          <w:szCs w:val="24"/>
          <w:vertAlign w:val="superscript"/>
        </w:rPr>
        <w:t>[</w:t>
      </w:r>
      <w:r w:rsidR="007C6050">
        <w:fldChar w:fldCharType="begin"/>
      </w:r>
      <w:r w:rsidR="007C6050">
        <w:instrText xml:space="preserve"> REF _Ref345038783 \r \h  \* MERGEFORMAT </w:instrText>
      </w:r>
      <w:r w:rsidR="007C6050">
        <w:fldChar w:fldCharType="separate"/>
      </w:r>
      <w:r w:rsidRPr="00DF30C4">
        <w:rPr>
          <w:rFonts w:ascii="Book Antiqua" w:eastAsia="Arial Unicode MS" w:hAnsi="Book Antiqua"/>
          <w:iCs/>
          <w:sz w:val="24"/>
          <w:szCs w:val="24"/>
          <w:vertAlign w:val="superscript"/>
        </w:rPr>
        <w:t>25</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p>
    <w:p w:rsidR="00C172CC" w:rsidRPr="00DF30C4" w:rsidRDefault="00C172CC" w:rsidP="00DF30C4">
      <w:pPr>
        <w:widowControl/>
        <w:tabs>
          <w:tab w:val="left" w:pos="2646"/>
        </w:tabs>
        <w:spacing w:line="360" w:lineRule="auto"/>
        <w:ind w:firstLineChars="200" w:firstLine="480"/>
        <w:rPr>
          <w:rFonts w:ascii="Book Antiqua" w:eastAsia="Arial Unicode MS" w:hAnsi="Book Antiqua"/>
          <w:iCs/>
          <w:sz w:val="24"/>
          <w:szCs w:val="24"/>
          <w:lang w:eastAsia="zh-CN"/>
        </w:rPr>
      </w:pPr>
      <w:r w:rsidRPr="00DF30C4">
        <w:rPr>
          <w:rFonts w:ascii="Book Antiqua" w:eastAsia="Arial Unicode MS" w:hAnsi="Book Antiqua"/>
          <w:iCs/>
          <w:sz w:val="24"/>
          <w:szCs w:val="24"/>
        </w:rPr>
        <w:t xml:space="preserve">When patients were found to be CMV antigen positive, ganciclovir administration with reduction of the dose of corticosteroids was considered to be the first choice. However, the antiviral agent was not provided for cases with mild disease activity or for cases for which conventional treatment without </w:t>
      </w:r>
      <w:r w:rsidRPr="00DF30C4">
        <w:rPr>
          <w:rFonts w:ascii="Book Antiqua" w:hAnsi="Book Antiqua"/>
          <w:sz w:val="24"/>
          <w:szCs w:val="24"/>
        </w:rPr>
        <w:t>ganciclovir</w:t>
      </w:r>
      <w:r w:rsidRPr="00DF30C4">
        <w:rPr>
          <w:rFonts w:ascii="Book Antiqua" w:eastAsia="Arial Unicode MS" w:hAnsi="Book Antiqua"/>
          <w:iCs/>
          <w:sz w:val="24"/>
          <w:szCs w:val="24"/>
        </w:rPr>
        <w:t xml:space="preserve"> appeared to be effective. As the next step, steroid-refractory patients received apheresis, anti-TNF-α antibody, or a calcineurin inhibitor after diminishment of CMV antigen. </w:t>
      </w:r>
    </w:p>
    <w:p w:rsidR="00C172CC" w:rsidRPr="00DF30C4" w:rsidRDefault="00C172CC" w:rsidP="00DF30C4">
      <w:pPr>
        <w:widowControl/>
        <w:tabs>
          <w:tab w:val="left" w:pos="2646"/>
        </w:tabs>
        <w:spacing w:line="360" w:lineRule="auto"/>
        <w:ind w:firstLineChars="354" w:firstLine="850"/>
        <w:rPr>
          <w:rFonts w:ascii="Book Antiqua" w:eastAsia="Arial Unicode MS" w:hAnsi="Book Antiqua"/>
          <w:iCs/>
          <w:sz w:val="24"/>
          <w:szCs w:val="24"/>
          <w:lang w:eastAsia="zh-CN"/>
        </w:rPr>
      </w:pPr>
    </w:p>
    <w:p w:rsidR="00C172CC" w:rsidRPr="00DF30C4" w:rsidRDefault="00C172CC" w:rsidP="00DF30C4">
      <w:pPr>
        <w:widowControl/>
        <w:tabs>
          <w:tab w:val="left" w:pos="2646"/>
        </w:tabs>
        <w:spacing w:line="360" w:lineRule="auto"/>
        <w:rPr>
          <w:rFonts w:ascii="Book Antiqua" w:eastAsia="Arial Unicode MS" w:hAnsi="Book Antiqua"/>
          <w:b/>
          <w:i/>
          <w:iCs/>
          <w:sz w:val="24"/>
          <w:szCs w:val="24"/>
        </w:rPr>
      </w:pPr>
      <w:r w:rsidRPr="00DF30C4">
        <w:rPr>
          <w:rFonts w:ascii="Book Antiqua" w:eastAsia="Arial Unicode MS" w:hAnsi="Book Antiqua"/>
          <w:b/>
          <w:i/>
          <w:iCs/>
          <w:sz w:val="24"/>
          <w:szCs w:val="24"/>
        </w:rPr>
        <w:t>Evaluation of disease course</w:t>
      </w:r>
    </w:p>
    <w:p w:rsidR="00C172CC" w:rsidRPr="00DF30C4" w:rsidRDefault="00C172CC" w:rsidP="00DF30C4">
      <w:pPr>
        <w:widowControl/>
        <w:tabs>
          <w:tab w:val="left" w:pos="1200"/>
        </w:tabs>
        <w:spacing w:line="360" w:lineRule="auto"/>
        <w:rPr>
          <w:rFonts w:ascii="Book Antiqua" w:hAnsi="Book Antiqua"/>
          <w:sz w:val="24"/>
          <w:szCs w:val="24"/>
        </w:rPr>
      </w:pPr>
      <w:r w:rsidRPr="00DF30C4">
        <w:rPr>
          <w:rFonts w:ascii="Book Antiqua" w:hAnsi="Book Antiqua"/>
          <w:sz w:val="24"/>
          <w:szCs w:val="24"/>
        </w:rPr>
        <w:t>Remission, relapse, and colectomy rates were compared between the CMV-positive and -negative groups. The severity was expressed according to Truelove and Witt’s criteria</w:t>
      </w:r>
      <w:r w:rsidRPr="00DF30C4">
        <w:rPr>
          <w:rFonts w:ascii="Book Antiqua" w:hAnsi="Book Antiqua"/>
          <w:sz w:val="24"/>
          <w:szCs w:val="24"/>
          <w:vertAlign w:val="superscript"/>
        </w:rPr>
        <w:t>[</w:t>
      </w:r>
      <w:r w:rsidR="007C6050">
        <w:fldChar w:fldCharType="begin"/>
      </w:r>
      <w:r w:rsidR="007C6050">
        <w:instrText xml:space="preserve"> REF _Ref338363958 \r \h  \* MERGEFORMAT </w:instrText>
      </w:r>
      <w:r w:rsidR="007C6050">
        <w:fldChar w:fldCharType="separate"/>
      </w:r>
      <w:r w:rsidRPr="00DF30C4">
        <w:rPr>
          <w:rFonts w:ascii="Book Antiqua" w:hAnsi="Book Antiqua"/>
          <w:sz w:val="24"/>
          <w:szCs w:val="24"/>
          <w:vertAlign w:val="superscript"/>
        </w:rPr>
        <w:t>26</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 State of relapse was defined as CAI score 7 or more</w:t>
      </w:r>
      <w:r w:rsidRPr="00DF30C4">
        <w:rPr>
          <w:rFonts w:ascii="Book Antiqua" w:hAnsi="Book Antiqua"/>
          <w:sz w:val="24"/>
          <w:szCs w:val="24"/>
          <w:vertAlign w:val="superscript"/>
        </w:rPr>
        <w:t>[</w:t>
      </w:r>
      <w:r w:rsidR="007C6050">
        <w:fldChar w:fldCharType="begin"/>
      </w:r>
      <w:r w:rsidR="007C6050">
        <w:instrText xml:space="preserve"> REF _Ref344681809 \r \h  \* MERGEFORMAT </w:instrText>
      </w:r>
      <w:r w:rsidR="007C6050">
        <w:fldChar w:fldCharType="separate"/>
      </w:r>
      <w:r w:rsidRPr="00DF30C4">
        <w:rPr>
          <w:rFonts w:ascii="Book Antiqua" w:hAnsi="Book Antiqua"/>
          <w:sz w:val="24"/>
          <w:szCs w:val="24"/>
          <w:vertAlign w:val="superscript"/>
        </w:rPr>
        <w:t>23</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 The definition of remission meets the CAI score 4 or less without any abdominal pains and bloody stools. Short-term clinical courses were evaluated according to patient status within 8 weeks of examination of CMV antigen status, while long-term clinical courses were determined at the last visit before March 2012 or the time of colectomy.</w:t>
      </w:r>
    </w:p>
    <w:p w:rsidR="00C172CC" w:rsidRPr="00DF30C4" w:rsidRDefault="00C172CC" w:rsidP="00DF30C4">
      <w:pPr>
        <w:widowControl/>
        <w:spacing w:line="360" w:lineRule="auto"/>
        <w:rPr>
          <w:rFonts w:ascii="Book Antiqua" w:eastAsia="宋体" w:hAnsi="Book Antiqua"/>
          <w:b/>
          <w:i/>
          <w:sz w:val="24"/>
          <w:szCs w:val="24"/>
          <w:lang w:eastAsia="zh-CN"/>
        </w:rPr>
      </w:pPr>
    </w:p>
    <w:p w:rsidR="00C172CC" w:rsidRPr="00DF30C4" w:rsidRDefault="00C172CC" w:rsidP="00DF30C4">
      <w:pPr>
        <w:widowControl/>
        <w:spacing w:line="360" w:lineRule="auto"/>
        <w:rPr>
          <w:rFonts w:ascii="Book Antiqua" w:hAnsi="Book Antiqua"/>
          <w:b/>
          <w:i/>
          <w:sz w:val="24"/>
          <w:szCs w:val="24"/>
        </w:rPr>
      </w:pPr>
      <w:r w:rsidRPr="00DF30C4">
        <w:rPr>
          <w:rFonts w:ascii="Book Antiqua" w:hAnsi="Book Antiqua"/>
          <w:b/>
          <w:i/>
          <w:sz w:val="24"/>
          <w:szCs w:val="24"/>
        </w:rPr>
        <w:t>Ethical considerations</w:t>
      </w:r>
    </w:p>
    <w:p w:rsidR="00C172CC" w:rsidRDefault="00C172CC" w:rsidP="00A1584C">
      <w:pPr>
        <w:widowControl/>
        <w:spacing w:line="360" w:lineRule="auto"/>
        <w:ind w:left="2"/>
        <w:rPr>
          <w:rFonts w:ascii="Book Antiqua" w:hAnsi="Book Antiqua"/>
          <w:sz w:val="24"/>
          <w:szCs w:val="24"/>
        </w:rPr>
      </w:pPr>
      <w:r w:rsidRPr="00DF30C4">
        <w:rPr>
          <w:rFonts w:ascii="Book Antiqua" w:hAnsi="Book Antiqua"/>
          <w:sz w:val="24"/>
          <w:szCs w:val="24"/>
        </w:rPr>
        <w:t>This retrospective analysis was approved by the institutional review board of Okayama University Graduate School of Medicine, Dentistry, and Pharmaceutical Sciences and all the patients and subjects were included after obtaining their written informed consent. There were no conflicts of interest or sponsors of this study.</w:t>
      </w:r>
    </w:p>
    <w:p w:rsidR="00C172CC" w:rsidRPr="00DF30C4" w:rsidRDefault="00C172CC" w:rsidP="00DF30C4">
      <w:pPr>
        <w:widowControl/>
        <w:spacing w:line="360" w:lineRule="auto"/>
        <w:jc w:val="left"/>
        <w:rPr>
          <w:rFonts w:ascii="Book Antiqua" w:hAnsi="Book Antiqua"/>
          <w:b/>
          <w:i/>
          <w:sz w:val="24"/>
          <w:szCs w:val="24"/>
        </w:rPr>
      </w:pPr>
    </w:p>
    <w:p w:rsidR="00C172CC" w:rsidRPr="00DF30C4" w:rsidRDefault="00C172CC" w:rsidP="00DF30C4">
      <w:pPr>
        <w:widowControl/>
        <w:spacing w:line="360" w:lineRule="auto"/>
        <w:jc w:val="left"/>
        <w:rPr>
          <w:rFonts w:ascii="Book Antiqua" w:hAnsi="Book Antiqua"/>
          <w:b/>
          <w:i/>
          <w:sz w:val="24"/>
          <w:szCs w:val="24"/>
        </w:rPr>
      </w:pPr>
      <w:r w:rsidRPr="00DF30C4">
        <w:rPr>
          <w:rFonts w:ascii="Book Antiqua" w:hAnsi="Book Antiqua"/>
          <w:b/>
          <w:i/>
          <w:sz w:val="24"/>
          <w:szCs w:val="24"/>
        </w:rPr>
        <w:t>Statistical analysis</w:t>
      </w:r>
    </w:p>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 xml:space="preserve">Patient characteristics were compared using the chi-square test, Fisher’s exact test and Mann-Whitney </w:t>
      </w:r>
      <w:r w:rsidRPr="00DF30C4">
        <w:rPr>
          <w:rFonts w:ascii="Book Antiqua" w:hAnsi="Book Antiqua"/>
          <w:i/>
          <w:sz w:val="24"/>
          <w:szCs w:val="24"/>
        </w:rPr>
        <w:t>U</w:t>
      </w:r>
      <w:r w:rsidRPr="00DF30C4">
        <w:rPr>
          <w:rFonts w:ascii="Book Antiqua" w:hAnsi="Book Antiqua"/>
          <w:sz w:val="24"/>
          <w:szCs w:val="24"/>
        </w:rPr>
        <w:t xml:space="preserve">-test. Analyses of remission, relapse and colectomy rates were carried out using the method of Kaplan and Meier. Statistical comparison was carried out by log-rank test. Univariate and multivariate analysis using a Cox proportional hazard model were also conducted. </w:t>
      </w:r>
      <w:r w:rsidRPr="00DF30C4">
        <w:rPr>
          <w:rFonts w:ascii="Book Antiqua" w:hAnsi="Book Antiqua"/>
          <w:i/>
          <w:sz w:val="24"/>
          <w:szCs w:val="24"/>
        </w:rPr>
        <w:t>P</w:t>
      </w:r>
      <w:r w:rsidRPr="00DF30C4">
        <w:rPr>
          <w:rFonts w:ascii="Book Antiqua" w:hAnsi="Book Antiqua"/>
          <w:sz w:val="24"/>
          <w:szCs w:val="24"/>
        </w:rPr>
        <w:t>-value &lt; 0.05 was considered statistically significant. All statistical analyses were performed using JMP ver.9 software (SAS Institute, Cary, NC, U</w:t>
      </w:r>
      <w:r w:rsidRPr="00DF30C4">
        <w:rPr>
          <w:rFonts w:ascii="Book Antiqua" w:eastAsia="宋体" w:hAnsi="Book Antiqua"/>
          <w:sz w:val="24"/>
          <w:szCs w:val="24"/>
          <w:lang w:eastAsia="zh-CN"/>
        </w:rPr>
        <w:t>nited States</w:t>
      </w:r>
      <w:r w:rsidRPr="00DF30C4">
        <w:rPr>
          <w:rFonts w:ascii="Book Antiqua" w:hAnsi="Book Antiqua"/>
          <w:sz w:val="24"/>
          <w:szCs w:val="24"/>
        </w:rPr>
        <w:t xml:space="preserve">). </w:t>
      </w:r>
    </w:p>
    <w:p w:rsidR="00C172CC" w:rsidRPr="00DF30C4" w:rsidRDefault="00C172CC" w:rsidP="00DF30C4">
      <w:pPr>
        <w:widowControl/>
        <w:spacing w:line="360" w:lineRule="auto"/>
        <w:ind w:firstLineChars="354" w:firstLine="850"/>
        <w:rPr>
          <w:rFonts w:ascii="Book Antiqua" w:hAnsi="Book Antiqua"/>
          <w:sz w:val="24"/>
          <w:szCs w:val="24"/>
        </w:rPr>
      </w:pPr>
    </w:p>
    <w:p w:rsidR="00C172CC" w:rsidRPr="00DF30C4" w:rsidRDefault="00C172CC" w:rsidP="00DF30C4">
      <w:pPr>
        <w:widowControl/>
        <w:spacing w:line="360" w:lineRule="auto"/>
        <w:jc w:val="left"/>
        <w:rPr>
          <w:rFonts w:ascii="Book Antiqua" w:hAnsi="Book Antiqua"/>
          <w:sz w:val="24"/>
          <w:szCs w:val="24"/>
        </w:rPr>
      </w:pPr>
      <w:r w:rsidRPr="00DF30C4">
        <w:rPr>
          <w:rFonts w:ascii="Book Antiqua" w:hAnsi="Book Antiqua"/>
          <w:b/>
          <w:sz w:val="24"/>
          <w:szCs w:val="24"/>
        </w:rPr>
        <w:t>RESULTS</w:t>
      </w:r>
    </w:p>
    <w:p w:rsidR="00C172CC" w:rsidRPr="00DF30C4" w:rsidRDefault="00C172CC" w:rsidP="00DF30C4">
      <w:pPr>
        <w:widowControl/>
        <w:spacing w:line="360" w:lineRule="auto"/>
        <w:rPr>
          <w:rFonts w:ascii="Book Antiqua" w:hAnsi="Book Antiqua"/>
          <w:b/>
          <w:i/>
          <w:sz w:val="24"/>
          <w:szCs w:val="24"/>
        </w:rPr>
      </w:pPr>
      <w:r w:rsidRPr="00DF30C4">
        <w:rPr>
          <w:rFonts w:ascii="Book Antiqua" w:hAnsi="Book Antiqua"/>
          <w:b/>
          <w:i/>
          <w:sz w:val="24"/>
          <w:szCs w:val="24"/>
        </w:rPr>
        <w:t>Patient characteristics</w:t>
      </w:r>
    </w:p>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 xml:space="preserve">The clinical characteristics of analyzed patients are summarized in Table 1. </w:t>
      </w:r>
      <w:r w:rsidRPr="00DF30C4">
        <w:rPr>
          <w:rFonts w:ascii="Book Antiqua" w:eastAsia="Arial Unicode MS" w:hAnsi="Book Antiqua"/>
          <w:sz w:val="24"/>
          <w:szCs w:val="24"/>
        </w:rPr>
        <w:t xml:space="preserve">A total of 118 UC patients with known CMV antigen status were treated during the study period; </w:t>
      </w:r>
      <w:r w:rsidRPr="00DF30C4">
        <w:rPr>
          <w:rFonts w:ascii="Book Antiqua" w:hAnsi="Book Antiqua"/>
          <w:kern w:val="0"/>
          <w:sz w:val="24"/>
          <w:szCs w:val="24"/>
        </w:rPr>
        <w:t>40 were included in the CMV-positive group and 78 were in the CMV-negative group. CMV antigen was detected more frequently in male patients (</w:t>
      </w:r>
      <w:r w:rsidRPr="00DF30C4">
        <w:rPr>
          <w:rFonts w:ascii="Book Antiqua" w:hAnsi="Book Antiqua"/>
          <w:i/>
          <w:kern w:val="0"/>
          <w:sz w:val="24"/>
          <w:szCs w:val="24"/>
        </w:rPr>
        <w:t>P</w:t>
      </w:r>
      <w:r w:rsidRPr="00DF30C4">
        <w:rPr>
          <w:rFonts w:ascii="Book Antiqua" w:hAnsi="Book Antiqua"/>
          <w:kern w:val="0"/>
          <w:sz w:val="24"/>
          <w:szCs w:val="24"/>
        </w:rPr>
        <w:t xml:space="preserve"> = 0.009). </w:t>
      </w:r>
      <w:r w:rsidRPr="00DF30C4">
        <w:rPr>
          <w:rFonts w:ascii="Book Antiqua" w:hAnsi="Book Antiqua"/>
          <w:sz w:val="24"/>
          <w:szCs w:val="24"/>
        </w:rPr>
        <w:t xml:space="preserve">The dose of corticosteroids at the beginning of the treatment was significantly higher for the patients in the CMV-positive group than those in the CMV-negative group (35 mg/d of prednisolone </w:t>
      </w:r>
      <w:r w:rsidRPr="00DF30C4">
        <w:rPr>
          <w:rFonts w:ascii="Book Antiqua" w:hAnsi="Book Antiqua"/>
          <w:i/>
          <w:sz w:val="24"/>
          <w:szCs w:val="24"/>
        </w:rPr>
        <w:t>vs</w:t>
      </w:r>
      <w:r w:rsidRPr="00DF30C4">
        <w:rPr>
          <w:rFonts w:ascii="Book Antiqua" w:hAnsi="Book Antiqua"/>
          <w:sz w:val="24"/>
          <w:szCs w:val="24"/>
        </w:rPr>
        <w:t xml:space="preserve"> 20 mg/day, </w:t>
      </w:r>
      <w:r w:rsidRPr="00DF30C4">
        <w:rPr>
          <w:rFonts w:ascii="Book Antiqua" w:hAnsi="Book Antiqua"/>
          <w:i/>
          <w:sz w:val="24"/>
          <w:szCs w:val="24"/>
        </w:rPr>
        <w:t>P</w:t>
      </w:r>
      <w:r w:rsidRPr="00DF30C4">
        <w:rPr>
          <w:rFonts w:ascii="Book Antiqua" w:hAnsi="Book Antiqua"/>
          <w:sz w:val="24"/>
          <w:szCs w:val="24"/>
        </w:rPr>
        <w:t xml:space="preserve"> = 0.0003). CMV status of all the CMV-positive patients except those who underwent colectomy in a short term became negative, regardless of ganciclovir administration or not. The average period between the start of therapy and measurement of CMV antigenemia assay was 10.8</w:t>
      </w:r>
      <w:r w:rsidRPr="00DF30C4">
        <w:rPr>
          <w:rFonts w:ascii="Book Antiqua" w:eastAsia="宋体" w:hAnsi="Book Antiqua"/>
          <w:sz w:val="24"/>
          <w:szCs w:val="24"/>
          <w:lang w:eastAsia="zh-CN"/>
        </w:rPr>
        <w:t xml:space="preserve"> </w:t>
      </w:r>
      <w:r w:rsidRPr="00DF30C4">
        <w:rPr>
          <w:rFonts w:ascii="Book Antiqua" w:hAnsi="Book Antiqua"/>
          <w:sz w:val="24"/>
          <w:szCs w:val="24"/>
        </w:rPr>
        <w:t>±</w:t>
      </w:r>
      <w:r w:rsidRPr="00DF30C4">
        <w:rPr>
          <w:rFonts w:ascii="Book Antiqua" w:eastAsia="宋体" w:hAnsi="Book Antiqua"/>
          <w:sz w:val="24"/>
          <w:szCs w:val="24"/>
          <w:lang w:eastAsia="zh-CN"/>
        </w:rPr>
        <w:t xml:space="preserve"> </w:t>
      </w:r>
      <w:r w:rsidRPr="00DF30C4">
        <w:rPr>
          <w:rFonts w:ascii="Book Antiqua" w:hAnsi="Book Antiqua"/>
          <w:sz w:val="24"/>
          <w:szCs w:val="24"/>
        </w:rPr>
        <w:t>13.4 d.</w:t>
      </w:r>
    </w:p>
    <w:p w:rsidR="00C172CC" w:rsidRPr="00DF30C4" w:rsidRDefault="00C172CC" w:rsidP="00DF30C4">
      <w:pPr>
        <w:widowControl/>
        <w:spacing w:line="360" w:lineRule="auto"/>
        <w:ind w:firstLineChars="200" w:firstLine="480"/>
        <w:rPr>
          <w:rFonts w:ascii="Book Antiqua" w:hAnsi="Book Antiqua"/>
          <w:sz w:val="24"/>
          <w:szCs w:val="24"/>
        </w:rPr>
      </w:pPr>
      <w:r w:rsidRPr="00DF30C4">
        <w:rPr>
          <w:rFonts w:ascii="Book Antiqua" w:hAnsi="Book Antiqua"/>
          <w:sz w:val="24"/>
          <w:szCs w:val="24"/>
        </w:rPr>
        <w:t xml:space="preserve">The correlation between CMV antigen status and IHC for CMV in the colonic mucosa was examined using 49 patients who underwent colonoscopy around the time of the CMV antigenemia assay. Of the 23 patients in the CMV-positive group, 9 (39.1%) were positive for IHC. </w:t>
      </w:r>
      <w:r w:rsidRPr="00DF30C4">
        <w:rPr>
          <w:rFonts w:ascii="Book Antiqua" w:eastAsia="Arial Unicode MS" w:hAnsi="Book Antiqua"/>
          <w:sz w:val="24"/>
          <w:szCs w:val="24"/>
        </w:rPr>
        <w:t xml:space="preserve">On the other hand, 25 (96.2%) of the 26 patients in the CMV-negative group were negative </w:t>
      </w:r>
      <w:r w:rsidRPr="00DF30C4">
        <w:rPr>
          <w:rFonts w:ascii="Book Antiqua" w:eastAsia="Arial Unicode MS" w:hAnsi="Book Antiqua"/>
          <w:sz w:val="24"/>
          <w:szCs w:val="24"/>
        </w:rPr>
        <w:lastRenderedPageBreak/>
        <w:t xml:space="preserve">for IHC. </w:t>
      </w:r>
      <w:r w:rsidRPr="00DF30C4">
        <w:rPr>
          <w:rFonts w:ascii="Book Antiqua" w:hAnsi="Book Antiqua"/>
          <w:sz w:val="24"/>
          <w:szCs w:val="24"/>
        </w:rPr>
        <w:t>The results of the CMV antigenemia assay were closely correlated with IHC of inflamed colon mucosa for CMV (</w:t>
      </w:r>
      <w:r w:rsidRPr="00DF30C4">
        <w:rPr>
          <w:rFonts w:ascii="Book Antiqua" w:hAnsi="Book Antiqua"/>
          <w:i/>
          <w:sz w:val="24"/>
          <w:szCs w:val="24"/>
        </w:rPr>
        <w:t>P</w:t>
      </w:r>
      <w:r w:rsidRPr="00DF30C4">
        <w:rPr>
          <w:rFonts w:ascii="Book Antiqua" w:hAnsi="Book Antiqua"/>
          <w:sz w:val="24"/>
          <w:szCs w:val="24"/>
        </w:rPr>
        <w:t xml:space="preserve"> = 0.003, Fisher’s exact test). Taking IHC as the gold standard, positive CMV antigen status predicted positive IHC with 90% sensitivity and 64% specificity. </w:t>
      </w:r>
    </w:p>
    <w:p w:rsidR="00C172CC" w:rsidRPr="00DF30C4" w:rsidRDefault="00C172CC" w:rsidP="00DF30C4">
      <w:pPr>
        <w:widowControl/>
        <w:spacing w:line="360" w:lineRule="auto"/>
        <w:ind w:firstLineChars="354" w:firstLine="850"/>
        <w:rPr>
          <w:rFonts w:ascii="Book Antiqua" w:hAnsi="Book Antiqua"/>
          <w:sz w:val="24"/>
          <w:szCs w:val="24"/>
        </w:rPr>
      </w:pPr>
    </w:p>
    <w:p w:rsidR="00C172CC" w:rsidRPr="00DF30C4" w:rsidRDefault="00C172CC" w:rsidP="00DF30C4">
      <w:pPr>
        <w:widowControl/>
        <w:spacing w:line="360" w:lineRule="auto"/>
        <w:rPr>
          <w:rFonts w:ascii="Book Antiqua" w:hAnsi="Book Antiqua"/>
          <w:b/>
          <w:i/>
          <w:sz w:val="24"/>
          <w:szCs w:val="24"/>
        </w:rPr>
      </w:pPr>
      <w:r w:rsidRPr="00DF30C4">
        <w:rPr>
          <w:rFonts w:ascii="Book Antiqua" w:hAnsi="Book Antiqua"/>
          <w:b/>
          <w:i/>
          <w:sz w:val="24"/>
          <w:szCs w:val="24"/>
        </w:rPr>
        <w:t xml:space="preserve">Initial treatment for patients </w:t>
      </w:r>
    </w:p>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 xml:space="preserve">Figure 1 is a flow chart of the clinical courses of the 118 patients treated according to the strategy based on CMV antigen status. Of the 38 patients in the CMV-positive group who had received corticosteroids, 30 (78.9%) underwent dose reduction of corticosteroids. The remaining 8 patients did not undergo dose reduction of corticosteroids; 3 received colectomy in the early period and 5 showed a marked response to the corticosteroids. Twenty-eight (70%) patients in the CMV-positive group received ganciclovir infusion. </w:t>
      </w:r>
      <w:r w:rsidRPr="00DF30C4">
        <w:rPr>
          <w:rFonts w:ascii="Book Antiqua" w:eastAsia="Arial Unicode MS" w:hAnsi="Book Antiqua"/>
          <w:sz w:val="24"/>
          <w:szCs w:val="24"/>
        </w:rPr>
        <w:t>On the other hand, 68 (87.2%) of the 78 patients in the CMV-negative group received corticosteroids without any dose reductions. Six</w:t>
      </w:r>
      <w:r w:rsidRPr="00DF30C4">
        <w:rPr>
          <w:rFonts w:ascii="Book Antiqua" w:hAnsi="Book Antiqua"/>
          <w:sz w:val="24"/>
          <w:szCs w:val="24"/>
        </w:rPr>
        <w:t xml:space="preserve"> (7.7%) patients in the CMV-negative group were administered ganciclovir infusion because CMV reactivation was suspected, based on specific endoscopic findings and clinical refractoriness to the first-line therapy with clinical symptoms worsening. In both groups, apheresis and calcineurin inhibitors were used relatively frequently. </w:t>
      </w:r>
    </w:p>
    <w:p w:rsidR="00C172CC" w:rsidRPr="00DF30C4" w:rsidRDefault="00C172CC" w:rsidP="00DF30C4">
      <w:pPr>
        <w:widowControl/>
        <w:spacing w:line="360" w:lineRule="auto"/>
        <w:ind w:firstLineChars="354" w:firstLine="850"/>
        <w:rPr>
          <w:rFonts w:ascii="Book Antiqua" w:hAnsi="Book Antiqua"/>
          <w:sz w:val="24"/>
          <w:szCs w:val="24"/>
        </w:rPr>
      </w:pPr>
    </w:p>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b/>
          <w:i/>
          <w:sz w:val="24"/>
          <w:szCs w:val="24"/>
        </w:rPr>
        <w:t>Short-term remission rates according to CMV antigen status</w:t>
      </w:r>
    </w:p>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 xml:space="preserve">In the CMV-positive group, 25 (62.5%) patients went into remission and 5 (12.5%) received colectomy during the short-term treatment. The remaining 10 (25%) patients improved, but did not fulfill the criteria of remission. Among the CMV-negative group, on the other hand, 54 (69.2%) patients entered remission successfully, 14 (17.9%) improved, and 10 (12.8%) underwent colectomy in the short-term (Figure 1, center part). </w:t>
      </w:r>
    </w:p>
    <w:p w:rsidR="00C172CC" w:rsidRPr="00DF30C4" w:rsidRDefault="00C172CC" w:rsidP="00DF30C4">
      <w:pPr>
        <w:widowControl/>
        <w:tabs>
          <w:tab w:val="center" w:pos="4252"/>
        </w:tabs>
        <w:spacing w:line="360" w:lineRule="auto"/>
        <w:ind w:firstLineChars="200" w:firstLine="480"/>
        <w:rPr>
          <w:rFonts w:ascii="Book Antiqua" w:hAnsi="Book Antiqua"/>
          <w:sz w:val="24"/>
          <w:szCs w:val="24"/>
        </w:rPr>
      </w:pPr>
      <w:r w:rsidRPr="00DF30C4">
        <w:rPr>
          <w:rFonts w:ascii="Book Antiqua" w:hAnsi="Book Antiqua"/>
          <w:sz w:val="24"/>
          <w:szCs w:val="24"/>
        </w:rPr>
        <w:t>Two types of the Kaplan-Meier curves for the rate of remission induction are shown (Figure 2). Figure 2A indicates the remission rate from the starting day of the remission-induction therapy and Figure 2B shows from the day when the CMV antigen status was determined. Both curves show the better clinical course in the CMV-negative group (</w:t>
      </w:r>
      <w:r w:rsidRPr="00DF30C4">
        <w:rPr>
          <w:rFonts w:ascii="Book Antiqua" w:hAnsi="Book Antiqua"/>
          <w:i/>
          <w:sz w:val="24"/>
          <w:szCs w:val="24"/>
        </w:rPr>
        <w:t>P</w:t>
      </w:r>
      <w:r w:rsidRPr="00DF30C4">
        <w:rPr>
          <w:rFonts w:ascii="Book Antiqua" w:hAnsi="Book Antiqua"/>
          <w:sz w:val="24"/>
          <w:szCs w:val="24"/>
        </w:rPr>
        <w:t xml:space="preserve"> = 0.0006 and </w:t>
      </w:r>
      <w:r w:rsidRPr="00DF30C4">
        <w:rPr>
          <w:rFonts w:ascii="Book Antiqua" w:hAnsi="Book Antiqua"/>
          <w:i/>
          <w:sz w:val="24"/>
          <w:szCs w:val="24"/>
        </w:rPr>
        <w:t>P</w:t>
      </w:r>
      <w:r w:rsidRPr="00DF30C4">
        <w:rPr>
          <w:rFonts w:ascii="Book Antiqua" w:hAnsi="Book Antiqua"/>
          <w:sz w:val="24"/>
          <w:szCs w:val="24"/>
        </w:rPr>
        <w:t xml:space="preserve"> = 0.03, respectively, log-rank test). The median number of days to remission from the start of the treatment with our strategy was significantly greater for the patients in the </w:t>
      </w:r>
      <w:r w:rsidRPr="00DF30C4">
        <w:rPr>
          <w:rFonts w:ascii="Book Antiqua" w:hAnsi="Book Antiqua"/>
          <w:sz w:val="24"/>
          <w:szCs w:val="24"/>
        </w:rPr>
        <w:lastRenderedPageBreak/>
        <w:t>CMV-positive group than those in the CMV-negative group (21 d</w:t>
      </w:r>
      <w:r w:rsidRPr="00DF30C4">
        <w:rPr>
          <w:rFonts w:ascii="Book Antiqua" w:hAnsi="Book Antiqua"/>
          <w:i/>
          <w:sz w:val="24"/>
          <w:szCs w:val="24"/>
        </w:rPr>
        <w:t xml:space="preserve"> vs </w:t>
      </w:r>
      <w:r w:rsidRPr="00DF30C4">
        <w:rPr>
          <w:rFonts w:ascii="Book Antiqua" w:hAnsi="Book Antiqua"/>
          <w:sz w:val="24"/>
          <w:szCs w:val="24"/>
        </w:rPr>
        <w:t xml:space="preserve">16 d, </w:t>
      </w:r>
      <w:r w:rsidRPr="00DF30C4">
        <w:rPr>
          <w:rFonts w:ascii="Book Antiqua" w:hAnsi="Book Antiqua"/>
          <w:i/>
          <w:sz w:val="24"/>
          <w:szCs w:val="24"/>
        </w:rPr>
        <w:t>P</w:t>
      </w:r>
      <w:r w:rsidRPr="00DF30C4">
        <w:rPr>
          <w:rFonts w:ascii="Book Antiqua" w:hAnsi="Book Antiqua"/>
          <w:sz w:val="24"/>
          <w:szCs w:val="24"/>
        </w:rPr>
        <w:t xml:space="preserve"> = 0.009, Mann-Whitney</w:t>
      </w:r>
      <w:r w:rsidRPr="00DF30C4">
        <w:rPr>
          <w:rFonts w:ascii="Book Antiqua" w:hAnsi="Book Antiqua"/>
          <w:i/>
          <w:sz w:val="24"/>
          <w:szCs w:val="24"/>
        </w:rPr>
        <w:t xml:space="preserve"> U</w:t>
      </w:r>
      <w:r w:rsidRPr="00DF30C4">
        <w:rPr>
          <w:rFonts w:ascii="Book Antiqua" w:hAnsi="Book Antiqua"/>
          <w:sz w:val="24"/>
          <w:szCs w:val="24"/>
        </w:rPr>
        <w:t>-test). In addition, we analyzed remission rate from the starting day of the remission-induction therapy between the two groups; one group was limited to CMV-positive patients administered ganciclovir and another was CMV-negative patients not administered ganciclovir. These curves showed the better clinical course in the CMV-negative group, too (</w:t>
      </w:r>
      <w:r w:rsidRPr="00DF30C4">
        <w:rPr>
          <w:rFonts w:ascii="Book Antiqua" w:hAnsi="Book Antiqua"/>
          <w:i/>
          <w:sz w:val="24"/>
          <w:szCs w:val="24"/>
        </w:rPr>
        <w:t>P</w:t>
      </w:r>
      <w:r w:rsidRPr="00DF30C4">
        <w:rPr>
          <w:rFonts w:ascii="Book Antiqua" w:hAnsi="Book Antiqua"/>
          <w:sz w:val="24"/>
          <w:szCs w:val="24"/>
        </w:rPr>
        <w:t xml:space="preserve"> = 0.03, Log-rank test). </w:t>
      </w:r>
    </w:p>
    <w:p w:rsidR="00C172CC" w:rsidRPr="00DF30C4" w:rsidRDefault="00C172CC" w:rsidP="00DF30C4">
      <w:pPr>
        <w:widowControl/>
        <w:tabs>
          <w:tab w:val="center" w:pos="4252"/>
        </w:tabs>
        <w:spacing w:line="360" w:lineRule="auto"/>
        <w:rPr>
          <w:rFonts w:ascii="Book Antiqua" w:hAnsi="Book Antiqua"/>
          <w:strike/>
          <w:sz w:val="24"/>
          <w:szCs w:val="24"/>
        </w:rPr>
      </w:pPr>
    </w:p>
    <w:p w:rsidR="00C172CC" w:rsidRPr="00DF30C4" w:rsidRDefault="00C172CC" w:rsidP="00DF30C4">
      <w:pPr>
        <w:widowControl/>
        <w:spacing w:line="360" w:lineRule="auto"/>
        <w:rPr>
          <w:rFonts w:ascii="Book Antiqua" w:hAnsi="Book Antiqua"/>
          <w:b/>
          <w:i/>
          <w:sz w:val="24"/>
          <w:szCs w:val="24"/>
        </w:rPr>
      </w:pPr>
      <w:r w:rsidRPr="00DF30C4">
        <w:rPr>
          <w:rFonts w:ascii="Book Antiqua" w:hAnsi="Book Antiqua"/>
          <w:b/>
          <w:i/>
          <w:sz w:val="24"/>
          <w:szCs w:val="24"/>
        </w:rPr>
        <w:t>Relapse rate after successful remission induction according to CMV antigen status</w:t>
      </w:r>
    </w:p>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In the CMV-positive group, 14 (56%) of the 25 patients who had gone into remission within the short-term maintained that status. In contrast, only one (10%) of the 10 patients with improvement in the short-term entered remission afterwards. Meanwhile, in the CMV-negative group, 34 (50%) of 68 patients who avoided colectomy in the short-term could maintain continuous clinical remission (Figure 1, lower part).</w:t>
      </w:r>
    </w:p>
    <w:p w:rsidR="00C172CC" w:rsidRPr="00DF30C4" w:rsidRDefault="00C172CC" w:rsidP="00DF30C4">
      <w:pPr>
        <w:widowControl/>
        <w:tabs>
          <w:tab w:val="center" w:pos="4252"/>
        </w:tabs>
        <w:spacing w:line="360" w:lineRule="auto"/>
        <w:ind w:firstLineChars="200" w:firstLine="480"/>
        <w:rPr>
          <w:rFonts w:ascii="Book Antiqua" w:hAnsi="Book Antiqua"/>
          <w:sz w:val="24"/>
          <w:szCs w:val="24"/>
        </w:rPr>
      </w:pPr>
      <w:r w:rsidRPr="00DF30C4">
        <w:rPr>
          <w:rFonts w:ascii="Book Antiqua" w:hAnsi="Book Antiqua"/>
          <w:sz w:val="24"/>
          <w:szCs w:val="24"/>
        </w:rPr>
        <w:t xml:space="preserve">The rate of relapse after successful remission induction with the initial treatment did not differ between the patients in the CMV-positive and -negative groups (Figure 3; </w:t>
      </w:r>
      <w:r w:rsidRPr="00DF30C4">
        <w:rPr>
          <w:rFonts w:ascii="Book Antiqua" w:hAnsi="Book Antiqua"/>
          <w:i/>
          <w:sz w:val="24"/>
          <w:szCs w:val="24"/>
        </w:rPr>
        <w:t>P</w:t>
      </w:r>
      <w:r w:rsidRPr="00DF30C4">
        <w:rPr>
          <w:rFonts w:ascii="Book Antiqua" w:hAnsi="Book Antiqua"/>
          <w:sz w:val="24"/>
          <w:szCs w:val="24"/>
        </w:rPr>
        <w:t xml:space="preserve"> = 0.36, Log-rank test). Among 20 patients in the CMV-positive group who underwent relapse or colectomy after the initial induction of remission, 2 became positive for CMV antigen again. These patients were intractable to any therapy, including anti-TNF-α antibodies, and calcineurin inhibitors, and continued to suffer from chronic symptoms during the study period. None of the 34 patients in the CMV-negative group who relapsed or underwent colectomy after the initial remission became positive for CMV antigen.</w:t>
      </w:r>
    </w:p>
    <w:p w:rsidR="00C172CC" w:rsidRPr="00DF30C4" w:rsidRDefault="00C172CC" w:rsidP="00DF30C4">
      <w:pPr>
        <w:widowControl/>
        <w:tabs>
          <w:tab w:val="center" w:pos="4252"/>
        </w:tabs>
        <w:spacing w:line="360" w:lineRule="auto"/>
        <w:rPr>
          <w:rFonts w:ascii="Book Antiqua" w:hAnsi="Book Antiqua"/>
          <w:sz w:val="24"/>
          <w:szCs w:val="24"/>
        </w:rPr>
      </w:pPr>
    </w:p>
    <w:p w:rsidR="00C172CC" w:rsidRPr="00DF30C4" w:rsidRDefault="00C172CC" w:rsidP="00DF30C4">
      <w:pPr>
        <w:widowControl/>
        <w:spacing w:line="360" w:lineRule="auto"/>
        <w:jc w:val="left"/>
        <w:rPr>
          <w:rFonts w:ascii="Book Antiqua" w:hAnsi="Book Antiqua"/>
          <w:b/>
          <w:i/>
          <w:sz w:val="24"/>
          <w:szCs w:val="24"/>
        </w:rPr>
      </w:pPr>
      <w:r w:rsidRPr="00DF30C4">
        <w:rPr>
          <w:rFonts w:ascii="Book Antiqua" w:hAnsi="Book Antiqua"/>
          <w:b/>
          <w:i/>
          <w:sz w:val="24"/>
          <w:szCs w:val="24"/>
        </w:rPr>
        <w:t>Colectomy rate according to CMV antigen status</w:t>
      </w:r>
    </w:p>
    <w:p w:rsidR="00C172CC" w:rsidRPr="00DF30C4" w:rsidRDefault="00C172CC" w:rsidP="00DF30C4">
      <w:pPr>
        <w:widowControl/>
        <w:spacing w:line="360" w:lineRule="auto"/>
        <w:rPr>
          <w:rFonts w:ascii="Book Antiqua" w:eastAsia="Arial Unicode MS" w:hAnsi="Book Antiqua"/>
          <w:sz w:val="24"/>
          <w:szCs w:val="24"/>
          <w:lang w:eastAsia="zh-CN"/>
        </w:rPr>
      </w:pPr>
      <w:r w:rsidRPr="00DF30C4">
        <w:rPr>
          <w:rFonts w:ascii="Book Antiqua" w:hAnsi="Book Antiqua"/>
          <w:sz w:val="24"/>
          <w:szCs w:val="24"/>
        </w:rPr>
        <w:t xml:space="preserve">The cumulative colectomy rate according to CMV antigen status is shown in Figure 4. Twelve (30%) in the CMV-positive patients and 24 (30.8%) in the CMV-negative patients underwent colectomy during the observation period and there was no significant difference in the colectomy rate between the two groups (Figure 4; </w:t>
      </w:r>
      <w:r w:rsidRPr="00DF30C4">
        <w:rPr>
          <w:rFonts w:ascii="Book Antiqua" w:hAnsi="Book Antiqua"/>
          <w:i/>
          <w:sz w:val="24"/>
          <w:szCs w:val="24"/>
        </w:rPr>
        <w:t>P</w:t>
      </w:r>
      <w:r w:rsidRPr="00DF30C4">
        <w:rPr>
          <w:rFonts w:ascii="Book Antiqua" w:hAnsi="Book Antiqua"/>
          <w:sz w:val="24"/>
          <w:szCs w:val="24"/>
        </w:rPr>
        <w:t xml:space="preserve"> = 0.81, Log-rank test, median observation period: 31 mo). No independent risk factors for colectomy could be identified among demographic, treatment and disease parameters including CMV antigen status in the analysis of all 118 patients with or without CMV antigen (Table 2). Whereas, for patients in the </w:t>
      </w:r>
      <w:r w:rsidRPr="00DF30C4">
        <w:rPr>
          <w:rFonts w:ascii="Book Antiqua" w:eastAsia="Arial Unicode MS" w:hAnsi="Book Antiqua"/>
          <w:sz w:val="24"/>
          <w:szCs w:val="24"/>
        </w:rPr>
        <w:lastRenderedPageBreak/>
        <w:t>CMV-positive group,</w:t>
      </w:r>
      <w:r w:rsidRPr="00DF30C4">
        <w:rPr>
          <w:rFonts w:ascii="Book Antiqua" w:hAnsi="Book Antiqua"/>
          <w:sz w:val="24"/>
          <w:szCs w:val="24"/>
        </w:rPr>
        <w:t xml:space="preserve"> multivariate analysis using parameters including ganciclovir administration, dose reduction of corticosteroids and number of CMV antigen revealed that administration of ganciclovir at the start of therapy was the only factor correlated with avoidance of colectomy </w:t>
      </w:r>
      <w:r w:rsidRPr="00DF30C4">
        <w:rPr>
          <w:rFonts w:ascii="Book Antiqua" w:eastAsia="Arial Unicode MS" w:hAnsi="Book Antiqua"/>
          <w:sz w:val="24"/>
          <w:szCs w:val="24"/>
        </w:rPr>
        <w:t>(Table 3; OR = 0.04; 95%CI</w:t>
      </w:r>
      <w:r w:rsidRPr="00DF30C4">
        <w:rPr>
          <w:rFonts w:ascii="Book Antiqua" w:eastAsia="Arial Unicode MS" w:hAnsi="Book Antiqua"/>
          <w:sz w:val="24"/>
          <w:szCs w:val="24"/>
          <w:lang w:eastAsia="zh-CN"/>
        </w:rPr>
        <w:t>:</w:t>
      </w:r>
      <w:r w:rsidRPr="00DF30C4">
        <w:rPr>
          <w:rFonts w:ascii="Book Antiqua" w:eastAsia="Arial Unicode MS" w:hAnsi="Book Antiqua"/>
          <w:sz w:val="24"/>
          <w:szCs w:val="24"/>
        </w:rPr>
        <w:t xml:space="preserve"> 0.01-0.50). </w:t>
      </w:r>
    </w:p>
    <w:p w:rsidR="00C172CC" w:rsidRPr="00DF30C4" w:rsidRDefault="00C172CC" w:rsidP="00DF30C4">
      <w:pPr>
        <w:widowControl/>
        <w:spacing w:line="360" w:lineRule="auto"/>
        <w:rPr>
          <w:rFonts w:ascii="Book Antiqua" w:eastAsia="Arial Unicode MS" w:hAnsi="Book Antiqua"/>
          <w:sz w:val="24"/>
          <w:szCs w:val="24"/>
          <w:lang w:eastAsia="zh-CN"/>
        </w:rPr>
      </w:pPr>
    </w:p>
    <w:p w:rsidR="00C172CC" w:rsidRPr="00DF30C4" w:rsidRDefault="00C172CC" w:rsidP="00DF30C4">
      <w:pPr>
        <w:widowControl/>
        <w:spacing w:line="360" w:lineRule="auto"/>
        <w:jc w:val="left"/>
        <w:rPr>
          <w:rFonts w:ascii="Book Antiqua" w:eastAsia="Arial Unicode MS" w:hAnsi="Book Antiqua"/>
          <w:sz w:val="24"/>
          <w:szCs w:val="24"/>
        </w:rPr>
      </w:pPr>
      <w:r w:rsidRPr="00DF30C4">
        <w:rPr>
          <w:rFonts w:ascii="Book Antiqua" w:hAnsi="Book Antiqua"/>
          <w:b/>
          <w:kern w:val="0"/>
          <w:sz w:val="24"/>
          <w:szCs w:val="24"/>
        </w:rPr>
        <w:t>DISCUSSION</w:t>
      </w:r>
    </w:p>
    <w:p w:rsidR="00C172CC" w:rsidRPr="00DF30C4" w:rsidRDefault="00C172CC" w:rsidP="00DF30C4">
      <w:pPr>
        <w:autoSpaceDE w:val="0"/>
        <w:autoSpaceDN w:val="0"/>
        <w:snapToGrid w:val="0"/>
        <w:spacing w:line="360" w:lineRule="auto"/>
        <w:rPr>
          <w:rFonts w:ascii="Book Antiqua" w:hAnsi="Book Antiqua"/>
          <w:kern w:val="0"/>
          <w:sz w:val="24"/>
          <w:szCs w:val="24"/>
        </w:rPr>
      </w:pPr>
      <w:r w:rsidRPr="00DF30C4">
        <w:rPr>
          <w:rFonts w:ascii="Book Antiqua" w:hAnsi="Book Antiqua"/>
          <w:kern w:val="0"/>
          <w:sz w:val="24"/>
          <w:szCs w:val="24"/>
        </w:rPr>
        <w:t xml:space="preserve">We analyzed data from UC patients with flare-up and who were treated according to a strategy based on the CMV antigen status and demonstrated the clinical courses of CMV antigen-positive and -negative patients. In UC patients with flare-up, CMV antigen positive status significantly prolonged the time </w:t>
      </w:r>
      <w:r w:rsidRPr="00DF30C4">
        <w:rPr>
          <w:rFonts w:ascii="Book Antiqua" w:hAnsi="Book Antiqua"/>
          <w:sz w:val="24"/>
          <w:szCs w:val="24"/>
        </w:rPr>
        <w:t>to remission from the start of treatment</w:t>
      </w:r>
      <w:r w:rsidRPr="00DF30C4">
        <w:rPr>
          <w:rFonts w:ascii="Book Antiqua" w:hAnsi="Book Antiqua"/>
          <w:kern w:val="0"/>
          <w:sz w:val="24"/>
          <w:szCs w:val="24"/>
        </w:rPr>
        <w:t xml:space="preserve"> but did not affect the relapse or colectomy rate. In addition, </w:t>
      </w:r>
      <w:r w:rsidRPr="00DF30C4">
        <w:rPr>
          <w:rFonts w:ascii="Book Antiqua" w:hAnsi="Book Antiqua"/>
          <w:sz w:val="24"/>
          <w:szCs w:val="24"/>
        </w:rPr>
        <w:t>ganciclovir</w:t>
      </w:r>
      <w:r w:rsidRPr="00DF30C4">
        <w:rPr>
          <w:rFonts w:ascii="Book Antiqua" w:hAnsi="Book Antiqua"/>
          <w:kern w:val="0"/>
          <w:sz w:val="24"/>
          <w:szCs w:val="24"/>
        </w:rPr>
        <w:t xml:space="preserve"> administration was a significant factor correlated with avoidance of colectomy in patients with positive CMV antigen status.</w:t>
      </w:r>
    </w:p>
    <w:p w:rsidR="00C172CC" w:rsidRPr="00DF30C4" w:rsidRDefault="00C172CC" w:rsidP="00DF30C4">
      <w:pPr>
        <w:autoSpaceDE w:val="0"/>
        <w:autoSpaceDN w:val="0"/>
        <w:snapToGrid w:val="0"/>
        <w:spacing w:line="360" w:lineRule="auto"/>
        <w:rPr>
          <w:rFonts w:ascii="Book Antiqua" w:hAnsi="Book Antiqua"/>
          <w:kern w:val="0"/>
          <w:sz w:val="24"/>
          <w:szCs w:val="24"/>
        </w:rPr>
      </w:pPr>
      <w:r w:rsidRPr="00DF30C4">
        <w:rPr>
          <w:rFonts w:ascii="Book Antiqua" w:hAnsi="Book Antiqua"/>
          <w:kern w:val="0"/>
          <w:sz w:val="24"/>
          <w:szCs w:val="24"/>
        </w:rPr>
        <w:t xml:space="preserve">It has been suggested that CMV is pathogenic for UC patients and causes clinical condition of UC patients with relapse to become worse and complicate. In fact, several small scale studies indicated that UC patients with CMV infection had higher colectomy rates than those without CMV. Moreover, treatment of CMV infection by </w:t>
      </w:r>
      <w:r w:rsidRPr="00DF30C4">
        <w:rPr>
          <w:rFonts w:ascii="Book Antiqua" w:hAnsi="Book Antiqua"/>
          <w:sz w:val="24"/>
          <w:szCs w:val="24"/>
        </w:rPr>
        <w:t>ganciclovir</w:t>
      </w:r>
      <w:r w:rsidRPr="00DF30C4">
        <w:rPr>
          <w:rFonts w:ascii="Book Antiqua" w:hAnsi="Book Antiqua"/>
          <w:kern w:val="0"/>
          <w:sz w:val="24"/>
          <w:szCs w:val="24"/>
        </w:rPr>
        <w:t xml:space="preserve"> can improve the clinical outcome of those patients</w:t>
      </w:r>
      <w:r w:rsidRPr="00DF30C4">
        <w:rPr>
          <w:rFonts w:ascii="Book Antiqua" w:hAnsi="Book Antiqua"/>
          <w:kern w:val="0"/>
          <w:sz w:val="24"/>
          <w:szCs w:val="24"/>
          <w:vertAlign w:val="superscript"/>
        </w:rPr>
        <w:t>[</w:t>
      </w:r>
      <w:r w:rsidR="007C6050">
        <w:fldChar w:fldCharType="begin"/>
      </w:r>
      <w:r w:rsidR="007C6050">
        <w:instrText xml:space="preserve"> REF _Ref339436195 \r \h  \* MERGEFORMAT </w:instrText>
      </w:r>
      <w:r w:rsidR="007C6050">
        <w:fldChar w:fldCharType="separate"/>
      </w:r>
      <w:r w:rsidRPr="00DF30C4">
        <w:t>8</w:t>
      </w:r>
      <w:r w:rsidR="007C6050">
        <w:fldChar w:fldCharType="end"/>
      </w:r>
      <w:r w:rsidRPr="00DF30C4">
        <w:rPr>
          <w:rFonts w:ascii="Book Antiqua" w:hAnsi="Book Antiqua"/>
          <w:kern w:val="0"/>
          <w:sz w:val="24"/>
          <w:szCs w:val="24"/>
          <w:vertAlign w:val="superscript"/>
        </w:rPr>
        <w:t>,</w:t>
      </w:r>
      <w:r w:rsidR="007C6050">
        <w:fldChar w:fldCharType="begin"/>
      </w:r>
      <w:r w:rsidR="007C6050">
        <w:instrText xml:space="preserve"> REF _Ref342057565 \r \h  \* MERGEFORMAT </w:instrText>
      </w:r>
      <w:r w:rsidR="007C6050">
        <w:fldChar w:fldCharType="separate"/>
      </w:r>
      <w:r w:rsidRPr="00DF30C4">
        <w:rPr>
          <w:rFonts w:ascii="Book Antiqua" w:hAnsi="Book Antiqua"/>
          <w:kern w:val="0"/>
          <w:sz w:val="24"/>
          <w:szCs w:val="24"/>
          <w:vertAlign w:val="superscript"/>
        </w:rPr>
        <w:t>27</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_Ref344680260 \r \h  \* MERGEFORMAT </w:instrText>
      </w:r>
      <w:r w:rsidR="007C6050">
        <w:fldChar w:fldCharType="separate"/>
      </w:r>
      <w:r w:rsidRPr="00DF30C4">
        <w:rPr>
          <w:rFonts w:ascii="Book Antiqua" w:hAnsi="Book Antiqua"/>
          <w:sz w:val="24"/>
          <w:szCs w:val="24"/>
          <w:vertAlign w:val="superscript"/>
        </w:rPr>
        <w:t>29</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Although a few reports indicated the possibility of CMV being an innocent bystander in the exacerbation of UC</w:t>
      </w:r>
      <w:r w:rsidRPr="00DF30C4">
        <w:rPr>
          <w:rFonts w:ascii="Book Antiqua" w:hAnsi="Book Antiqua"/>
          <w:kern w:val="0"/>
          <w:sz w:val="24"/>
          <w:szCs w:val="24"/>
          <w:vertAlign w:val="superscript"/>
        </w:rPr>
        <w:t>[</w:t>
      </w:r>
      <w:r w:rsidR="007C6050">
        <w:fldChar w:fldCharType="begin"/>
      </w:r>
      <w:r w:rsidR="007C6050">
        <w:instrText xml:space="preserve"> REF _Ref343118696 \r \h  \* MERGEFORMAT </w:instrText>
      </w:r>
      <w:r w:rsidR="007C6050">
        <w:fldChar w:fldCharType="separate"/>
      </w:r>
      <w:r w:rsidRPr="00DF30C4">
        <w:rPr>
          <w:rFonts w:ascii="Book Antiqua" w:hAnsi="Book Antiqua"/>
          <w:kern w:val="0"/>
          <w:sz w:val="24"/>
          <w:szCs w:val="24"/>
          <w:vertAlign w:val="superscript"/>
        </w:rPr>
        <w:t>10</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CMV can affect some of UC patients deleteriously. However, the long-term effect of CMV infection and antiviral therapy on the prognosis of UC patients has not been elucidated completely. In this context, our results, including the long-term disease course of UC patients with CMV infection, should have a great impact on the clinical practice of UC. </w:t>
      </w:r>
    </w:p>
    <w:p w:rsidR="00C172CC" w:rsidRPr="00DF30C4" w:rsidRDefault="00C172CC" w:rsidP="00672333">
      <w:pPr>
        <w:autoSpaceDE w:val="0"/>
        <w:autoSpaceDN w:val="0"/>
        <w:snapToGrid w:val="0"/>
        <w:spacing w:line="360" w:lineRule="auto"/>
        <w:ind w:firstLineChars="100" w:firstLine="240"/>
        <w:rPr>
          <w:rFonts w:ascii="Book Antiqua" w:hAnsi="Book Antiqua"/>
          <w:sz w:val="24"/>
          <w:szCs w:val="24"/>
        </w:rPr>
      </w:pPr>
      <w:r w:rsidRPr="00DF30C4">
        <w:rPr>
          <w:rFonts w:ascii="Book Antiqua" w:hAnsi="Book Antiqua"/>
          <w:kern w:val="0"/>
          <w:sz w:val="24"/>
          <w:szCs w:val="24"/>
        </w:rPr>
        <w:t>We showed that patients with CMV infection were less likely to enter remission in the short-term. This result is consistent with those of previous reports</w:t>
      </w:r>
      <w:r w:rsidRPr="00DF30C4">
        <w:rPr>
          <w:rFonts w:ascii="Book Antiqua" w:hAnsi="Book Antiqua"/>
          <w:kern w:val="0"/>
          <w:sz w:val="24"/>
          <w:szCs w:val="24"/>
          <w:vertAlign w:val="superscript"/>
        </w:rPr>
        <w:t>[</w:t>
      </w:r>
      <w:r w:rsidR="007C6050">
        <w:fldChar w:fldCharType="begin"/>
      </w:r>
      <w:r w:rsidR="007C6050">
        <w:instrText xml:space="preserve"> REF _Ref365823538 \r \h  \* MERGEFORMAT </w:instrText>
      </w:r>
      <w:r w:rsidR="007C6050">
        <w:fldChar w:fldCharType="separate"/>
      </w:r>
      <w:r w:rsidRPr="00DF30C4">
        <w:t>9</w:t>
      </w:r>
      <w:r w:rsidR="007C6050">
        <w:fldChar w:fldCharType="end"/>
      </w:r>
      <w:r w:rsidRPr="00DF30C4">
        <w:rPr>
          <w:rFonts w:ascii="Book Antiqua" w:hAnsi="Book Antiqua"/>
          <w:kern w:val="0"/>
          <w:sz w:val="24"/>
          <w:szCs w:val="24"/>
          <w:vertAlign w:val="superscript"/>
        </w:rPr>
        <w:t>,</w:t>
      </w:r>
      <w:r w:rsidR="007C6050">
        <w:fldChar w:fldCharType="begin"/>
      </w:r>
      <w:r w:rsidR="007C6050">
        <w:instrText xml:space="preserve"> REF _Ref365823</w:instrText>
      </w:r>
      <w:r w:rsidR="007C6050">
        <w:instrText xml:space="preserve">544 \r \h  \* MERGEFORMAT </w:instrText>
      </w:r>
      <w:r w:rsidR="007C6050">
        <w:fldChar w:fldCharType="separate"/>
      </w:r>
      <w:r w:rsidRPr="00DF30C4">
        <w:rPr>
          <w:rFonts w:ascii="Book Antiqua" w:hAnsi="Book Antiqua"/>
          <w:kern w:val="0"/>
          <w:sz w:val="24"/>
          <w:szCs w:val="24"/>
          <w:vertAlign w:val="superscript"/>
        </w:rPr>
        <w:t>27</w:t>
      </w:r>
      <w:r w:rsidR="007C6050">
        <w:fldChar w:fldCharType="end"/>
      </w:r>
      <w:r w:rsidRPr="00DF30C4">
        <w:rPr>
          <w:rFonts w:ascii="Book Antiqua" w:hAnsi="Book Antiqua"/>
          <w:kern w:val="0"/>
          <w:sz w:val="24"/>
          <w:szCs w:val="24"/>
          <w:vertAlign w:val="superscript"/>
        </w:rPr>
        <w:t>]</w:t>
      </w:r>
      <w:r w:rsidRPr="00DF30C4">
        <w:rPr>
          <w:rFonts w:ascii="Book Antiqua" w:hAnsi="Book Antiqua"/>
          <w:kern w:val="0"/>
          <w:sz w:val="24"/>
          <w:szCs w:val="24"/>
        </w:rPr>
        <w:t xml:space="preserve">. In contrast, however, no significant difference in colectomy rate was observed between patients with and without CMV, even in the short-term. </w:t>
      </w:r>
      <w:r w:rsidRPr="00DF30C4">
        <w:rPr>
          <w:rFonts w:ascii="Book Antiqua" w:hAnsi="Book Antiqua"/>
          <w:sz w:val="24"/>
          <w:szCs w:val="24"/>
        </w:rPr>
        <w:t xml:space="preserve">In this context, the CMV antigenemia assay could reliably detect CMV “disease” which requires antiviral therapy. In our finding, use of ganciclovir is not always correlated with CMV negative conversion in short-term but a predictor of avoidance of colectomy in long-term. These suggest that use of ganciclovir exerts clinical effectiveness in long-term follow-up, </w:t>
      </w:r>
      <w:r w:rsidRPr="00DF30C4">
        <w:rPr>
          <w:rFonts w:ascii="Book Antiqua" w:hAnsi="Book Antiqua"/>
          <w:i/>
          <w:sz w:val="24"/>
          <w:szCs w:val="24"/>
        </w:rPr>
        <w:t>e.g.,</w:t>
      </w:r>
      <w:r w:rsidRPr="00DF30C4">
        <w:rPr>
          <w:rFonts w:ascii="Book Antiqua" w:hAnsi="Book Antiqua"/>
          <w:sz w:val="24"/>
          <w:szCs w:val="24"/>
        </w:rPr>
        <w:t xml:space="preserve"> avoiding exacerbation and/or relapse after remission, for a portion of </w:t>
      </w:r>
      <w:r w:rsidRPr="00DF30C4">
        <w:rPr>
          <w:rFonts w:ascii="Book Antiqua" w:hAnsi="Book Antiqua"/>
          <w:sz w:val="24"/>
          <w:szCs w:val="24"/>
        </w:rPr>
        <w:lastRenderedPageBreak/>
        <w:t>patients with CMV.</w:t>
      </w:r>
    </w:p>
    <w:p w:rsidR="00C172CC" w:rsidRPr="00DF30C4" w:rsidRDefault="00C172CC" w:rsidP="00672333">
      <w:pPr>
        <w:autoSpaceDE w:val="0"/>
        <w:autoSpaceDN w:val="0"/>
        <w:snapToGrid w:val="0"/>
        <w:spacing w:line="360" w:lineRule="auto"/>
        <w:ind w:firstLineChars="100" w:firstLine="240"/>
        <w:rPr>
          <w:rFonts w:ascii="Book Antiqua" w:hAnsi="Book Antiqua"/>
          <w:kern w:val="0"/>
          <w:sz w:val="24"/>
          <w:szCs w:val="24"/>
        </w:rPr>
      </w:pPr>
      <w:r w:rsidRPr="00DF30C4">
        <w:rPr>
          <w:rFonts w:ascii="Book Antiqua" w:hAnsi="Book Antiqua"/>
          <w:kern w:val="0"/>
          <w:sz w:val="24"/>
          <w:szCs w:val="24"/>
        </w:rPr>
        <w:t xml:space="preserve">In term of diagnosis regarding CMV infection in UC patients, </w:t>
      </w:r>
      <w:r w:rsidRPr="00DF30C4">
        <w:rPr>
          <w:rFonts w:ascii="Book Antiqua" w:hAnsi="Book Antiqua"/>
          <w:sz w:val="24"/>
          <w:szCs w:val="24"/>
        </w:rPr>
        <w:t>IHC</w:t>
      </w:r>
      <w:r w:rsidRPr="00DF30C4">
        <w:rPr>
          <w:rFonts w:ascii="Book Antiqua" w:hAnsi="Book Antiqua"/>
          <w:kern w:val="0"/>
          <w:sz w:val="24"/>
          <w:szCs w:val="24"/>
        </w:rPr>
        <w:t xml:space="preserve"> or CMV DNA testing in the intestinal mucosa tissue is recommended as a diagnosis of CMV “disease” in IBD patients according to several guidelines</w:t>
      </w:r>
      <w:r w:rsidRPr="00DF30C4">
        <w:rPr>
          <w:rFonts w:ascii="Book Antiqua" w:hAnsi="Book Antiqua"/>
          <w:kern w:val="0"/>
          <w:sz w:val="24"/>
          <w:szCs w:val="24"/>
          <w:vertAlign w:val="superscript"/>
        </w:rPr>
        <w:t>[</w:t>
      </w:r>
      <w:r w:rsidR="007C6050">
        <w:fldChar w:fldCharType="begin"/>
      </w:r>
      <w:r w:rsidR="007C6050">
        <w:instrText xml:space="preserve"> REF _Ref339692054 \r \h  \* MERGEFORMAT </w:instrText>
      </w:r>
      <w:r w:rsidR="007C6050">
        <w:fldChar w:fldCharType="separate"/>
      </w:r>
      <w:r w:rsidRPr="00DF30C4">
        <w:rPr>
          <w:rFonts w:ascii="Book Antiqua" w:hAnsi="Book Antiqua"/>
          <w:sz w:val="24"/>
          <w:szCs w:val="24"/>
          <w:vertAlign w:val="superscript"/>
        </w:rPr>
        <w:t>15</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_Ref339692060 \r \h  \* MERGEFORMAT </w:instrText>
      </w:r>
      <w:r w:rsidR="007C6050">
        <w:fldChar w:fldCharType="separate"/>
      </w:r>
      <w:r w:rsidRPr="00DF30C4">
        <w:rPr>
          <w:rFonts w:ascii="Book Antiqua" w:hAnsi="Book Antiqua"/>
          <w:kern w:val="0"/>
          <w:sz w:val="24"/>
          <w:szCs w:val="24"/>
          <w:vertAlign w:val="superscript"/>
        </w:rPr>
        <w:t>17</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In particular, CMV DNA testing would be a very useful method if the correct cut-off level of CMV DNA load was established</w:t>
      </w:r>
      <w:r w:rsidRPr="00DF30C4">
        <w:rPr>
          <w:rFonts w:ascii="Book Antiqua" w:hAnsi="Book Antiqua"/>
          <w:kern w:val="0"/>
          <w:sz w:val="24"/>
          <w:szCs w:val="24"/>
          <w:vertAlign w:val="superscript"/>
        </w:rPr>
        <w:t>[</w:t>
      </w:r>
      <w:r w:rsidR="007C6050">
        <w:fldChar w:fldCharType="begin"/>
      </w:r>
      <w:r w:rsidR="007C6050">
        <w:instrText xml:space="preserve"> REF _Ref342839</w:instrText>
      </w:r>
      <w:r w:rsidR="007C6050">
        <w:instrText xml:space="preserve">118 \r \h  \* MERGEFORMAT </w:instrText>
      </w:r>
      <w:r w:rsidR="007C6050">
        <w:fldChar w:fldCharType="separate"/>
      </w:r>
      <w:r w:rsidRPr="00DF30C4">
        <w:rPr>
          <w:rFonts w:ascii="Book Antiqua" w:hAnsi="Book Antiqua"/>
          <w:kern w:val="0"/>
          <w:sz w:val="24"/>
          <w:szCs w:val="24"/>
          <w:vertAlign w:val="superscript"/>
        </w:rPr>
        <w:t>30</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However, CMV DNA testing is expensive and needs colonoscopy with biopsy that has a risk of bleeding or perforation in severely ill UC patients. In addition, there is a sample bias in taking tissues from the mucosa. CMV </w:t>
      </w:r>
      <w:r w:rsidRPr="00DF30C4">
        <w:rPr>
          <w:rFonts w:ascii="Book Antiqua" w:hAnsi="Book Antiqua"/>
          <w:sz w:val="24"/>
          <w:szCs w:val="24"/>
        </w:rPr>
        <w:t xml:space="preserve">DNA testing in blood sample may be convenient, but the method and cutoff values remain to be standardized. </w:t>
      </w:r>
      <w:r w:rsidRPr="00DF30C4">
        <w:rPr>
          <w:rFonts w:ascii="Book Antiqua" w:hAnsi="Book Antiqua"/>
          <w:kern w:val="0"/>
          <w:sz w:val="24"/>
          <w:szCs w:val="24"/>
        </w:rPr>
        <w:t>On the other hand, the CMV antigenemia assay is less expensive and facilitates monitoring of CMV activity continuously without endoscopy. Moreover, there is less sample bias than in taking from colon tissue.</w:t>
      </w:r>
      <w:r w:rsidRPr="00DF30C4">
        <w:rPr>
          <w:rFonts w:ascii="Book Antiqua" w:hAnsi="Book Antiqua"/>
          <w:sz w:val="24"/>
          <w:szCs w:val="24"/>
        </w:rPr>
        <w:t xml:space="preserve"> We confirmed that the results of the antigenemia assay were consistent with the results of IHC for CMV, although the specificity for IHC was relatively low. In fact, lower specificity may indicate overestimation of CMV disease by the antigenemia assay. Therefore, our strategy may provide unnecessary antiviral therapy for part of patients. </w:t>
      </w:r>
    </w:p>
    <w:p w:rsidR="00C172CC" w:rsidRPr="00DF30C4" w:rsidRDefault="00C172CC" w:rsidP="00672333">
      <w:pPr>
        <w:autoSpaceDE w:val="0"/>
        <w:autoSpaceDN w:val="0"/>
        <w:snapToGrid w:val="0"/>
        <w:spacing w:line="360" w:lineRule="auto"/>
        <w:ind w:firstLineChars="100" w:firstLine="240"/>
        <w:rPr>
          <w:rFonts w:ascii="Book Antiqua" w:hAnsi="Book Antiqua"/>
          <w:strike/>
          <w:sz w:val="24"/>
          <w:szCs w:val="24"/>
        </w:rPr>
      </w:pPr>
      <w:r w:rsidRPr="00DF30C4">
        <w:rPr>
          <w:rFonts w:ascii="Book Antiqua" w:hAnsi="Book Antiqua"/>
          <w:sz w:val="24"/>
          <w:szCs w:val="24"/>
        </w:rPr>
        <w:t>Reduction of the dose of corticosteroids is another aspect of our treatment strategy for UC patients with CMV. There has been no consensus regarding whether immunosuppressive therapies should be continued or discontinued, and whether the dose of corticosteroids should be increased or decreased for UC patients with CMV. Some have reported cases with continuation of the immunomodulating drugs</w:t>
      </w:r>
      <w:r w:rsidRPr="00DF30C4">
        <w:rPr>
          <w:rFonts w:ascii="Book Antiqua" w:hAnsi="Book Antiqua"/>
          <w:sz w:val="24"/>
          <w:szCs w:val="24"/>
          <w:vertAlign w:val="superscript"/>
        </w:rPr>
        <w:t>[</w:t>
      </w:r>
      <w:r w:rsidR="007C6050">
        <w:fldChar w:fldCharType="begin"/>
      </w:r>
      <w:r w:rsidR="007C6050">
        <w:instrText xml:space="preserve"> REF _Ref339436195 \r \h  \* MERGEFORMAT </w:instrText>
      </w:r>
      <w:r w:rsidR="007C6050">
        <w:fldChar w:fldCharType="separate"/>
      </w:r>
      <w:r w:rsidRPr="00DF30C4">
        <w:t>8</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_Ref344680260 \r \h  \* MERGEFORMAT </w:instrText>
      </w:r>
      <w:r w:rsidR="007C6050">
        <w:fldChar w:fldCharType="separate"/>
      </w:r>
      <w:r w:rsidRPr="00DF30C4">
        <w:rPr>
          <w:rFonts w:ascii="Book Antiqua" w:hAnsi="Book Antiqua"/>
          <w:sz w:val="24"/>
          <w:szCs w:val="24"/>
          <w:vertAlign w:val="superscript"/>
        </w:rPr>
        <w:t>29</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 while others have discontinued the immunosuppressive therapies</w:t>
      </w:r>
      <w:r w:rsidRPr="00DF30C4">
        <w:rPr>
          <w:rFonts w:ascii="Book Antiqua" w:hAnsi="Book Antiqua"/>
          <w:sz w:val="24"/>
          <w:szCs w:val="24"/>
          <w:vertAlign w:val="superscript"/>
        </w:rPr>
        <w:t>[</w:t>
      </w:r>
      <w:r w:rsidR="007C6050">
        <w:fldChar w:fldCharType="begin"/>
      </w:r>
      <w:r w:rsidR="007C6050">
        <w:instrText xml:space="preserve"> REF _Ref342057565 \r \h  \* MERGEFORMAT </w:instrText>
      </w:r>
      <w:r w:rsidR="007C6050">
        <w:fldChar w:fldCharType="separate"/>
      </w:r>
      <w:r w:rsidRPr="00DF30C4">
        <w:rPr>
          <w:rFonts w:ascii="Book Antiqua" w:hAnsi="Book Antiqua"/>
          <w:sz w:val="24"/>
          <w:szCs w:val="24"/>
          <w:vertAlign w:val="superscript"/>
        </w:rPr>
        <w:t>27</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_Ref345277316 \r \h  \* MERGEFORMAT </w:instrText>
      </w:r>
      <w:r w:rsidR="007C6050">
        <w:fldChar w:fldCharType="separate"/>
      </w:r>
      <w:r w:rsidRPr="00DF30C4">
        <w:rPr>
          <w:rFonts w:ascii="Book Antiqua" w:hAnsi="Book Antiqua"/>
          <w:sz w:val="24"/>
          <w:szCs w:val="24"/>
          <w:vertAlign w:val="superscript"/>
        </w:rPr>
        <w:t>28</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 xml:space="preserve">. Interestingly, all of these studies showed good clinical courses whether immunosuppressive therapies were ongoing or not. In addition, our results indicated that reduction of the dose of corticosteroids and immunosuppressive therapies were not significant factors in multivariate analysis for avoiding colectomy both in the short and long-term. This suggests that status of immunosuppressive therapies, including the dose of corticosteroids, may not affect the clinical course of UC patients with CMV greatly, at least under antiviral therapy. </w:t>
      </w:r>
    </w:p>
    <w:p w:rsidR="00C172CC" w:rsidRPr="00DF30C4" w:rsidRDefault="00C172CC" w:rsidP="00672333">
      <w:pPr>
        <w:autoSpaceDE w:val="0"/>
        <w:autoSpaceDN w:val="0"/>
        <w:snapToGrid w:val="0"/>
        <w:spacing w:line="360" w:lineRule="auto"/>
        <w:ind w:firstLineChars="100" w:firstLine="240"/>
        <w:rPr>
          <w:rFonts w:ascii="Book Antiqua" w:hAnsi="Book Antiqua"/>
          <w:sz w:val="24"/>
          <w:szCs w:val="24"/>
        </w:rPr>
      </w:pPr>
      <w:r w:rsidRPr="00DF30C4">
        <w:rPr>
          <w:rFonts w:ascii="Book Antiqua" w:hAnsi="Book Antiqua"/>
          <w:sz w:val="24"/>
          <w:szCs w:val="24"/>
        </w:rPr>
        <w:t xml:space="preserve">The highlight of this study is determination of the long-term prognosis of UC patients with CMV infection, including relapse rate and colectomy rate, which have rarely been reported. Unexpectedly, no significant difference was observed in overall long-term prognosis between </w:t>
      </w:r>
      <w:r w:rsidRPr="00DF30C4">
        <w:rPr>
          <w:rFonts w:ascii="Book Antiqua" w:hAnsi="Book Antiqua"/>
          <w:sz w:val="24"/>
          <w:szCs w:val="24"/>
        </w:rPr>
        <w:lastRenderedPageBreak/>
        <w:t xml:space="preserve">patients with and without CMV. Kaplan-Meier curves for colectomy were almost parallel, both in the short-term and in the long-term, between those patients. These results suggest that UC patients with positive CMV antigen should be treated with antiviral therapy and that our treatment strategy may be appropriate for UC patients with CMV with regard to long-term prognosis. </w:t>
      </w:r>
    </w:p>
    <w:p w:rsidR="00C172CC" w:rsidRPr="00DF30C4" w:rsidRDefault="00C172CC" w:rsidP="00672333">
      <w:pPr>
        <w:autoSpaceDE w:val="0"/>
        <w:autoSpaceDN w:val="0"/>
        <w:snapToGrid w:val="0"/>
        <w:spacing w:line="360" w:lineRule="auto"/>
        <w:ind w:firstLineChars="100" w:firstLine="240"/>
        <w:rPr>
          <w:rFonts w:ascii="Book Antiqua" w:hAnsi="Book Antiqua"/>
          <w:kern w:val="0"/>
          <w:sz w:val="24"/>
          <w:szCs w:val="24"/>
        </w:rPr>
      </w:pPr>
      <w:r w:rsidRPr="00DF30C4">
        <w:rPr>
          <w:rFonts w:ascii="Book Antiqua" w:hAnsi="Book Antiqua"/>
          <w:sz w:val="24"/>
          <w:szCs w:val="24"/>
        </w:rPr>
        <w:t xml:space="preserve">However, there may be two types of rebuttal to our results. First, antiviral therapy may not always be required for UC patients with CMV. Although the </w:t>
      </w:r>
      <w:r w:rsidRPr="00DF30C4">
        <w:rPr>
          <w:rFonts w:ascii="Book Antiqua" w:hAnsi="Book Antiqua"/>
          <w:kern w:val="0"/>
          <w:sz w:val="24"/>
          <w:szCs w:val="24"/>
        </w:rPr>
        <w:t>efficacy of antiviral agents in CMV disease has been recognized widely</w:t>
      </w:r>
      <w:r w:rsidRPr="00DF30C4">
        <w:rPr>
          <w:rFonts w:ascii="Book Antiqua" w:hAnsi="Book Antiqua"/>
          <w:kern w:val="0"/>
          <w:sz w:val="24"/>
          <w:szCs w:val="24"/>
          <w:vertAlign w:val="superscript"/>
        </w:rPr>
        <w:t>[</w:t>
      </w:r>
      <w:r w:rsidR="007C6050">
        <w:fldChar w:fldCharType="begin"/>
      </w:r>
      <w:r w:rsidR="007C6050">
        <w:instrText xml:space="preserve"> REF _Ref339692054 \r \h  \* MERGEFORMAT </w:instrText>
      </w:r>
      <w:r w:rsidR="007C6050">
        <w:fldChar w:fldCharType="separate"/>
      </w:r>
      <w:r w:rsidRPr="00DF30C4">
        <w:rPr>
          <w:rFonts w:ascii="Book Antiqua" w:hAnsi="Book Antiqua"/>
          <w:kern w:val="0"/>
          <w:sz w:val="24"/>
          <w:szCs w:val="24"/>
          <w:vertAlign w:val="superscript"/>
        </w:rPr>
        <w:t>15</w:t>
      </w:r>
      <w:r w:rsidR="007C6050">
        <w:fldChar w:fldCharType="end"/>
      </w:r>
      <w:r w:rsidRPr="00DF30C4">
        <w:rPr>
          <w:rFonts w:ascii="Book Antiqua" w:hAnsi="Book Antiqua"/>
          <w:kern w:val="0"/>
          <w:sz w:val="24"/>
          <w:szCs w:val="24"/>
          <w:vertAlign w:val="superscript"/>
        </w:rPr>
        <w:t>,</w:t>
      </w:r>
      <w:r w:rsidR="007C6050">
        <w:fldChar w:fldCharType="begin"/>
      </w:r>
      <w:r w:rsidR="007C6050">
        <w:instrText xml:space="preserve"> REF _Ref346435351 \r \h  \* MERGEFORMAT </w:instrText>
      </w:r>
      <w:r w:rsidR="007C6050">
        <w:fldChar w:fldCharType="separate"/>
      </w:r>
      <w:r w:rsidRPr="00DF30C4">
        <w:rPr>
          <w:rFonts w:ascii="Book Antiqua" w:hAnsi="Book Antiqua"/>
          <w:kern w:val="0"/>
          <w:sz w:val="24"/>
          <w:szCs w:val="24"/>
          <w:vertAlign w:val="superscript"/>
        </w:rPr>
        <w:t>31</w:t>
      </w:r>
      <w:r w:rsidR="007C6050">
        <w:fldChar w:fldCharType="end"/>
      </w:r>
      <w:r w:rsidRPr="00DF30C4">
        <w:rPr>
          <w:rFonts w:ascii="Book Antiqua" w:hAnsi="Book Antiqua"/>
          <w:sz w:val="24"/>
          <w:szCs w:val="24"/>
          <w:vertAlign w:val="superscript"/>
        </w:rPr>
        <w:t>,</w:t>
      </w:r>
      <w:r w:rsidR="007C6050">
        <w:fldChar w:fldCharType="begin"/>
      </w:r>
      <w:r w:rsidR="007C6050">
        <w:instrText xml:space="preserve"> REF _Ref358241744 \r \h  \* MERGEFORMAT </w:instrText>
      </w:r>
      <w:r w:rsidR="007C6050">
        <w:fldChar w:fldCharType="separate"/>
      </w:r>
      <w:r w:rsidRPr="00DF30C4">
        <w:rPr>
          <w:rFonts w:ascii="Book Antiqua" w:hAnsi="Book Antiqua"/>
          <w:sz w:val="24"/>
          <w:szCs w:val="24"/>
          <w:vertAlign w:val="superscript"/>
        </w:rPr>
        <w:t>32</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 xml:space="preserve">, </w:t>
      </w:r>
      <w:r w:rsidRPr="00DF30C4">
        <w:rPr>
          <w:rFonts w:ascii="Book Antiqua" w:hAnsi="Book Antiqua"/>
          <w:kern w:val="0"/>
          <w:sz w:val="24"/>
          <w:szCs w:val="24"/>
        </w:rPr>
        <w:t>a previous report demonstrated that UC patients with CMV infection who were treated without the use of antiviral agents showed similar rates of remission and colectomy to UC patients without CMV</w:t>
      </w:r>
      <w:r w:rsidRPr="00DF30C4">
        <w:rPr>
          <w:rFonts w:ascii="Book Antiqua" w:hAnsi="Book Antiqua"/>
          <w:kern w:val="0"/>
          <w:sz w:val="24"/>
          <w:szCs w:val="24"/>
          <w:vertAlign w:val="superscript"/>
        </w:rPr>
        <w:t>[</w:t>
      </w:r>
      <w:r w:rsidR="007C6050">
        <w:fldChar w:fldCharType="begin"/>
      </w:r>
      <w:r w:rsidR="007C6050">
        <w:instrText xml:space="preserve"> REF _Ref338175210 \r \h  \* MERGEFORMAT </w:instrText>
      </w:r>
      <w:r w:rsidR="007C6050">
        <w:fldChar w:fldCharType="separate"/>
      </w:r>
      <w:r w:rsidRPr="00DF30C4">
        <w:rPr>
          <w:rFonts w:ascii="Book Antiqua" w:hAnsi="Book Antiqua"/>
          <w:kern w:val="0"/>
          <w:sz w:val="24"/>
          <w:szCs w:val="24"/>
          <w:vertAlign w:val="superscript"/>
        </w:rPr>
        <w:t>10</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w:t>
      </w:r>
      <w:r w:rsidRPr="00DF30C4">
        <w:rPr>
          <w:rFonts w:ascii="Book Antiqua" w:hAnsi="Book Antiqua"/>
          <w:kern w:val="0"/>
          <w:sz w:val="24"/>
          <w:szCs w:val="24"/>
        </w:rPr>
        <w:t xml:space="preserve"> However, the report consisted of 25 patients with CMV (4 underwent colectomy) and 23 patients without CMV (1 underwent colectomy) with an observation period of 8 </w:t>
      </w:r>
      <w:r w:rsidRPr="00DF30C4">
        <w:rPr>
          <w:rFonts w:ascii="Book Antiqua" w:eastAsia="宋体" w:hAnsi="Book Antiqua"/>
          <w:kern w:val="0"/>
          <w:sz w:val="24"/>
          <w:szCs w:val="24"/>
          <w:lang w:eastAsia="zh-CN"/>
        </w:rPr>
        <w:t>wk</w:t>
      </w:r>
      <w:r w:rsidRPr="00DF30C4">
        <w:rPr>
          <w:rFonts w:ascii="Book Antiqua" w:hAnsi="Book Antiqua"/>
          <w:kern w:val="0"/>
          <w:sz w:val="24"/>
          <w:szCs w:val="24"/>
        </w:rPr>
        <w:t>, and such small number of patients with short-term observation may not be sufficient to verify the appropriateness of a treatment strategy without antiviral therapy. For accurate validation of the use of antiviral agents, long-term follow-up data of patients who were treated according to a strategy without antiviral therapy would be expected. However, such a treatment strategy may not be feasible under the guidelines which recommended antiviral therapy for at least a proportion of patients with CMV.</w:t>
      </w:r>
    </w:p>
    <w:p w:rsidR="00C172CC" w:rsidRPr="00DF30C4" w:rsidRDefault="00C172CC" w:rsidP="00672333">
      <w:pPr>
        <w:autoSpaceDE w:val="0"/>
        <w:autoSpaceDN w:val="0"/>
        <w:snapToGrid w:val="0"/>
        <w:spacing w:line="360" w:lineRule="auto"/>
        <w:ind w:firstLineChars="100" w:firstLine="240"/>
        <w:rPr>
          <w:rFonts w:ascii="Book Antiqua" w:hAnsi="Book Antiqua"/>
          <w:sz w:val="24"/>
          <w:szCs w:val="24"/>
        </w:rPr>
      </w:pPr>
      <w:r w:rsidRPr="00DF30C4">
        <w:rPr>
          <w:rFonts w:ascii="Book Antiqua" w:hAnsi="Book Antiqua"/>
          <w:kern w:val="0"/>
          <w:sz w:val="24"/>
          <w:szCs w:val="24"/>
        </w:rPr>
        <w:t xml:space="preserve">The second problem is the appropriateness of the antigenemia assay for detecting the presence of CMV infection and administration of ganciclovir. As described above, a positive result from the antigenemia assay may overestimate the necessity of administration of antiviral therapy, because specificity for IHC was relatively low. In this regard, Roblin </w:t>
      </w:r>
      <w:r w:rsidRPr="00DF30C4">
        <w:rPr>
          <w:rFonts w:ascii="Book Antiqua" w:hAnsi="Book Antiqua"/>
          <w:i/>
          <w:kern w:val="0"/>
          <w:sz w:val="24"/>
          <w:szCs w:val="24"/>
        </w:rPr>
        <w:t>et al</w:t>
      </w:r>
      <w:r w:rsidRPr="00DF30C4">
        <w:rPr>
          <w:rFonts w:ascii="Book Antiqua" w:hAnsi="Book Antiqua"/>
          <w:kern w:val="0"/>
          <w:sz w:val="24"/>
          <w:szCs w:val="24"/>
          <w:vertAlign w:val="superscript"/>
        </w:rPr>
        <w:t>[</w:t>
      </w:r>
      <w:r w:rsidR="007C6050">
        <w:fldChar w:fldCharType="begin"/>
      </w:r>
      <w:r w:rsidR="007C6050">
        <w:instrText xml:space="preserve"> REF _Ref342839118 \r \h  \* MERGEFORMAT </w:instrText>
      </w:r>
      <w:r w:rsidR="007C6050">
        <w:fldChar w:fldCharType="separate"/>
      </w:r>
      <w:r w:rsidRPr="00DF30C4">
        <w:rPr>
          <w:rFonts w:ascii="Book Antiqua" w:hAnsi="Book Antiqua"/>
          <w:kern w:val="0"/>
          <w:sz w:val="24"/>
          <w:szCs w:val="24"/>
          <w:vertAlign w:val="superscript"/>
        </w:rPr>
        <w:t>30</w:t>
      </w:r>
      <w:r w:rsidR="007C6050">
        <w:fldChar w:fldCharType="end"/>
      </w:r>
      <w:r w:rsidRPr="00DF30C4">
        <w:rPr>
          <w:rFonts w:ascii="Book Antiqua" w:hAnsi="Book Antiqua"/>
          <w:sz w:val="24"/>
          <w:szCs w:val="24"/>
          <w:vertAlign w:val="superscript"/>
        </w:rPr>
        <w:t>]</w:t>
      </w:r>
      <w:r w:rsidRPr="00DF30C4">
        <w:rPr>
          <w:rFonts w:ascii="Book Antiqua" w:hAnsi="Book Antiqua"/>
          <w:sz w:val="24"/>
          <w:szCs w:val="24"/>
        </w:rPr>
        <w:t xml:space="preserve"> </w:t>
      </w:r>
      <w:r w:rsidRPr="00DF30C4">
        <w:rPr>
          <w:rFonts w:ascii="Book Antiqua" w:hAnsi="Book Antiqua"/>
          <w:kern w:val="0"/>
          <w:sz w:val="24"/>
          <w:szCs w:val="24"/>
        </w:rPr>
        <w:t>indicated 250 copies/mg of CMV DNA in the colonic tissue as the cutoff for antiviral therapy, based on 42 hospitalized UC patients. However, few studies indicated a correlation between CMV antigen status and CMV DNA in colonic tissues, perhaps because of sample bias and the lack of validation of the technology of DNA testing, and therefore it is not known what is best as the cutoff for antiviral therapy. Determination of the optimal test modality and cutoff values for CMV disease in UC which requires antiviral therapy should be the goal of future studies.</w:t>
      </w:r>
    </w:p>
    <w:p w:rsidR="00C172CC" w:rsidRPr="00DF30C4" w:rsidRDefault="00C172CC" w:rsidP="00DF30C4">
      <w:pPr>
        <w:autoSpaceDE w:val="0"/>
        <w:autoSpaceDN w:val="0"/>
        <w:snapToGrid w:val="0"/>
        <w:spacing w:line="360" w:lineRule="auto"/>
        <w:rPr>
          <w:rFonts w:ascii="Book Antiqua" w:hAnsi="Book Antiqua"/>
          <w:sz w:val="24"/>
          <w:szCs w:val="24"/>
        </w:rPr>
      </w:pPr>
      <w:r w:rsidRPr="00DF30C4">
        <w:rPr>
          <w:rFonts w:ascii="Book Antiqua" w:hAnsi="Book Antiqua"/>
          <w:sz w:val="24"/>
          <w:szCs w:val="24"/>
        </w:rPr>
        <w:t xml:space="preserve">This study has a limitation mainly because of the retrospective design. First of all, the treatment strategy was not always followed. Not all of the CMV-positive patients were administered </w:t>
      </w:r>
      <w:r w:rsidRPr="00DF30C4">
        <w:rPr>
          <w:rFonts w:ascii="Book Antiqua" w:hAnsi="Book Antiqua"/>
          <w:sz w:val="24"/>
          <w:szCs w:val="24"/>
        </w:rPr>
        <w:lastRenderedPageBreak/>
        <w:t>ganciclovir and some of the CMV-negative patients were administered ganciclovir. Dose reduction of corticosteroids was not carried out for CMV-positive patients if corticosteroids exerted marked efficacy. However, from the aspects of ethical and moral standpoints, it would be difficult not to administer antiviral agents to severe and refractory patients with CMV infection on the basis of the current evidence. In this regard, our retrospective analysis for the long-term prognosis of UC patients with CMV may be almost optimal for verifying the treatment strategy for those patients. There is also a limitation about patients’ selections; dose of corticosteroids at the beginning of the treatment was significantly lower in the CMV-negative group.</w:t>
      </w:r>
      <w:r>
        <w:rPr>
          <w:rFonts w:ascii="Book Antiqua" w:hAnsi="Book Antiqua"/>
          <w:sz w:val="24"/>
          <w:szCs w:val="24"/>
        </w:rPr>
        <w:t xml:space="preserve"> </w:t>
      </w:r>
      <w:r w:rsidRPr="00DF30C4">
        <w:rPr>
          <w:rFonts w:ascii="Book Antiqua" w:hAnsi="Book Antiqua"/>
          <w:sz w:val="24"/>
          <w:szCs w:val="24"/>
        </w:rPr>
        <w:t xml:space="preserve">The patients examined CMV status and enrolled in this study were suspected involvement with CMV for their refractoriness and endoscopic findings. In severer case which was suspected involvement with CMV reactivation, we would avoid using large dose of PSL not to reactivate CMV. As a result, we chose second-line therapy such as CNIs, apheresis and not dose up of corticosteroids, especially in CMV-negative group, CAI of which was severer than positive group. In addition, </w:t>
      </w:r>
      <w:r w:rsidRPr="00DF30C4">
        <w:rPr>
          <w:rFonts w:ascii="Book Antiqua" w:hAnsi="Book Antiqua"/>
          <w:kern w:val="0"/>
          <w:sz w:val="24"/>
          <w:szCs w:val="24"/>
        </w:rPr>
        <w:t xml:space="preserve">CMV antigen was detected more frequently in male. </w:t>
      </w:r>
      <w:r w:rsidRPr="00DF30C4">
        <w:rPr>
          <w:rFonts w:ascii="Book Antiqua" w:hAnsi="Book Antiqua"/>
          <w:sz w:val="24"/>
          <w:szCs w:val="24"/>
        </w:rPr>
        <w:t xml:space="preserve">However, I tried to stratify the results by gender and dose of corticosteroids, respectively, and we confirm that each result did not show a significant difference. </w:t>
      </w:r>
    </w:p>
    <w:p w:rsidR="00C172CC" w:rsidRPr="00DF30C4" w:rsidRDefault="00C172CC" w:rsidP="00672333">
      <w:pPr>
        <w:autoSpaceDE w:val="0"/>
        <w:autoSpaceDN w:val="0"/>
        <w:snapToGrid w:val="0"/>
        <w:spacing w:line="360" w:lineRule="auto"/>
        <w:ind w:firstLineChars="100" w:firstLine="240"/>
        <w:rPr>
          <w:rFonts w:ascii="Book Antiqua" w:hAnsi="Book Antiqua"/>
          <w:sz w:val="24"/>
          <w:szCs w:val="24"/>
        </w:rPr>
      </w:pPr>
      <w:r w:rsidRPr="00DF30C4">
        <w:rPr>
          <w:rFonts w:ascii="Book Antiqua" w:hAnsi="Book Antiqua"/>
          <w:sz w:val="24"/>
          <w:szCs w:val="24"/>
        </w:rPr>
        <w:t xml:space="preserve">In conclusion, our treatment strategy, which consisted of dose reduction of corticosteroids and antiviral therapy, appeared to be appropriate for the treatment of UC patients with CMV antigen in view of long-term prognosis. More work is needed for the standardization of appropriate test modalities and cutoff values for administration of antiviral therapy and the administration policy of immunosuppressive agents for UC patients with CMV. </w:t>
      </w:r>
    </w:p>
    <w:p w:rsidR="00C172CC" w:rsidRDefault="00C172CC" w:rsidP="00672333">
      <w:pPr>
        <w:widowControl/>
        <w:spacing w:line="360" w:lineRule="auto"/>
        <w:jc w:val="left"/>
        <w:rPr>
          <w:rFonts w:ascii="Book Antiqua" w:eastAsia="宋体" w:hAnsi="Book Antiqua"/>
          <w:sz w:val="24"/>
          <w:szCs w:val="24"/>
          <w:lang w:eastAsia="zh-CN"/>
        </w:rPr>
      </w:pPr>
    </w:p>
    <w:p w:rsidR="00C172CC" w:rsidRPr="00672333" w:rsidRDefault="00C172CC" w:rsidP="00672333">
      <w:pPr>
        <w:widowControl/>
        <w:spacing w:line="360" w:lineRule="auto"/>
        <w:jc w:val="left"/>
        <w:rPr>
          <w:rFonts w:ascii="Book Antiqua" w:hAnsi="Book Antiqua"/>
          <w:sz w:val="24"/>
          <w:szCs w:val="24"/>
        </w:rPr>
      </w:pPr>
      <w:r w:rsidRPr="00DF30C4">
        <w:rPr>
          <w:rFonts w:ascii="Book Antiqua" w:hAnsi="Book Antiqua"/>
          <w:b/>
          <w:sz w:val="24"/>
          <w:szCs w:val="24"/>
        </w:rPr>
        <w:t xml:space="preserve">COMMENTS </w:t>
      </w:r>
    </w:p>
    <w:p w:rsidR="00C172CC" w:rsidRPr="00DF30C4" w:rsidRDefault="00C172CC" w:rsidP="00DF30C4">
      <w:pPr>
        <w:autoSpaceDE w:val="0"/>
        <w:autoSpaceDN w:val="0"/>
        <w:snapToGrid w:val="0"/>
        <w:spacing w:line="360" w:lineRule="auto"/>
        <w:rPr>
          <w:rFonts w:ascii="Book Antiqua" w:hAnsi="Book Antiqua"/>
          <w:b/>
          <w:i/>
          <w:sz w:val="24"/>
          <w:szCs w:val="24"/>
        </w:rPr>
      </w:pPr>
      <w:r w:rsidRPr="00DF30C4">
        <w:rPr>
          <w:rFonts w:ascii="Book Antiqua" w:hAnsi="Book Antiqua"/>
          <w:b/>
          <w:i/>
          <w:sz w:val="24"/>
          <w:szCs w:val="24"/>
        </w:rPr>
        <w:t>Background</w:t>
      </w:r>
    </w:p>
    <w:p w:rsidR="00C172CC" w:rsidRPr="00DF30C4" w:rsidRDefault="00C172CC" w:rsidP="00DF30C4">
      <w:pPr>
        <w:autoSpaceDE w:val="0"/>
        <w:autoSpaceDN w:val="0"/>
        <w:snapToGrid w:val="0"/>
        <w:spacing w:line="360" w:lineRule="auto"/>
        <w:rPr>
          <w:rFonts w:ascii="Book Antiqua" w:hAnsi="Book Antiqua"/>
          <w:sz w:val="24"/>
          <w:szCs w:val="24"/>
        </w:rPr>
      </w:pPr>
      <w:r w:rsidRPr="00DF30C4">
        <w:rPr>
          <w:rFonts w:ascii="Book Antiqua" w:hAnsi="Book Antiqua"/>
          <w:sz w:val="24"/>
          <w:szCs w:val="24"/>
        </w:rPr>
        <w:t xml:space="preserve">Cytomegalovirus (CMV) activation is sometimes associated with exacerbation and refractoriness of ulcerative colitis (UC). While there are several diagnostic modalities for CMV disease, these could not distinguish strictly CMV “infection” meaning only career of virus from CMV “disease” being reactivation and affecting patients’ conditions. Although antiviral therapy has been shown to improve the short-term disease course, the long-term prognosis of UC patients with CMV has rarely been reported. </w:t>
      </w:r>
    </w:p>
    <w:p w:rsidR="00C172CC" w:rsidRPr="00DF30C4" w:rsidRDefault="00C172CC" w:rsidP="00DF30C4">
      <w:pPr>
        <w:autoSpaceDE w:val="0"/>
        <w:autoSpaceDN w:val="0"/>
        <w:snapToGrid w:val="0"/>
        <w:spacing w:line="360" w:lineRule="auto"/>
        <w:ind w:left="360"/>
        <w:rPr>
          <w:rFonts w:ascii="Book Antiqua" w:hAnsi="Book Antiqua"/>
          <w:sz w:val="24"/>
          <w:szCs w:val="24"/>
        </w:rPr>
      </w:pPr>
    </w:p>
    <w:p w:rsidR="00C172CC" w:rsidRPr="00DF30C4" w:rsidRDefault="00C172CC" w:rsidP="00DF30C4">
      <w:pPr>
        <w:autoSpaceDE w:val="0"/>
        <w:autoSpaceDN w:val="0"/>
        <w:snapToGrid w:val="0"/>
        <w:spacing w:line="360" w:lineRule="auto"/>
        <w:rPr>
          <w:rFonts w:ascii="Book Antiqua" w:hAnsi="Book Antiqua"/>
          <w:b/>
          <w:i/>
          <w:sz w:val="24"/>
          <w:szCs w:val="24"/>
        </w:rPr>
      </w:pPr>
      <w:r w:rsidRPr="00DF30C4">
        <w:rPr>
          <w:rFonts w:ascii="Book Antiqua" w:hAnsi="Book Antiqua"/>
          <w:b/>
          <w:i/>
          <w:sz w:val="24"/>
          <w:szCs w:val="24"/>
        </w:rPr>
        <w:t xml:space="preserve">Research frontiers </w:t>
      </w:r>
    </w:p>
    <w:p w:rsidR="00C172CC" w:rsidRPr="00DF30C4" w:rsidRDefault="00C172CC" w:rsidP="00DF30C4">
      <w:pPr>
        <w:autoSpaceDE w:val="0"/>
        <w:autoSpaceDN w:val="0"/>
        <w:snapToGrid w:val="0"/>
        <w:spacing w:line="360" w:lineRule="auto"/>
        <w:rPr>
          <w:rFonts w:ascii="Book Antiqua" w:hAnsi="Book Antiqua"/>
          <w:sz w:val="24"/>
          <w:szCs w:val="24"/>
        </w:rPr>
      </w:pPr>
      <w:r w:rsidRPr="00DF30C4">
        <w:rPr>
          <w:rFonts w:ascii="Book Antiqua" w:hAnsi="Book Antiqua"/>
          <w:sz w:val="24"/>
          <w:szCs w:val="24"/>
        </w:rPr>
        <w:t>CMV antigenemia assay has advantages in that it is relatively inexpensive and facilitates monitoring of CMV activity continuously, without endoscopy. However, disease course of UC patients treated according to CMV antigenemia assay has not been revealed. In this study, the authors clarified the impact of CMV antigen and antiviral therapy on the UC patients’ prognosis: remission rate, relapse rate and colectomy rate.</w:t>
      </w:r>
      <w:r>
        <w:rPr>
          <w:rFonts w:ascii="Book Antiqua" w:hAnsi="Book Antiqua"/>
          <w:sz w:val="24"/>
          <w:szCs w:val="24"/>
        </w:rPr>
        <w:t xml:space="preserve"> </w:t>
      </w:r>
    </w:p>
    <w:p w:rsidR="00C172CC" w:rsidRPr="00DF30C4" w:rsidRDefault="00C172CC" w:rsidP="00DF30C4">
      <w:pPr>
        <w:autoSpaceDE w:val="0"/>
        <w:autoSpaceDN w:val="0"/>
        <w:snapToGrid w:val="0"/>
        <w:spacing w:line="360" w:lineRule="auto"/>
        <w:ind w:left="360"/>
        <w:rPr>
          <w:rFonts w:ascii="Book Antiqua" w:hAnsi="Book Antiqua"/>
          <w:sz w:val="24"/>
          <w:szCs w:val="24"/>
        </w:rPr>
      </w:pPr>
    </w:p>
    <w:p w:rsidR="00C172CC" w:rsidRPr="00DF30C4" w:rsidRDefault="00C172CC" w:rsidP="00DF30C4">
      <w:pPr>
        <w:autoSpaceDE w:val="0"/>
        <w:autoSpaceDN w:val="0"/>
        <w:snapToGrid w:val="0"/>
        <w:spacing w:line="360" w:lineRule="auto"/>
        <w:rPr>
          <w:rFonts w:ascii="Book Antiqua" w:hAnsi="Book Antiqua"/>
          <w:b/>
          <w:i/>
          <w:sz w:val="24"/>
          <w:szCs w:val="24"/>
        </w:rPr>
      </w:pPr>
      <w:r w:rsidRPr="00DF30C4">
        <w:rPr>
          <w:rFonts w:ascii="Book Antiqua" w:hAnsi="Book Antiqua"/>
          <w:b/>
          <w:i/>
          <w:sz w:val="24"/>
          <w:szCs w:val="24"/>
        </w:rPr>
        <w:t>Innovations and breakthroughs</w:t>
      </w:r>
    </w:p>
    <w:p w:rsidR="00C172CC" w:rsidRPr="00DF30C4" w:rsidRDefault="00C172CC" w:rsidP="00DF30C4">
      <w:pPr>
        <w:autoSpaceDE w:val="0"/>
        <w:autoSpaceDN w:val="0"/>
        <w:snapToGrid w:val="0"/>
        <w:spacing w:line="360" w:lineRule="auto"/>
        <w:rPr>
          <w:rFonts w:ascii="Book Antiqua" w:hAnsi="Book Antiqua"/>
          <w:sz w:val="24"/>
          <w:szCs w:val="24"/>
        </w:rPr>
      </w:pPr>
      <w:r w:rsidRPr="00DF30C4">
        <w:rPr>
          <w:rFonts w:ascii="Book Antiqua" w:hAnsi="Book Antiqua"/>
          <w:sz w:val="24"/>
          <w:szCs w:val="24"/>
        </w:rPr>
        <w:t xml:space="preserve">CMV antigenemia assay has been widely used for pre-emptive therapy in hematopoietic stem cell transplantation. In the field of UC, in contrast, relatively few studies evaluated the clinical significance of the CMV antigenemia assay, e.g., for decision of administration of antiviral therapy. This is the first study to investigate the long-term prognosis of UC patients treated on the basis of cytomegalovirus antigen status. </w:t>
      </w:r>
    </w:p>
    <w:p w:rsidR="00C172CC" w:rsidRPr="00DF30C4" w:rsidRDefault="00C172CC" w:rsidP="00DF30C4">
      <w:pPr>
        <w:autoSpaceDE w:val="0"/>
        <w:autoSpaceDN w:val="0"/>
        <w:snapToGrid w:val="0"/>
        <w:spacing w:line="360" w:lineRule="auto"/>
        <w:rPr>
          <w:rFonts w:ascii="Book Antiqua" w:hAnsi="Book Antiqua"/>
          <w:sz w:val="24"/>
          <w:szCs w:val="24"/>
        </w:rPr>
      </w:pPr>
    </w:p>
    <w:p w:rsidR="00C172CC" w:rsidRPr="00DF30C4" w:rsidRDefault="00C172CC" w:rsidP="00DF30C4">
      <w:pPr>
        <w:autoSpaceDE w:val="0"/>
        <w:autoSpaceDN w:val="0"/>
        <w:snapToGrid w:val="0"/>
        <w:spacing w:line="360" w:lineRule="auto"/>
        <w:rPr>
          <w:rFonts w:ascii="Book Antiqua" w:hAnsi="Book Antiqua"/>
          <w:b/>
          <w:i/>
          <w:sz w:val="24"/>
          <w:szCs w:val="24"/>
        </w:rPr>
      </w:pPr>
      <w:r w:rsidRPr="00DF30C4">
        <w:rPr>
          <w:rFonts w:ascii="Book Antiqua" w:hAnsi="Book Antiqua"/>
          <w:b/>
          <w:i/>
          <w:sz w:val="24"/>
          <w:szCs w:val="24"/>
        </w:rPr>
        <w:t>Applications</w:t>
      </w:r>
    </w:p>
    <w:p w:rsidR="00C172CC" w:rsidRPr="00DF30C4" w:rsidRDefault="00C172CC" w:rsidP="00DF30C4">
      <w:pPr>
        <w:autoSpaceDE w:val="0"/>
        <w:autoSpaceDN w:val="0"/>
        <w:snapToGrid w:val="0"/>
        <w:spacing w:line="360" w:lineRule="auto"/>
        <w:rPr>
          <w:rFonts w:ascii="Book Antiqua" w:hAnsi="Book Antiqua"/>
          <w:sz w:val="24"/>
          <w:szCs w:val="24"/>
        </w:rPr>
      </w:pPr>
      <w:r w:rsidRPr="00DF30C4">
        <w:rPr>
          <w:rFonts w:ascii="Book Antiqua" w:eastAsia="宋体" w:hAnsi="Book Antiqua"/>
          <w:sz w:val="24"/>
          <w:szCs w:val="24"/>
          <w:lang w:eastAsia="zh-CN"/>
        </w:rPr>
        <w:t xml:space="preserve">The </w:t>
      </w:r>
      <w:r w:rsidRPr="00DF30C4">
        <w:rPr>
          <w:rFonts w:ascii="Book Antiqua" w:hAnsi="Book Antiqua"/>
          <w:sz w:val="24"/>
          <w:szCs w:val="24"/>
        </w:rPr>
        <w:t xml:space="preserve">finding that ganciclovir use is a predictor of avoidance of colectomy suggests that ganciclovir use exerts clinical effectiveness, </w:t>
      </w:r>
      <w:r w:rsidRPr="00DF30C4">
        <w:rPr>
          <w:rFonts w:ascii="Book Antiqua" w:hAnsi="Book Antiqua"/>
          <w:i/>
          <w:sz w:val="24"/>
          <w:szCs w:val="24"/>
        </w:rPr>
        <w:t xml:space="preserve">e.g., </w:t>
      </w:r>
      <w:r w:rsidRPr="00DF30C4">
        <w:rPr>
          <w:rFonts w:ascii="Book Antiqua" w:hAnsi="Book Antiqua"/>
          <w:sz w:val="24"/>
          <w:szCs w:val="24"/>
        </w:rPr>
        <w:t xml:space="preserve">avoiding exacerbation and/or relapse after remission, for a portion of patients with CMV. </w:t>
      </w:r>
    </w:p>
    <w:p w:rsidR="00C172CC" w:rsidRPr="00DF30C4" w:rsidRDefault="00C172CC" w:rsidP="00DF30C4">
      <w:pPr>
        <w:autoSpaceDE w:val="0"/>
        <w:autoSpaceDN w:val="0"/>
        <w:snapToGrid w:val="0"/>
        <w:spacing w:line="360" w:lineRule="auto"/>
        <w:rPr>
          <w:rFonts w:ascii="Book Antiqua" w:hAnsi="Book Antiqua"/>
          <w:i/>
          <w:sz w:val="24"/>
          <w:szCs w:val="24"/>
        </w:rPr>
      </w:pPr>
      <w:r w:rsidRPr="00DF30C4">
        <w:rPr>
          <w:rFonts w:ascii="Book Antiqua" w:hAnsi="Book Antiqua"/>
          <w:i/>
          <w:sz w:val="24"/>
          <w:szCs w:val="24"/>
        </w:rPr>
        <w:t xml:space="preserve"> </w:t>
      </w:r>
    </w:p>
    <w:p w:rsidR="00C172CC" w:rsidRPr="00DF30C4" w:rsidRDefault="00C172CC" w:rsidP="00DF30C4">
      <w:pPr>
        <w:autoSpaceDE w:val="0"/>
        <w:autoSpaceDN w:val="0"/>
        <w:snapToGrid w:val="0"/>
        <w:spacing w:line="360" w:lineRule="auto"/>
        <w:rPr>
          <w:rFonts w:ascii="Book Antiqua" w:hAnsi="Book Antiqua"/>
          <w:b/>
          <w:i/>
          <w:sz w:val="24"/>
          <w:szCs w:val="24"/>
        </w:rPr>
      </w:pPr>
      <w:r w:rsidRPr="00DF30C4">
        <w:rPr>
          <w:rFonts w:ascii="Book Antiqua" w:hAnsi="Book Antiqua"/>
          <w:b/>
          <w:i/>
          <w:sz w:val="24"/>
          <w:szCs w:val="24"/>
        </w:rPr>
        <w:t>Terminology</w:t>
      </w:r>
    </w:p>
    <w:p w:rsidR="00C172CC" w:rsidRPr="00DF30C4" w:rsidRDefault="00C172CC" w:rsidP="00DF30C4">
      <w:pPr>
        <w:autoSpaceDE w:val="0"/>
        <w:autoSpaceDN w:val="0"/>
        <w:snapToGrid w:val="0"/>
        <w:spacing w:line="360" w:lineRule="auto"/>
        <w:rPr>
          <w:rFonts w:ascii="Book Antiqua" w:hAnsi="Book Antiqua"/>
          <w:sz w:val="24"/>
          <w:szCs w:val="24"/>
        </w:rPr>
      </w:pPr>
      <w:r w:rsidRPr="00DF30C4">
        <w:rPr>
          <w:rFonts w:ascii="Book Antiqua" w:hAnsi="Book Antiqua"/>
          <w:sz w:val="24"/>
          <w:szCs w:val="24"/>
        </w:rPr>
        <w:t>Cytomegalovirus antigenemia: Cytomegalovirus antigenemia assay is based on immunocytochemical detection of CMV immediate early antigens in blood leukocytes. The results were expressed as the number of CMV-pp65-positive cells per 5×10</w:t>
      </w:r>
      <w:r w:rsidRPr="00DF30C4">
        <w:rPr>
          <w:rFonts w:ascii="Book Antiqua" w:hAnsi="Book Antiqua"/>
          <w:sz w:val="24"/>
          <w:szCs w:val="24"/>
          <w:vertAlign w:val="superscript"/>
        </w:rPr>
        <w:t>4</w:t>
      </w:r>
      <w:r w:rsidRPr="00DF30C4">
        <w:rPr>
          <w:rFonts w:ascii="Book Antiqua" w:hAnsi="Book Antiqua"/>
          <w:sz w:val="24"/>
          <w:szCs w:val="24"/>
        </w:rPr>
        <w:t xml:space="preserve"> leukocytes.</w:t>
      </w:r>
    </w:p>
    <w:p w:rsidR="00C172CC" w:rsidRPr="00DF30C4" w:rsidRDefault="00C172CC" w:rsidP="00DF30C4">
      <w:pPr>
        <w:autoSpaceDE w:val="0"/>
        <w:autoSpaceDN w:val="0"/>
        <w:snapToGrid w:val="0"/>
        <w:spacing w:line="360" w:lineRule="auto"/>
        <w:rPr>
          <w:rFonts w:ascii="Book Antiqua" w:hAnsi="Book Antiqua"/>
          <w:sz w:val="24"/>
          <w:szCs w:val="24"/>
        </w:rPr>
      </w:pPr>
    </w:p>
    <w:p w:rsidR="00C172CC" w:rsidRPr="00DF30C4" w:rsidRDefault="00C172CC" w:rsidP="00DF30C4">
      <w:pPr>
        <w:autoSpaceDE w:val="0"/>
        <w:autoSpaceDN w:val="0"/>
        <w:snapToGrid w:val="0"/>
        <w:spacing w:line="360" w:lineRule="auto"/>
        <w:rPr>
          <w:rFonts w:ascii="Book Antiqua" w:hAnsi="Book Antiqua"/>
          <w:b/>
          <w:i/>
          <w:sz w:val="24"/>
          <w:szCs w:val="24"/>
        </w:rPr>
      </w:pPr>
      <w:r w:rsidRPr="00DF30C4">
        <w:rPr>
          <w:rFonts w:ascii="Book Antiqua" w:hAnsi="Book Antiqua"/>
          <w:b/>
          <w:i/>
          <w:sz w:val="24"/>
          <w:szCs w:val="24"/>
        </w:rPr>
        <w:t>Peer review</w:t>
      </w:r>
    </w:p>
    <w:p w:rsidR="00C172CC" w:rsidRPr="00DF30C4" w:rsidRDefault="00C172CC" w:rsidP="00DF30C4">
      <w:pPr>
        <w:autoSpaceDE w:val="0"/>
        <w:autoSpaceDN w:val="0"/>
        <w:snapToGrid w:val="0"/>
        <w:spacing w:line="360" w:lineRule="auto"/>
        <w:rPr>
          <w:rFonts w:ascii="Book Antiqua" w:hAnsi="Book Antiqua"/>
          <w:sz w:val="24"/>
          <w:szCs w:val="24"/>
        </w:rPr>
      </w:pPr>
      <w:r w:rsidRPr="00DF30C4">
        <w:rPr>
          <w:rFonts w:ascii="Book Antiqua" w:hAnsi="Book Antiqua"/>
          <w:sz w:val="24"/>
          <w:szCs w:val="24"/>
        </w:rPr>
        <w:t xml:space="preserve">The authors examined the long-term prognosis of UC patients with CMV infection, including relapse rate and colectomy rate, which have rarely been reported. It revealed that positive CMV antigen status was likely to prolong time to remission and long-term prognosis including colectomy rate was not affected by CMV antigen status under the treatment strategy with </w:t>
      </w:r>
      <w:r w:rsidRPr="00DF30C4">
        <w:rPr>
          <w:rFonts w:ascii="Book Antiqua" w:hAnsi="Book Antiqua"/>
          <w:sz w:val="24"/>
          <w:szCs w:val="24"/>
        </w:rPr>
        <w:lastRenderedPageBreak/>
        <w:t xml:space="preserve">antiviral agents. In addition, ganciclovir use is an independent factor for avoidance of colectomy in UC patients positive for CMV antigen. The results are interesting and may suggest that ganciclovir use exerts clinical effectiveness, </w:t>
      </w:r>
      <w:r w:rsidRPr="00DF30C4">
        <w:rPr>
          <w:rFonts w:ascii="Book Antiqua" w:hAnsi="Book Antiqua"/>
          <w:i/>
          <w:sz w:val="24"/>
          <w:szCs w:val="24"/>
        </w:rPr>
        <w:t xml:space="preserve">e.g., </w:t>
      </w:r>
      <w:r w:rsidRPr="00DF30C4">
        <w:rPr>
          <w:rFonts w:ascii="Book Antiqua" w:hAnsi="Book Antiqua"/>
          <w:sz w:val="24"/>
          <w:szCs w:val="24"/>
        </w:rPr>
        <w:t>avoiding exacerbation and/or relapse after remission, for a portion of patients with CMV.</w:t>
      </w:r>
    </w:p>
    <w:p w:rsidR="00C172CC" w:rsidRPr="00DF30C4" w:rsidRDefault="00C172CC" w:rsidP="00DF30C4">
      <w:pPr>
        <w:spacing w:line="360" w:lineRule="auto"/>
        <w:rPr>
          <w:rFonts w:ascii="Book Antiqua" w:hAnsi="Book Antiqua"/>
          <w:sz w:val="24"/>
          <w:szCs w:val="24"/>
        </w:rPr>
      </w:pPr>
    </w:p>
    <w:p w:rsidR="00C172CC" w:rsidRDefault="00C172CC" w:rsidP="00DF30C4">
      <w:pPr>
        <w:autoSpaceDE w:val="0"/>
        <w:autoSpaceDN w:val="0"/>
        <w:snapToGrid w:val="0"/>
        <w:spacing w:line="360" w:lineRule="auto"/>
        <w:rPr>
          <w:rFonts w:ascii="Book Antiqua" w:eastAsia="宋体" w:hAnsi="Book Antiqua"/>
          <w:b/>
          <w:sz w:val="24"/>
          <w:szCs w:val="24"/>
          <w:lang w:eastAsia="zh-CN"/>
        </w:rPr>
      </w:pPr>
      <w:r w:rsidRPr="00DF30C4">
        <w:rPr>
          <w:rFonts w:ascii="Book Antiqua" w:hAnsi="Book Antiqua"/>
          <w:b/>
          <w:sz w:val="24"/>
          <w:szCs w:val="24"/>
        </w:rPr>
        <w:t>REFERENCES</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1 </w:t>
      </w:r>
      <w:r w:rsidRPr="00DF30C4">
        <w:rPr>
          <w:rFonts w:ascii="Book Antiqua" w:eastAsia="宋体" w:hAnsi="Book Antiqua" w:cs="宋体"/>
          <w:b/>
          <w:bCs/>
          <w:kern w:val="0"/>
          <w:sz w:val="24"/>
          <w:szCs w:val="24"/>
          <w:lang w:eastAsia="zh-CN"/>
        </w:rPr>
        <w:t>Langholz E</w:t>
      </w:r>
      <w:r w:rsidRPr="00DF30C4">
        <w:rPr>
          <w:rFonts w:ascii="Book Antiqua" w:eastAsia="宋体" w:hAnsi="Book Antiqua" w:cs="宋体"/>
          <w:kern w:val="0"/>
          <w:sz w:val="24"/>
          <w:szCs w:val="24"/>
          <w:lang w:eastAsia="zh-CN"/>
        </w:rPr>
        <w:t xml:space="preserve">, Munkholm P, Davidsen M, Binder V. Course of ulcerative colitis: analysis of changes in disease activity over years. </w:t>
      </w:r>
      <w:r w:rsidRPr="00DF30C4">
        <w:rPr>
          <w:rFonts w:ascii="Book Antiqua" w:eastAsia="宋体" w:hAnsi="Book Antiqua" w:cs="宋体"/>
          <w:i/>
          <w:iCs/>
          <w:kern w:val="0"/>
          <w:sz w:val="24"/>
          <w:szCs w:val="24"/>
          <w:lang w:eastAsia="zh-CN"/>
        </w:rPr>
        <w:t>Gastroenterology</w:t>
      </w:r>
      <w:r w:rsidRPr="00DF30C4">
        <w:rPr>
          <w:rFonts w:ascii="Book Antiqua" w:eastAsia="宋体" w:hAnsi="Book Antiqua" w:cs="宋体"/>
          <w:kern w:val="0"/>
          <w:sz w:val="24"/>
          <w:szCs w:val="24"/>
          <w:lang w:eastAsia="zh-CN"/>
        </w:rPr>
        <w:t xml:space="preserve"> 1994; </w:t>
      </w:r>
      <w:r w:rsidRPr="00DF30C4">
        <w:rPr>
          <w:rFonts w:ascii="Book Antiqua" w:eastAsia="宋体" w:hAnsi="Book Antiqua" w:cs="宋体"/>
          <w:b/>
          <w:bCs/>
          <w:kern w:val="0"/>
          <w:sz w:val="24"/>
          <w:szCs w:val="24"/>
          <w:lang w:eastAsia="zh-CN"/>
        </w:rPr>
        <w:t>107</w:t>
      </w:r>
      <w:r w:rsidRPr="00DF30C4">
        <w:rPr>
          <w:rFonts w:ascii="Book Antiqua" w:eastAsia="宋体" w:hAnsi="Book Antiqua" w:cs="宋体"/>
          <w:kern w:val="0"/>
          <w:sz w:val="24"/>
          <w:szCs w:val="24"/>
          <w:lang w:eastAsia="zh-CN"/>
        </w:rPr>
        <w:t>: 3-11 [PMID: 8020674]</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2 </w:t>
      </w:r>
      <w:r w:rsidRPr="00DF30C4">
        <w:rPr>
          <w:rFonts w:ascii="Book Antiqua" w:eastAsia="宋体" w:hAnsi="Book Antiqua" w:cs="宋体"/>
          <w:b/>
          <w:bCs/>
          <w:kern w:val="0"/>
          <w:sz w:val="24"/>
          <w:szCs w:val="24"/>
          <w:lang w:eastAsia="zh-CN"/>
        </w:rPr>
        <w:t>Solberg IC</w:t>
      </w:r>
      <w:r w:rsidRPr="00DF30C4">
        <w:rPr>
          <w:rFonts w:ascii="Book Antiqua" w:eastAsia="宋体" w:hAnsi="Book Antiqua" w:cs="宋体"/>
          <w:kern w:val="0"/>
          <w:sz w:val="24"/>
          <w:szCs w:val="24"/>
          <w:lang w:eastAsia="zh-CN"/>
        </w:rPr>
        <w:t xml:space="preserve">, Lygren I, Jahnsen J, Aadland E, Høie O, Cvancarova M, Bernklev T, Henriksen M, Sauar J, Vatn MH, Moum B. Clinical course during the first 10 years of ulcerative colitis: results from a population-based inception cohort (IBSEN Study). </w:t>
      </w:r>
      <w:r w:rsidRPr="00DF30C4">
        <w:rPr>
          <w:rFonts w:ascii="Book Antiqua" w:eastAsia="宋体" w:hAnsi="Book Antiqua" w:cs="宋体"/>
          <w:i/>
          <w:iCs/>
          <w:kern w:val="0"/>
          <w:sz w:val="24"/>
          <w:szCs w:val="24"/>
          <w:lang w:eastAsia="zh-CN"/>
        </w:rPr>
        <w:t>Scand J Gastroenterol</w:t>
      </w:r>
      <w:r w:rsidRPr="00DF30C4">
        <w:rPr>
          <w:rFonts w:ascii="Book Antiqua" w:eastAsia="宋体" w:hAnsi="Book Antiqua" w:cs="宋体"/>
          <w:kern w:val="0"/>
          <w:sz w:val="24"/>
          <w:szCs w:val="24"/>
          <w:lang w:eastAsia="zh-CN"/>
        </w:rPr>
        <w:t xml:space="preserve"> 2009; </w:t>
      </w:r>
      <w:r w:rsidRPr="00DF30C4">
        <w:rPr>
          <w:rFonts w:ascii="Book Antiqua" w:eastAsia="宋体" w:hAnsi="Book Antiqua" w:cs="宋体"/>
          <w:b/>
          <w:bCs/>
          <w:kern w:val="0"/>
          <w:sz w:val="24"/>
          <w:szCs w:val="24"/>
          <w:lang w:eastAsia="zh-CN"/>
        </w:rPr>
        <w:t>44</w:t>
      </w:r>
      <w:r w:rsidRPr="00DF30C4">
        <w:rPr>
          <w:rFonts w:ascii="Book Antiqua" w:eastAsia="宋体" w:hAnsi="Book Antiqua" w:cs="宋体"/>
          <w:kern w:val="0"/>
          <w:sz w:val="24"/>
          <w:szCs w:val="24"/>
          <w:lang w:eastAsia="zh-CN"/>
        </w:rPr>
        <w:t>: 431-440 [PMID: 19101844 DOI: 10.1080/00365520802600961]</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3 </w:t>
      </w:r>
      <w:r w:rsidRPr="00DF30C4">
        <w:rPr>
          <w:rFonts w:ascii="Book Antiqua" w:eastAsia="宋体" w:hAnsi="Book Antiqua" w:cs="宋体"/>
          <w:b/>
          <w:bCs/>
          <w:kern w:val="0"/>
          <w:sz w:val="24"/>
          <w:szCs w:val="24"/>
          <w:lang w:eastAsia="zh-CN"/>
        </w:rPr>
        <w:t>Höie O</w:t>
      </w:r>
      <w:r w:rsidRPr="00DF30C4">
        <w:rPr>
          <w:rFonts w:ascii="Book Antiqua" w:eastAsia="宋体" w:hAnsi="Book Antiqua" w:cs="宋体"/>
          <w:kern w:val="0"/>
          <w:sz w:val="24"/>
          <w:szCs w:val="24"/>
          <w:lang w:eastAsia="zh-CN"/>
        </w:rPr>
        <w:t xml:space="preserve">, Wolters F, Riis L, Aamodt G, Solberg C, Bernklev T, Odes S, Mouzas IA, Beltrami M, Langholz E, Stockbrügger R, Vatn M, Moum B. Ulcerative colitis: patient characteristics may predict 10-yr disease recurrence in a European-wide population-based cohort. </w:t>
      </w:r>
      <w:r w:rsidRPr="00DF30C4">
        <w:rPr>
          <w:rFonts w:ascii="Book Antiqua" w:eastAsia="宋体" w:hAnsi="Book Antiqua" w:cs="宋体"/>
          <w:i/>
          <w:iCs/>
          <w:kern w:val="0"/>
          <w:sz w:val="24"/>
          <w:szCs w:val="24"/>
          <w:lang w:eastAsia="zh-CN"/>
        </w:rPr>
        <w:t>Am J Gastroenterol</w:t>
      </w:r>
      <w:r w:rsidRPr="00DF30C4">
        <w:rPr>
          <w:rFonts w:ascii="Book Antiqua" w:eastAsia="宋体" w:hAnsi="Book Antiqua" w:cs="宋体"/>
          <w:kern w:val="0"/>
          <w:sz w:val="24"/>
          <w:szCs w:val="24"/>
          <w:lang w:eastAsia="zh-CN"/>
        </w:rPr>
        <w:t xml:space="preserve"> 2007; </w:t>
      </w:r>
      <w:r w:rsidRPr="00DF30C4">
        <w:rPr>
          <w:rFonts w:ascii="Book Antiqua" w:eastAsia="宋体" w:hAnsi="Book Antiqua" w:cs="宋体"/>
          <w:b/>
          <w:bCs/>
          <w:kern w:val="0"/>
          <w:sz w:val="24"/>
          <w:szCs w:val="24"/>
          <w:lang w:eastAsia="zh-CN"/>
        </w:rPr>
        <w:t>102</w:t>
      </w:r>
      <w:r w:rsidRPr="00DF30C4">
        <w:rPr>
          <w:rFonts w:ascii="Book Antiqua" w:eastAsia="宋体" w:hAnsi="Book Antiqua" w:cs="宋体"/>
          <w:kern w:val="0"/>
          <w:sz w:val="24"/>
          <w:szCs w:val="24"/>
          <w:lang w:eastAsia="zh-CN"/>
        </w:rPr>
        <w:t>: 1692-1701 [PMID: 17555460 DOI: 10.1111/j.1572-0241.2007.01265.x]</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4 </w:t>
      </w:r>
      <w:r w:rsidRPr="00DF30C4">
        <w:rPr>
          <w:rFonts w:ascii="Book Antiqua" w:eastAsia="宋体" w:hAnsi="Book Antiqua" w:cs="宋体"/>
          <w:b/>
          <w:bCs/>
          <w:kern w:val="0"/>
          <w:sz w:val="24"/>
          <w:szCs w:val="24"/>
          <w:lang w:eastAsia="zh-CN"/>
        </w:rPr>
        <w:t>Winther KV</w:t>
      </w:r>
      <w:r w:rsidRPr="00DF30C4">
        <w:rPr>
          <w:rFonts w:ascii="Book Antiqua" w:eastAsia="宋体" w:hAnsi="Book Antiqua" w:cs="宋体"/>
          <w:kern w:val="0"/>
          <w:sz w:val="24"/>
          <w:szCs w:val="24"/>
          <w:lang w:eastAsia="zh-CN"/>
        </w:rPr>
        <w:t xml:space="preserve">, Jess T, Langholz E, Munkholm P, Binder V. Survival and cause-specific mortality in ulcerative colitis: follow-up of a population-based cohort in Copenhagen County. </w:t>
      </w:r>
      <w:r w:rsidRPr="00DF30C4">
        <w:rPr>
          <w:rFonts w:ascii="Book Antiqua" w:eastAsia="宋体" w:hAnsi="Book Antiqua" w:cs="宋体"/>
          <w:i/>
          <w:iCs/>
          <w:kern w:val="0"/>
          <w:sz w:val="24"/>
          <w:szCs w:val="24"/>
          <w:lang w:eastAsia="zh-CN"/>
        </w:rPr>
        <w:t>Gastroenterology</w:t>
      </w:r>
      <w:r w:rsidRPr="00DF30C4">
        <w:rPr>
          <w:rFonts w:ascii="Book Antiqua" w:eastAsia="宋体" w:hAnsi="Book Antiqua" w:cs="宋体"/>
          <w:kern w:val="0"/>
          <w:sz w:val="24"/>
          <w:szCs w:val="24"/>
          <w:lang w:eastAsia="zh-CN"/>
        </w:rPr>
        <w:t xml:space="preserve"> 2003; </w:t>
      </w:r>
      <w:r w:rsidRPr="00DF30C4">
        <w:rPr>
          <w:rFonts w:ascii="Book Antiqua" w:eastAsia="宋体" w:hAnsi="Book Antiqua" w:cs="宋体"/>
          <w:b/>
          <w:bCs/>
          <w:kern w:val="0"/>
          <w:sz w:val="24"/>
          <w:szCs w:val="24"/>
          <w:lang w:eastAsia="zh-CN"/>
        </w:rPr>
        <w:t>125</w:t>
      </w:r>
      <w:r w:rsidRPr="00DF30C4">
        <w:rPr>
          <w:rFonts w:ascii="Book Antiqua" w:eastAsia="宋体" w:hAnsi="Book Antiqua" w:cs="宋体"/>
          <w:kern w:val="0"/>
          <w:sz w:val="24"/>
          <w:szCs w:val="24"/>
          <w:lang w:eastAsia="zh-CN"/>
        </w:rPr>
        <w:t>: 1576-1582 [PMID: 14724807 DOI: 10.1053/j.gastro.2003.09.036]</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5 </w:t>
      </w:r>
      <w:r w:rsidRPr="00DF30C4">
        <w:rPr>
          <w:rFonts w:ascii="Book Antiqua" w:eastAsia="宋体" w:hAnsi="Book Antiqua" w:cs="宋体"/>
          <w:b/>
          <w:bCs/>
          <w:kern w:val="0"/>
          <w:sz w:val="24"/>
          <w:szCs w:val="24"/>
          <w:lang w:eastAsia="zh-CN"/>
        </w:rPr>
        <w:t>Kambham N</w:t>
      </w:r>
      <w:r w:rsidRPr="00DF30C4">
        <w:rPr>
          <w:rFonts w:ascii="Book Antiqua" w:eastAsia="宋体" w:hAnsi="Book Antiqua" w:cs="宋体"/>
          <w:kern w:val="0"/>
          <w:sz w:val="24"/>
          <w:szCs w:val="24"/>
          <w:lang w:eastAsia="zh-CN"/>
        </w:rPr>
        <w:t xml:space="preserve">, Vij R, Cartwright CA, Longacre T. Cytomegalovirus infection in steroid-refractory ulcerative colitis: a case-control study. </w:t>
      </w:r>
      <w:r w:rsidRPr="00DF30C4">
        <w:rPr>
          <w:rFonts w:ascii="Book Antiqua" w:eastAsia="宋体" w:hAnsi="Book Antiqua" w:cs="宋体"/>
          <w:i/>
          <w:iCs/>
          <w:kern w:val="0"/>
          <w:sz w:val="24"/>
          <w:szCs w:val="24"/>
          <w:lang w:eastAsia="zh-CN"/>
        </w:rPr>
        <w:t>Am J Surg Pathol</w:t>
      </w:r>
      <w:r w:rsidRPr="00DF30C4">
        <w:rPr>
          <w:rFonts w:ascii="Book Antiqua" w:eastAsia="宋体" w:hAnsi="Book Antiqua" w:cs="宋体"/>
          <w:kern w:val="0"/>
          <w:sz w:val="24"/>
          <w:szCs w:val="24"/>
          <w:lang w:eastAsia="zh-CN"/>
        </w:rPr>
        <w:t xml:space="preserve"> 2004; </w:t>
      </w:r>
      <w:r w:rsidRPr="00DF30C4">
        <w:rPr>
          <w:rFonts w:ascii="Book Antiqua" w:eastAsia="宋体" w:hAnsi="Book Antiqua" w:cs="宋体"/>
          <w:b/>
          <w:bCs/>
          <w:kern w:val="0"/>
          <w:sz w:val="24"/>
          <w:szCs w:val="24"/>
          <w:lang w:eastAsia="zh-CN"/>
        </w:rPr>
        <w:t>28</w:t>
      </w:r>
      <w:r w:rsidRPr="00DF30C4">
        <w:rPr>
          <w:rFonts w:ascii="Book Antiqua" w:eastAsia="宋体" w:hAnsi="Book Antiqua" w:cs="宋体"/>
          <w:kern w:val="0"/>
          <w:sz w:val="24"/>
          <w:szCs w:val="24"/>
          <w:lang w:eastAsia="zh-CN"/>
        </w:rPr>
        <w:t>: 365-373 [PMID: 15104299 DOI: 10.1097/00000478-200403000-00009]</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6 </w:t>
      </w:r>
      <w:r w:rsidRPr="00DF30C4">
        <w:rPr>
          <w:rFonts w:ascii="Book Antiqua" w:eastAsia="宋体" w:hAnsi="Book Antiqua" w:cs="宋体"/>
          <w:b/>
          <w:bCs/>
          <w:kern w:val="0"/>
          <w:sz w:val="24"/>
          <w:szCs w:val="24"/>
          <w:lang w:eastAsia="zh-CN"/>
        </w:rPr>
        <w:t>Begos DG</w:t>
      </w:r>
      <w:r w:rsidRPr="00DF30C4">
        <w:rPr>
          <w:rFonts w:ascii="Book Antiqua" w:eastAsia="宋体" w:hAnsi="Book Antiqua" w:cs="宋体"/>
          <w:kern w:val="0"/>
          <w:sz w:val="24"/>
          <w:szCs w:val="24"/>
          <w:lang w:eastAsia="zh-CN"/>
        </w:rPr>
        <w:t xml:space="preserve">, Rappaport R, Jain D. Cytomegalovirus infection masquerading as an ulcerative colitis flare-up: case report and review of the literature. </w:t>
      </w:r>
      <w:r w:rsidRPr="00DF30C4">
        <w:rPr>
          <w:rFonts w:ascii="Book Antiqua" w:eastAsia="宋体" w:hAnsi="Book Antiqua" w:cs="宋体"/>
          <w:i/>
          <w:iCs/>
          <w:kern w:val="0"/>
          <w:sz w:val="24"/>
          <w:szCs w:val="24"/>
          <w:lang w:eastAsia="zh-CN"/>
        </w:rPr>
        <w:t>Yale J Biol Med</w:t>
      </w:r>
      <w:r w:rsidRPr="00DF30C4">
        <w:rPr>
          <w:rFonts w:ascii="Book Antiqua" w:eastAsia="宋体" w:hAnsi="Book Antiqua" w:cs="宋体"/>
          <w:kern w:val="0"/>
          <w:sz w:val="24"/>
          <w:szCs w:val="24"/>
          <w:lang w:eastAsia="zh-CN"/>
        </w:rPr>
        <w:t xml:space="preserve"> 1996; </w:t>
      </w:r>
      <w:r w:rsidRPr="00DF30C4">
        <w:rPr>
          <w:rFonts w:ascii="Book Antiqua" w:eastAsia="宋体" w:hAnsi="Book Antiqua" w:cs="宋体"/>
          <w:b/>
          <w:bCs/>
          <w:kern w:val="0"/>
          <w:sz w:val="24"/>
          <w:szCs w:val="24"/>
          <w:lang w:eastAsia="zh-CN"/>
        </w:rPr>
        <w:t>69</w:t>
      </w:r>
      <w:r w:rsidRPr="00DF30C4">
        <w:rPr>
          <w:rFonts w:ascii="Book Antiqua" w:eastAsia="宋体" w:hAnsi="Book Antiqua" w:cs="宋体"/>
          <w:kern w:val="0"/>
          <w:sz w:val="24"/>
          <w:szCs w:val="24"/>
          <w:lang w:eastAsia="zh-CN"/>
        </w:rPr>
        <w:t>: 323-328 [PMID: 9273986]</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7 </w:t>
      </w:r>
      <w:r w:rsidRPr="00DF30C4">
        <w:rPr>
          <w:rFonts w:ascii="Book Antiqua" w:eastAsia="宋体" w:hAnsi="Book Antiqua" w:cs="宋体"/>
          <w:b/>
          <w:bCs/>
          <w:kern w:val="0"/>
          <w:sz w:val="24"/>
          <w:szCs w:val="24"/>
          <w:lang w:eastAsia="zh-CN"/>
        </w:rPr>
        <w:t>Al-Zafiri R</w:t>
      </w:r>
      <w:r w:rsidRPr="00DF30C4">
        <w:rPr>
          <w:rFonts w:ascii="Book Antiqua" w:eastAsia="宋体" w:hAnsi="Book Antiqua" w:cs="宋体"/>
          <w:kern w:val="0"/>
          <w:sz w:val="24"/>
          <w:szCs w:val="24"/>
          <w:lang w:eastAsia="zh-CN"/>
        </w:rPr>
        <w:t xml:space="preserve">, Gologan A, Galiatsatos P, Szilagyi A. Cytomegalovirus complicating inflammatory bowel disease: a 10-year experience in a community-based, university-affiliated hospital. </w:t>
      </w:r>
      <w:r w:rsidRPr="00DF30C4">
        <w:rPr>
          <w:rFonts w:ascii="Book Antiqua" w:eastAsia="宋体" w:hAnsi="Book Antiqua" w:cs="宋体"/>
          <w:i/>
          <w:iCs/>
          <w:kern w:val="0"/>
          <w:sz w:val="24"/>
          <w:szCs w:val="24"/>
          <w:lang w:eastAsia="zh-CN"/>
        </w:rPr>
        <w:t>Gastroenterol Hepatol (N Y)</w:t>
      </w:r>
      <w:r w:rsidRPr="00DF30C4">
        <w:rPr>
          <w:rFonts w:ascii="Book Antiqua" w:eastAsia="宋体" w:hAnsi="Book Antiqua" w:cs="宋体"/>
          <w:kern w:val="0"/>
          <w:sz w:val="24"/>
          <w:szCs w:val="24"/>
          <w:lang w:eastAsia="zh-CN"/>
        </w:rPr>
        <w:t xml:space="preserve"> 2012; </w:t>
      </w:r>
      <w:r w:rsidRPr="00DF30C4">
        <w:rPr>
          <w:rFonts w:ascii="Book Antiqua" w:eastAsia="宋体" w:hAnsi="Book Antiqua" w:cs="宋体"/>
          <w:b/>
          <w:bCs/>
          <w:kern w:val="0"/>
          <w:sz w:val="24"/>
          <w:szCs w:val="24"/>
          <w:lang w:eastAsia="zh-CN"/>
        </w:rPr>
        <w:t>8</w:t>
      </w:r>
      <w:r w:rsidRPr="00DF30C4">
        <w:rPr>
          <w:rFonts w:ascii="Book Antiqua" w:eastAsia="宋体" w:hAnsi="Book Antiqua" w:cs="宋体"/>
          <w:kern w:val="0"/>
          <w:sz w:val="24"/>
          <w:szCs w:val="24"/>
          <w:lang w:eastAsia="zh-CN"/>
        </w:rPr>
        <w:t>: 230-239 [PMID: 22723754]</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8 </w:t>
      </w:r>
      <w:r w:rsidRPr="00DF30C4">
        <w:rPr>
          <w:rFonts w:ascii="Book Antiqua" w:eastAsia="宋体" w:hAnsi="Book Antiqua" w:cs="宋体"/>
          <w:b/>
          <w:bCs/>
          <w:kern w:val="0"/>
          <w:sz w:val="24"/>
          <w:szCs w:val="24"/>
          <w:lang w:eastAsia="zh-CN"/>
        </w:rPr>
        <w:t>Domènech E</w:t>
      </w:r>
      <w:r w:rsidRPr="00DF30C4">
        <w:rPr>
          <w:rFonts w:ascii="Book Antiqua" w:eastAsia="宋体" w:hAnsi="Book Antiqua" w:cs="宋体"/>
          <w:kern w:val="0"/>
          <w:sz w:val="24"/>
          <w:szCs w:val="24"/>
          <w:lang w:eastAsia="zh-CN"/>
        </w:rPr>
        <w:t xml:space="preserve">, Vega R, Ojanguren I, Hernández A, Garcia-Planella E, Bernal I, Rosinach M, Boix J, Cabré E, Gassull MA. Cytomegalovirus infection in ulcerative colitis: a prospective, </w:t>
      </w:r>
      <w:r w:rsidRPr="00DF30C4">
        <w:rPr>
          <w:rFonts w:ascii="Book Antiqua" w:eastAsia="宋体" w:hAnsi="Book Antiqua" w:cs="宋体"/>
          <w:kern w:val="0"/>
          <w:sz w:val="24"/>
          <w:szCs w:val="24"/>
          <w:lang w:eastAsia="zh-CN"/>
        </w:rPr>
        <w:lastRenderedPageBreak/>
        <w:t xml:space="preserve">comparative study on prevalence and diagnostic strategy. </w:t>
      </w:r>
      <w:r w:rsidRPr="00DF30C4">
        <w:rPr>
          <w:rFonts w:ascii="Book Antiqua" w:eastAsia="宋体" w:hAnsi="Book Antiqua" w:cs="宋体"/>
          <w:i/>
          <w:iCs/>
          <w:kern w:val="0"/>
          <w:sz w:val="24"/>
          <w:szCs w:val="24"/>
          <w:lang w:eastAsia="zh-CN"/>
        </w:rPr>
        <w:t>Inflamm Bowel Dis</w:t>
      </w:r>
      <w:r w:rsidRPr="00DF30C4">
        <w:rPr>
          <w:rFonts w:ascii="Book Antiqua" w:eastAsia="宋体" w:hAnsi="Book Antiqua" w:cs="宋体"/>
          <w:kern w:val="0"/>
          <w:sz w:val="24"/>
          <w:szCs w:val="24"/>
          <w:lang w:eastAsia="zh-CN"/>
        </w:rPr>
        <w:t xml:space="preserve"> 2008; </w:t>
      </w:r>
      <w:r w:rsidRPr="00DF30C4">
        <w:rPr>
          <w:rFonts w:ascii="Book Antiqua" w:eastAsia="宋体" w:hAnsi="Book Antiqua" w:cs="宋体"/>
          <w:b/>
          <w:bCs/>
          <w:kern w:val="0"/>
          <w:sz w:val="24"/>
          <w:szCs w:val="24"/>
          <w:lang w:eastAsia="zh-CN"/>
        </w:rPr>
        <w:t>14</w:t>
      </w:r>
      <w:r w:rsidRPr="00DF30C4">
        <w:rPr>
          <w:rFonts w:ascii="Book Antiqua" w:eastAsia="宋体" w:hAnsi="Book Antiqua" w:cs="宋体"/>
          <w:kern w:val="0"/>
          <w:sz w:val="24"/>
          <w:szCs w:val="24"/>
          <w:lang w:eastAsia="zh-CN"/>
        </w:rPr>
        <w:t>: 1373-1379 [PMID: 18452205 DOI: 10.1002/ibd.20498]</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9 </w:t>
      </w:r>
      <w:r w:rsidRPr="00DF30C4">
        <w:rPr>
          <w:rFonts w:ascii="Book Antiqua" w:eastAsia="宋体" w:hAnsi="Book Antiqua" w:cs="宋体"/>
          <w:b/>
          <w:bCs/>
          <w:kern w:val="0"/>
          <w:sz w:val="24"/>
          <w:szCs w:val="24"/>
          <w:lang w:eastAsia="zh-CN"/>
        </w:rPr>
        <w:t>Kishore J</w:t>
      </w:r>
      <w:r w:rsidRPr="00DF30C4">
        <w:rPr>
          <w:rFonts w:ascii="Book Antiqua" w:eastAsia="宋体" w:hAnsi="Book Antiqua" w:cs="宋体"/>
          <w:kern w:val="0"/>
          <w:sz w:val="24"/>
          <w:szCs w:val="24"/>
          <w:lang w:eastAsia="zh-CN"/>
        </w:rPr>
        <w:t xml:space="preserve">, Ghoshal U, Ghoshal UC, Krishnani N, Kumar S, Singh M, Ayyagari A. Infection with cytomegalovirus in patients with inflammatory bowel disease: prevalence, clinical significance and outcome. </w:t>
      </w:r>
      <w:r w:rsidRPr="00DF30C4">
        <w:rPr>
          <w:rFonts w:ascii="Book Antiqua" w:eastAsia="宋体" w:hAnsi="Book Antiqua" w:cs="宋体"/>
          <w:i/>
          <w:iCs/>
          <w:kern w:val="0"/>
          <w:sz w:val="24"/>
          <w:szCs w:val="24"/>
          <w:lang w:eastAsia="zh-CN"/>
        </w:rPr>
        <w:t>J Med Microbiol</w:t>
      </w:r>
      <w:r w:rsidRPr="00DF30C4">
        <w:rPr>
          <w:rFonts w:ascii="Book Antiqua" w:eastAsia="宋体" w:hAnsi="Book Antiqua" w:cs="宋体"/>
          <w:kern w:val="0"/>
          <w:sz w:val="24"/>
          <w:szCs w:val="24"/>
          <w:lang w:eastAsia="zh-CN"/>
        </w:rPr>
        <w:t xml:space="preserve"> 2004; </w:t>
      </w:r>
      <w:r w:rsidRPr="00DF30C4">
        <w:rPr>
          <w:rFonts w:ascii="Book Antiqua" w:eastAsia="宋体" w:hAnsi="Book Antiqua" w:cs="宋体"/>
          <w:b/>
          <w:bCs/>
          <w:kern w:val="0"/>
          <w:sz w:val="24"/>
          <w:szCs w:val="24"/>
          <w:lang w:eastAsia="zh-CN"/>
        </w:rPr>
        <w:t>53</w:t>
      </w:r>
      <w:r w:rsidRPr="00DF30C4">
        <w:rPr>
          <w:rFonts w:ascii="Book Antiqua" w:eastAsia="宋体" w:hAnsi="Book Antiqua" w:cs="宋体"/>
          <w:kern w:val="0"/>
          <w:sz w:val="24"/>
          <w:szCs w:val="24"/>
          <w:lang w:eastAsia="zh-CN"/>
        </w:rPr>
        <w:t>: 1155-1160 [PMID: 15496396 DOI: 10.1099/jmm.0.45629-0]</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10 </w:t>
      </w:r>
      <w:r w:rsidRPr="00DF30C4">
        <w:rPr>
          <w:rFonts w:ascii="Book Antiqua" w:eastAsia="宋体" w:hAnsi="Book Antiqua" w:cs="宋体"/>
          <w:b/>
          <w:bCs/>
          <w:kern w:val="0"/>
          <w:sz w:val="24"/>
          <w:szCs w:val="24"/>
          <w:lang w:eastAsia="zh-CN"/>
        </w:rPr>
        <w:t>Matsuoka K</w:t>
      </w:r>
      <w:r w:rsidRPr="00DF30C4">
        <w:rPr>
          <w:rFonts w:ascii="Book Antiqua" w:eastAsia="宋体" w:hAnsi="Book Antiqua" w:cs="宋体"/>
          <w:kern w:val="0"/>
          <w:sz w:val="24"/>
          <w:szCs w:val="24"/>
          <w:lang w:eastAsia="zh-CN"/>
        </w:rPr>
        <w:t xml:space="preserve">, Iwao Y, Mori T, Sakuraba A, Yajima T, Hisamatsu T, Okamoto S, Morohoshi Y, Izumiya M, Ichikawa H, Sato T, Inoue N, Ogata H, Hibi T. Cytomegalovirus is frequently reactivated and disappears without antiviral agents in ulcerative colitis patients. </w:t>
      </w:r>
      <w:r w:rsidRPr="00DF30C4">
        <w:rPr>
          <w:rFonts w:ascii="Book Antiqua" w:eastAsia="宋体" w:hAnsi="Book Antiqua" w:cs="宋体"/>
          <w:i/>
          <w:iCs/>
          <w:kern w:val="0"/>
          <w:sz w:val="24"/>
          <w:szCs w:val="24"/>
          <w:lang w:eastAsia="zh-CN"/>
        </w:rPr>
        <w:t>Am J Gastroenterol</w:t>
      </w:r>
      <w:r w:rsidRPr="00DF30C4">
        <w:rPr>
          <w:rFonts w:ascii="Book Antiqua" w:eastAsia="宋体" w:hAnsi="Book Antiqua" w:cs="宋体"/>
          <w:kern w:val="0"/>
          <w:sz w:val="24"/>
          <w:szCs w:val="24"/>
          <w:lang w:eastAsia="zh-CN"/>
        </w:rPr>
        <w:t xml:space="preserve"> 2007; </w:t>
      </w:r>
      <w:r w:rsidRPr="00DF30C4">
        <w:rPr>
          <w:rFonts w:ascii="Book Antiqua" w:eastAsia="宋体" w:hAnsi="Book Antiqua" w:cs="宋体"/>
          <w:b/>
          <w:bCs/>
          <w:kern w:val="0"/>
          <w:sz w:val="24"/>
          <w:szCs w:val="24"/>
          <w:lang w:eastAsia="zh-CN"/>
        </w:rPr>
        <w:t>102</w:t>
      </w:r>
      <w:r w:rsidRPr="00DF30C4">
        <w:rPr>
          <w:rFonts w:ascii="Book Antiqua" w:eastAsia="宋体" w:hAnsi="Book Antiqua" w:cs="宋体"/>
          <w:kern w:val="0"/>
          <w:sz w:val="24"/>
          <w:szCs w:val="24"/>
          <w:lang w:eastAsia="zh-CN"/>
        </w:rPr>
        <w:t>: 331-337 [PMID: 17156136 DOI: 10.1111/j.1572-0241.2006.00989.x]</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11</w:t>
      </w:r>
      <w:r w:rsidRPr="00DF30C4">
        <w:rPr>
          <w:rFonts w:ascii="Book Antiqua" w:eastAsia="宋体" w:hAnsi="Book Antiqua" w:cs="宋体"/>
          <w:b/>
          <w:kern w:val="0"/>
          <w:sz w:val="24"/>
          <w:szCs w:val="24"/>
          <w:lang w:eastAsia="zh-CN"/>
        </w:rPr>
        <w:t xml:space="preserve"> Nguyen M,</w:t>
      </w:r>
      <w:r w:rsidRPr="00DF30C4">
        <w:rPr>
          <w:rFonts w:ascii="Book Antiqua" w:eastAsia="宋体" w:hAnsi="Book Antiqua" w:cs="宋体"/>
          <w:kern w:val="0"/>
          <w:sz w:val="24"/>
          <w:szCs w:val="24"/>
          <w:lang w:eastAsia="zh-CN"/>
        </w:rPr>
        <w:t xml:space="preserve"> Bradford K, Zhang X, Shih DQ. Cytomegalovirus Reactivation in Ulcerative Colitis Patients. </w:t>
      </w:r>
      <w:r w:rsidRPr="00DF30C4">
        <w:rPr>
          <w:rFonts w:ascii="Book Antiqua" w:eastAsia="宋体" w:hAnsi="Book Antiqua" w:cs="宋体"/>
          <w:i/>
          <w:iCs/>
          <w:kern w:val="0"/>
          <w:sz w:val="24"/>
          <w:szCs w:val="24"/>
          <w:lang w:eastAsia="zh-CN"/>
        </w:rPr>
        <w:t>Ulcers</w:t>
      </w:r>
      <w:r w:rsidRPr="00DF30C4">
        <w:rPr>
          <w:rFonts w:ascii="Book Antiqua" w:eastAsia="宋体" w:hAnsi="Book Antiqua" w:cs="宋体"/>
          <w:kern w:val="0"/>
          <w:sz w:val="24"/>
          <w:szCs w:val="24"/>
          <w:lang w:eastAsia="zh-CN"/>
        </w:rPr>
        <w:t xml:space="preserve"> 2011; </w:t>
      </w:r>
      <w:r w:rsidRPr="00DF30C4">
        <w:rPr>
          <w:rFonts w:ascii="Book Antiqua" w:eastAsia="宋体" w:hAnsi="Book Antiqua" w:cs="宋体"/>
          <w:b/>
          <w:bCs/>
          <w:kern w:val="0"/>
          <w:sz w:val="24"/>
          <w:szCs w:val="24"/>
          <w:lang w:eastAsia="zh-CN"/>
        </w:rPr>
        <w:t>2011</w:t>
      </w:r>
      <w:r w:rsidRPr="00DF30C4">
        <w:rPr>
          <w:rFonts w:ascii="Book Antiqua" w:eastAsia="宋体" w:hAnsi="Book Antiqua" w:cs="宋体"/>
          <w:kern w:val="0"/>
          <w:sz w:val="24"/>
          <w:szCs w:val="24"/>
          <w:lang w:eastAsia="zh-CN"/>
        </w:rPr>
        <w:t>: 282507 [PMID: 21731826 DOI: 10.1155/2011/282507]</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12 </w:t>
      </w:r>
      <w:r w:rsidRPr="00DF30C4">
        <w:rPr>
          <w:rFonts w:ascii="Book Antiqua" w:eastAsia="宋体" w:hAnsi="Book Antiqua" w:cs="宋体"/>
          <w:b/>
          <w:bCs/>
          <w:kern w:val="0"/>
          <w:sz w:val="24"/>
          <w:szCs w:val="24"/>
          <w:lang w:eastAsia="zh-CN"/>
        </w:rPr>
        <w:t>Hommes DW</w:t>
      </w:r>
      <w:r w:rsidRPr="00DF30C4">
        <w:rPr>
          <w:rFonts w:ascii="Book Antiqua" w:eastAsia="宋体" w:hAnsi="Book Antiqua" w:cs="宋体"/>
          <w:kern w:val="0"/>
          <w:sz w:val="24"/>
          <w:szCs w:val="24"/>
          <w:lang w:eastAsia="zh-CN"/>
        </w:rPr>
        <w:t xml:space="preserve">, Sterringa G, van Deventer SJ, Tytgat GN, Weel J. The pathogenicity of cytomegalovirus in inflammatory bowel disease: a systematic review and evidence-based recommendations for future research. </w:t>
      </w:r>
      <w:r w:rsidRPr="00DF30C4">
        <w:rPr>
          <w:rFonts w:ascii="Book Antiqua" w:eastAsia="宋体" w:hAnsi="Book Antiqua" w:cs="宋体"/>
          <w:i/>
          <w:iCs/>
          <w:kern w:val="0"/>
          <w:sz w:val="24"/>
          <w:szCs w:val="24"/>
          <w:lang w:eastAsia="zh-CN"/>
        </w:rPr>
        <w:t>Inflamm Bowel Dis</w:t>
      </w:r>
      <w:r w:rsidRPr="00DF30C4">
        <w:rPr>
          <w:rFonts w:ascii="Book Antiqua" w:eastAsia="宋体" w:hAnsi="Book Antiqua" w:cs="宋体"/>
          <w:kern w:val="0"/>
          <w:sz w:val="24"/>
          <w:szCs w:val="24"/>
          <w:lang w:eastAsia="zh-CN"/>
        </w:rPr>
        <w:t xml:space="preserve"> 2004; </w:t>
      </w:r>
      <w:r w:rsidRPr="00DF30C4">
        <w:rPr>
          <w:rFonts w:ascii="Book Antiqua" w:eastAsia="宋体" w:hAnsi="Book Antiqua" w:cs="宋体"/>
          <w:b/>
          <w:bCs/>
          <w:kern w:val="0"/>
          <w:sz w:val="24"/>
          <w:szCs w:val="24"/>
          <w:lang w:eastAsia="zh-CN"/>
        </w:rPr>
        <w:t>10</w:t>
      </w:r>
      <w:r w:rsidRPr="00DF30C4">
        <w:rPr>
          <w:rFonts w:ascii="Book Antiqua" w:eastAsia="宋体" w:hAnsi="Book Antiqua" w:cs="宋体"/>
          <w:kern w:val="0"/>
          <w:sz w:val="24"/>
          <w:szCs w:val="24"/>
          <w:lang w:eastAsia="zh-CN"/>
        </w:rPr>
        <w:t>: 245-250 [PMID: 15290919 DOI: 10.1097/00054725-200405000-00011]</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13 </w:t>
      </w:r>
      <w:r w:rsidRPr="00DF30C4">
        <w:rPr>
          <w:rFonts w:ascii="Book Antiqua" w:eastAsia="宋体" w:hAnsi="Book Antiqua" w:cs="宋体"/>
          <w:b/>
          <w:bCs/>
          <w:kern w:val="0"/>
          <w:sz w:val="24"/>
          <w:szCs w:val="24"/>
          <w:lang w:eastAsia="zh-CN"/>
        </w:rPr>
        <w:t>Dimitroulia E</w:t>
      </w:r>
      <w:r w:rsidRPr="00DF30C4">
        <w:rPr>
          <w:rFonts w:ascii="Book Antiqua" w:eastAsia="宋体" w:hAnsi="Book Antiqua" w:cs="宋体"/>
          <w:kern w:val="0"/>
          <w:sz w:val="24"/>
          <w:szCs w:val="24"/>
          <w:lang w:eastAsia="zh-CN"/>
        </w:rPr>
        <w:t xml:space="preserve">, Spanakis N, Konstantinidou AE, Legakis NJ, Tsakris A. Frequent detection of cytomegalovirus in the intestine of patients with inflammatory bowel disease. </w:t>
      </w:r>
      <w:r w:rsidRPr="00DF30C4">
        <w:rPr>
          <w:rFonts w:ascii="Book Antiqua" w:eastAsia="宋体" w:hAnsi="Book Antiqua" w:cs="宋体"/>
          <w:i/>
          <w:iCs/>
          <w:kern w:val="0"/>
          <w:sz w:val="24"/>
          <w:szCs w:val="24"/>
          <w:lang w:eastAsia="zh-CN"/>
        </w:rPr>
        <w:t>Inflamm Bowel Dis</w:t>
      </w:r>
      <w:r w:rsidRPr="00DF30C4">
        <w:rPr>
          <w:rFonts w:ascii="Book Antiqua" w:eastAsia="宋体" w:hAnsi="Book Antiqua" w:cs="宋体"/>
          <w:kern w:val="0"/>
          <w:sz w:val="24"/>
          <w:szCs w:val="24"/>
          <w:lang w:eastAsia="zh-CN"/>
        </w:rPr>
        <w:t xml:space="preserve"> 2006; </w:t>
      </w:r>
      <w:r w:rsidRPr="00DF30C4">
        <w:rPr>
          <w:rFonts w:ascii="Book Antiqua" w:eastAsia="宋体" w:hAnsi="Book Antiqua" w:cs="宋体"/>
          <w:b/>
          <w:bCs/>
          <w:kern w:val="0"/>
          <w:sz w:val="24"/>
          <w:szCs w:val="24"/>
          <w:lang w:eastAsia="zh-CN"/>
        </w:rPr>
        <w:t>12</w:t>
      </w:r>
      <w:r w:rsidRPr="00DF30C4">
        <w:rPr>
          <w:rFonts w:ascii="Book Antiqua" w:eastAsia="宋体" w:hAnsi="Book Antiqua" w:cs="宋体"/>
          <w:kern w:val="0"/>
          <w:sz w:val="24"/>
          <w:szCs w:val="24"/>
          <w:lang w:eastAsia="zh-CN"/>
        </w:rPr>
        <w:t>: 879-884 [PMID: 16954807]</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14 </w:t>
      </w:r>
      <w:r w:rsidRPr="00DF30C4">
        <w:rPr>
          <w:rFonts w:ascii="Book Antiqua" w:eastAsia="宋体" w:hAnsi="Book Antiqua" w:cs="宋体"/>
          <w:b/>
          <w:bCs/>
          <w:kern w:val="0"/>
          <w:sz w:val="24"/>
          <w:szCs w:val="24"/>
          <w:lang w:eastAsia="zh-CN"/>
        </w:rPr>
        <w:t>Eyre-Brook IA</w:t>
      </w:r>
      <w:r w:rsidRPr="00DF30C4">
        <w:rPr>
          <w:rFonts w:ascii="Book Antiqua" w:eastAsia="宋体" w:hAnsi="Book Antiqua" w:cs="宋体"/>
          <w:kern w:val="0"/>
          <w:sz w:val="24"/>
          <w:szCs w:val="24"/>
          <w:lang w:eastAsia="zh-CN"/>
        </w:rPr>
        <w:t xml:space="preserve">, Dundas S. Incidence and clinical significance of colonic cytomegalovirus infection in idiopathic inflammatory bowel disease requiring colectomy. </w:t>
      </w:r>
      <w:r w:rsidRPr="00DF30C4">
        <w:rPr>
          <w:rFonts w:ascii="Book Antiqua" w:eastAsia="宋体" w:hAnsi="Book Antiqua" w:cs="宋体"/>
          <w:i/>
          <w:iCs/>
          <w:kern w:val="0"/>
          <w:sz w:val="24"/>
          <w:szCs w:val="24"/>
          <w:lang w:eastAsia="zh-CN"/>
        </w:rPr>
        <w:t>Gut</w:t>
      </w:r>
      <w:r w:rsidRPr="00DF30C4">
        <w:rPr>
          <w:rFonts w:ascii="Book Antiqua" w:eastAsia="宋体" w:hAnsi="Book Antiqua" w:cs="宋体"/>
          <w:kern w:val="0"/>
          <w:sz w:val="24"/>
          <w:szCs w:val="24"/>
          <w:lang w:eastAsia="zh-CN"/>
        </w:rPr>
        <w:t xml:space="preserve"> 1986; </w:t>
      </w:r>
      <w:r w:rsidRPr="00DF30C4">
        <w:rPr>
          <w:rFonts w:ascii="Book Antiqua" w:eastAsia="宋体" w:hAnsi="Book Antiqua" w:cs="宋体"/>
          <w:b/>
          <w:bCs/>
          <w:kern w:val="0"/>
          <w:sz w:val="24"/>
          <w:szCs w:val="24"/>
          <w:lang w:eastAsia="zh-CN"/>
        </w:rPr>
        <w:t>27</w:t>
      </w:r>
      <w:r w:rsidRPr="00DF30C4">
        <w:rPr>
          <w:rFonts w:ascii="Book Antiqua" w:eastAsia="宋体" w:hAnsi="Book Antiqua" w:cs="宋体"/>
          <w:kern w:val="0"/>
          <w:sz w:val="24"/>
          <w:szCs w:val="24"/>
          <w:lang w:eastAsia="zh-CN"/>
        </w:rPr>
        <w:t>: 1419-1425 [PMID: 3026932]</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15 </w:t>
      </w:r>
      <w:r w:rsidRPr="00DF30C4">
        <w:rPr>
          <w:rFonts w:ascii="Book Antiqua" w:eastAsia="宋体" w:hAnsi="Book Antiqua" w:cs="宋体"/>
          <w:b/>
          <w:bCs/>
          <w:kern w:val="0"/>
          <w:sz w:val="24"/>
          <w:szCs w:val="24"/>
          <w:lang w:eastAsia="zh-CN"/>
        </w:rPr>
        <w:t>Mowat C</w:t>
      </w:r>
      <w:r w:rsidRPr="00DF30C4">
        <w:rPr>
          <w:rFonts w:ascii="Book Antiqua" w:eastAsia="宋体" w:hAnsi="Book Antiqua" w:cs="宋体"/>
          <w:kern w:val="0"/>
          <w:sz w:val="24"/>
          <w:szCs w:val="24"/>
          <w:lang w:eastAsia="zh-CN"/>
        </w:rPr>
        <w:t xml:space="preserve">, Cole A, Windsor A, Ahmad T, Arnott I, Driscoll R, Mitton S, Orchard T, Rutter M, Younge L, Lees C, Ho GT, Satsangi J, Bloom S. Guidelines for the management of inflammatory bowel disease in adults. </w:t>
      </w:r>
      <w:r w:rsidRPr="00DF30C4">
        <w:rPr>
          <w:rFonts w:ascii="Book Antiqua" w:eastAsia="宋体" w:hAnsi="Book Antiqua" w:cs="宋体"/>
          <w:i/>
          <w:iCs/>
          <w:kern w:val="0"/>
          <w:sz w:val="24"/>
          <w:szCs w:val="24"/>
          <w:lang w:eastAsia="zh-CN"/>
        </w:rPr>
        <w:t>Gut</w:t>
      </w:r>
      <w:r w:rsidRPr="00DF30C4">
        <w:rPr>
          <w:rFonts w:ascii="Book Antiqua" w:eastAsia="宋体" w:hAnsi="Book Antiqua" w:cs="宋体"/>
          <w:kern w:val="0"/>
          <w:sz w:val="24"/>
          <w:szCs w:val="24"/>
          <w:lang w:eastAsia="zh-CN"/>
        </w:rPr>
        <w:t xml:space="preserve"> 2011; </w:t>
      </w:r>
      <w:r w:rsidRPr="00DF30C4">
        <w:rPr>
          <w:rFonts w:ascii="Book Antiqua" w:eastAsia="宋体" w:hAnsi="Book Antiqua" w:cs="宋体"/>
          <w:b/>
          <w:bCs/>
          <w:kern w:val="0"/>
          <w:sz w:val="24"/>
          <w:szCs w:val="24"/>
          <w:lang w:eastAsia="zh-CN"/>
        </w:rPr>
        <w:t>60</w:t>
      </w:r>
      <w:r w:rsidRPr="00DF30C4">
        <w:rPr>
          <w:rFonts w:ascii="Book Antiqua" w:eastAsia="宋体" w:hAnsi="Book Antiqua" w:cs="宋体"/>
          <w:kern w:val="0"/>
          <w:sz w:val="24"/>
          <w:szCs w:val="24"/>
          <w:lang w:eastAsia="zh-CN"/>
        </w:rPr>
        <w:t>: 571-607 [PMID: 21464096 DOI: 10.1136/gut.2010.224154]</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16 </w:t>
      </w:r>
      <w:r w:rsidRPr="00DF30C4">
        <w:rPr>
          <w:rFonts w:ascii="Book Antiqua" w:eastAsia="宋体" w:hAnsi="Book Antiqua" w:cs="宋体"/>
          <w:b/>
          <w:bCs/>
          <w:kern w:val="0"/>
          <w:sz w:val="24"/>
          <w:szCs w:val="24"/>
          <w:lang w:eastAsia="zh-CN"/>
        </w:rPr>
        <w:t>Dignass A</w:t>
      </w:r>
      <w:r w:rsidRPr="00DF30C4">
        <w:rPr>
          <w:rFonts w:ascii="Book Antiqua" w:eastAsia="宋体" w:hAnsi="Book Antiqua" w:cs="宋体"/>
          <w:kern w:val="0"/>
          <w:sz w:val="24"/>
          <w:szCs w:val="24"/>
          <w:lang w:eastAsia="zh-CN"/>
        </w:rPr>
        <w:t xml:space="preserve">, Eliakim R, Magro F, Maaser C, Chowers Y, Geboes K, Mantzaris G, Reinisch W, Colombel JF, Vermeire S, Travis S, Lindsay JO, Van Assche G. Second European evidence-based consensus on the diagnosis and management of ulcerative colitis part 1: definitions and diagnosis. </w:t>
      </w:r>
      <w:r w:rsidRPr="00DF30C4">
        <w:rPr>
          <w:rFonts w:ascii="Book Antiqua" w:eastAsia="宋体" w:hAnsi="Book Antiqua" w:cs="宋体"/>
          <w:i/>
          <w:iCs/>
          <w:kern w:val="0"/>
          <w:sz w:val="24"/>
          <w:szCs w:val="24"/>
          <w:lang w:eastAsia="zh-CN"/>
        </w:rPr>
        <w:t>J Crohns Colitis</w:t>
      </w:r>
      <w:r w:rsidRPr="00DF30C4">
        <w:rPr>
          <w:rFonts w:ascii="Book Antiqua" w:eastAsia="宋体" w:hAnsi="Book Antiqua" w:cs="宋体"/>
          <w:kern w:val="0"/>
          <w:sz w:val="24"/>
          <w:szCs w:val="24"/>
          <w:lang w:eastAsia="zh-CN"/>
        </w:rPr>
        <w:t xml:space="preserve"> 2012; </w:t>
      </w:r>
      <w:r w:rsidRPr="00DF30C4">
        <w:rPr>
          <w:rFonts w:ascii="Book Antiqua" w:eastAsia="宋体" w:hAnsi="Book Antiqua" w:cs="宋体"/>
          <w:b/>
          <w:bCs/>
          <w:kern w:val="0"/>
          <w:sz w:val="24"/>
          <w:szCs w:val="24"/>
          <w:lang w:eastAsia="zh-CN"/>
        </w:rPr>
        <w:t>6</w:t>
      </w:r>
      <w:r w:rsidRPr="00DF30C4">
        <w:rPr>
          <w:rFonts w:ascii="Book Antiqua" w:eastAsia="宋体" w:hAnsi="Book Antiqua" w:cs="宋体"/>
          <w:kern w:val="0"/>
          <w:sz w:val="24"/>
          <w:szCs w:val="24"/>
          <w:lang w:eastAsia="zh-CN"/>
        </w:rPr>
        <w:t>: 965-990 [PMID: 23040452 DOI: 10.1016/j.crohns.2012.09.003]</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lastRenderedPageBreak/>
        <w:t xml:space="preserve">17 </w:t>
      </w:r>
      <w:r w:rsidRPr="00DF30C4">
        <w:rPr>
          <w:rFonts w:ascii="Book Antiqua" w:eastAsia="宋体" w:hAnsi="Book Antiqua" w:cs="宋体"/>
          <w:b/>
          <w:bCs/>
          <w:kern w:val="0"/>
          <w:sz w:val="24"/>
          <w:szCs w:val="24"/>
          <w:lang w:eastAsia="zh-CN"/>
        </w:rPr>
        <w:t>Kornbluth A</w:t>
      </w:r>
      <w:r w:rsidRPr="00DF30C4">
        <w:rPr>
          <w:rFonts w:ascii="Book Antiqua" w:eastAsia="宋体" w:hAnsi="Book Antiqua" w:cs="宋体"/>
          <w:kern w:val="0"/>
          <w:sz w:val="24"/>
          <w:szCs w:val="24"/>
          <w:lang w:eastAsia="zh-CN"/>
        </w:rPr>
        <w:t xml:space="preserve">, Sachar DB. Ulcerative colitis practice guidelines in adults: American College Of Gastroenterology, Practice Parameters Committee. </w:t>
      </w:r>
      <w:r w:rsidRPr="00DF30C4">
        <w:rPr>
          <w:rFonts w:ascii="Book Antiqua" w:eastAsia="宋体" w:hAnsi="Book Antiqua" w:cs="宋体"/>
          <w:i/>
          <w:iCs/>
          <w:kern w:val="0"/>
          <w:sz w:val="24"/>
          <w:szCs w:val="24"/>
          <w:lang w:eastAsia="zh-CN"/>
        </w:rPr>
        <w:t>Am J Gastroenterol</w:t>
      </w:r>
      <w:r w:rsidRPr="00DF30C4">
        <w:rPr>
          <w:rFonts w:ascii="Book Antiqua" w:eastAsia="宋体" w:hAnsi="Book Antiqua" w:cs="宋体"/>
          <w:kern w:val="0"/>
          <w:sz w:val="24"/>
          <w:szCs w:val="24"/>
          <w:lang w:eastAsia="zh-CN"/>
        </w:rPr>
        <w:t xml:space="preserve"> 2010; </w:t>
      </w:r>
      <w:r w:rsidRPr="00DF30C4">
        <w:rPr>
          <w:rFonts w:ascii="Book Antiqua" w:eastAsia="宋体" w:hAnsi="Book Antiqua" w:cs="宋体"/>
          <w:b/>
          <w:bCs/>
          <w:kern w:val="0"/>
          <w:sz w:val="24"/>
          <w:szCs w:val="24"/>
          <w:lang w:eastAsia="zh-CN"/>
        </w:rPr>
        <w:t>105</w:t>
      </w:r>
      <w:r w:rsidRPr="00DF30C4">
        <w:rPr>
          <w:rFonts w:ascii="Book Antiqua" w:eastAsia="宋体" w:hAnsi="Book Antiqua" w:cs="宋体"/>
          <w:kern w:val="0"/>
          <w:sz w:val="24"/>
          <w:szCs w:val="24"/>
          <w:lang w:eastAsia="zh-CN"/>
        </w:rPr>
        <w:t>: 501-23; quiz 524 [PMID: 20068560 DOI: 10.1038/ajg.2009.727]</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18 </w:t>
      </w:r>
      <w:r w:rsidRPr="00DF30C4">
        <w:rPr>
          <w:rFonts w:ascii="Book Antiqua" w:eastAsia="宋体" w:hAnsi="Book Antiqua" w:cs="宋体"/>
          <w:b/>
          <w:bCs/>
          <w:kern w:val="0"/>
          <w:sz w:val="24"/>
          <w:szCs w:val="24"/>
          <w:lang w:eastAsia="zh-CN"/>
        </w:rPr>
        <w:t>Lawlor G</w:t>
      </w:r>
      <w:r w:rsidRPr="00DF30C4">
        <w:rPr>
          <w:rFonts w:ascii="Book Antiqua" w:eastAsia="宋体" w:hAnsi="Book Antiqua" w:cs="宋体"/>
          <w:kern w:val="0"/>
          <w:sz w:val="24"/>
          <w:szCs w:val="24"/>
          <w:lang w:eastAsia="zh-CN"/>
        </w:rPr>
        <w:t xml:space="preserve">, Moss AC. Cytomegalovirus in inflammatory bowel disease: pathogen or innocent bystander? </w:t>
      </w:r>
      <w:r w:rsidRPr="00DF30C4">
        <w:rPr>
          <w:rFonts w:ascii="Book Antiqua" w:eastAsia="宋体" w:hAnsi="Book Antiqua" w:cs="宋体"/>
          <w:i/>
          <w:iCs/>
          <w:kern w:val="0"/>
          <w:sz w:val="24"/>
          <w:szCs w:val="24"/>
          <w:lang w:eastAsia="zh-CN"/>
        </w:rPr>
        <w:t>Inflamm Bowel Dis</w:t>
      </w:r>
      <w:r w:rsidRPr="00DF30C4">
        <w:rPr>
          <w:rFonts w:ascii="Book Antiqua" w:eastAsia="宋体" w:hAnsi="Book Antiqua" w:cs="宋体"/>
          <w:kern w:val="0"/>
          <w:sz w:val="24"/>
          <w:szCs w:val="24"/>
          <w:lang w:eastAsia="zh-CN"/>
        </w:rPr>
        <w:t xml:space="preserve"> 2010; </w:t>
      </w:r>
      <w:r w:rsidRPr="00DF30C4">
        <w:rPr>
          <w:rFonts w:ascii="Book Antiqua" w:eastAsia="宋体" w:hAnsi="Book Antiqua" w:cs="宋体"/>
          <w:b/>
          <w:bCs/>
          <w:kern w:val="0"/>
          <w:sz w:val="24"/>
          <w:szCs w:val="24"/>
          <w:lang w:eastAsia="zh-CN"/>
        </w:rPr>
        <w:t>16</w:t>
      </w:r>
      <w:r w:rsidRPr="00DF30C4">
        <w:rPr>
          <w:rFonts w:ascii="Book Antiqua" w:eastAsia="宋体" w:hAnsi="Book Antiqua" w:cs="宋体"/>
          <w:kern w:val="0"/>
          <w:sz w:val="24"/>
          <w:szCs w:val="24"/>
          <w:lang w:eastAsia="zh-CN"/>
        </w:rPr>
        <w:t>: 1620-1627 [PMID: 20232408 DOI: 10.1002/ibd.21275]</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19 </w:t>
      </w:r>
      <w:r w:rsidRPr="00DF30C4">
        <w:rPr>
          <w:rFonts w:ascii="Book Antiqua" w:eastAsia="宋体" w:hAnsi="Book Antiqua" w:cs="宋体"/>
          <w:b/>
          <w:bCs/>
          <w:kern w:val="0"/>
          <w:sz w:val="24"/>
          <w:szCs w:val="24"/>
          <w:lang w:eastAsia="zh-CN"/>
        </w:rPr>
        <w:t>Mori T</w:t>
      </w:r>
      <w:r w:rsidRPr="00DF30C4">
        <w:rPr>
          <w:rFonts w:ascii="Book Antiqua" w:eastAsia="宋体" w:hAnsi="Book Antiqua" w:cs="宋体"/>
          <w:kern w:val="0"/>
          <w:sz w:val="24"/>
          <w:szCs w:val="24"/>
          <w:lang w:eastAsia="zh-CN"/>
        </w:rPr>
        <w:t xml:space="preserve">, Mori S, Kanda Y, Yakushiji K, Mineishi S, Takaue Y, Gondo H, Harada M, Sakamaki H, Yajima T, Iwao Y, Hibi T, Okamoto S. Clinical significance of cytomegalovirus (CMV) antigenemia in the prediction and diagnosis of CMV gastrointestinal disease after allogeneic hematopoietic stem cell transplantation. </w:t>
      </w:r>
      <w:r w:rsidRPr="00DF30C4">
        <w:rPr>
          <w:rFonts w:ascii="Book Antiqua" w:eastAsia="宋体" w:hAnsi="Book Antiqua" w:cs="宋体"/>
          <w:i/>
          <w:iCs/>
          <w:kern w:val="0"/>
          <w:sz w:val="24"/>
          <w:szCs w:val="24"/>
          <w:lang w:eastAsia="zh-CN"/>
        </w:rPr>
        <w:t>Bone Marrow Transplant</w:t>
      </w:r>
      <w:r w:rsidRPr="00DF30C4">
        <w:rPr>
          <w:rFonts w:ascii="Book Antiqua" w:eastAsia="宋体" w:hAnsi="Book Antiqua" w:cs="宋体"/>
          <w:kern w:val="0"/>
          <w:sz w:val="24"/>
          <w:szCs w:val="24"/>
          <w:lang w:eastAsia="zh-CN"/>
        </w:rPr>
        <w:t xml:space="preserve"> 2004; </w:t>
      </w:r>
      <w:r w:rsidRPr="00DF30C4">
        <w:rPr>
          <w:rFonts w:ascii="Book Antiqua" w:eastAsia="宋体" w:hAnsi="Book Antiqua" w:cs="宋体"/>
          <w:b/>
          <w:bCs/>
          <w:kern w:val="0"/>
          <w:sz w:val="24"/>
          <w:szCs w:val="24"/>
          <w:lang w:eastAsia="zh-CN"/>
        </w:rPr>
        <w:t>33</w:t>
      </w:r>
      <w:r w:rsidRPr="00DF30C4">
        <w:rPr>
          <w:rFonts w:ascii="Book Antiqua" w:eastAsia="宋体" w:hAnsi="Book Antiqua" w:cs="宋体"/>
          <w:kern w:val="0"/>
          <w:sz w:val="24"/>
          <w:szCs w:val="24"/>
          <w:lang w:eastAsia="zh-CN"/>
        </w:rPr>
        <w:t>: 431-434 [PMID: 14676775 DOI: 10.1038/sj.bmt.1704369]</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20 </w:t>
      </w:r>
      <w:r w:rsidRPr="00DF30C4">
        <w:rPr>
          <w:rFonts w:ascii="Book Antiqua" w:eastAsia="宋体" w:hAnsi="Book Antiqua" w:cs="宋体"/>
          <w:b/>
          <w:bCs/>
          <w:kern w:val="0"/>
          <w:sz w:val="24"/>
          <w:szCs w:val="24"/>
          <w:lang w:eastAsia="zh-CN"/>
        </w:rPr>
        <w:t>Nagata N</w:t>
      </w:r>
      <w:r w:rsidRPr="00DF30C4">
        <w:rPr>
          <w:rFonts w:ascii="Book Antiqua" w:eastAsia="宋体" w:hAnsi="Book Antiqua" w:cs="宋体"/>
          <w:kern w:val="0"/>
          <w:sz w:val="24"/>
          <w:szCs w:val="24"/>
          <w:lang w:eastAsia="zh-CN"/>
        </w:rPr>
        <w:t xml:space="preserve">, Kobayakawa M, Shimbo T, Hoshimoto K, Yada T, Gotoda T, Akiyama J, Oka S, Uemura N. Diagnostic value of antigenemia assay for cytomegalovirus gastrointestinal disease in immunocompromised patients. </w:t>
      </w:r>
      <w:r w:rsidRPr="00DF30C4">
        <w:rPr>
          <w:rFonts w:ascii="Book Antiqua" w:eastAsia="宋体" w:hAnsi="Book Antiqua" w:cs="宋体"/>
          <w:i/>
          <w:iCs/>
          <w:kern w:val="0"/>
          <w:sz w:val="24"/>
          <w:szCs w:val="24"/>
          <w:lang w:eastAsia="zh-CN"/>
        </w:rPr>
        <w:t>World J Gastroenterol</w:t>
      </w:r>
      <w:r w:rsidRPr="00DF30C4">
        <w:rPr>
          <w:rFonts w:ascii="Book Antiqua" w:eastAsia="宋体" w:hAnsi="Book Antiqua" w:cs="宋体"/>
          <w:kern w:val="0"/>
          <w:sz w:val="24"/>
          <w:szCs w:val="24"/>
          <w:lang w:eastAsia="zh-CN"/>
        </w:rPr>
        <w:t xml:space="preserve"> 2011; </w:t>
      </w:r>
      <w:r w:rsidRPr="00DF30C4">
        <w:rPr>
          <w:rFonts w:ascii="Book Antiqua" w:eastAsia="宋体" w:hAnsi="Book Antiqua" w:cs="宋体"/>
          <w:b/>
          <w:bCs/>
          <w:kern w:val="0"/>
          <w:sz w:val="24"/>
          <w:szCs w:val="24"/>
          <w:lang w:eastAsia="zh-CN"/>
        </w:rPr>
        <w:t>17</w:t>
      </w:r>
      <w:r w:rsidRPr="00DF30C4">
        <w:rPr>
          <w:rFonts w:ascii="Book Antiqua" w:eastAsia="宋体" w:hAnsi="Book Antiqua" w:cs="宋体"/>
          <w:kern w:val="0"/>
          <w:sz w:val="24"/>
          <w:szCs w:val="24"/>
          <w:lang w:eastAsia="zh-CN"/>
        </w:rPr>
        <w:t>: 1185-1191 [PMID: 21448424 DOI: 10.3748/wjg.v17.i9.1185]</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21 </w:t>
      </w:r>
      <w:r w:rsidRPr="00DF30C4">
        <w:rPr>
          <w:rFonts w:ascii="Book Antiqua" w:eastAsia="宋体" w:hAnsi="Book Antiqua" w:cs="宋体"/>
          <w:b/>
          <w:bCs/>
          <w:kern w:val="0"/>
          <w:sz w:val="24"/>
          <w:szCs w:val="24"/>
          <w:lang w:eastAsia="zh-CN"/>
        </w:rPr>
        <w:t>Boeckh M</w:t>
      </w:r>
      <w:r w:rsidRPr="00DF30C4">
        <w:rPr>
          <w:rFonts w:ascii="Book Antiqua" w:eastAsia="宋体" w:hAnsi="Book Antiqua" w:cs="宋体"/>
          <w:kern w:val="0"/>
          <w:sz w:val="24"/>
          <w:szCs w:val="24"/>
          <w:lang w:eastAsia="zh-CN"/>
        </w:rPr>
        <w:t xml:space="preserve">, Gooley TA, Myerson D, Cunningham T, Schoch G, Bowden RA. Cytomegalovirus pp65 antigenemia-guided early treatment with ganciclovir versus ganciclovir at engraftment after allogeneic marrow transplantation: a randomized double-blind study. </w:t>
      </w:r>
      <w:r w:rsidRPr="00DF30C4">
        <w:rPr>
          <w:rFonts w:ascii="Book Antiqua" w:eastAsia="宋体" w:hAnsi="Book Antiqua" w:cs="宋体"/>
          <w:i/>
          <w:iCs/>
          <w:kern w:val="0"/>
          <w:sz w:val="24"/>
          <w:szCs w:val="24"/>
          <w:lang w:eastAsia="zh-CN"/>
        </w:rPr>
        <w:t>Blood</w:t>
      </w:r>
      <w:r w:rsidRPr="00DF30C4">
        <w:rPr>
          <w:rFonts w:ascii="Book Antiqua" w:eastAsia="宋体" w:hAnsi="Book Antiqua" w:cs="宋体"/>
          <w:kern w:val="0"/>
          <w:sz w:val="24"/>
          <w:szCs w:val="24"/>
          <w:lang w:eastAsia="zh-CN"/>
        </w:rPr>
        <w:t xml:space="preserve"> 1996; </w:t>
      </w:r>
      <w:r w:rsidRPr="00DF30C4">
        <w:rPr>
          <w:rFonts w:ascii="Book Antiqua" w:eastAsia="宋体" w:hAnsi="Book Antiqua" w:cs="宋体"/>
          <w:b/>
          <w:bCs/>
          <w:kern w:val="0"/>
          <w:sz w:val="24"/>
          <w:szCs w:val="24"/>
          <w:lang w:eastAsia="zh-CN"/>
        </w:rPr>
        <w:t>88</w:t>
      </w:r>
      <w:r w:rsidRPr="00DF30C4">
        <w:rPr>
          <w:rFonts w:ascii="Book Antiqua" w:eastAsia="宋体" w:hAnsi="Book Antiqua" w:cs="宋体"/>
          <w:kern w:val="0"/>
          <w:sz w:val="24"/>
          <w:szCs w:val="24"/>
          <w:lang w:eastAsia="zh-CN"/>
        </w:rPr>
        <w:t>: 4063-4071 [PMID: 8916975]</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22 </w:t>
      </w:r>
      <w:r w:rsidRPr="00DF30C4">
        <w:rPr>
          <w:rFonts w:ascii="Book Antiqua" w:eastAsia="宋体" w:hAnsi="Book Antiqua" w:cs="宋体"/>
          <w:b/>
          <w:bCs/>
          <w:kern w:val="0"/>
          <w:sz w:val="24"/>
          <w:szCs w:val="24"/>
          <w:lang w:eastAsia="zh-CN"/>
        </w:rPr>
        <w:t>Kanda Y</w:t>
      </w:r>
      <w:r w:rsidRPr="00DF30C4">
        <w:rPr>
          <w:rFonts w:ascii="Book Antiqua" w:eastAsia="宋体" w:hAnsi="Book Antiqua" w:cs="宋体"/>
          <w:kern w:val="0"/>
          <w:sz w:val="24"/>
          <w:szCs w:val="24"/>
          <w:lang w:eastAsia="zh-CN"/>
        </w:rPr>
        <w:t xml:space="preserve">, Yamashita T, Mori T, Ito T, Tajika K, Mori S, Sakura T, Hara M, Mitani K, Kurokawa M, Akashi K, Harada M. A randomized controlled trial of plasma real-time PCR and antigenemia assay for monitoring CMV infection after unrelated BMT. </w:t>
      </w:r>
      <w:r w:rsidRPr="00DF30C4">
        <w:rPr>
          <w:rFonts w:ascii="Book Antiqua" w:eastAsia="宋体" w:hAnsi="Book Antiqua" w:cs="宋体"/>
          <w:i/>
          <w:iCs/>
          <w:kern w:val="0"/>
          <w:sz w:val="24"/>
          <w:szCs w:val="24"/>
          <w:lang w:eastAsia="zh-CN"/>
        </w:rPr>
        <w:t>Bone Marrow Transplant</w:t>
      </w:r>
      <w:r w:rsidRPr="00DF30C4">
        <w:rPr>
          <w:rFonts w:ascii="Book Antiqua" w:eastAsia="宋体" w:hAnsi="Book Antiqua" w:cs="宋体"/>
          <w:kern w:val="0"/>
          <w:sz w:val="24"/>
          <w:szCs w:val="24"/>
          <w:lang w:eastAsia="zh-CN"/>
        </w:rPr>
        <w:t xml:space="preserve"> 2010; </w:t>
      </w:r>
      <w:r w:rsidRPr="00DF30C4">
        <w:rPr>
          <w:rFonts w:ascii="Book Antiqua" w:eastAsia="宋体" w:hAnsi="Book Antiqua" w:cs="宋体"/>
          <w:b/>
          <w:bCs/>
          <w:kern w:val="0"/>
          <w:sz w:val="24"/>
          <w:szCs w:val="24"/>
          <w:lang w:eastAsia="zh-CN"/>
        </w:rPr>
        <w:t>45</w:t>
      </w:r>
      <w:r w:rsidRPr="00DF30C4">
        <w:rPr>
          <w:rFonts w:ascii="Book Antiqua" w:eastAsia="宋体" w:hAnsi="Book Antiqua" w:cs="宋体"/>
          <w:kern w:val="0"/>
          <w:sz w:val="24"/>
          <w:szCs w:val="24"/>
          <w:lang w:eastAsia="zh-CN"/>
        </w:rPr>
        <w:t>: 1325-1332 [PMID: 19966850 DOI: 10.1038/bmt.2009.337]</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23 </w:t>
      </w:r>
      <w:r w:rsidRPr="00DF30C4">
        <w:rPr>
          <w:rFonts w:ascii="Book Antiqua" w:eastAsia="宋体" w:hAnsi="Book Antiqua" w:cs="宋体"/>
          <w:b/>
          <w:bCs/>
          <w:kern w:val="0"/>
          <w:sz w:val="24"/>
          <w:szCs w:val="24"/>
          <w:lang w:eastAsia="zh-CN"/>
        </w:rPr>
        <w:t>Lichtiger S</w:t>
      </w:r>
      <w:r w:rsidRPr="00DF30C4">
        <w:rPr>
          <w:rFonts w:ascii="Book Antiqua" w:eastAsia="宋体" w:hAnsi="Book Antiqua" w:cs="宋体"/>
          <w:kern w:val="0"/>
          <w:sz w:val="24"/>
          <w:szCs w:val="24"/>
          <w:lang w:eastAsia="zh-CN"/>
        </w:rPr>
        <w:t xml:space="preserve">, Present DH, Kornbluth A, Gelernt I, Bauer J, Galler G, Michelassi F, Hanauer S. Cyclosporine in severe ulcerative colitis refractory to steroid therapy. </w:t>
      </w:r>
      <w:r w:rsidRPr="00DF30C4">
        <w:rPr>
          <w:rFonts w:ascii="Book Antiqua" w:eastAsia="宋体" w:hAnsi="Book Antiqua" w:cs="宋体"/>
          <w:i/>
          <w:iCs/>
          <w:kern w:val="0"/>
          <w:sz w:val="24"/>
          <w:szCs w:val="24"/>
          <w:lang w:eastAsia="zh-CN"/>
        </w:rPr>
        <w:t>N Engl J Med</w:t>
      </w:r>
      <w:r w:rsidRPr="00DF30C4">
        <w:rPr>
          <w:rFonts w:ascii="Book Antiqua" w:eastAsia="宋体" w:hAnsi="Book Antiqua" w:cs="宋体"/>
          <w:kern w:val="0"/>
          <w:sz w:val="24"/>
          <w:szCs w:val="24"/>
          <w:lang w:eastAsia="zh-CN"/>
        </w:rPr>
        <w:t xml:space="preserve"> 1994; </w:t>
      </w:r>
      <w:r w:rsidRPr="00DF30C4">
        <w:rPr>
          <w:rFonts w:ascii="Book Antiqua" w:eastAsia="宋体" w:hAnsi="Book Antiqua" w:cs="宋体"/>
          <w:b/>
          <w:bCs/>
          <w:kern w:val="0"/>
          <w:sz w:val="24"/>
          <w:szCs w:val="24"/>
          <w:lang w:eastAsia="zh-CN"/>
        </w:rPr>
        <w:t>330</w:t>
      </w:r>
      <w:r w:rsidRPr="00DF30C4">
        <w:rPr>
          <w:rFonts w:ascii="Book Antiqua" w:eastAsia="宋体" w:hAnsi="Book Antiqua" w:cs="宋体"/>
          <w:kern w:val="0"/>
          <w:sz w:val="24"/>
          <w:szCs w:val="24"/>
          <w:lang w:eastAsia="zh-CN"/>
        </w:rPr>
        <w:t>: 1841-1845 [PMID: 8196726 DOI: 10.1056/NEJM199406303302601]</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24 </w:t>
      </w:r>
      <w:r w:rsidRPr="00DF30C4">
        <w:rPr>
          <w:rFonts w:ascii="Book Antiqua" w:eastAsia="宋体" w:hAnsi="Book Antiqua" w:cs="宋体"/>
          <w:b/>
          <w:bCs/>
          <w:kern w:val="0"/>
          <w:sz w:val="24"/>
          <w:szCs w:val="24"/>
          <w:lang w:eastAsia="zh-CN"/>
        </w:rPr>
        <w:t>Dignass A</w:t>
      </w:r>
      <w:r w:rsidRPr="00DF30C4">
        <w:rPr>
          <w:rFonts w:ascii="Book Antiqua" w:eastAsia="宋体" w:hAnsi="Book Antiqua" w:cs="宋体"/>
          <w:kern w:val="0"/>
          <w:sz w:val="24"/>
          <w:szCs w:val="24"/>
          <w:lang w:eastAsia="zh-CN"/>
        </w:rPr>
        <w:t xml:space="preserve">,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 </w:t>
      </w:r>
      <w:r w:rsidRPr="00DF30C4">
        <w:rPr>
          <w:rFonts w:ascii="Book Antiqua" w:eastAsia="宋体" w:hAnsi="Book Antiqua" w:cs="宋体"/>
          <w:i/>
          <w:iCs/>
          <w:kern w:val="0"/>
          <w:sz w:val="24"/>
          <w:szCs w:val="24"/>
          <w:lang w:eastAsia="zh-CN"/>
        </w:rPr>
        <w:t>J Crohns Colitis</w:t>
      </w:r>
      <w:r w:rsidRPr="00DF30C4">
        <w:rPr>
          <w:rFonts w:ascii="Book Antiqua" w:eastAsia="宋体" w:hAnsi="Book Antiqua" w:cs="宋体"/>
          <w:kern w:val="0"/>
          <w:sz w:val="24"/>
          <w:szCs w:val="24"/>
          <w:lang w:eastAsia="zh-CN"/>
        </w:rPr>
        <w:t xml:space="preserve"> 2012; </w:t>
      </w:r>
      <w:r w:rsidRPr="00DF30C4">
        <w:rPr>
          <w:rFonts w:ascii="Book Antiqua" w:eastAsia="宋体" w:hAnsi="Book Antiqua" w:cs="宋体"/>
          <w:b/>
          <w:bCs/>
          <w:kern w:val="0"/>
          <w:sz w:val="24"/>
          <w:szCs w:val="24"/>
          <w:lang w:eastAsia="zh-CN"/>
        </w:rPr>
        <w:t>6</w:t>
      </w:r>
      <w:r w:rsidRPr="00DF30C4">
        <w:rPr>
          <w:rFonts w:ascii="Book Antiqua" w:eastAsia="宋体" w:hAnsi="Book Antiqua" w:cs="宋体"/>
          <w:kern w:val="0"/>
          <w:sz w:val="24"/>
          <w:szCs w:val="24"/>
          <w:lang w:eastAsia="zh-CN"/>
        </w:rPr>
        <w:t>: 991-1030 [PMID: 23040451 DOI: 10.1016/j.crohns.2012.09.002]</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lastRenderedPageBreak/>
        <w:t xml:space="preserve">25 </w:t>
      </w:r>
      <w:r w:rsidRPr="00DF30C4">
        <w:rPr>
          <w:rFonts w:ascii="Book Antiqua" w:eastAsia="宋体" w:hAnsi="Book Antiqua" w:cs="宋体"/>
          <w:b/>
          <w:bCs/>
          <w:kern w:val="0"/>
          <w:sz w:val="24"/>
          <w:szCs w:val="24"/>
          <w:lang w:eastAsia="zh-CN"/>
        </w:rPr>
        <w:t>Suzuki H</w:t>
      </w:r>
      <w:r w:rsidRPr="00DF30C4">
        <w:rPr>
          <w:rFonts w:ascii="Book Antiqua" w:eastAsia="宋体" w:hAnsi="Book Antiqua" w:cs="宋体"/>
          <w:kern w:val="0"/>
          <w:sz w:val="24"/>
          <w:szCs w:val="24"/>
          <w:lang w:eastAsia="zh-CN"/>
        </w:rPr>
        <w:t xml:space="preserve">, Kato J, Kuriyama M, Hiraoka S, Kuwaki K, Yamamoto K. Specific endoscopic features of ulcerative colitis complicated by cytomegalovirus infection. </w:t>
      </w:r>
      <w:r w:rsidRPr="00DF30C4">
        <w:rPr>
          <w:rFonts w:ascii="Book Antiqua" w:eastAsia="宋体" w:hAnsi="Book Antiqua" w:cs="宋体"/>
          <w:i/>
          <w:iCs/>
          <w:kern w:val="0"/>
          <w:sz w:val="24"/>
          <w:szCs w:val="24"/>
          <w:lang w:eastAsia="zh-CN"/>
        </w:rPr>
        <w:t>World J Gastroenterol</w:t>
      </w:r>
      <w:r w:rsidRPr="00DF30C4">
        <w:rPr>
          <w:rFonts w:ascii="Book Antiqua" w:eastAsia="宋体" w:hAnsi="Book Antiqua" w:cs="宋体"/>
          <w:kern w:val="0"/>
          <w:sz w:val="24"/>
          <w:szCs w:val="24"/>
          <w:lang w:eastAsia="zh-CN"/>
        </w:rPr>
        <w:t xml:space="preserve"> 2010; </w:t>
      </w:r>
      <w:r w:rsidRPr="00DF30C4">
        <w:rPr>
          <w:rFonts w:ascii="Book Antiqua" w:eastAsia="宋体" w:hAnsi="Book Antiqua" w:cs="宋体"/>
          <w:b/>
          <w:bCs/>
          <w:kern w:val="0"/>
          <w:sz w:val="24"/>
          <w:szCs w:val="24"/>
          <w:lang w:eastAsia="zh-CN"/>
        </w:rPr>
        <w:t>16</w:t>
      </w:r>
      <w:r w:rsidRPr="00DF30C4">
        <w:rPr>
          <w:rFonts w:ascii="Book Antiqua" w:eastAsia="宋体" w:hAnsi="Book Antiqua" w:cs="宋体"/>
          <w:kern w:val="0"/>
          <w:sz w:val="24"/>
          <w:szCs w:val="24"/>
          <w:lang w:eastAsia="zh-CN"/>
        </w:rPr>
        <w:t>: 1245-1251 [PMID: 20222169 DOI: 10.3748/wjg.v16.i10.1245]</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26 </w:t>
      </w:r>
      <w:r w:rsidRPr="00DF30C4">
        <w:rPr>
          <w:rFonts w:ascii="Book Antiqua" w:eastAsia="宋体" w:hAnsi="Book Antiqua" w:cs="宋体"/>
          <w:b/>
          <w:bCs/>
          <w:kern w:val="0"/>
          <w:sz w:val="24"/>
          <w:szCs w:val="24"/>
          <w:lang w:eastAsia="zh-CN"/>
        </w:rPr>
        <w:t>TRUELOVE SC</w:t>
      </w:r>
      <w:r w:rsidRPr="00DF30C4">
        <w:rPr>
          <w:rFonts w:ascii="Book Antiqua" w:eastAsia="宋体" w:hAnsi="Book Antiqua" w:cs="宋体"/>
          <w:kern w:val="0"/>
          <w:sz w:val="24"/>
          <w:szCs w:val="24"/>
          <w:lang w:eastAsia="zh-CN"/>
        </w:rPr>
        <w:t xml:space="preserve">, WITTS LJ. Cortisone in ulcerative colitis; final report on a therapeutic trial. </w:t>
      </w:r>
      <w:r w:rsidRPr="00DF30C4">
        <w:rPr>
          <w:rFonts w:ascii="Book Antiqua" w:eastAsia="宋体" w:hAnsi="Book Antiqua" w:cs="宋体"/>
          <w:i/>
          <w:iCs/>
          <w:kern w:val="0"/>
          <w:sz w:val="24"/>
          <w:szCs w:val="24"/>
          <w:lang w:eastAsia="zh-CN"/>
        </w:rPr>
        <w:t>Br Med J</w:t>
      </w:r>
      <w:r w:rsidRPr="00DF30C4">
        <w:rPr>
          <w:rFonts w:ascii="Book Antiqua" w:eastAsia="宋体" w:hAnsi="Book Antiqua" w:cs="宋体"/>
          <w:kern w:val="0"/>
          <w:sz w:val="24"/>
          <w:szCs w:val="24"/>
          <w:lang w:eastAsia="zh-CN"/>
        </w:rPr>
        <w:t xml:space="preserve"> 1955; </w:t>
      </w:r>
      <w:r w:rsidRPr="00DF30C4">
        <w:rPr>
          <w:rFonts w:ascii="Book Antiqua" w:eastAsia="宋体" w:hAnsi="Book Antiqua" w:cs="宋体"/>
          <w:b/>
          <w:bCs/>
          <w:kern w:val="0"/>
          <w:sz w:val="24"/>
          <w:szCs w:val="24"/>
          <w:lang w:eastAsia="zh-CN"/>
        </w:rPr>
        <w:t>2</w:t>
      </w:r>
      <w:r w:rsidRPr="00DF30C4">
        <w:rPr>
          <w:rFonts w:ascii="Book Antiqua" w:eastAsia="宋体" w:hAnsi="Book Antiqua" w:cs="宋体"/>
          <w:kern w:val="0"/>
          <w:sz w:val="24"/>
          <w:szCs w:val="24"/>
          <w:lang w:eastAsia="zh-CN"/>
        </w:rPr>
        <w:t>: 1041-1048 [PMID: 13260656]</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27 </w:t>
      </w:r>
      <w:r w:rsidRPr="00DF30C4">
        <w:rPr>
          <w:rFonts w:ascii="Book Antiqua" w:eastAsia="宋体" w:hAnsi="Book Antiqua" w:cs="宋体"/>
          <w:b/>
          <w:bCs/>
          <w:kern w:val="0"/>
          <w:sz w:val="24"/>
          <w:szCs w:val="24"/>
          <w:lang w:eastAsia="zh-CN"/>
        </w:rPr>
        <w:t>Papadakis KA</w:t>
      </w:r>
      <w:r w:rsidRPr="00DF30C4">
        <w:rPr>
          <w:rFonts w:ascii="Book Antiqua" w:eastAsia="宋体" w:hAnsi="Book Antiqua" w:cs="宋体"/>
          <w:kern w:val="0"/>
          <w:sz w:val="24"/>
          <w:szCs w:val="24"/>
          <w:lang w:eastAsia="zh-CN"/>
        </w:rPr>
        <w:t xml:space="preserve">, Tung JK, Binder SW, Kam LY, Abreu MT, Targan SR, Vasiliauskas EA. Outcome of cytomegalovirus infections in patients with inflammatory bowel disease. </w:t>
      </w:r>
      <w:r w:rsidRPr="00DF30C4">
        <w:rPr>
          <w:rFonts w:ascii="Book Antiqua" w:eastAsia="宋体" w:hAnsi="Book Antiqua" w:cs="宋体"/>
          <w:i/>
          <w:iCs/>
          <w:kern w:val="0"/>
          <w:sz w:val="24"/>
          <w:szCs w:val="24"/>
          <w:lang w:eastAsia="zh-CN"/>
        </w:rPr>
        <w:t>Am J Gastroenterol</w:t>
      </w:r>
      <w:r w:rsidRPr="00DF30C4">
        <w:rPr>
          <w:rFonts w:ascii="Book Antiqua" w:eastAsia="宋体" w:hAnsi="Book Antiqua" w:cs="宋体"/>
          <w:kern w:val="0"/>
          <w:sz w:val="24"/>
          <w:szCs w:val="24"/>
          <w:lang w:eastAsia="zh-CN"/>
        </w:rPr>
        <w:t xml:space="preserve"> 2001; </w:t>
      </w:r>
      <w:r w:rsidRPr="00DF30C4">
        <w:rPr>
          <w:rFonts w:ascii="Book Antiqua" w:eastAsia="宋体" w:hAnsi="Book Antiqua" w:cs="宋体"/>
          <w:b/>
          <w:bCs/>
          <w:kern w:val="0"/>
          <w:sz w:val="24"/>
          <w:szCs w:val="24"/>
          <w:lang w:eastAsia="zh-CN"/>
        </w:rPr>
        <w:t>96</w:t>
      </w:r>
      <w:r w:rsidRPr="00DF30C4">
        <w:rPr>
          <w:rFonts w:ascii="Book Antiqua" w:eastAsia="宋体" w:hAnsi="Book Antiqua" w:cs="宋体"/>
          <w:kern w:val="0"/>
          <w:sz w:val="24"/>
          <w:szCs w:val="24"/>
          <w:lang w:eastAsia="zh-CN"/>
        </w:rPr>
        <w:t>: 2137-2142 [PMID: 11467645 DOI: 10.1111/j.1572-0241.2001.03949.x]</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28 </w:t>
      </w:r>
      <w:r w:rsidRPr="00DF30C4">
        <w:rPr>
          <w:rFonts w:ascii="Book Antiqua" w:eastAsia="宋体" w:hAnsi="Book Antiqua" w:cs="宋体"/>
          <w:b/>
          <w:bCs/>
          <w:kern w:val="0"/>
          <w:sz w:val="24"/>
          <w:szCs w:val="24"/>
          <w:lang w:eastAsia="zh-CN"/>
        </w:rPr>
        <w:t>Cottone M</w:t>
      </w:r>
      <w:r w:rsidRPr="00DF30C4">
        <w:rPr>
          <w:rFonts w:ascii="Book Antiqua" w:eastAsia="宋体" w:hAnsi="Book Antiqua" w:cs="宋体"/>
          <w:kern w:val="0"/>
          <w:sz w:val="24"/>
          <w:szCs w:val="24"/>
          <w:lang w:eastAsia="zh-CN"/>
        </w:rPr>
        <w:t xml:space="preserve">, Pietrosi G, Martorana G, Casà A, Pecoraro G, Oliva L, Orlando A, Rosselli M, Rizzo A, Pagliaro L. Prevalence of cytomegalovirus infection in severe refractory ulcerative and Crohn's colitis. </w:t>
      </w:r>
      <w:r w:rsidRPr="00DF30C4">
        <w:rPr>
          <w:rFonts w:ascii="Book Antiqua" w:eastAsia="宋体" w:hAnsi="Book Antiqua" w:cs="宋体"/>
          <w:i/>
          <w:iCs/>
          <w:kern w:val="0"/>
          <w:sz w:val="24"/>
          <w:szCs w:val="24"/>
          <w:lang w:eastAsia="zh-CN"/>
        </w:rPr>
        <w:t>Am J Gastroenterol</w:t>
      </w:r>
      <w:r w:rsidRPr="00DF30C4">
        <w:rPr>
          <w:rFonts w:ascii="Book Antiqua" w:eastAsia="宋体" w:hAnsi="Book Antiqua" w:cs="宋体"/>
          <w:kern w:val="0"/>
          <w:sz w:val="24"/>
          <w:szCs w:val="24"/>
          <w:lang w:eastAsia="zh-CN"/>
        </w:rPr>
        <w:t xml:space="preserve"> 2001; </w:t>
      </w:r>
      <w:r w:rsidRPr="00DF30C4">
        <w:rPr>
          <w:rFonts w:ascii="Book Antiqua" w:eastAsia="宋体" w:hAnsi="Book Antiqua" w:cs="宋体"/>
          <w:b/>
          <w:bCs/>
          <w:kern w:val="0"/>
          <w:sz w:val="24"/>
          <w:szCs w:val="24"/>
          <w:lang w:eastAsia="zh-CN"/>
        </w:rPr>
        <w:t>96</w:t>
      </w:r>
      <w:r w:rsidRPr="00DF30C4">
        <w:rPr>
          <w:rFonts w:ascii="Book Antiqua" w:eastAsia="宋体" w:hAnsi="Book Antiqua" w:cs="宋体"/>
          <w:kern w:val="0"/>
          <w:sz w:val="24"/>
          <w:szCs w:val="24"/>
          <w:lang w:eastAsia="zh-CN"/>
        </w:rPr>
        <w:t>: 773-775 [PMID: 11280549 DOI: 10.1111/j.1572-0241.2001.03620.x]</w:t>
      </w:r>
    </w:p>
    <w:p w:rsidR="00C172CC" w:rsidRPr="00DF30C4" w:rsidRDefault="00C172CC" w:rsidP="00EF47AD">
      <w:pPr>
        <w:widowControl/>
        <w:spacing w:line="360" w:lineRule="auto"/>
        <w:jc w:val="left"/>
        <w:rPr>
          <w:rFonts w:ascii="Book Antiqua" w:eastAsia="宋体" w:hAnsi="Book Antiqua"/>
          <w:sz w:val="24"/>
          <w:szCs w:val="24"/>
          <w:lang w:eastAsia="zh-CN"/>
        </w:rPr>
      </w:pPr>
      <w:r w:rsidRPr="00DF30C4">
        <w:rPr>
          <w:rFonts w:ascii="Book Antiqua" w:eastAsia="宋体" w:hAnsi="Book Antiqua"/>
          <w:bCs/>
          <w:sz w:val="24"/>
          <w:szCs w:val="24"/>
          <w:lang w:eastAsia="zh-CN"/>
        </w:rPr>
        <w:t>29</w:t>
      </w:r>
      <w:r w:rsidRPr="00DF30C4">
        <w:rPr>
          <w:rFonts w:ascii="Book Antiqua" w:eastAsia="宋体" w:hAnsi="Book Antiqua"/>
          <w:b/>
          <w:bCs/>
          <w:sz w:val="24"/>
          <w:szCs w:val="24"/>
          <w:lang w:eastAsia="zh-CN"/>
        </w:rPr>
        <w:t xml:space="preserve"> </w:t>
      </w:r>
      <w:r w:rsidRPr="00DF30C4">
        <w:rPr>
          <w:rFonts w:ascii="Book Antiqua" w:hAnsi="Book Antiqua"/>
          <w:b/>
          <w:bCs/>
          <w:sz w:val="24"/>
          <w:szCs w:val="24"/>
        </w:rPr>
        <w:t>Yoshino T</w:t>
      </w:r>
      <w:r w:rsidRPr="00DF30C4">
        <w:rPr>
          <w:rFonts w:ascii="Book Antiqua" w:hAnsi="Book Antiqua"/>
          <w:sz w:val="24"/>
          <w:szCs w:val="24"/>
        </w:rPr>
        <w:t xml:space="preserve">, Nakase H, Ueno S, Uza N, Inoue S, Mikami S, Matsuura M, Ohmori K, Sakurai T, Nagayama S, Hasegawa S, Sakai Y, Chiba T. Usefulness of quantitative real-time PCR assay for early detection of cytomegalovirus infection in patients with ulcerative colitis refractory to immunosuppressive therapies. </w:t>
      </w:r>
      <w:r w:rsidRPr="00DF30C4">
        <w:rPr>
          <w:rFonts w:ascii="Book Antiqua" w:hAnsi="Book Antiqua"/>
          <w:i/>
          <w:iCs/>
          <w:sz w:val="24"/>
          <w:szCs w:val="24"/>
        </w:rPr>
        <w:t>Inflamm Bowel Dis</w:t>
      </w:r>
      <w:r w:rsidRPr="00DF30C4">
        <w:rPr>
          <w:rFonts w:ascii="Book Antiqua" w:hAnsi="Book Antiqua"/>
          <w:sz w:val="24"/>
          <w:szCs w:val="24"/>
        </w:rPr>
        <w:t xml:space="preserve"> 2007; </w:t>
      </w:r>
      <w:r w:rsidRPr="00DF30C4">
        <w:rPr>
          <w:rFonts w:ascii="Book Antiqua" w:hAnsi="Book Antiqua"/>
          <w:b/>
          <w:bCs/>
          <w:sz w:val="24"/>
          <w:szCs w:val="24"/>
        </w:rPr>
        <w:t>13</w:t>
      </w:r>
      <w:r w:rsidRPr="00DF30C4">
        <w:rPr>
          <w:rFonts w:ascii="Book Antiqua" w:hAnsi="Book Antiqua"/>
          <w:sz w:val="24"/>
          <w:szCs w:val="24"/>
        </w:rPr>
        <w:t>: 1516-1521 [PMID: 17828781 DOI: 10.1002/ibd.20253]</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30 </w:t>
      </w:r>
      <w:r w:rsidRPr="00DF30C4">
        <w:rPr>
          <w:rFonts w:ascii="Book Antiqua" w:eastAsia="宋体" w:hAnsi="Book Antiqua" w:cs="宋体"/>
          <w:b/>
          <w:bCs/>
          <w:kern w:val="0"/>
          <w:sz w:val="24"/>
          <w:szCs w:val="24"/>
          <w:lang w:eastAsia="zh-CN"/>
        </w:rPr>
        <w:t>Roblin X</w:t>
      </w:r>
      <w:r w:rsidRPr="00DF30C4">
        <w:rPr>
          <w:rFonts w:ascii="Book Antiqua" w:eastAsia="宋体" w:hAnsi="Book Antiqua" w:cs="宋体"/>
          <w:kern w:val="0"/>
          <w:sz w:val="24"/>
          <w:szCs w:val="24"/>
          <w:lang w:eastAsia="zh-CN"/>
        </w:rPr>
        <w:t xml:space="preserve">, Pillet S, Oussalah A, Berthelot P, Del Tedesco E, Phelip JM, Chambonnière ML, Garraud O, Peyrin-Biroulet L, Pozzetto B. Cytomegalovirus load in inflamed intestinal tissue is predictive of resistance to immunosuppressive therapy in ulcerative colitis. </w:t>
      </w:r>
      <w:r w:rsidRPr="00DF30C4">
        <w:rPr>
          <w:rFonts w:ascii="Book Antiqua" w:eastAsia="宋体" w:hAnsi="Book Antiqua" w:cs="宋体"/>
          <w:i/>
          <w:iCs/>
          <w:kern w:val="0"/>
          <w:sz w:val="24"/>
          <w:szCs w:val="24"/>
          <w:lang w:eastAsia="zh-CN"/>
        </w:rPr>
        <w:t>Am J Gastroenterol</w:t>
      </w:r>
      <w:r w:rsidRPr="00DF30C4">
        <w:rPr>
          <w:rFonts w:ascii="Book Antiqua" w:eastAsia="宋体" w:hAnsi="Book Antiqua" w:cs="宋体"/>
          <w:kern w:val="0"/>
          <w:sz w:val="24"/>
          <w:szCs w:val="24"/>
          <w:lang w:eastAsia="zh-CN"/>
        </w:rPr>
        <w:t xml:space="preserve"> 2011; </w:t>
      </w:r>
      <w:r w:rsidRPr="00DF30C4">
        <w:rPr>
          <w:rFonts w:ascii="Book Antiqua" w:eastAsia="宋体" w:hAnsi="Book Antiqua" w:cs="宋体"/>
          <w:b/>
          <w:bCs/>
          <w:kern w:val="0"/>
          <w:sz w:val="24"/>
          <w:szCs w:val="24"/>
          <w:lang w:eastAsia="zh-CN"/>
        </w:rPr>
        <w:t>106</w:t>
      </w:r>
      <w:r w:rsidRPr="00DF30C4">
        <w:rPr>
          <w:rFonts w:ascii="Book Antiqua" w:eastAsia="宋体" w:hAnsi="Book Antiqua" w:cs="宋体"/>
          <w:kern w:val="0"/>
          <w:sz w:val="24"/>
          <w:szCs w:val="24"/>
          <w:lang w:eastAsia="zh-CN"/>
        </w:rPr>
        <w:t>: 2001-2008 [PMID: 21788989 DOI: 10.1038/ajg.2011.202]</w:t>
      </w:r>
    </w:p>
    <w:p w:rsidR="00C172CC" w:rsidRPr="00DF30C4" w:rsidRDefault="00C172CC" w:rsidP="00EF47AD">
      <w:pPr>
        <w:widowControl/>
        <w:spacing w:line="360" w:lineRule="auto"/>
        <w:jc w:val="left"/>
        <w:rPr>
          <w:rFonts w:ascii="Book Antiqua" w:eastAsia="宋体" w:hAnsi="Book Antiqua" w:cs="宋体"/>
          <w:kern w:val="0"/>
          <w:sz w:val="24"/>
          <w:szCs w:val="24"/>
          <w:lang w:eastAsia="zh-CN"/>
        </w:rPr>
      </w:pPr>
      <w:r w:rsidRPr="00DF30C4">
        <w:rPr>
          <w:rFonts w:ascii="Book Antiqua" w:eastAsia="宋体" w:hAnsi="Book Antiqua" w:cs="宋体"/>
          <w:kern w:val="0"/>
          <w:sz w:val="24"/>
          <w:szCs w:val="24"/>
          <w:lang w:eastAsia="zh-CN"/>
        </w:rPr>
        <w:t xml:space="preserve">31 </w:t>
      </w:r>
      <w:r w:rsidRPr="00DF30C4">
        <w:rPr>
          <w:rFonts w:ascii="Book Antiqua" w:eastAsia="宋体" w:hAnsi="Book Antiqua" w:cs="宋体"/>
          <w:b/>
          <w:bCs/>
          <w:kern w:val="0"/>
          <w:sz w:val="24"/>
          <w:szCs w:val="24"/>
          <w:lang w:eastAsia="zh-CN"/>
        </w:rPr>
        <w:t>Rahier JF</w:t>
      </w:r>
      <w:r w:rsidRPr="00DF30C4">
        <w:rPr>
          <w:rFonts w:ascii="Book Antiqua" w:eastAsia="宋体" w:hAnsi="Book Antiqua" w:cs="宋体"/>
          <w:kern w:val="0"/>
          <w:sz w:val="24"/>
          <w:szCs w:val="24"/>
          <w:lang w:eastAsia="zh-CN"/>
        </w:rPr>
        <w:t xml:space="preserve">, Ben-Horin S, Chowers Y, Conlon C, De Munter P, D'Haens G, Domènech E, Eliakim R, Eser A, Frater J, Gassull M, Giladi M, Kaser A, Lémann M, Moreels T, Moschen A, Pollok R, Reinisch W, Schunter M, Stange EF, Tilg H, Van Assche G, Viget N, Vucelic B, Walsh A, Weiss G, Yazdanpanah Y, Zabana Y, Travis SP, Colombel JF. European evidence-based Consensus on the prevention, diagnosis and management of opportunistic infections in inflammatory bowel disease. </w:t>
      </w:r>
      <w:r w:rsidRPr="00DF30C4">
        <w:rPr>
          <w:rFonts w:ascii="Book Antiqua" w:eastAsia="宋体" w:hAnsi="Book Antiqua" w:cs="宋体"/>
          <w:i/>
          <w:iCs/>
          <w:kern w:val="0"/>
          <w:sz w:val="24"/>
          <w:szCs w:val="24"/>
          <w:lang w:eastAsia="zh-CN"/>
        </w:rPr>
        <w:t>J Crohns Colitis</w:t>
      </w:r>
      <w:r w:rsidRPr="00DF30C4">
        <w:rPr>
          <w:rFonts w:ascii="Book Antiqua" w:eastAsia="宋体" w:hAnsi="Book Antiqua" w:cs="宋体"/>
          <w:kern w:val="0"/>
          <w:sz w:val="24"/>
          <w:szCs w:val="24"/>
          <w:lang w:eastAsia="zh-CN"/>
        </w:rPr>
        <w:t xml:space="preserve"> 2009; </w:t>
      </w:r>
      <w:r w:rsidRPr="00DF30C4">
        <w:rPr>
          <w:rFonts w:ascii="Book Antiqua" w:eastAsia="宋体" w:hAnsi="Book Antiqua" w:cs="宋体"/>
          <w:b/>
          <w:bCs/>
          <w:kern w:val="0"/>
          <w:sz w:val="24"/>
          <w:szCs w:val="24"/>
          <w:lang w:eastAsia="zh-CN"/>
        </w:rPr>
        <w:t>3</w:t>
      </w:r>
      <w:r w:rsidRPr="00DF30C4">
        <w:rPr>
          <w:rFonts w:ascii="Book Antiqua" w:eastAsia="宋体" w:hAnsi="Book Antiqua" w:cs="宋体"/>
          <w:kern w:val="0"/>
          <w:sz w:val="24"/>
          <w:szCs w:val="24"/>
          <w:lang w:eastAsia="zh-CN"/>
        </w:rPr>
        <w:t>: 47-91 [PMID: 21172250 DOI: 10.1016/j.crohns.2009.02.010]</w:t>
      </w:r>
    </w:p>
    <w:p w:rsidR="00C172CC" w:rsidRPr="00EF47AD" w:rsidRDefault="00C172CC" w:rsidP="00EF47AD">
      <w:pPr>
        <w:autoSpaceDE w:val="0"/>
        <w:autoSpaceDN w:val="0"/>
        <w:snapToGrid w:val="0"/>
        <w:spacing w:line="360" w:lineRule="auto"/>
        <w:rPr>
          <w:rFonts w:ascii="Book Antiqua" w:eastAsia="宋体" w:hAnsi="Book Antiqua"/>
          <w:b/>
          <w:sz w:val="24"/>
          <w:szCs w:val="24"/>
          <w:lang w:eastAsia="zh-CN"/>
        </w:rPr>
      </w:pPr>
      <w:r w:rsidRPr="00DF30C4">
        <w:rPr>
          <w:rFonts w:ascii="Book Antiqua" w:eastAsia="宋体" w:hAnsi="Book Antiqua" w:cs="宋体"/>
          <w:kern w:val="0"/>
          <w:sz w:val="24"/>
          <w:szCs w:val="24"/>
          <w:lang w:eastAsia="zh-CN"/>
        </w:rPr>
        <w:t xml:space="preserve">32 </w:t>
      </w:r>
      <w:r w:rsidRPr="00DF30C4">
        <w:rPr>
          <w:rFonts w:ascii="Book Antiqua" w:eastAsia="宋体" w:hAnsi="Book Antiqua" w:cs="宋体"/>
          <w:b/>
          <w:bCs/>
          <w:kern w:val="0"/>
          <w:sz w:val="24"/>
          <w:szCs w:val="24"/>
          <w:lang w:eastAsia="zh-CN"/>
        </w:rPr>
        <w:t>Pillet S</w:t>
      </w:r>
      <w:r w:rsidRPr="00DF30C4">
        <w:rPr>
          <w:rFonts w:ascii="Book Antiqua" w:eastAsia="宋体" w:hAnsi="Book Antiqua" w:cs="宋体"/>
          <w:kern w:val="0"/>
          <w:sz w:val="24"/>
          <w:szCs w:val="24"/>
          <w:lang w:eastAsia="zh-CN"/>
        </w:rPr>
        <w:t xml:space="preserve">, Pozzetto B, Jarlot C, Paul S, Roblin X. Management of cytomegalovirus infection in inflammatory bowel diseases. </w:t>
      </w:r>
      <w:r w:rsidRPr="00DF30C4">
        <w:rPr>
          <w:rFonts w:ascii="Book Antiqua" w:eastAsia="宋体" w:hAnsi="Book Antiqua" w:cs="宋体"/>
          <w:i/>
          <w:iCs/>
          <w:kern w:val="0"/>
          <w:sz w:val="24"/>
          <w:szCs w:val="24"/>
          <w:lang w:eastAsia="zh-CN"/>
        </w:rPr>
        <w:t>Dig Liver Dis</w:t>
      </w:r>
      <w:r w:rsidRPr="00DF30C4">
        <w:rPr>
          <w:rFonts w:ascii="Book Antiqua" w:eastAsia="宋体" w:hAnsi="Book Antiqua" w:cs="宋体"/>
          <w:kern w:val="0"/>
          <w:sz w:val="24"/>
          <w:szCs w:val="24"/>
          <w:lang w:eastAsia="zh-CN"/>
        </w:rPr>
        <w:t xml:space="preserve"> 2012; </w:t>
      </w:r>
      <w:r w:rsidRPr="00DF30C4">
        <w:rPr>
          <w:rFonts w:ascii="Book Antiqua" w:eastAsia="宋体" w:hAnsi="Book Antiqua" w:cs="宋体"/>
          <w:b/>
          <w:bCs/>
          <w:kern w:val="0"/>
          <w:sz w:val="24"/>
          <w:szCs w:val="24"/>
          <w:lang w:eastAsia="zh-CN"/>
        </w:rPr>
        <w:t>44</w:t>
      </w:r>
      <w:r w:rsidRPr="00DF30C4">
        <w:rPr>
          <w:rFonts w:ascii="Book Antiqua" w:eastAsia="宋体" w:hAnsi="Book Antiqua" w:cs="宋体"/>
          <w:kern w:val="0"/>
          <w:sz w:val="24"/>
          <w:szCs w:val="24"/>
          <w:lang w:eastAsia="zh-CN"/>
        </w:rPr>
        <w:t xml:space="preserve">: 541-548 [PMID: 22538204 DOI: </w:t>
      </w:r>
      <w:r w:rsidRPr="00DF30C4">
        <w:rPr>
          <w:rFonts w:ascii="Book Antiqua" w:eastAsia="宋体" w:hAnsi="Book Antiqua" w:cs="宋体"/>
          <w:kern w:val="0"/>
          <w:sz w:val="24"/>
          <w:szCs w:val="24"/>
          <w:lang w:eastAsia="zh-CN"/>
        </w:rPr>
        <w:lastRenderedPageBreak/>
        <w:t>10.1016/j.dld.2012.03.018]</w:t>
      </w:r>
    </w:p>
    <w:p w:rsidR="00C172CC" w:rsidRPr="00DF30C4" w:rsidRDefault="00C172CC" w:rsidP="00DF30C4">
      <w:pPr>
        <w:spacing w:line="360" w:lineRule="auto"/>
        <w:jc w:val="right"/>
        <w:rPr>
          <w:rFonts w:ascii="Book Antiqua" w:eastAsia="宋体" w:hAnsi="Book Antiqua"/>
          <w:sz w:val="24"/>
          <w:szCs w:val="24"/>
          <w:lang w:eastAsia="zh-CN"/>
        </w:rPr>
      </w:pPr>
      <w:r w:rsidRPr="00DF30C4">
        <w:rPr>
          <w:rFonts w:ascii="Book Antiqua" w:hAnsi="Book Antiqua" w:cs="宋体"/>
          <w:b/>
          <w:sz w:val="24"/>
          <w:szCs w:val="24"/>
        </w:rPr>
        <w:t>P-Reviewers</w:t>
      </w:r>
      <w:r>
        <w:rPr>
          <w:rFonts w:ascii="Book Antiqua" w:hAnsi="Book Antiqua"/>
          <w:sz w:val="24"/>
          <w:szCs w:val="24"/>
        </w:rPr>
        <w:t xml:space="preserve"> </w:t>
      </w:r>
      <w:r w:rsidRPr="00DF30C4">
        <w:rPr>
          <w:rFonts w:ascii="Book Antiqua" w:eastAsia="宋体" w:hAnsi="Book Antiqua"/>
          <w:sz w:val="24"/>
          <w:szCs w:val="24"/>
          <w:lang w:eastAsia="zh-CN"/>
        </w:rPr>
        <w:t>Daniel F,</w:t>
      </w:r>
      <w:r w:rsidRPr="00DF30C4">
        <w:rPr>
          <w:rFonts w:ascii="Book Antiqua" w:hAnsi="Book Antiqua"/>
          <w:sz w:val="24"/>
          <w:szCs w:val="24"/>
        </w:rPr>
        <w:t xml:space="preserve"> </w:t>
      </w:r>
      <w:r w:rsidRPr="00DF30C4">
        <w:rPr>
          <w:rFonts w:ascii="Book Antiqua" w:eastAsia="宋体" w:hAnsi="Book Antiqua"/>
          <w:sz w:val="24"/>
          <w:szCs w:val="24"/>
          <w:lang w:eastAsia="zh-CN"/>
        </w:rPr>
        <w:t xml:space="preserve">Shi RH, Tsujikawa T </w:t>
      </w:r>
    </w:p>
    <w:p w:rsidR="00C172CC" w:rsidRPr="00DF30C4" w:rsidRDefault="00C172CC" w:rsidP="00DF30C4">
      <w:pPr>
        <w:spacing w:line="360" w:lineRule="auto"/>
        <w:jc w:val="right"/>
        <w:rPr>
          <w:rFonts w:ascii="Book Antiqua" w:hAnsi="Book Antiqua" w:cs="宋体"/>
          <w:sz w:val="24"/>
          <w:szCs w:val="24"/>
        </w:rPr>
      </w:pPr>
      <w:r w:rsidRPr="00DF30C4">
        <w:rPr>
          <w:rFonts w:ascii="Book Antiqua" w:hAnsi="Book Antiqua" w:cs="宋体"/>
          <w:b/>
          <w:sz w:val="24"/>
          <w:szCs w:val="24"/>
        </w:rPr>
        <w:t>S-Editor</w:t>
      </w:r>
      <w:r w:rsidRPr="00DF30C4">
        <w:rPr>
          <w:rFonts w:ascii="Book Antiqua" w:hAnsi="Book Antiqua" w:cs="宋体"/>
          <w:sz w:val="24"/>
          <w:szCs w:val="24"/>
        </w:rPr>
        <w:t xml:space="preserve"> Zhai HH</w:t>
      </w:r>
      <w:r w:rsidRPr="00DF30C4">
        <w:rPr>
          <w:rFonts w:ascii="Book Antiqua" w:hAnsi="Book Antiqua" w:cs="宋体"/>
          <w:b/>
          <w:sz w:val="24"/>
          <w:szCs w:val="24"/>
        </w:rPr>
        <w:t xml:space="preserve"> L-Editor E-Edito</w:t>
      </w:r>
      <w:r w:rsidRPr="00DF30C4">
        <w:rPr>
          <w:rFonts w:ascii="Book Antiqua" w:hAnsi="Book Antiqua" w:cs="宋体"/>
          <w:sz w:val="24"/>
          <w:szCs w:val="24"/>
        </w:rPr>
        <w:t>r</w:t>
      </w:r>
    </w:p>
    <w:p w:rsidR="00C172CC" w:rsidRPr="00DF30C4" w:rsidRDefault="00C172CC" w:rsidP="00DF30C4">
      <w:pPr>
        <w:autoSpaceDE w:val="0"/>
        <w:autoSpaceDN w:val="0"/>
        <w:snapToGrid w:val="0"/>
        <w:spacing w:line="360" w:lineRule="auto"/>
        <w:rPr>
          <w:rFonts w:ascii="Book Antiqua" w:eastAsia="宋体" w:hAnsi="Book Antiqua"/>
          <w:b/>
          <w:sz w:val="24"/>
          <w:szCs w:val="24"/>
          <w:lang w:eastAsia="zh-CN"/>
        </w:rPr>
      </w:pPr>
    </w:p>
    <w:p w:rsidR="00C172CC" w:rsidRPr="00DF30C4" w:rsidRDefault="00C172CC" w:rsidP="00DF30C4">
      <w:pPr>
        <w:autoSpaceDE w:val="0"/>
        <w:autoSpaceDN w:val="0"/>
        <w:spacing w:line="360" w:lineRule="auto"/>
        <w:rPr>
          <w:rFonts w:ascii="Book Antiqua" w:eastAsia="宋体" w:hAnsi="Book Antiqua"/>
          <w:sz w:val="24"/>
          <w:szCs w:val="24"/>
          <w:lang w:eastAsia="zh-CN"/>
        </w:rPr>
      </w:pPr>
      <w:r w:rsidRPr="00DF30C4">
        <w:rPr>
          <w:rFonts w:ascii="Book Antiqua" w:hAnsi="Book Antiqua"/>
          <w:b/>
          <w:sz w:val="24"/>
          <w:szCs w:val="24"/>
        </w:rPr>
        <w:t xml:space="preserve">Figure 1 Clinical course of </w:t>
      </w:r>
      <w:r w:rsidRPr="00DF30C4">
        <w:rPr>
          <w:rFonts w:ascii="Book Antiqua" w:hAnsi="Book Antiqua"/>
          <w:b/>
          <w:kern w:val="0"/>
          <w:sz w:val="24"/>
          <w:szCs w:val="24"/>
        </w:rPr>
        <w:t>ulcerative colitis</w:t>
      </w:r>
      <w:r w:rsidRPr="00DF30C4">
        <w:rPr>
          <w:rFonts w:ascii="Book Antiqua" w:hAnsi="Book Antiqua"/>
          <w:b/>
          <w:sz w:val="24"/>
          <w:szCs w:val="24"/>
        </w:rPr>
        <w:t xml:space="preserve"> patients treated according to the status of </w:t>
      </w:r>
      <w:r w:rsidRPr="00DF30C4">
        <w:rPr>
          <w:rFonts w:ascii="Book Antiqua" w:hAnsi="Book Antiqua"/>
          <w:b/>
          <w:kern w:val="0"/>
          <w:sz w:val="24"/>
          <w:szCs w:val="24"/>
        </w:rPr>
        <w:t>cytomegalovirus</w:t>
      </w:r>
      <w:r w:rsidRPr="00DF30C4">
        <w:rPr>
          <w:rFonts w:ascii="Book Antiqua" w:hAnsi="Book Antiqua"/>
          <w:b/>
          <w:sz w:val="24"/>
          <w:szCs w:val="24"/>
        </w:rPr>
        <w:t xml:space="preserve"> antigen.</w:t>
      </w:r>
      <w:r w:rsidRPr="00DF30C4">
        <w:rPr>
          <w:rFonts w:ascii="Book Antiqua" w:hAnsi="Book Antiqua"/>
          <w:sz w:val="24"/>
          <w:szCs w:val="24"/>
        </w:rPr>
        <w:t xml:space="preserve"> A flow chart of the clinical courses of the 118 patients according to the strategy based on </w:t>
      </w:r>
      <w:r w:rsidRPr="00DF30C4">
        <w:rPr>
          <w:rFonts w:ascii="Book Antiqua" w:hAnsi="Book Antiqua"/>
          <w:kern w:val="0"/>
          <w:sz w:val="24"/>
          <w:szCs w:val="24"/>
        </w:rPr>
        <w:t>cytomegalovirus (CMV)</w:t>
      </w:r>
      <w:r w:rsidRPr="00DF30C4">
        <w:rPr>
          <w:rFonts w:ascii="Book Antiqua" w:hAnsi="Book Antiqua"/>
          <w:sz w:val="24"/>
          <w:szCs w:val="24"/>
        </w:rPr>
        <w:t xml:space="preserve"> antigen status is shown. CMV Ag: Cytomegalovirus antigenemia assay;</w:t>
      </w:r>
      <w:r>
        <w:rPr>
          <w:rFonts w:ascii="Book Antiqua" w:hAnsi="Book Antiqua"/>
          <w:sz w:val="24"/>
          <w:szCs w:val="24"/>
        </w:rPr>
        <w:t xml:space="preserve"> </w:t>
      </w:r>
      <w:r w:rsidRPr="00DF30C4">
        <w:rPr>
          <w:rFonts w:ascii="Book Antiqua" w:hAnsi="Book Antiqua"/>
          <w:sz w:val="24"/>
          <w:szCs w:val="24"/>
        </w:rPr>
        <w:t>PSL: Prednisolone; CAI: Clinical activity index; GCV: Ganciclovir; CNIs:</w:t>
      </w:r>
      <w:r>
        <w:rPr>
          <w:rFonts w:ascii="Book Antiqua" w:hAnsi="Book Antiqua"/>
          <w:sz w:val="24"/>
          <w:szCs w:val="24"/>
        </w:rPr>
        <w:t xml:space="preserve"> </w:t>
      </w:r>
      <w:r w:rsidRPr="00DF30C4">
        <w:rPr>
          <w:rFonts w:ascii="Book Antiqua" w:hAnsi="Book Antiqua"/>
          <w:sz w:val="24"/>
          <w:szCs w:val="24"/>
        </w:rPr>
        <w:t>Calcineurin inhibitors; TNF</w:t>
      </w:r>
      <w:r w:rsidRPr="00DF30C4">
        <w:rPr>
          <w:rFonts w:ascii="Book Antiqua" w:eastAsia="宋体" w:hAnsi="Book Antiqua"/>
          <w:sz w:val="24"/>
          <w:szCs w:val="24"/>
          <w:lang w:eastAsia="zh-CN"/>
        </w:rPr>
        <w:t>-</w:t>
      </w:r>
      <w:r w:rsidRPr="00DF30C4">
        <w:rPr>
          <w:rFonts w:ascii="Book Antiqua" w:hAnsi="Book Antiqua"/>
          <w:sz w:val="24"/>
          <w:szCs w:val="24"/>
        </w:rPr>
        <w:t>α:</w:t>
      </w:r>
      <w:r>
        <w:rPr>
          <w:rFonts w:ascii="Book Antiqua" w:hAnsi="Book Antiqua"/>
          <w:sz w:val="24"/>
          <w:szCs w:val="24"/>
        </w:rPr>
        <w:t xml:space="preserve"> </w:t>
      </w:r>
      <w:r w:rsidRPr="00DF30C4">
        <w:rPr>
          <w:rFonts w:ascii="Book Antiqua" w:hAnsi="Book Antiqua"/>
          <w:sz w:val="24"/>
          <w:szCs w:val="24"/>
        </w:rPr>
        <w:t>Tumor necrosis factor-α</w:t>
      </w:r>
      <w:r w:rsidRPr="00DF30C4">
        <w:rPr>
          <w:rFonts w:ascii="Book Antiqua" w:eastAsia="宋体" w:hAnsi="Book Antiqua"/>
          <w:sz w:val="24"/>
          <w:szCs w:val="24"/>
          <w:lang w:eastAsia="zh-CN"/>
        </w:rPr>
        <w:t>.</w:t>
      </w:r>
    </w:p>
    <w:p w:rsidR="00C172CC" w:rsidRPr="00DF30C4" w:rsidRDefault="00C172CC" w:rsidP="00DF30C4">
      <w:pPr>
        <w:autoSpaceDE w:val="0"/>
        <w:autoSpaceDN w:val="0"/>
        <w:spacing w:line="360" w:lineRule="auto"/>
        <w:rPr>
          <w:rFonts w:ascii="Book Antiqua" w:hAnsi="Book Antiqua"/>
          <w:b/>
          <w:sz w:val="24"/>
          <w:szCs w:val="24"/>
        </w:rPr>
      </w:pPr>
    </w:p>
    <w:p w:rsidR="00C172CC" w:rsidRPr="00DF30C4" w:rsidRDefault="00C172CC" w:rsidP="00DF30C4">
      <w:pPr>
        <w:autoSpaceDE w:val="0"/>
        <w:autoSpaceDN w:val="0"/>
        <w:spacing w:line="360" w:lineRule="auto"/>
        <w:rPr>
          <w:rFonts w:ascii="Book Antiqua" w:hAnsi="Book Antiqua"/>
          <w:b/>
          <w:sz w:val="24"/>
          <w:szCs w:val="24"/>
        </w:rPr>
      </w:pPr>
      <w:r w:rsidRPr="00DF30C4">
        <w:rPr>
          <w:rFonts w:ascii="Book Antiqua" w:hAnsi="Book Antiqua"/>
          <w:b/>
          <w:sz w:val="24"/>
          <w:szCs w:val="24"/>
        </w:rPr>
        <w:t>Figure 2</w:t>
      </w:r>
      <w:r>
        <w:rPr>
          <w:rFonts w:ascii="Book Antiqua" w:eastAsia="宋体" w:hAnsi="Book Antiqua"/>
          <w:b/>
          <w:sz w:val="24"/>
          <w:szCs w:val="24"/>
          <w:lang w:eastAsia="zh-CN"/>
        </w:rPr>
        <w:t xml:space="preserve"> </w:t>
      </w:r>
      <w:r w:rsidRPr="00DF30C4">
        <w:rPr>
          <w:rFonts w:ascii="Book Antiqua" w:hAnsi="Book Antiqua"/>
          <w:b/>
          <w:sz w:val="24"/>
          <w:szCs w:val="24"/>
        </w:rPr>
        <w:t xml:space="preserve">Short-term remission rate according to </w:t>
      </w:r>
      <w:r w:rsidRPr="00DF30C4">
        <w:rPr>
          <w:rFonts w:ascii="Book Antiqua" w:hAnsi="Book Antiqua"/>
          <w:b/>
          <w:kern w:val="0"/>
          <w:sz w:val="24"/>
          <w:szCs w:val="24"/>
        </w:rPr>
        <w:t xml:space="preserve">cytomegalovirus </w:t>
      </w:r>
      <w:r w:rsidRPr="00DF30C4">
        <w:rPr>
          <w:rFonts w:ascii="Book Antiqua" w:hAnsi="Book Antiqua"/>
          <w:b/>
          <w:sz w:val="24"/>
          <w:szCs w:val="24"/>
        </w:rPr>
        <w:t>antigen status.</w:t>
      </w:r>
      <w:r w:rsidRPr="00DF30C4">
        <w:rPr>
          <w:rFonts w:ascii="Book Antiqua" w:eastAsia="宋体" w:hAnsi="Book Antiqua"/>
          <w:b/>
          <w:sz w:val="24"/>
          <w:szCs w:val="24"/>
          <w:lang w:eastAsia="zh-CN"/>
        </w:rPr>
        <w:t xml:space="preserve"> </w:t>
      </w:r>
      <w:r w:rsidRPr="00DF30C4">
        <w:rPr>
          <w:rFonts w:ascii="Book Antiqua" w:hAnsi="Book Antiqua"/>
          <w:kern w:val="0"/>
          <w:sz w:val="24"/>
          <w:szCs w:val="24"/>
        </w:rPr>
        <w:t>Kaplan-Meier curves for the rate of induction of remission. A</w:t>
      </w:r>
      <w:r w:rsidRPr="00DF30C4">
        <w:rPr>
          <w:rFonts w:ascii="Book Antiqua" w:eastAsia="宋体" w:hAnsi="Book Antiqua"/>
          <w:kern w:val="0"/>
          <w:sz w:val="24"/>
          <w:szCs w:val="24"/>
          <w:lang w:eastAsia="zh-CN"/>
        </w:rPr>
        <w:t>:</w:t>
      </w:r>
      <w:r w:rsidRPr="00DF30C4">
        <w:rPr>
          <w:rFonts w:ascii="Book Antiqua" w:hAnsi="Book Antiqua"/>
          <w:kern w:val="0"/>
          <w:sz w:val="24"/>
          <w:szCs w:val="24"/>
        </w:rPr>
        <w:t xml:space="preserve"> The remission rate from the day of starting the remission-induction therapy</w:t>
      </w:r>
      <w:r w:rsidRPr="00DF30C4">
        <w:rPr>
          <w:rFonts w:ascii="Book Antiqua" w:eastAsia="宋体" w:hAnsi="Book Antiqua"/>
          <w:kern w:val="0"/>
          <w:sz w:val="24"/>
          <w:szCs w:val="24"/>
          <w:lang w:eastAsia="zh-CN"/>
        </w:rPr>
        <w:t xml:space="preserve">; </w:t>
      </w:r>
      <w:r w:rsidRPr="00DF30C4">
        <w:rPr>
          <w:rFonts w:ascii="Book Antiqua" w:hAnsi="Book Antiqua"/>
          <w:kern w:val="0"/>
          <w:sz w:val="24"/>
          <w:szCs w:val="24"/>
        </w:rPr>
        <w:t>B</w:t>
      </w:r>
      <w:r w:rsidRPr="00DF30C4">
        <w:rPr>
          <w:rFonts w:ascii="Book Antiqua" w:eastAsia="宋体" w:hAnsi="Book Antiqua"/>
          <w:kern w:val="0"/>
          <w:sz w:val="24"/>
          <w:szCs w:val="24"/>
          <w:lang w:eastAsia="zh-CN"/>
        </w:rPr>
        <w:t>:</w:t>
      </w:r>
      <w:r w:rsidRPr="00DF30C4">
        <w:rPr>
          <w:rFonts w:ascii="Book Antiqua" w:hAnsi="Book Antiqua"/>
          <w:kern w:val="0"/>
          <w:sz w:val="24"/>
          <w:szCs w:val="24"/>
        </w:rPr>
        <w:t xml:space="preserve"> The remission rate from the day when the status of cytomegalovirus (CMV) antigen was determined. Both curves show the better clinical course in the CMV-negative group (</w:t>
      </w:r>
      <w:r w:rsidRPr="00DF30C4">
        <w:rPr>
          <w:rFonts w:ascii="Book Antiqua" w:hAnsi="Book Antiqua"/>
          <w:i/>
          <w:kern w:val="0"/>
          <w:sz w:val="24"/>
          <w:szCs w:val="24"/>
        </w:rPr>
        <w:t>P</w:t>
      </w:r>
      <w:r w:rsidRPr="00DF30C4">
        <w:rPr>
          <w:rFonts w:ascii="Book Antiqua" w:hAnsi="Book Antiqua"/>
          <w:kern w:val="0"/>
          <w:sz w:val="24"/>
          <w:szCs w:val="24"/>
        </w:rPr>
        <w:t xml:space="preserve"> = 0.0006 and </w:t>
      </w:r>
      <w:r w:rsidRPr="00DF30C4">
        <w:rPr>
          <w:rFonts w:ascii="Book Antiqua" w:hAnsi="Book Antiqua"/>
          <w:i/>
          <w:kern w:val="0"/>
          <w:sz w:val="24"/>
          <w:szCs w:val="24"/>
        </w:rPr>
        <w:t>P</w:t>
      </w:r>
      <w:r w:rsidRPr="00DF30C4">
        <w:rPr>
          <w:rFonts w:ascii="Book Antiqua" w:hAnsi="Book Antiqua"/>
          <w:kern w:val="0"/>
          <w:sz w:val="24"/>
          <w:szCs w:val="24"/>
        </w:rPr>
        <w:t xml:space="preserve"> = 0.03, respectively, Log-rank test). The median number of days to remission from the start of the treatment based on our strategy was significantly greater for patients in the CMV-positive group than for patients in the CMV-negative group (21 d </w:t>
      </w:r>
      <w:r w:rsidRPr="00DF30C4">
        <w:rPr>
          <w:rFonts w:ascii="Book Antiqua" w:hAnsi="Book Antiqua"/>
          <w:i/>
          <w:kern w:val="0"/>
          <w:sz w:val="24"/>
          <w:szCs w:val="24"/>
        </w:rPr>
        <w:t>vs</w:t>
      </w:r>
      <w:r w:rsidRPr="00DF30C4">
        <w:rPr>
          <w:rFonts w:ascii="Book Antiqua" w:hAnsi="Book Antiqua"/>
          <w:kern w:val="0"/>
          <w:sz w:val="24"/>
          <w:szCs w:val="24"/>
        </w:rPr>
        <w:t xml:space="preserve"> 16 d, </w:t>
      </w:r>
      <w:r w:rsidRPr="00DF30C4">
        <w:rPr>
          <w:rFonts w:ascii="Book Antiqua" w:hAnsi="Book Antiqua"/>
          <w:i/>
          <w:kern w:val="0"/>
          <w:sz w:val="24"/>
          <w:szCs w:val="24"/>
        </w:rPr>
        <w:t>P</w:t>
      </w:r>
      <w:r w:rsidRPr="00DF30C4">
        <w:rPr>
          <w:rFonts w:ascii="Book Antiqua" w:hAnsi="Book Antiqua"/>
          <w:kern w:val="0"/>
          <w:sz w:val="24"/>
          <w:szCs w:val="24"/>
        </w:rPr>
        <w:t xml:space="preserve"> = 0.009, Mann-Whitney </w:t>
      </w:r>
      <w:r w:rsidRPr="00DF30C4">
        <w:rPr>
          <w:rFonts w:ascii="Book Antiqua" w:hAnsi="Book Antiqua"/>
          <w:i/>
          <w:kern w:val="0"/>
          <w:sz w:val="24"/>
          <w:szCs w:val="24"/>
        </w:rPr>
        <w:t>U</w:t>
      </w:r>
      <w:r w:rsidRPr="00DF30C4">
        <w:rPr>
          <w:rFonts w:ascii="Book Antiqua" w:hAnsi="Book Antiqua"/>
          <w:kern w:val="0"/>
          <w:sz w:val="24"/>
          <w:szCs w:val="24"/>
        </w:rPr>
        <w:t>-test).</w:t>
      </w:r>
      <w:r w:rsidRPr="00DF30C4">
        <w:rPr>
          <w:rFonts w:ascii="Book Antiqua" w:eastAsia="宋体" w:hAnsi="Book Antiqua"/>
          <w:b/>
          <w:sz w:val="24"/>
          <w:szCs w:val="24"/>
          <w:lang w:eastAsia="zh-CN"/>
        </w:rPr>
        <w:t xml:space="preserve"> </w:t>
      </w:r>
    </w:p>
    <w:p w:rsidR="00C172CC" w:rsidRPr="00DF30C4" w:rsidRDefault="00C172CC" w:rsidP="00DF30C4">
      <w:pPr>
        <w:widowControl/>
        <w:tabs>
          <w:tab w:val="center" w:pos="4252"/>
        </w:tabs>
        <w:spacing w:line="360" w:lineRule="auto"/>
        <w:rPr>
          <w:rFonts w:ascii="Book Antiqua" w:hAnsi="Book Antiqua"/>
          <w:kern w:val="0"/>
          <w:sz w:val="24"/>
          <w:szCs w:val="24"/>
        </w:rPr>
      </w:pPr>
    </w:p>
    <w:p w:rsidR="00C172CC" w:rsidRPr="00DF30C4" w:rsidRDefault="00C172CC" w:rsidP="00DF30C4">
      <w:pPr>
        <w:widowControl/>
        <w:spacing w:line="360" w:lineRule="auto"/>
        <w:jc w:val="left"/>
        <w:rPr>
          <w:rFonts w:ascii="Book Antiqua" w:hAnsi="Book Antiqua"/>
          <w:b/>
          <w:sz w:val="24"/>
          <w:szCs w:val="24"/>
        </w:rPr>
      </w:pPr>
      <w:r w:rsidRPr="00DF30C4">
        <w:rPr>
          <w:rFonts w:ascii="Book Antiqua" w:hAnsi="Book Antiqua"/>
          <w:b/>
          <w:sz w:val="24"/>
          <w:szCs w:val="24"/>
        </w:rPr>
        <w:t>Figure 3</w:t>
      </w:r>
      <w:r w:rsidRPr="00DF30C4">
        <w:rPr>
          <w:rFonts w:ascii="Book Antiqua" w:eastAsia="宋体" w:hAnsi="Book Antiqua"/>
          <w:b/>
          <w:sz w:val="24"/>
          <w:szCs w:val="24"/>
          <w:lang w:eastAsia="zh-CN"/>
        </w:rPr>
        <w:t xml:space="preserve"> </w:t>
      </w:r>
      <w:r w:rsidRPr="00DF30C4">
        <w:rPr>
          <w:rFonts w:ascii="Book Antiqua" w:hAnsi="Book Antiqua"/>
          <w:b/>
          <w:sz w:val="24"/>
          <w:szCs w:val="24"/>
        </w:rPr>
        <w:t xml:space="preserve">Relapse rate after successful induction of remission according to </w:t>
      </w:r>
      <w:r w:rsidRPr="00DF30C4">
        <w:rPr>
          <w:rFonts w:ascii="Book Antiqua" w:hAnsi="Book Antiqua"/>
          <w:b/>
          <w:kern w:val="0"/>
          <w:sz w:val="24"/>
          <w:szCs w:val="24"/>
        </w:rPr>
        <w:t>cytomegalovirus</w:t>
      </w:r>
      <w:r w:rsidRPr="00DF30C4">
        <w:rPr>
          <w:rFonts w:ascii="Book Antiqua" w:hAnsi="Book Antiqua"/>
          <w:b/>
          <w:sz w:val="24"/>
          <w:szCs w:val="24"/>
        </w:rPr>
        <w:t xml:space="preserve"> antigen status.</w:t>
      </w:r>
      <w:r w:rsidRPr="00DF30C4">
        <w:rPr>
          <w:rFonts w:ascii="Book Antiqua" w:eastAsia="宋体" w:hAnsi="Book Antiqua"/>
          <w:b/>
          <w:sz w:val="24"/>
          <w:szCs w:val="24"/>
          <w:lang w:eastAsia="zh-CN"/>
        </w:rPr>
        <w:t xml:space="preserve"> </w:t>
      </w:r>
      <w:r w:rsidRPr="00DF30C4">
        <w:rPr>
          <w:rFonts w:ascii="Book Antiqua" w:hAnsi="Book Antiqua"/>
          <w:kern w:val="0"/>
          <w:sz w:val="24"/>
          <w:szCs w:val="24"/>
        </w:rPr>
        <w:t>The rate of relapse after successful induction of remission with the initial treatment was shown. The rate of relapse after successful induction of remission did not differ between the patients in the cytomegalovirus (CMV)-positive and -negative groups (</w:t>
      </w:r>
      <w:r w:rsidRPr="00DF30C4">
        <w:rPr>
          <w:rFonts w:ascii="Book Antiqua" w:hAnsi="Book Antiqua"/>
          <w:i/>
          <w:kern w:val="0"/>
          <w:sz w:val="24"/>
          <w:szCs w:val="24"/>
        </w:rPr>
        <w:t>P</w:t>
      </w:r>
      <w:r w:rsidRPr="00DF30C4">
        <w:rPr>
          <w:rFonts w:ascii="Book Antiqua" w:hAnsi="Book Antiqua"/>
          <w:kern w:val="0"/>
          <w:sz w:val="24"/>
          <w:szCs w:val="24"/>
        </w:rPr>
        <w:t xml:space="preserve"> = 0.36, Log-rank test).</w:t>
      </w:r>
      <w:r w:rsidRPr="00DF30C4">
        <w:rPr>
          <w:rFonts w:ascii="Book Antiqua" w:hAnsi="Book Antiqua"/>
          <w:sz w:val="24"/>
          <w:szCs w:val="24"/>
        </w:rPr>
        <w:t xml:space="preserve"> </w:t>
      </w:r>
    </w:p>
    <w:p w:rsidR="00C172CC" w:rsidRPr="00DF30C4" w:rsidRDefault="00C172CC" w:rsidP="00DF30C4">
      <w:pPr>
        <w:widowControl/>
        <w:spacing w:line="360" w:lineRule="auto"/>
        <w:jc w:val="left"/>
        <w:rPr>
          <w:rFonts w:ascii="Book Antiqua" w:eastAsia="宋体" w:hAnsi="Book Antiqua"/>
          <w:kern w:val="0"/>
          <w:sz w:val="24"/>
          <w:szCs w:val="24"/>
          <w:lang w:eastAsia="zh-CN"/>
        </w:rPr>
      </w:pPr>
    </w:p>
    <w:p w:rsidR="00C172CC" w:rsidRPr="00DF30C4" w:rsidRDefault="00C172CC" w:rsidP="00DF30C4">
      <w:pPr>
        <w:widowControl/>
        <w:spacing w:line="360" w:lineRule="auto"/>
        <w:jc w:val="left"/>
        <w:rPr>
          <w:rFonts w:ascii="Book Antiqua" w:hAnsi="Book Antiqua"/>
          <w:b/>
          <w:sz w:val="24"/>
          <w:szCs w:val="24"/>
        </w:rPr>
      </w:pPr>
      <w:r w:rsidRPr="00DF30C4">
        <w:rPr>
          <w:rFonts w:ascii="Book Antiqua" w:hAnsi="Book Antiqua"/>
          <w:b/>
          <w:sz w:val="24"/>
          <w:szCs w:val="24"/>
        </w:rPr>
        <w:t xml:space="preserve">Figure 4 Colectomy rate according to </w:t>
      </w:r>
      <w:r w:rsidRPr="00DF30C4">
        <w:rPr>
          <w:rFonts w:ascii="Book Antiqua" w:hAnsi="Book Antiqua"/>
          <w:b/>
          <w:kern w:val="0"/>
          <w:sz w:val="24"/>
          <w:szCs w:val="24"/>
        </w:rPr>
        <w:t>cytomegalovirus</w:t>
      </w:r>
      <w:r w:rsidRPr="00DF30C4">
        <w:rPr>
          <w:rFonts w:ascii="Book Antiqua" w:hAnsi="Book Antiqua"/>
          <w:b/>
          <w:sz w:val="24"/>
          <w:szCs w:val="24"/>
        </w:rPr>
        <w:t xml:space="preserve"> antigen status.</w:t>
      </w:r>
      <w:r w:rsidRPr="00DF30C4">
        <w:rPr>
          <w:rFonts w:ascii="Book Antiqua" w:eastAsia="宋体" w:hAnsi="Book Antiqua"/>
          <w:b/>
          <w:sz w:val="24"/>
          <w:szCs w:val="24"/>
          <w:lang w:eastAsia="zh-CN"/>
        </w:rPr>
        <w:t xml:space="preserve"> </w:t>
      </w:r>
      <w:r w:rsidRPr="00DF30C4">
        <w:rPr>
          <w:rFonts w:ascii="Book Antiqua" w:hAnsi="Book Antiqua"/>
          <w:kern w:val="0"/>
          <w:sz w:val="24"/>
          <w:szCs w:val="24"/>
        </w:rPr>
        <w:t>The</w:t>
      </w:r>
      <w:r w:rsidRPr="00DF30C4">
        <w:rPr>
          <w:rFonts w:ascii="Book Antiqua" w:eastAsia="宋体" w:hAnsi="Book Antiqua"/>
          <w:kern w:val="0"/>
          <w:sz w:val="24"/>
          <w:szCs w:val="24"/>
          <w:lang w:eastAsia="zh-CN"/>
        </w:rPr>
        <w:t xml:space="preserve"> </w:t>
      </w:r>
      <w:r w:rsidRPr="00DF30C4">
        <w:rPr>
          <w:rFonts w:ascii="Book Antiqua" w:hAnsi="Book Antiqua"/>
          <w:kern w:val="0"/>
          <w:sz w:val="24"/>
          <w:szCs w:val="24"/>
        </w:rPr>
        <w:t>cumulative colectomy rate according to cytomegalovirus (CMV) antigen status. Twelve (30%) of the CMV-positive patients and 24 (30.8%) of the CMV-negative patients underwent colectomy during the observation period and no difference in colectomy rate was observed between the two groups (</w:t>
      </w:r>
      <w:r w:rsidRPr="00DF30C4">
        <w:rPr>
          <w:rFonts w:ascii="Book Antiqua" w:hAnsi="Book Antiqua"/>
          <w:i/>
          <w:kern w:val="0"/>
          <w:sz w:val="24"/>
          <w:szCs w:val="24"/>
        </w:rPr>
        <w:t>P</w:t>
      </w:r>
      <w:r w:rsidRPr="00DF30C4">
        <w:rPr>
          <w:rFonts w:ascii="Book Antiqua" w:hAnsi="Book Antiqua"/>
          <w:kern w:val="0"/>
          <w:sz w:val="24"/>
          <w:szCs w:val="24"/>
        </w:rPr>
        <w:t xml:space="preserve"> = 0.81, Log-rank test, median observation period: 31 mo). </w:t>
      </w:r>
    </w:p>
    <w:p w:rsidR="00C172CC" w:rsidRPr="00DF30C4" w:rsidRDefault="00C172CC" w:rsidP="00DF30C4">
      <w:pPr>
        <w:pStyle w:val="a4"/>
        <w:autoSpaceDE w:val="0"/>
        <w:autoSpaceDN w:val="0"/>
        <w:snapToGrid w:val="0"/>
        <w:spacing w:line="360" w:lineRule="auto"/>
        <w:ind w:leftChars="0" w:left="360"/>
        <w:rPr>
          <w:rFonts w:ascii="Book Antiqua" w:hAnsi="Book Antiqua"/>
          <w:sz w:val="24"/>
          <w:szCs w:val="24"/>
        </w:rPr>
      </w:pPr>
      <w:r w:rsidRPr="00DF30C4">
        <w:rPr>
          <w:rFonts w:ascii="Book Antiqua" w:hAnsi="Book Antiqua"/>
          <w:b/>
          <w:sz w:val="24"/>
          <w:szCs w:val="24"/>
        </w:rPr>
        <w:br w:type="page"/>
      </w:r>
    </w:p>
    <w:p w:rsidR="00C172CC" w:rsidRPr="00DF30C4" w:rsidRDefault="00C172CC" w:rsidP="0023222F">
      <w:pPr>
        <w:tabs>
          <w:tab w:val="left" w:pos="0"/>
          <w:tab w:val="left" w:pos="6125"/>
        </w:tabs>
        <w:spacing w:line="360" w:lineRule="auto"/>
        <w:ind w:hanging="1"/>
        <w:rPr>
          <w:rFonts w:ascii="Book Antiqua" w:hAnsi="Book Antiqua"/>
          <w:b/>
          <w:sz w:val="24"/>
          <w:szCs w:val="24"/>
        </w:rPr>
      </w:pPr>
      <w:r w:rsidRPr="00DF30C4">
        <w:rPr>
          <w:rFonts w:ascii="Book Antiqua" w:hAnsi="Book Antiqua"/>
          <w:b/>
          <w:sz w:val="24"/>
          <w:szCs w:val="24"/>
        </w:rPr>
        <w:tab/>
      </w:r>
    </w:p>
    <w:p w:rsidR="00C172CC" w:rsidRPr="00DF30C4" w:rsidRDefault="00C172CC" w:rsidP="00DF30C4">
      <w:pPr>
        <w:spacing w:line="360" w:lineRule="auto"/>
        <w:rPr>
          <w:rFonts w:ascii="Book Antiqua" w:hAnsi="Book Antiqua"/>
          <w:b/>
          <w:sz w:val="24"/>
          <w:szCs w:val="24"/>
        </w:rPr>
      </w:pPr>
    </w:p>
    <w:p w:rsidR="00C172CC" w:rsidRPr="00DF30C4" w:rsidRDefault="00C172CC" w:rsidP="00DF30C4">
      <w:pPr>
        <w:spacing w:line="360" w:lineRule="auto"/>
        <w:rPr>
          <w:rFonts w:ascii="Book Antiqua" w:hAnsi="Book Antiqua"/>
          <w:b/>
          <w:sz w:val="24"/>
          <w:szCs w:val="24"/>
        </w:rPr>
      </w:pPr>
      <w:r w:rsidRPr="00DF30C4">
        <w:rPr>
          <w:rFonts w:ascii="Book Antiqua" w:hAnsi="Book Antiqua"/>
          <w:b/>
          <w:sz w:val="24"/>
          <w:szCs w:val="24"/>
        </w:rPr>
        <w:t>Table 1Characteristics of the study population</w:t>
      </w:r>
      <w:r w:rsidRPr="00DF30C4">
        <w:rPr>
          <w:rFonts w:ascii="Book Antiqua" w:eastAsia="宋体" w:hAnsi="Book Antiqua"/>
          <w:b/>
          <w:sz w:val="24"/>
          <w:szCs w:val="24"/>
          <w:lang w:eastAsia="zh-CN"/>
        </w:rPr>
        <w:t xml:space="preserve"> </w:t>
      </w:r>
      <w:r w:rsidRPr="00DF30C4">
        <w:rPr>
          <w:rFonts w:ascii="Book Antiqua" w:eastAsia="MS PGothic" w:hAnsi="Book Antiqua"/>
          <w:b/>
          <w:bCs/>
          <w:color w:val="000000"/>
          <w:kern w:val="0"/>
          <w:sz w:val="24"/>
          <w:szCs w:val="24"/>
        </w:rPr>
        <w:t>(</w:t>
      </w:r>
      <w:r w:rsidRPr="00DF30C4">
        <w:rPr>
          <w:rFonts w:ascii="Book Antiqua" w:eastAsia="MS PGothic" w:hAnsi="Book Antiqua"/>
          <w:b/>
          <w:bCs/>
          <w:i/>
          <w:color w:val="000000"/>
          <w:kern w:val="0"/>
          <w:sz w:val="24"/>
          <w:szCs w:val="24"/>
        </w:rPr>
        <w:t>n</w:t>
      </w:r>
      <w:r w:rsidRPr="00DF30C4">
        <w:rPr>
          <w:rFonts w:ascii="Book Antiqua" w:eastAsia="宋体" w:hAnsi="Book Antiqua"/>
          <w:b/>
          <w:bCs/>
          <w:i/>
          <w:color w:val="000000"/>
          <w:kern w:val="0"/>
          <w:sz w:val="24"/>
          <w:szCs w:val="24"/>
          <w:lang w:eastAsia="zh-CN"/>
        </w:rPr>
        <w:t xml:space="preserve"> </w:t>
      </w:r>
      <w:r w:rsidRPr="00DF30C4">
        <w:rPr>
          <w:rFonts w:ascii="Book Antiqua" w:eastAsia="MS PGothic" w:hAnsi="Book Antiqua"/>
          <w:b/>
          <w:bCs/>
          <w:color w:val="000000"/>
          <w:kern w:val="0"/>
          <w:sz w:val="24"/>
          <w:szCs w:val="24"/>
        </w:rPr>
        <w:t>=</w:t>
      </w:r>
      <w:r w:rsidRPr="00DF30C4">
        <w:rPr>
          <w:rFonts w:ascii="Book Antiqua" w:eastAsia="宋体" w:hAnsi="Book Antiqua"/>
          <w:b/>
          <w:bCs/>
          <w:color w:val="000000"/>
          <w:kern w:val="0"/>
          <w:sz w:val="24"/>
          <w:szCs w:val="24"/>
          <w:lang w:eastAsia="zh-CN"/>
        </w:rPr>
        <w:t xml:space="preserve"> </w:t>
      </w:r>
      <w:r w:rsidRPr="00DF30C4">
        <w:rPr>
          <w:rFonts w:ascii="Book Antiqua" w:eastAsia="MS PGothic" w:hAnsi="Book Antiqua"/>
          <w:b/>
          <w:bCs/>
          <w:color w:val="000000"/>
          <w:kern w:val="0"/>
          <w:sz w:val="24"/>
          <w:szCs w:val="24"/>
        </w:rPr>
        <w:t>118)</w:t>
      </w:r>
    </w:p>
    <w:tbl>
      <w:tblPr>
        <w:tblpPr w:leftFromText="142" w:rightFromText="142" w:vertAnchor="text" w:horzAnchor="margin" w:tblpY="43"/>
        <w:tblOverlap w:val="never"/>
        <w:tblW w:w="10447" w:type="dxa"/>
        <w:tblLayout w:type="fixed"/>
        <w:tblCellMar>
          <w:left w:w="0" w:type="dxa"/>
          <w:right w:w="0" w:type="dxa"/>
        </w:tblCellMar>
        <w:tblLook w:val="00A0" w:firstRow="1" w:lastRow="0" w:firstColumn="1" w:lastColumn="0" w:noHBand="0" w:noVBand="0"/>
      </w:tblPr>
      <w:tblGrid>
        <w:gridCol w:w="4777"/>
        <w:gridCol w:w="2268"/>
        <w:gridCol w:w="2268"/>
        <w:gridCol w:w="1134"/>
      </w:tblGrid>
      <w:tr w:rsidR="00C172CC" w:rsidRPr="00DF30C4" w:rsidTr="0023222F">
        <w:trPr>
          <w:trHeight w:val="339"/>
        </w:trPr>
        <w:tc>
          <w:tcPr>
            <w:tcW w:w="4777" w:type="dxa"/>
            <w:tcBorders>
              <w:top w:val="single" w:sz="8" w:space="0" w:color="000000"/>
              <w:left w:val="nil"/>
              <w:bottom w:val="single" w:sz="4" w:space="0" w:color="auto"/>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hAnsi="Book Antiqua"/>
                <w:sz w:val="24"/>
                <w:szCs w:val="24"/>
              </w:rPr>
              <w:t>Characteristics</w:t>
            </w:r>
            <w:r w:rsidRPr="00DF30C4">
              <w:rPr>
                <w:rFonts w:ascii="Book Antiqua" w:eastAsia="MS PGothic" w:hAnsi="Book Antiqua"/>
                <w:bCs/>
                <w:color w:val="000000"/>
                <w:kern w:val="0"/>
                <w:sz w:val="24"/>
                <w:szCs w:val="24"/>
              </w:rPr>
              <w:t xml:space="preserve"> </w:t>
            </w:r>
          </w:p>
        </w:tc>
        <w:tc>
          <w:tcPr>
            <w:tcW w:w="2268" w:type="dxa"/>
            <w:tcBorders>
              <w:top w:val="single" w:sz="8" w:space="0" w:color="000000"/>
              <w:left w:val="nil"/>
              <w:bottom w:val="single" w:sz="4" w:space="0" w:color="auto"/>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bCs/>
                <w:color w:val="000000"/>
                <w:kern w:val="0"/>
                <w:sz w:val="24"/>
                <w:szCs w:val="24"/>
              </w:rPr>
              <w:t>CMV Ag+ (</w:t>
            </w:r>
            <w:r w:rsidRPr="00DF30C4">
              <w:rPr>
                <w:rFonts w:ascii="Book Antiqua" w:eastAsia="MS PGothic" w:hAnsi="Book Antiqua"/>
                <w:bCs/>
                <w:i/>
                <w:color w:val="000000"/>
                <w:kern w:val="0"/>
                <w:sz w:val="24"/>
                <w:szCs w:val="24"/>
              </w:rPr>
              <w:t>n</w:t>
            </w:r>
            <w:r w:rsidRPr="00DF30C4">
              <w:rPr>
                <w:rFonts w:ascii="Book Antiqua" w:eastAsia="宋体" w:hAnsi="Book Antiqua"/>
                <w:bCs/>
                <w:color w:val="000000"/>
                <w:kern w:val="0"/>
                <w:sz w:val="24"/>
                <w:szCs w:val="24"/>
                <w:lang w:eastAsia="zh-CN"/>
              </w:rPr>
              <w:t xml:space="preserve"> </w:t>
            </w:r>
            <w:r w:rsidRPr="00DF30C4">
              <w:rPr>
                <w:rFonts w:ascii="Book Antiqua" w:eastAsia="MS PGothic" w:hAnsi="Book Antiqua"/>
                <w:bCs/>
                <w:color w:val="000000"/>
                <w:kern w:val="0"/>
                <w:sz w:val="24"/>
                <w:szCs w:val="24"/>
              </w:rPr>
              <w:t>=</w:t>
            </w:r>
            <w:r w:rsidRPr="00DF30C4">
              <w:rPr>
                <w:rFonts w:ascii="Book Antiqua" w:eastAsia="宋体" w:hAnsi="Book Antiqua"/>
                <w:bCs/>
                <w:color w:val="000000"/>
                <w:kern w:val="0"/>
                <w:sz w:val="24"/>
                <w:szCs w:val="24"/>
                <w:lang w:eastAsia="zh-CN"/>
              </w:rPr>
              <w:t xml:space="preserve"> </w:t>
            </w:r>
            <w:r w:rsidRPr="00DF30C4">
              <w:rPr>
                <w:rFonts w:ascii="Book Antiqua" w:eastAsia="MS PGothic" w:hAnsi="Book Antiqua"/>
                <w:bCs/>
                <w:color w:val="000000"/>
                <w:kern w:val="0"/>
                <w:sz w:val="24"/>
                <w:szCs w:val="24"/>
              </w:rPr>
              <w:t>40)</w:t>
            </w:r>
          </w:p>
        </w:tc>
        <w:tc>
          <w:tcPr>
            <w:tcW w:w="2268" w:type="dxa"/>
            <w:tcBorders>
              <w:top w:val="single" w:sz="8" w:space="0" w:color="000000"/>
              <w:left w:val="nil"/>
              <w:bottom w:val="single" w:sz="4" w:space="0" w:color="auto"/>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bCs/>
                <w:color w:val="000000"/>
                <w:kern w:val="0"/>
                <w:sz w:val="24"/>
                <w:szCs w:val="24"/>
              </w:rPr>
              <w:t>CMV Ag- (</w:t>
            </w:r>
            <w:r w:rsidRPr="00DF30C4">
              <w:rPr>
                <w:rFonts w:ascii="Book Antiqua" w:eastAsia="MS PGothic" w:hAnsi="Book Antiqua"/>
                <w:bCs/>
                <w:i/>
                <w:color w:val="000000"/>
                <w:kern w:val="0"/>
                <w:sz w:val="24"/>
                <w:szCs w:val="24"/>
              </w:rPr>
              <w:t>n</w:t>
            </w:r>
            <w:r w:rsidRPr="00DF30C4">
              <w:rPr>
                <w:rFonts w:ascii="Book Antiqua" w:eastAsia="宋体" w:hAnsi="Book Antiqua"/>
                <w:bCs/>
                <w:color w:val="000000"/>
                <w:kern w:val="0"/>
                <w:sz w:val="24"/>
                <w:szCs w:val="24"/>
                <w:lang w:eastAsia="zh-CN"/>
              </w:rPr>
              <w:t xml:space="preserve"> </w:t>
            </w:r>
            <w:r w:rsidRPr="00DF30C4">
              <w:rPr>
                <w:rFonts w:ascii="Book Antiqua" w:eastAsia="MS PGothic" w:hAnsi="Book Antiqua"/>
                <w:bCs/>
                <w:color w:val="000000"/>
                <w:kern w:val="0"/>
                <w:sz w:val="24"/>
                <w:szCs w:val="24"/>
              </w:rPr>
              <w:t>=</w:t>
            </w:r>
            <w:r w:rsidRPr="00DF30C4">
              <w:rPr>
                <w:rFonts w:ascii="Book Antiqua" w:eastAsia="宋体" w:hAnsi="Book Antiqua"/>
                <w:bCs/>
                <w:color w:val="000000"/>
                <w:kern w:val="0"/>
                <w:sz w:val="24"/>
                <w:szCs w:val="24"/>
                <w:lang w:eastAsia="zh-CN"/>
              </w:rPr>
              <w:t xml:space="preserve"> </w:t>
            </w:r>
            <w:r w:rsidRPr="00DF30C4">
              <w:rPr>
                <w:rFonts w:ascii="Book Antiqua" w:eastAsia="MS PGothic" w:hAnsi="Book Antiqua"/>
                <w:bCs/>
                <w:color w:val="000000"/>
                <w:kern w:val="0"/>
                <w:sz w:val="24"/>
                <w:szCs w:val="24"/>
              </w:rPr>
              <w:t>78)</w:t>
            </w:r>
          </w:p>
        </w:tc>
        <w:tc>
          <w:tcPr>
            <w:tcW w:w="1134" w:type="dxa"/>
            <w:tcBorders>
              <w:top w:val="single" w:sz="8" w:space="0" w:color="000000"/>
              <w:left w:val="nil"/>
              <w:bottom w:val="single" w:sz="4" w:space="0" w:color="auto"/>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bCs/>
                <w:i/>
                <w:iCs/>
                <w:color w:val="000000"/>
                <w:kern w:val="0"/>
                <w:sz w:val="24"/>
                <w:szCs w:val="24"/>
              </w:rPr>
              <w:t>P</w:t>
            </w:r>
            <w:r w:rsidRPr="00DF30C4">
              <w:rPr>
                <w:rFonts w:ascii="Book Antiqua" w:eastAsia="MS PGothic" w:hAnsi="Book Antiqua"/>
                <w:bCs/>
                <w:color w:val="000000"/>
                <w:kern w:val="0"/>
                <w:sz w:val="24"/>
                <w:szCs w:val="24"/>
              </w:rPr>
              <w:t>-value</w:t>
            </w:r>
            <w:r w:rsidRPr="00DF30C4">
              <w:rPr>
                <w:rFonts w:ascii="Book Antiqua" w:eastAsia="MS PGothic" w:hAnsi="Book Antiqua" w:hint="eastAsia"/>
                <w:bCs/>
                <w:color w:val="000000"/>
                <w:kern w:val="0"/>
                <w:sz w:val="24"/>
                <w:szCs w:val="24"/>
              </w:rPr>
              <w:t xml:space="preserve">　</w:t>
            </w:r>
          </w:p>
        </w:tc>
      </w:tr>
      <w:tr w:rsidR="00C172CC" w:rsidRPr="00DF30C4" w:rsidTr="0023222F">
        <w:trPr>
          <w:trHeight w:val="339"/>
        </w:trPr>
        <w:tc>
          <w:tcPr>
            <w:tcW w:w="4777" w:type="dxa"/>
            <w:tcBorders>
              <w:top w:val="single" w:sz="4" w:space="0" w:color="auto"/>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xml:space="preserve"> </w:t>
            </w:r>
            <w:r w:rsidRPr="00DF30C4">
              <w:rPr>
                <w:rFonts w:ascii="Book Antiqua" w:eastAsia="MS PGothic" w:hAnsi="Book Antiqua"/>
                <w:bCs/>
                <w:color w:val="000000"/>
                <w:kern w:val="0"/>
                <w:sz w:val="24"/>
                <w:szCs w:val="24"/>
              </w:rPr>
              <w:t>Gender</w:t>
            </w:r>
          </w:p>
        </w:tc>
        <w:tc>
          <w:tcPr>
            <w:tcW w:w="2268" w:type="dxa"/>
            <w:tcBorders>
              <w:top w:val="single" w:sz="4" w:space="0" w:color="auto"/>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w:t>
            </w:r>
          </w:p>
        </w:tc>
        <w:tc>
          <w:tcPr>
            <w:tcW w:w="2268" w:type="dxa"/>
            <w:tcBorders>
              <w:top w:val="single" w:sz="4" w:space="0" w:color="auto"/>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w:t>
            </w:r>
          </w:p>
        </w:tc>
        <w:tc>
          <w:tcPr>
            <w:tcW w:w="1134" w:type="dxa"/>
            <w:tcBorders>
              <w:top w:val="single" w:sz="4" w:space="0" w:color="auto"/>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0.009</w:t>
            </w:r>
            <w:r w:rsidRPr="00DF30C4">
              <w:rPr>
                <w:rFonts w:ascii="Book Antiqua" w:eastAsia="MS PGothic" w:hAnsi="Book Antiqua" w:hint="eastAsia"/>
                <w:color w:val="000000"/>
                <w:kern w:val="0"/>
                <w:sz w:val="24"/>
                <w:szCs w:val="24"/>
              </w:rPr>
              <w:t xml:space="preserve">　</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Pr>
                <w:rFonts w:ascii="Book Antiqua" w:eastAsia="MS PGothic" w:hAnsi="Book Antiqua"/>
                <w:color w:val="000000"/>
                <w:kern w:val="0"/>
                <w:sz w:val="24"/>
                <w:szCs w:val="24"/>
              </w:rPr>
              <w:t xml:space="preserve">  </w:t>
            </w:r>
            <w:r w:rsidRPr="00DF30C4">
              <w:rPr>
                <w:rFonts w:ascii="Book Antiqua" w:eastAsia="MS PGothic" w:hAnsi="Book Antiqua"/>
                <w:color w:val="000000"/>
                <w:kern w:val="0"/>
                <w:sz w:val="24"/>
                <w:szCs w:val="24"/>
              </w:rPr>
              <w:t>Male</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26</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31</w:t>
            </w: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Pr>
                <w:rFonts w:ascii="Book Antiqua" w:eastAsia="MS PGothic" w:hAnsi="Book Antiqua"/>
                <w:color w:val="000000"/>
                <w:kern w:val="0"/>
                <w:sz w:val="24"/>
                <w:szCs w:val="24"/>
              </w:rPr>
              <w:t xml:space="preserve">  </w:t>
            </w:r>
            <w:r w:rsidRPr="00DF30C4">
              <w:rPr>
                <w:rFonts w:ascii="Book Antiqua" w:eastAsia="MS PGothic" w:hAnsi="Book Antiqua"/>
                <w:color w:val="000000"/>
                <w:kern w:val="0"/>
                <w:sz w:val="24"/>
                <w:szCs w:val="24"/>
              </w:rPr>
              <w:t>Female</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14</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47</w:t>
            </w: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bCs/>
                <w:color w:val="000000"/>
                <w:kern w:val="0"/>
                <w:sz w:val="24"/>
                <w:szCs w:val="24"/>
              </w:rPr>
              <w:t xml:space="preserve"> Age(yr), median (range)</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45 (14-79)</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36 (12-87)</w:t>
            </w: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xml:space="preserve">0.10 </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bCs/>
                <w:color w:val="000000"/>
                <w:kern w:val="0"/>
                <w:sz w:val="24"/>
                <w:szCs w:val="24"/>
              </w:rPr>
              <w:t xml:space="preserve"> Duration of disease (yr), median (range)</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1.5 (0.1-28)</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4.6 (0-38)</w:t>
            </w: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0.23</w:t>
            </w:r>
          </w:p>
        </w:tc>
      </w:tr>
      <w:tr w:rsidR="00C172CC" w:rsidRPr="00DF30C4" w:rsidTr="0023222F">
        <w:trPr>
          <w:trHeight w:val="316"/>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bCs/>
                <w:color w:val="000000"/>
                <w:kern w:val="0"/>
                <w:sz w:val="24"/>
                <w:szCs w:val="24"/>
              </w:rPr>
              <w:t xml:space="preserve"> Disease activity</w:t>
            </w:r>
          </w:p>
        </w:tc>
        <w:tc>
          <w:tcPr>
            <w:tcW w:w="4536" w:type="dxa"/>
            <w:gridSpan w:val="2"/>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p>
        </w:tc>
        <w:tc>
          <w:tcPr>
            <w:tcW w:w="1134"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宋体" w:hAnsi="Book Antiqua"/>
                <w:kern w:val="0"/>
                <w:sz w:val="24"/>
                <w:szCs w:val="24"/>
                <w:lang w:eastAsia="zh-CN"/>
              </w:rPr>
            </w:pPr>
            <w:r w:rsidRPr="00DF30C4">
              <w:rPr>
                <w:rFonts w:ascii="Book Antiqua" w:eastAsia="MS PGothic" w:hAnsi="Book Antiqua"/>
                <w:color w:val="000000"/>
                <w:kern w:val="0"/>
                <w:sz w:val="24"/>
                <w:szCs w:val="24"/>
              </w:rPr>
              <w:t xml:space="preserve">0.19 </w:t>
            </w:r>
            <w:r w:rsidRPr="00DF30C4">
              <w:rPr>
                <w:rFonts w:ascii="Book Antiqua" w:eastAsia="宋体" w:hAnsi="Book Antiqua"/>
                <w:color w:val="000000"/>
                <w:kern w:val="0"/>
                <w:sz w:val="24"/>
                <w:szCs w:val="24"/>
                <w:vertAlign w:val="superscript"/>
                <w:lang w:eastAsia="zh-CN"/>
              </w:rPr>
              <w:t>1</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Pr>
                <w:rFonts w:ascii="Book Antiqua" w:eastAsia="MS PGothic" w:hAnsi="Book Antiqua"/>
                <w:color w:val="000000"/>
                <w:kern w:val="0"/>
                <w:sz w:val="24"/>
                <w:szCs w:val="24"/>
              </w:rPr>
              <w:t xml:space="preserve">  </w:t>
            </w:r>
            <w:r w:rsidRPr="00DF30C4">
              <w:rPr>
                <w:rFonts w:ascii="Book Antiqua" w:eastAsia="MS PGothic" w:hAnsi="Book Antiqua"/>
                <w:color w:val="000000"/>
                <w:kern w:val="0"/>
                <w:sz w:val="24"/>
                <w:szCs w:val="24"/>
              </w:rPr>
              <w:t>Mild</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2</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8</w:t>
            </w: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Pr>
                <w:rFonts w:ascii="Book Antiqua" w:eastAsia="MS PGothic" w:hAnsi="Book Antiqua"/>
                <w:color w:val="000000"/>
                <w:kern w:val="0"/>
                <w:sz w:val="24"/>
                <w:szCs w:val="24"/>
              </w:rPr>
              <w:t xml:space="preserve">  </w:t>
            </w:r>
            <w:r w:rsidRPr="00DF30C4">
              <w:rPr>
                <w:rFonts w:ascii="Book Antiqua" w:eastAsia="MS PGothic" w:hAnsi="Book Antiqua"/>
                <w:color w:val="000000"/>
                <w:kern w:val="0"/>
                <w:sz w:val="24"/>
                <w:szCs w:val="24"/>
              </w:rPr>
              <w:t>Moderate</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hAnsi="Book Antiqua"/>
                <w:color w:val="000000"/>
                <w:sz w:val="24"/>
                <w:szCs w:val="24"/>
              </w:rPr>
              <w:t>15</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35</w:t>
            </w: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w:t>
            </w:r>
          </w:p>
        </w:tc>
      </w:tr>
      <w:tr w:rsidR="00C172CC" w:rsidRPr="00DF30C4" w:rsidTr="0023222F">
        <w:trPr>
          <w:trHeight w:val="387"/>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Pr>
                <w:rFonts w:ascii="Book Antiqua" w:eastAsia="MS PGothic" w:hAnsi="Book Antiqua"/>
                <w:color w:val="000000"/>
                <w:kern w:val="0"/>
                <w:sz w:val="24"/>
                <w:szCs w:val="24"/>
              </w:rPr>
              <w:t xml:space="preserve">  </w:t>
            </w:r>
            <w:r w:rsidRPr="00DF30C4">
              <w:rPr>
                <w:rFonts w:ascii="Book Antiqua" w:eastAsia="MS PGothic" w:hAnsi="Book Antiqua"/>
                <w:color w:val="000000"/>
                <w:kern w:val="0"/>
                <w:sz w:val="24"/>
                <w:szCs w:val="24"/>
              </w:rPr>
              <w:t>Severe</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23</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35</w:t>
            </w: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bCs/>
                <w:color w:val="000000"/>
                <w:kern w:val="0"/>
                <w:sz w:val="24"/>
                <w:szCs w:val="24"/>
              </w:rPr>
              <w:t xml:space="preserve"> Lichtiger’s CAI, median (range)</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11 (7-19)</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13 (7-21)</w:t>
            </w: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0.15</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bCs/>
                <w:color w:val="000000"/>
                <w:kern w:val="0"/>
                <w:sz w:val="24"/>
                <w:szCs w:val="24"/>
              </w:rPr>
              <w:t xml:space="preserve"> Extent of disease</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0.31</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Pr>
                <w:rFonts w:ascii="Book Antiqua" w:eastAsia="MS PGothic" w:hAnsi="Book Antiqua"/>
                <w:color w:val="000000"/>
                <w:kern w:val="0"/>
                <w:sz w:val="24"/>
                <w:szCs w:val="24"/>
              </w:rPr>
              <w:t xml:space="preserve">  </w:t>
            </w:r>
            <w:r w:rsidRPr="00DF30C4">
              <w:rPr>
                <w:rFonts w:ascii="Book Antiqua" w:eastAsia="MS PGothic" w:hAnsi="Book Antiqua"/>
                <w:color w:val="000000"/>
                <w:kern w:val="0"/>
                <w:sz w:val="24"/>
                <w:szCs w:val="24"/>
              </w:rPr>
              <w:t>Total colitis</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33</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58</w:t>
            </w: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Pr>
                <w:rFonts w:ascii="Book Antiqua" w:eastAsia="MS PGothic" w:hAnsi="Book Antiqua"/>
                <w:color w:val="000000"/>
                <w:kern w:val="0"/>
                <w:sz w:val="24"/>
                <w:szCs w:val="24"/>
              </w:rPr>
              <w:t xml:space="preserve">  </w:t>
            </w:r>
            <w:r w:rsidRPr="00DF30C4">
              <w:rPr>
                <w:rFonts w:ascii="Book Antiqua" w:eastAsia="MS PGothic" w:hAnsi="Book Antiqua"/>
                <w:color w:val="000000"/>
                <w:kern w:val="0"/>
                <w:sz w:val="24"/>
                <w:szCs w:val="24"/>
              </w:rPr>
              <w:t>Left-sided</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7</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20</w:t>
            </w:r>
          </w:p>
        </w:tc>
        <w:tc>
          <w:tcPr>
            <w:tcW w:w="1134" w:type="dxa"/>
            <w:tcBorders>
              <w:top w:val="nil"/>
              <w:left w:val="nil"/>
              <w:bottom w:val="nil"/>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 </w:t>
            </w:r>
          </w:p>
        </w:tc>
      </w:tr>
      <w:tr w:rsidR="00C172CC" w:rsidRPr="00DF30C4" w:rsidTr="0023222F">
        <w:trPr>
          <w:trHeight w:val="339"/>
        </w:trPr>
        <w:tc>
          <w:tcPr>
            <w:tcW w:w="4777"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bCs/>
                <w:color w:val="000000"/>
                <w:kern w:val="0"/>
                <w:sz w:val="24"/>
                <w:szCs w:val="24"/>
              </w:rPr>
              <w:t xml:space="preserve"> Dose of prednisolone (mg/d), median (range)</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35 (0-80)</w:t>
            </w:r>
          </w:p>
        </w:tc>
        <w:tc>
          <w:tcPr>
            <w:tcW w:w="2268"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20 (0-100)</w:t>
            </w:r>
          </w:p>
        </w:tc>
        <w:tc>
          <w:tcPr>
            <w:tcW w:w="1134" w:type="dxa"/>
            <w:tcBorders>
              <w:top w:val="nil"/>
              <w:left w:val="nil"/>
              <w:bottom w:val="nil"/>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0.0003</w:t>
            </w:r>
          </w:p>
        </w:tc>
      </w:tr>
      <w:tr w:rsidR="00C172CC" w:rsidRPr="00DF30C4" w:rsidTr="0023222F">
        <w:trPr>
          <w:trHeight w:val="339"/>
        </w:trPr>
        <w:tc>
          <w:tcPr>
            <w:tcW w:w="4777" w:type="dxa"/>
            <w:tcBorders>
              <w:top w:val="nil"/>
              <w:left w:val="nil"/>
              <w:bottom w:val="single" w:sz="8" w:space="0" w:color="000000"/>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bCs/>
                <w:color w:val="000000"/>
                <w:kern w:val="0"/>
                <w:sz w:val="24"/>
                <w:szCs w:val="24"/>
              </w:rPr>
              <w:t xml:space="preserve"> Follow-up period (yr), median (range)</w:t>
            </w:r>
          </w:p>
        </w:tc>
        <w:tc>
          <w:tcPr>
            <w:tcW w:w="2268" w:type="dxa"/>
            <w:tcBorders>
              <w:top w:val="nil"/>
              <w:left w:val="nil"/>
              <w:bottom w:val="single" w:sz="8" w:space="0" w:color="000000"/>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3.2 (0.1-9.3)</w:t>
            </w:r>
          </w:p>
        </w:tc>
        <w:tc>
          <w:tcPr>
            <w:tcW w:w="2268" w:type="dxa"/>
            <w:tcBorders>
              <w:top w:val="nil"/>
              <w:left w:val="nil"/>
              <w:bottom w:val="single" w:sz="8" w:space="0" w:color="000000"/>
              <w:right w:val="nil"/>
            </w:tcBorders>
            <w:tcMar>
              <w:top w:w="15" w:type="dxa"/>
              <w:left w:w="99" w:type="dxa"/>
              <w:bottom w:w="0" w:type="dxa"/>
              <w:right w:w="99" w:type="dxa"/>
            </w:tcMar>
            <w:vAlign w:val="cente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2.8 (0.1-9.7)</w:t>
            </w:r>
          </w:p>
        </w:tc>
        <w:tc>
          <w:tcPr>
            <w:tcW w:w="1134" w:type="dxa"/>
            <w:tcBorders>
              <w:top w:val="nil"/>
              <w:left w:val="nil"/>
              <w:bottom w:val="single" w:sz="8" w:space="0" w:color="000000"/>
              <w:right w:val="nil"/>
            </w:tcBorders>
            <w:tcMar>
              <w:top w:w="15" w:type="dxa"/>
              <w:left w:w="99" w:type="dxa"/>
              <w:bottom w:w="0" w:type="dxa"/>
              <w:right w:w="99" w:type="dxa"/>
            </w:tcMar>
          </w:tcPr>
          <w:p w:rsidR="00C172CC" w:rsidRPr="00DF30C4" w:rsidRDefault="00C172CC" w:rsidP="0023222F">
            <w:pPr>
              <w:widowControl/>
              <w:spacing w:line="360" w:lineRule="auto"/>
              <w:jc w:val="left"/>
              <w:rPr>
                <w:rFonts w:ascii="Book Antiqua" w:eastAsia="MS PGothic" w:hAnsi="Book Antiqua"/>
                <w:kern w:val="0"/>
                <w:sz w:val="24"/>
                <w:szCs w:val="24"/>
              </w:rPr>
            </w:pPr>
            <w:r w:rsidRPr="00DF30C4">
              <w:rPr>
                <w:rFonts w:ascii="Book Antiqua" w:eastAsia="MS PGothic" w:hAnsi="Book Antiqua"/>
                <w:color w:val="000000"/>
                <w:kern w:val="0"/>
                <w:sz w:val="24"/>
                <w:szCs w:val="24"/>
              </w:rPr>
              <w:t>0.66</w:t>
            </w:r>
          </w:p>
        </w:tc>
      </w:tr>
    </w:tbl>
    <w:p w:rsidR="00C172CC" w:rsidRPr="00DF30C4" w:rsidRDefault="00C172CC" w:rsidP="00DF30C4">
      <w:pPr>
        <w:spacing w:line="360" w:lineRule="auto"/>
        <w:rPr>
          <w:rFonts w:ascii="Book Antiqua" w:hAnsi="Book Antiqua"/>
          <w:b/>
          <w:color w:val="FF0000"/>
          <w:sz w:val="24"/>
          <w:szCs w:val="24"/>
        </w:rPr>
      </w:pPr>
    </w:p>
    <w:p w:rsidR="00C172CC" w:rsidRPr="00DF30C4" w:rsidRDefault="00C172CC" w:rsidP="00DF30C4">
      <w:pPr>
        <w:spacing w:line="360" w:lineRule="auto"/>
        <w:rPr>
          <w:rFonts w:ascii="Book Antiqua" w:hAnsi="Book Antiqua"/>
          <w:b/>
          <w:color w:val="FF0000"/>
          <w:sz w:val="24"/>
          <w:szCs w:val="24"/>
        </w:rPr>
      </w:pPr>
    </w:p>
    <w:p w:rsidR="00C172CC" w:rsidRPr="00DF30C4" w:rsidRDefault="00C172CC" w:rsidP="00DF30C4">
      <w:pPr>
        <w:pStyle w:val="a7"/>
        <w:spacing w:before="0" w:beforeAutospacing="0" w:after="0" w:afterAutospacing="0" w:line="360" w:lineRule="auto"/>
        <w:textAlignment w:val="baseline"/>
        <w:rPr>
          <w:rFonts w:ascii="Book Antiqua" w:hAnsi="Book Antiqua" w:cs="Times New Roman"/>
        </w:rPr>
      </w:pPr>
      <w:r w:rsidRPr="00DF30C4">
        <w:rPr>
          <w:rFonts w:ascii="Book Antiqua" w:eastAsia="宋体" w:hAnsi="Book Antiqua"/>
          <w:color w:val="000000"/>
          <w:kern w:val="24"/>
          <w:position w:val="7"/>
          <w:vertAlign w:val="superscript"/>
          <w:lang w:eastAsia="zh-CN"/>
        </w:rPr>
        <w:t>1</w:t>
      </w:r>
      <w:r w:rsidRPr="00DF30C4">
        <w:rPr>
          <w:rFonts w:ascii="Book Antiqua" w:hAnsi="Book Antiqua"/>
          <w:color w:val="000000"/>
          <w:kern w:val="24"/>
        </w:rPr>
        <w:t>Overall P-value</w:t>
      </w:r>
      <w:r w:rsidRPr="00DF30C4">
        <w:rPr>
          <w:rFonts w:ascii="Book Antiqua" w:eastAsia="宋体" w:hAnsi="Book Antiqua"/>
          <w:color w:val="000000"/>
          <w:kern w:val="24"/>
          <w:lang w:eastAsia="zh-CN"/>
        </w:rPr>
        <w:t>.</w:t>
      </w:r>
      <w:r w:rsidRPr="00DF30C4">
        <w:rPr>
          <w:rFonts w:ascii="Book Antiqua" w:hAnsi="Book Antiqua" w:cs="Times New Roman"/>
          <w:color w:val="000000"/>
          <w:kern w:val="24"/>
        </w:rPr>
        <w:t xml:space="preserve"> By</w:t>
      </w:r>
      <w:r w:rsidRPr="00DF30C4">
        <w:rPr>
          <w:rFonts w:ascii="Book Antiqua" w:hAnsi="Book Antiqua" w:cs="Times New Roman"/>
          <w:i/>
          <w:color w:val="000000"/>
          <w:kern w:val="24"/>
        </w:rPr>
        <w:t xml:space="preserve"> χ</w:t>
      </w:r>
      <w:r w:rsidRPr="00DF30C4">
        <w:rPr>
          <w:rFonts w:ascii="Book Antiqua" w:eastAsia="宋体" w:hAnsi="Book Antiqua" w:cs="Times New Roman"/>
          <w:i/>
          <w:color w:val="000000"/>
          <w:kern w:val="24"/>
          <w:vertAlign w:val="superscript"/>
          <w:lang w:eastAsia="zh-CN"/>
        </w:rPr>
        <w:t>2</w:t>
      </w:r>
      <w:r w:rsidRPr="00DF30C4">
        <w:rPr>
          <w:rFonts w:ascii="Book Antiqua" w:eastAsia="宋体" w:hAnsi="Book Antiqua" w:cs="Times New Roman"/>
          <w:i/>
          <w:color w:val="000000"/>
          <w:kern w:val="24"/>
          <w:lang w:eastAsia="zh-CN"/>
        </w:rPr>
        <w:t xml:space="preserve"> </w:t>
      </w:r>
      <w:r w:rsidRPr="00DF30C4">
        <w:rPr>
          <w:rFonts w:ascii="Book Antiqua" w:hAnsi="Book Antiqua" w:cs="Times New Roman"/>
          <w:color w:val="000000"/>
          <w:kern w:val="24"/>
        </w:rPr>
        <w:t xml:space="preserve">test, Fisher’s exact test, and Mann-Whitney </w:t>
      </w:r>
      <w:r w:rsidRPr="00DF30C4">
        <w:rPr>
          <w:rFonts w:ascii="Book Antiqua" w:hAnsi="Book Antiqua" w:cs="Times New Roman"/>
          <w:i/>
          <w:color w:val="000000"/>
          <w:kern w:val="24"/>
        </w:rPr>
        <w:t>U</w:t>
      </w:r>
      <w:r w:rsidRPr="00DF30C4">
        <w:rPr>
          <w:rFonts w:ascii="Book Antiqua" w:hAnsi="Book Antiqua" w:cs="Times New Roman"/>
          <w:color w:val="000000"/>
          <w:kern w:val="24"/>
        </w:rPr>
        <w:t>-test.</w:t>
      </w:r>
      <w:r w:rsidRPr="00DF30C4">
        <w:rPr>
          <w:rFonts w:ascii="Book Antiqua" w:eastAsia="宋体" w:hAnsi="Book Antiqua" w:cs="Times New Roman"/>
          <w:color w:val="000000"/>
          <w:kern w:val="24"/>
          <w:lang w:eastAsia="zh-CN"/>
        </w:rPr>
        <w:t xml:space="preserve"> </w:t>
      </w:r>
      <w:r w:rsidRPr="00DF30C4">
        <w:rPr>
          <w:rFonts w:ascii="Book Antiqua" w:hAnsi="Book Antiqua"/>
          <w:color w:val="000000"/>
          <w:kern w:val="24"/>
        </w:rPr>
        <w:t>CMV Ag: Cytomegalovirus antigenemia assay; CAI: Clinical activity index</w:t>
      </w:r>
      <w:r w:rsidRPr="00DF30C4">
        <w:rPr>
          <w:rFonts w:ascii="Book Antiqua" w:eastAsia="宋体" w:hAnsi="Book Antiqua"/>
          <w:color w:val="000000"/>
          <w:kern w:val="24"/>
          <w:lang w:eastAsia="zh-CN"/>
        </w:rPr>
        <w:t>.</w:t>
      </w:r>
      <w:r w:rsidRPr="00DF30C4">
        <w:rPr>
          <w:rFonts w:ascii="Book Antiqua" w:hAnsi="Book Antiqua"/>
          <w:color w:val="000000"/>
          <w:kern w:val="24"/>
        </w:rPr>
        <w:t xml:space="preserve"> </w:t>
      </w:r>
    </w:p>
    <w:p w:rsidR="00C172CC" w:rsidRPr="00DF30C4" w:rsidRDefault="00C172CC" w:rsidP="00DF30C4">
      <w:pPr>
        <w:pStyle w:val="a7"/>
        <w:tabs>
          <w:tab w:val="left" w:pos="3931"/>
        </w:tabs>
        <w:spacing w:before="0" w:beforeAutospacing="0" w:after="0" w:afterAutospacing="0" w:line="360" w:lineRule="auto"/>
        <w:textAlignment w:val="baseline"/>
        <w:rPr>
          <w:rFonts w:ascii="Book Antiqua" w:hAnsi="Book Antiqua" w:cs="Times New Roman"/>
          <w:color w:val="000000"/>
          <w:kern w:val="24"/>
        </w:rPr>
      </w:pPr>
      <w:r w:rsidRPr="00DF30C4">
        <w:rPr>
          <w:rFonts w:ascii="Book Antiqua" w:hAnsi="Book Antiqua" w:cs="Times New Roman"/>
          <w:color w:val="000000"/>
          <w:kern w:val="24"/>
        </w:rPr>
        <w:tab/>
      </w:r>
    </w:p>
    <w:p w:rsidR="00C172CC" w:rsidRPr="00DF30C4" w:rsidRDefault="00C172CC" w:rsidP="00DF30C4">
      <w:pPr>
        <w:pStyle w:val="a7"/>
        <w:tabs>
          <w:tab w:val="left" w:pos="3931"/>
        </w:tabs>
        <w:spacing w:before="0" w:beforeAutospacing="0" w:after="0" w:afterAutospacing="0" w:line="360" w:lineRule="auto"/>
        <w:textAlignment w:val="baseline"/>
        <w:rPr>
          <w:rFonts w:ascii="Book Antiqua" w:hAnsi="Book Antiqua" w:cs="Times New Roman"/>
          <w:color w:val="000000"/>
          <w:kern w:val="24"/>
        </w:rPr>
      </w:pPr>
    </w:p>
    <w:p w:rsidR="00C172CC" w:rsidRPr="00DF30C4" w:rsidRDefault="00C172CC" w:rsidP="00DF30C4">
      <w:pPr>
        <w:widowControl/>
        <w:spacing w:line="360" w:lineRule="auto"/>
        <w:jc w:val="left"/>
        <w:rPr>
          <w:rFonts w:ascii="Book Antiqua" w:eastAsia="宋体" w:hAnsi="Book Antiqua"/>
          <w:color w:val="000000"/>
          <w:kern w:val="24"/>
          <w:sz w:val="24"/>
          <w:szCs w:val="24"/>
          <w:lang w:eastAsia="zh-CN"/>
        </w:rPr>
      </w:pPr>
    </w:p>
    <w:p w:rsidR="00C172CC" w:rsidRDefault="00C172CC" w:rsidP="00DF30C4">
      <w:pPr>
        <w:widowControl/>
        <w:spacing w:line="360" w:lineRule="auto"/>
        <w:jc w:val="left"/>
        <w:rPr>
          <w:rFonts w:ascii="Book Antiqua" w:eastAsia="宋体" w:hAnsi="Book Antiqua"/>
          <w:color w:val="000000"/>
          <w:kern w:val="24"/>
          <w:sz w:val="24"/>
          <w:szCs w:val="24"/>
          <w:lang w:eastAsia="zh-CN"/>
        </w:rPr>
      </w:pPr>
    </w:p>
    <w:p w:rsidR="00C172CC" w:rsidRPr="00DF30C4" w:rsidRDefault="00C172CC" w:rsidP="00DF30C4">
      <w:pPr>
        <w:widowControl/>
        <w:spacing w:line="360" w:lineRule="auto"/>
        <w:jc w:val="left"/>
        <w:rPr>
          <w:rFonts w:ascii="Book Antiqua" w:eastAsia="宋体" w:hAnsi="Book Antiqua"/>
          <w:color w:val="000000"/>
          <w:kern w:val="24"/>
          <w:sz w:val="24"/>
          <w:szCs w:val="24"/>
          <w:lang w:eastAsia="zh-CN"/>
        </w:rPr>
      </w:pPr>
    </w:p>
    <w:p w:rsidR="00C172CC" w:rsidRPr="00DF30C4" w:rsidRDefault="00C172CC" w:rsidP="00DF30C4">
      <w:pPr>
        <w:widowControl/>
        <w:spacing w:line="360" w:lineRule="auto"/>
        <w:jc w:val="left"/>
        <w:rPr>
          <w:rFonts w:ascii="Book Antiqua" w:eastAsia="MS PGothic" w:hAnsi="Book Antiqua"/>
          <w:color w:val="000000"/>
          <w:kern w:val="24"/>
          <w:sz w:val="24"/>
          <w:szCs w:val="24"/>
        </w:rPr>
      </w:pPr>
      <w:r w:rsidRPr="00DF30C4">
        <w:rPr>
          <w:rFonts w:ascii="Book Antiqua" w:hAnsi="Book Antiqua"/>
          <w:b/>
          <w:noProof/>
          <w:sz w:val="24"/>
          <w:szCs w:val="24"/>
        </w:rPr>
        <w:t xml:space="preserve">Table 2 </w:t>
      </w:r>
      <w:r w:rsidRPr="00DF30C4">
        <w:rPr>
          <w:rFonts w:ascii="Book Antiqua" w:hAnsi="Book Antiqua"/>
          <w:b/>
          <w:bCs/>
          <w:noProof/>
          <w:sz w:val="24"/>
          <w:szCs w:val="24"/>
        </w:rPr>
        <w:t xml:space="preserve">Multivariate analysis of factors predictive of colectomy in </w:t>
      </w:r>
      <w:r w:rsidRPr="00DF30C4">
        <w:rPr>
          <w:rFonts w:ascii="Book Antiqua" w:hAnsi="Book Antiqua"/>
          <w:b/>
          <w:kern w:val="0"/>
          <w:sz w:val="24"/>
          <w:szCs w:val="24"/>
        </w:rPr>
        <w:t>ulcerative colitis</w:t>
      </w:r>
      <w:r w:rsidRPr="00DF30C4">
        <w:rPr>
          <w:rFonts w:ascii="Book Antiqua" w:hAnsi="Book Antiqua"/>
          <w:b/>
          <w:bCs/>
          <w:noProof/>
          <w:sz w:val="24"/>
          <w:szCs w:val="24"/>
        </w:rPr>
        <w:t xml:space="preserve"> patients</w:t>
      </w:r>
    </w:p>
    <w:tbl>
      <w:tblPr>
        <w:tblpPr w:leftFromText="180" w:rightFromText="180" w:vertAnchor="text" w:horzAnchor="margin" w:tblpY="133"/>
        <w:tblW w:w="9284" w:type="dxa"/>
        <w:tblCellMar>
          <w:left w:w="0" w:type="dxa"/>
          <w:right w:w="0" w:type="dxa"/>
        </w:tblCellMar>
        <w:tblLook w:val="0020" w:firstRow="1" w:lastRow="0" w:firstColumn="0" w:lastColumn="0" w:noHBand="0" w:noVBand="0"/>
      </w:tblPr>
      <w:tblGrid>
        <w:gridCol w:w="3828"/>
        <w:gridCol w:w="1559"/>
        <w:gridCol w:w="1502"/>
        <w:gridCol w:w="1267"/>
        <w:gridCol w:w="1128"/>
      </w:tblGrid>
      <w:tr w:rsidR="00C172CC" w:rsidRPr="00DF30C4" w:rsidTr="00FF798C">
        <w:trPr>
          <w:trHeight w:val="407"/>
        </w:trPr>
        <w:tc>
          <w:tcPr>
            <w:tcW w:w="3828" w:type="dxa"/>
            <w:vMerge w:val="restart"/>
            <w:tcBorders>
              <w:top w:val="single" w:sz="8" w:space="0" w:color="000000"/>
              <w:left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Risk factor</w:t>
            </w:r>
          </w:p>
        </w:tc>
        <w:tc>
          <w:tcPr>
            <w:tcW w:w="1559" w:type="dxa"/>
            <w:vMerge w:val="restart"/>
            <w:tcBorders>
              <w:top w:val="single" w:sz="8" w:space="0" w:color="000000"/>
              <w:left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Risk ratio</w:t>
            </w:r>
          </w:p>
        </w:tc>
        <w:tc>
          <w:tcPr>
            <w:tcW w:w="2769" w:type="dxa"/>
            <w:gridSpan w:val="2"/>
            <w:tcBorders>
              <w:top w:val="single" w:sz="8" w:space="0" w:color="000000"/>
              <w:left w:val="nil"/>
              <w:bottom w:val="single" w:sz="4" w:space="0" w:color="auto"/>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eastAsia="宋体" w:hAnsi="Book Antiqua"/>
                <w:sz w:val="24"/>
                <w:szCs w:val="24"/>
                <w:lang w:eastAsia="zh-CN"/>
              </w:rPr>
            </w:pPr>
            <w:r w:rsidRPr="00DF30C4">
              <w:rPr>
                <w:rFonts w:ascii="Book Antiqua" w:hAnsi="Book Antiqua"/>
                <w:sz w:val="24"/>
                <w:szCs w:val="24"/>
              </w:rPr>
              <w:t>95% CI</w:t>
            </w:r>
          </w:p>
        </w:tc>
        <w:tc>
          <w:tcPr>
            <w:tcW w:w="1128" w:type="dxa"/>
            <w:vMerge w:val="restart"/>
            <w:tcBorders>
              <w:top w:val="single" w:sz="8" w:space="0" w:color="000000"/>
              <w:left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i/>
                <w:iCs/>
                <w:sz w:val="24"/>
                <w:szCs w:val="24"/>
              </w:rPr>
              <w:t>P</w:t>
            </w:r>
            <w:r w:rsidRPr="00DF30C4">
              <w:rPr>
                <w:rFonts w:ascii="Book Antiqua" w:hAnsi="Book Antiqua"/>
                <w:sz w:val="24"/>
                <w:szCs w:val="24"/>
              </w:rPr>
              <w:t>-value</w:t>
            </w:r>
          </w:p>
        </w:tc>
      </w:tr>
      <w:tr w:rsidR="00C172CC" w:rsidRPr="00DF30C4" w:rsidTr="00FF798C">
        <w:trPr>
          <w:trHeight w:val="394"/>
        </w:trPr>
        <w:tc>
          <w:tcPr>
            <w:tcW w:w="3828" w:type="dxa"/>
            <w:vMerge/>
            <w:tcBorders>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p>
        </w:tc>
        <w:tc>
          <w:tcPr>
            <w:tcW w:w="1559" w:type="dxa"/>
            <w:vMerge/>
            <w:tcBorders>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p>
        </w:tc>
        <w:tc>
          <w:tcPr>
            <w:tcW w:w="2769" w:type="dxa"/>
            <w:gridSpan w:val="2"/>
            <w:tcBorders>
              <w:top w:val="single" w:sz="4" w:space="0" w:color="auto"/>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spacing w:line="360" w:lineRule="auto"/>
              <w:ind w:firstLineChars="150" w:firstLine="360"/>
              <w:rPr>
                <w:rFonts w:ascii="Book Antiqua" w:hAnsi="Book Antiqua"/>
                <w:sz w:val="24"/>
                <w:szCs w:val="24"/>
              </w:rPr>
            </w:pPr>
            <w:r w:rsidRPr="00DF30C4">
              <w:rPr>
                <w:rFonts w:ascii="Book Antiqua" w:hAnsi="Book Antiqua"/>
                <w:sz w:val="24"/>
                <w:szCs w:val="24"/>
              </w:rPr>
              <w:t>Lower</w:t>
            </w:r>
            <w:r>
              <w:rPr>
                <w:rFonts w:ascii="Book Antiqua" w:hAnsi="Book Antiqua"/>
                <w:sz w:val="24"/>
                <w:szCs w:val="24"/>
              </w:rPr>
              <w:t xml:space="preserve">  </w:t>
            </w:r>
            <w:r w:rsidRPr="00DF30C4">
              <w:rPr>
                <w:rFonts w:ascii="Book Antiqua" w:hAnsi="Book Antiqua"/>
                <w:sz w:val="24"/>
                <w:szCs w:val="24"/>
              </w:rPr>
              <w:t xml:space="preserve"> Upper</w:t>
            </w:r>
          </w:p>
        </w:tc>
        <w:tc>
          <w:tcPr>
            <w:tcW w:w="1128" w:type="dxa"/>
            <w:vMerge/>
            <w:tcBorders>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i/>
                <w:iCs/>
                <w:sz w:val="24"/>
                <w:szCs w:val="24"/>
              </w:rPr>
            </w:pPr>
          </w:p>
        </w:tc>
      </w:tr>
      <w:tr w:rsidR="00C172CC" w:rsidRPr="00DF30C4" w:rsidTr="00FF798C">
        <w:trPr>
          <w:trHeight w:val="333"/>
        </w:trPr>
        <w:tc>
          <w:tcPr>
            <w:tcW w:w="3828" w:type="dxa"/>
            <w:tcBorders>
              <w:top w:val="single" w:sz="8" w:space="0" w:color="000000"/>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Gender (male)</w:t>
            </w:r>
          </w:p>
        </w:tc>
        <w:tc>
          <w:tcPr>
            <w:tcW w:w="1559" w:type="dxa"/>
            <w:tcBorders>
              <w:top w:val="single" w:sz="8" w:space="0" w:color="000000"/>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0.97</w:t>
            </w:r>
          </w:p>
        </w:tc>
        <w:tc>
          <w:tcPr>
            <w:tcW w:w="1502" w:type="dxa"/>
            <w:tcBorders>
              <w:top w:val="single" w:sz="8" w:space="0" w:color="000000"/>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0.59</w:t>
            </w:r>
          </w:p>
        </w:tc>
        <w:tc>
          <w:tcPr>
            <w:tcW w:w="1267" w:type="dxa"/>
            <w:tcBorders>
              <w:top w:val="single" w:sz="8" w:space="0" w:color="000000"/>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1.59</w:t>
            </w:r>
          </w:p>
        </w:tc>
        <w:tc>
          <w:tcPr>
            <w:tcW w:w="1128" w:type="dxa"/>
            <w:tcBorders>
              <w:top w:val="single" w:sz="8" w:space="0" w:color="000000"/>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0.89</w:t>
            </w:r>
          </w:p>
        </w:tc>
      </w:tr>
      <w:tr w:rsidR="00C172CC" w:rsidRPr="00DF30C4" w:rsidTr="00FF798C">
        <w:trPr>
          <w:trHeight w:val="333"/>
        </w:trPr>
        <w:tc>
          <w:tcPr>
            <w:tcW w:w="38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Age (&gt; 40 y</w:t>
            </w:r>
            <w:r w:rsidRPr="00DF30C4">
              <w:rPr>
                <w:rFonts w:ascii="Book Antiqua" w:eastAsia="宋体" w:hAnsi="Book Antiqua"/>
                <w:sz w:val="24"/>
                <w:szCs w:val="24"/>
                <w:lang w:eastAsia="zh-CN"/>
              </w:rPr>
              <w:t>r</w:t>
            </w:r>
            <w:r w:rsidRPr="00DF30C4">
              <w:rPr>
                <w:rFonts w:ascii="Book Antiqua" w:hAnsi="Book Antiqua"/>
                <w:sz w:val="24"/>
                <w:szCs w:val="24"/>
              </w:rPr>
              <w:t>)</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1.13</w:t>
            </w:r>
          </w:p>
        </w:tc>
        <w:tc>
          <w:tcPr>
            <w:tcW w:w="1502"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0.70</w:t>
            </w:r>
          </w:p>
        </w:tc>
        <w:tc>
          <w:tcPr>
            <w:tcW w:w="1267"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1.82</w:t>
            </w:r>
          </w:p>
        </w:tc>
        <w:tc>
          <w:tcPr>
            <w:tcW w:w="11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0.61</w:t>
            </w:r>
          </w:p>
        </w:tc>
      </w:tr>
      <w:tr w:rsidR="00C172CC" w:rsidRPr="00DF30C4" w:rsidTr="00FF798C">
        <w:trPr>
          <w:trHeight w:val="333"/>
        </w:trPr>
        <w:tc>
          <w:tcPr>
            <w:tcW w:w="38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Duration of disease (&gt; 3 y</w:t>
            </w:r>
            <w:r w:rsidRPr="00DF30C4">
              <w:rPr>
                <w:rFonts w:ascii="Book Antiqua" w:eastAsia="宋体" w:hAnsi="Book Antiqua"/>
                <w:sz w:val="24"/>
                <w:szCs w:val="24"/>
                <w:lang w:eastAsia="zh-CN"/>
              </w:rPr>
              <w:t>r</w:t>
            </w:r>
            <w:r w:rsidRPr="00DF30C4">
              <w:rPr>
                <w:rFonts w:ascii="Book Antiqua" w:hAnsi="Book Antiqua"/>
                <w:sz w:val="24"/>
                <w:szCs w:val="24"/>
              </w:rPr>
              <w:t>)</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0.99</w:t>
            </w:r>
          </w:p>
        </w:tc>
        <w:tc>
          <w:tcPr>
            <w:tcW w:w="1502"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0.61</w:t>
            </w:r>
          </w:p>
        </w:tc>
        <w:tc>
          <w:tcPr>
            <w:tcW w:w="1267"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1.61</w:t>
            </w:r>
          </w:p>
        </w:tc>
        <w:tc>
          <w:tcPr>
            <w:tcW w:w="11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0.97</w:t>
            </w:r>
          </w:p>
        </w:tc>
      </w:tr>
      <w:tr w:rsidR="00C172CC" w:rsidRPr="00DF30C4" w:rsidTr="00FF798C">
        <w:trPr>
          <w:trHeight w:val="333"/>
        </w:trPr>
        <w:tc>
          <w:tcPr>
            <w:tcW w:w="38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Severity (severe)</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1.24</w:t>
            </w:r>
          </w:p>
        </w:tc>
        <w:tc>
          <w:tcPr>
            <w:tcW w:w="1502"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0.74</w:t>
            </w:r>
          </w:p>
        </w:tc>
        <w:tc>
          <w:tcPr>
            <w:tcW w:w="1267"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2.08</w:t>
            </w:r>
          </w:p>
        </w:tc>
        <w:tc>
          <w:tcPr>
            <w:tcW w:w="11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0.42</w:t>
            </w:r>
          </w:p>
        </w:tc>
      </w:tr>
      <w:tr w:rsidR="00C172CC" w:rsidRPr="00DF30C4" w:rsidTr="00FF798C">
        <w:trPr>
          <w:trHeight w:val="333"/>
        </w:trPr>
        <w:tc>
          <w:tcPr>
            <w:tcW w:w="38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Extent of disease (total colitis)</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1.21</w:t>
            </w:r>
          </w:p>
        </w:tc>
        <w:tc>
          <w:tcPr>
            <w:tcW w:w="1502"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0.68</w:t>
            </w:r>
          </w:p>
        </w:tc>
        <w:tc>
          <w:tcPr>
            <w:tcW w:w="1267"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2.23</w:t>
            </w:r>
          </w:p>
        </w:tc>
        <w:tc>
          <w:tcPr>
            <w:tcW w:w="11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0.51</w:t>
            </w:r>
          </w:p>
        </w:tc>
      </w:tr>
      <w:tr w:rsidR="00C172CC" w:rsidRPr="00DF30C4" w:rsidTr="00FF798C">
        <w:trPr>
          <w:trHeight w:val="333"/>
        </w:trPr>
        <w:tc>
          <w:tcPr>
            <w:tcW w:w="38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CMV Ag (+)</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0.64</w:t>
            </w:r>
          </w:p>
        </w:tc>
        <w:tc>
          <w:tcPr>
            <w:tcW w:w="1502"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0.36</w:t>
            </w:r>
          </w:p>
        </w:tc>
        <w:tc>
          <w:tcPr>
            <w:tcW w:w="1267"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1.13</w:t>
            </w:r>
          </w:p>
        </w:tc>
        <w:tc>
          <w:tcPr>
            <w:tcW w:w="11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0.12</w:t>
            </w:r>
          </w:p>
        </w:tc>
      </w:tr>
      <w:tr w:rsidR="00C172CC" w:rsidRPr="00DF30C4" w:rsidTr="00FF798C">
        <w:trPr>
          <w:trHeight w:val="333"/>
        </w:trPr>
        <w:tc>
          <w:tcPr>
            <w:tcW w:w="38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Apheresis use</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0.71</w:t>
            </w:r>
          </w:p>
        </w:tc>
        <w:tc>
          <w:tcPr>
            <w:tcW w:w="1502"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0.44</w:t>
            </w:r>
          </w:p>
        </w:tc>
        <w:tc>
          <w:tcPr>
            <w:tcW w:w="1267"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1.17</w:t>
            </w:r>
          </w:p>
        </w:tc>
        <w:tc>
          <w:tcPr>
            <w:tcW w:w="1128"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0.18</w:t>
            </w:r>
          </w:p>
        </w:tc>
      </w:tr>
      <w:tr w:rsidR="00C172CC" w:rsidRPr="00DF30C4" w:rsidTr="00FF798C">
        <w:trPr>
          <w:trHeight w:val="333"/>
        </w:trPr>
        <w:tc>
          <w:tcPr>
            <w:tcW w:w="3828" w:type="dxa"/>
            <w:tcBorders>
              <w:top w:val="nil"/>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widowControl/>
              <w:spacing w:line="360" w:lineRule="auto"/>
              <w:rPr>
                <w:rFonts w:ascii="Book Antiqua" w:hAnsi="Book Antiqua"/>
                <w:sz w:val="24"/>
                <w:szCs w:val="24"/>
              </w:rPr>
            </w:pPr>
            <w:r w:rsidRPr="00DF30C4">
              <w:rPr>
                <w:rFonts w:ascii="Book Antiqua" w:hAnsi="Book Antiqua"/>
                <w:sz w:val="24"/>
                <w:szCs w:val="24"/>
              </w:rPr>
              <w:t>CNI use</w:t>
            </w:r>
          </w:p>
        </w:tc>
        <w:tc>
          <w:tcPr>
            <w:tcW w:w="1559" w:type="dxa"/>
            <w:tcBorders>
              <w:top w:val="nil"/>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1.11</w:t>
            </w:r>
          </w:p>
        </w:tc>
        <w:tc>
          <w:tcPr>
            <w:tcW w:w="1502" w:type="dxa"/>
            <w:tcBorders>
              <w:top w:val="nil"/>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0.63</w:t>
            </w:r>
          </w:p>
        </w:tc>
        <w:tc>
          <w:tcPr>
            <w:tcW w:w="1267" w:type="dxa"/>
            <w:tcBorders>
              <w:top w:val="nil"/>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1.92</w:t>
            </w:r>
          </w:p>
        </w:tc>
        <w:tc>
          <w:tcPr>
            <w:tcW w:w="1128" w:type="dxa"/>
            <w:tcBorders>
              <w:top w:val="nil"/>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widowControl/>
              <w:spacing w:line="360" w:lineRule="auto"/>
              <w:jc w:val="center"/>
              <w:rPr>
                <w:rFonts w:ascii="Book Antiqua" w:hAnsi="Book Antiqua"/>
                <w:sz w:val="24"/>
                <w:szCs w:val="24"/>
              </w:rPr>
            </w:pPr>
            <w:r w:rsidRPr="00DF30C4">
              <w:rPr>
                <w:rFonts w:ascii="Book Antiqua" w:hAnsi="Book Antiqua"/>
                <w:sz w:val="24"/>
                <w:szCs w:val="24"/>
              </w:rPr>
              <w:t>0.73</w:t>
            </w:r>
          </w:p>
        </w:tc>
      </w:tr>
    </w:tbl>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Default="00C172CC" w:rsidP="00DF30C4">
      <w:pPr>
        <w:pStyle w:val="a7"/>
        <w:spacing w:before="0" w:beforeAutospacing="0" w:after="0" w:afterAutospacing="0" w:line="360" w:lineRule="auto"/>
        <w:textAlignment w:val="baseline"/>
        <w:rPr>
          <w:rFonts w:ascii="Book Antiqua" w:eastAsia="宋体" w:hAnsi="Book Antiqua"/>
          <w:color w:val="000000"/>
          <w:kern w:val="24"/>
          <w:lang w:eastAsia="zh-CN"/>
        </w:rPr>
      </w:pPr>
    </w:p>
    <w:p w:rsidR="00C172CC" w:rsidRPr="00DF30C4" w:rsidRDefault="00C172CC" w:rsidP="00DF30C4">
      <w:pPr>
        <w:pStyle w:val="a7"/>
        <w:spacing w:before="0" w:beforeAutospacing="0" w:after="0" w:afterAutospacing="0" w:line="360" w:lineRule="auto"/>
        <w:textAlignment w:val="baseline"/>
        <w:rPr>
          <w:rFonts w:ascii="Book Antiqua" w:hAnsi="Book Antiqua" w:cs="Times New Roman"/>
        </w:rPr>
      </w:pPr>
      <w:r w:rsidRPr="00DF30C4">
        <w:rPr>
          <w:rFonts w:ascii="Book Antiqua" w:hAnsi="Book Antiqua"/>
          <w:color w:val="000000"/>
          <w:kern w:val="24"/>
        </w:rPr>
        <w:t>CMV Ag: Cytomegalovirus antigenemia assay; CAI: Clinical activity index</w:t>
      </w:r>
      <w:r w:rsidRPr="00DF30C4">
        <w:rPr>
          <w:rFonts w:ascii="Book Antiqua" w:eastAsia="宋体" w:hAnsi="Book Antiqua"/>
          <w:color w:val="000000"/>
          <w:kern w:val="24"/>
          <w:lang w:eastAsia="zh-CN"/>
        </w:rPr>
        <w:t>.</w:t>
      </w:r>
      <w:r w:rsidRPr="00DF30C4">
        <w:rPr>
          <w:rFonts w:ascii="Book Antiqua" w:hAnsi="Book Antiqua"/>
          <w:color w:val="000000"/>
          <w:kern w:val="24"/>
        </w:rPr>
        <w:t xml:space="preserve"> </w:t>
      </w:r>
    </w:p>
    <w:p w:rsidR="00C172CC" w:rsidRPr="00DF30C4" w:rsidRDefault="00C172CC" w:rsidP="00DF30C4">
      <w:pPr>
        <w:pStyle w:val="a7"/>
        <w:tabs>
          <w:tab w:val="left" w:pos="3931"/>
        </w:tabs>
        <w:spacing w:before="0" w:beforeAutospacing="0" w:after="0" w:afterAutospacing="0" w:line="360" w:lineRule="auto"/>
        <w:textAlignment w:val="baseline"/>
        <w:rPr>
          <w:rFonts w:ascii="Book Antiqua" w:hAnsi="Book Antiqua" w:cs="Times New Roman"/>
          <w:color w:val="000000"/>
          <w:kern w:val="24"/>
        </w:rPr>
      </w:pPr>
    </w:p>
    <w:p w:rsidR="00C172CC" w:rsidRPr="00DF30C4" w:rsidRDefault="00C172CC" w:rsidP="00DF30C4">
      <w:pPr>
        <w:widowControl/>
        <w:spacing w:line="360" w:lineRule="auto"/>
        <w:jc w:val="left"/>
        <w:rPr>
          <w:rFonts w:ascii="Book Antiqua" w:hAnsi="Book Antiqua" w:cs="Arial"/>
          <w:sz w:val="24"/>
          <w:szCs w:val="24"/>
        </w:rPr>
      </w:pPr>
      <w:r w:rsidRPr="00DF30C4">
        <w:rPr>
          <w:rFonts w:ascii="Book Antiqua" w:hAnsi="Book Antiqua"/>
          <w:color w:val="000000"/>
          <w:kern w:val="24"/>
          <w:sz w:val="24"/>
          <w:szCs w:val="24"/>
        </w:rPr>
        <w:br w:type="page"/>
      </w:r>
    </w:p>
    <w:p w:rsidR="00C172CC" w:rsidRPr="00DF30C4" w:rsidRDefault="00C172CC" w:rsidP="00DF30C4">
      <w:pPr>
        <w:widowControl/>
        <w:spacing w:line="360" w:lineRule="auto"/>
        <w:ind w:leftChars="202" w:left="424"/>
        <w:jc w:val="left"/>
        <w:rPr>
          <w:rFonts w:ascii="Book Antiqua" w:hAnsi="Book Antiqua" w:cs="Arial"/>
          <w:sz w:val="24"/>
          <w:szCs w:val="24"/>
        </w:rPr>
      </w:pPr>
    </w:p>
    <w:p w:rsidR="00C172CC" w:rsidRPr="00DF30C4" w:rsidRDefault="00C172CC" w:rsidP="00DF30C4">
      <w:pPr>
        <w:widowControl/>
        <w:spacing w:line="360" w:lineRule="auto"/>
        <w:jc w:val="left"/>
        <w:rPr>
          <w:rFonts w:ascii="Book Antiqua" w:hAnsi="Book Antiqua"/>
          <w:b/>
          <w:bCs/>
          <w:sz w:val="24"/>
          <w:szCs w:val="24"/>
        </w:rPr>
      </w:pPr>
      <w:r w:rsidRPr="00DF30C4">
        <w:rPr>
          <w:rFonts w:ascii="Book Antiqua" w:hAnsi="Book Antiqua"/>
          <w:b/>
          <w:bCs/>
          <w:sz w:val="24"/>
          <w:szCs w:val="24"/>
        </w:rPr>
        <w:t>Table 3 Multivariate analysis of factors predictive of colectomy in</w:t>
      </w:r>
      <w:r w:rsidRPr="00DF30C4">
        <w:rPr>
          <w:rFonts w:ascii="Book Antiqua" w:hAnsi="Book Antiqua"/>
          <w:b/>
          <w:kern w:val="0"/>
          <w:sz w:val="24"/>
          <w:szCs w:val="24"/>
        </w:rPr>
        <w:t xml:space="preserve"> ulcerative</w:t>
      </w:r>
      <w:r w:rsidRPr="00DF30C4">
        <w:rPr>
          <w:rFonts w:ascii="Book Antiqua" w:hAnsi="Book Antiqua"/>
          <w:b/>
          <w:bCs/>
          <w:sz w:val="24"/>
          <w:szCs w:val="24"/>
        </w:rPr>
        <w:t xml:space="preserve"> patients with positive cytomegalovirus antigen status </w:t>
      </w:r>
    </w:p>
    <w:tbl>
      <w:tblPr>
        <w:tblpPr w:leftFromText="180" w:rightFromText="180" w:vertAnchor="text" w:horzAnchor="margin" w:tblpY="170"/>
        <w:tblW w:w="9500" w:type="dxa"/>
        <w:tblCellMar>
          <w:left w:w="0" w:type="dxa"/>
          <w:right w:w="0" w:type="dxa"/>
        </w:tblCellMar>
        <w:tblLook w:val="0020" w:firstRow="1" w:lastRow="0" w:firstColumn="0" w:lastColumn="0" w:noHBand="0" w:noVBand="0"/>
      </w:tblPr>
      <w:tblGrid>
        <w:gridCol w:w="3970"/>
        <w:gridCol w:w="1559"/>
        <w:gridCol w:w="1419"/>
        <w:gridCol w:w="1276"/>
        <w:gridCol w:w="1276"/>
      </w:tblGrid>
      <w:tr w:rsidR="00C172CC" w:rsidRPr="00DF30C4" w:rsidTr="00FF798C">
        <w:trPr>
          <w:trHeight w:val="510"/>
        </w:trPr>
        <w:tc>
          <w:tcPr>
            <w:tcW w:w="3970" w:type="dxa"/>
            <w:vMerge w:val="restart"/>
            <w:tcBorders>
              <w:top w:val="single" w:sz="8" w:space="0" w:color="000000"/>
              <w:left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Risk factor</w:t>
            </w:r>
          </w:p>
        </w:tc>
        <w:tc>
          <w:tcPr>
            <w:tcW w:w="1559" w:type="dxa"/>
            <w:vMerge w:val="restart"/>
            <w:tcBorders>
              <w:top w:val="single" w:sz="8" w:space="0" w:color="000000"/>
              <w:left w:val="nil"/>
              <w:right w:val="nil"/>
            </w:tcBorders>
            <w:tcMar>
              <w:top w:w="72" w:type="dxa"/>
              <w:left w:w="144" w:type="dxa"/>
              <w:bottom w:w="72" w:type="dxa"/>
              <w:right w:w="144" w:type="dxa"/>
            </w:tcMar>
            <w:vAlign w:val="center"/>
          </w:tcPr>
          <w:p w:rsidR="00C172CC" w:rsidRPr="00DF30C4" w:rsidRDefault="00C172CC" w:rsidP="00DF30C4">
            <w:pPr>
              <w:spacing w:line="360" w:lineRule="auto"/>
              <w:jc w:val="center"/>
              <w:rPr>
                <w:rFonts w:ascii="Book Antiqua" w:hAnsi="Book Antiqua"/>
                <w:sz w:val="24"/>
                <w:szCs w:val="24"/>
              </w:rPr>
            </w:pPr>
            <w:r w:rsidRPr="00DF30C4">
              <w:rPr>
                <w:rFonts w:ascii="Book Antiqua" w:hAnsi="Book Antiqua"/>
                <w:sz w:val="24"/>
                <w:szCs w:val="24"/>
              </w:rPr>
              <w:t>Risk ratio</w:t>
            </w:r>
          </w:p>
        </w:tc>
        <w:tc>
          <w:tcPr>
            <w:tcW w:w="2695" w:type="dxa"/>
            <w:gridSpan w:val="2"/>
            <w:tcBorders>
              <w:top w:val="single" w:sz="8" w:space="0" w:color="000000"/>
              <w:left w:val="nil"/>
              <w:bottom w:val="single" w:sz="4" w:space="0" w:color="auto"/>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eastAsia="宋体" w:hAnsi="Book Antiqua"/>
                <w:sz w:val="24"/>
                <w:szCs w:val="24"/>
                <w:lang w:eastAsia="zh-CN"/>
              </w:rPr>
            </w:pPr>
            <w:r w:rsidRPr="00DF30C4">
              <w:rPr>
                <w:rFonts w:ascii="Book Antiqua" w:hAnsi="Book Antiqua"/>
                <w:sz w:val="24"/>
                <w:szCs w:val="24"/>
              </w:rPr>
              <w:t>95%CI</w:t>
            </w:r>
          </w:p>
        </w:tc>
        <w:tc>
          <w:tcPr>
            <w:tcW w:w="1276" w:type="dxa"/>
            <w:vMerge w:val="restart"/>
            <w:tcBorders>
              <w:top w:val="single" w:sz="8" w:space="0" w:color="000000"/>
              <w:left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i/>
                <w:iCs/>
                <w:sz w:val="24"/>
                <w:szCs w:val="24"/>
              </w:rPr>
              <w:t>P</w:t>
            </w:r>
            <w:r w:rsidRPr="00DF30C4">
              <w:rPr>
                <w:rFonts w:ascii="Book Antiqua" w:hAnsi="Book Antiqua"/>
                <w:sz w:val="24"/>
                <w:szCs w:val="24"/>
              </w:rPr>
              <w:t>-value</w:t>
            </w:r>
          </w:p>
        </w:tc>
      </w:tr>
      <w:tr w:rsidR="00C172CC" w:rsidRPr="00DF30C4" w:rsidTr="00FF798C">
        <w:trPr>
          <w:trHeight w:val="420"/>
        </w:trPr>
        <w:tc>
          <w:tcPr>
            <w:tcW w:w="3970" w:type="dxa"/>
            <w:vMerge/>
            <w:tcBorders>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p>
        </w:tc>
        <w:tc>
          <w:tcPr>
            <w:tcW w:w="1559" w:type="dxa"/>
            <w:vMerge/>
            <w:tcBorders>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p>
        </w:tc>
        <w:tc>
          <w:tcPr>
            <w:tcW w:w="2695" w:type="dxa"/>
            <w:gridSpan w:val="2"/>
            <w:tcBorders>
              <w:top w:val="single" w:sz="4" w:space="0" w:color="auto"/>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spacing w:line="360" w:lineRule="auto"/>
              <w:ind w:firstLineChars="150" w:firstLine="360"/>
              <w:rPr>
                <w:rFonts w:ascii="Book Antiqua" w:hAnsi="Book Antiqua"/>
                <w:sz w:val="24"/>
                <w:szCs w:val="24"/>
              </w:rPr>
            </w:pPr>
            <w:r w:rsidRPr="00DF30C4">
              <w:rPr>
                <w:rFonts w:ascii="Book Antiqua" w:hAnsi="Book Antiqua"/>
                <w:sz w:val="24"/>
                <w:szCs w:val="24"/>
              </w:rPr>
              <w:t>Lower</w:t>
            </w:r>
            <w:r>
              <w:rPr>
                <w:rFonts w:ascii="Book Antiqua" w:hAnsi="Book Antiqua"/>
                <w:sz w:val="24"/>
                <w:szCs w:val="24"/>
              </w:rPr>
              <w:t xml:space="preserve">  </w:t>
            </w:r>
            <w:r w:rsidRPr="00DF30C4">
              <w:rPr>
                <w:rFonts w:ascii="Book Antiqua" w:hAnsi="Book Antiqua"/>
                <w:sz w:val="24"/>
                <w:szCs w:val="24"/>
              </w:rPr>
              <w:t>Upper</w:t>
            </w:r>
          </w:p>
        </w:tc>
        <w:tc>
          <w:tcPr>
            <w:tcW w:w="1276" w:type="dxa"/>
            <w:vMerge/>
            <w:tcBorders>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i/>
                <w:iCs/>
                <w:sz w:val="24"/>
                <w:szCs w:val="24"/>
              </w:rPr>
            </w:pPr>
          </w:p>
        </w:tc>
      </w:tr>
      <w:tr w:rsidR="00C172CC" w:rsidRPr="00DF30C4" w:rsidTr="00FF798C">
        <w:trPr>
          <w:trHeight w:val="402"/>
        </w:trPr>
        <w:tc>
          <w:tcPr>
            <w:tcW w:w="3970" w:type="dxa"/>
            <w:tcBorders>
              <w:top w:val="single" w:sz="8" w:space="0" w:color="000000"/>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Gender (male)</w:t>
            </w:r>
          </w:p>
        </w:tc>
        <w:tc>
          <w:tcPr>
            <w:tcW w:w="1559" w:type="dxa"/>
            <w:tcBorders>
              <w:top w:val="single" w:sz="8" w:space="0" w:color="000000"/>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0.38</w:t>
            </w:r>
          </w:p>
        </w:tc>
        <w:tc>
          <w:tcPr>
            <w:tcW w:w="1419" w:type="dxa"/>
            <w:tcBorders>
              <w:top w:val="single" w:sz="8" w:space="0" w:color="000000"/>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0.03</w:t>
            </w:r>
          </w:p>
        </w:tc>
        <w:tc>
          <w:tcPr>
            <w:tcW w:w="1276" w:type="dxa"/>
            <w:tcBorders>
              <w:top w:val="single" w:sz="8" w:space="0" w:color="000000"/>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4.24</w:t>
            </w:r>
          </w:p>
        </w:tc>
        <w:tc>
          <w:tcPr>
            <w:tcW w:w="1276" w:type="dxa"/>
            <w:tcBorders>
              <w:top w:val="single" w:sz="8" w:space="0" w:color="000000"/>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0.42</w:t>
            </w:r>
          </w:p>
        </w:tc>
      </w:tr>
      <w:tr w:rsidR="00C172CC" w:rsidRPr="00DF30C4" w:rsidTr="00FF798C">
        <w:trPr>
          <w:trHeight w:val="402"/>
        </w:trPr>
        <w:tc>
          <w:tcPr>
            <w:tcW w:w="3970"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Age (&gt; 45 y</w:t>
            </w:r>
            <w:r w:rsidRPr="00DF30C4">
              <w:rPr>
                <w:rFonts w:ascii="Book Antiqua" w:eastAsia="宋体" w:hAnsi="Book Antiqua"/>
                <w:sz w:val="24"/>
                <w:szCs w:val="24"/>
                <w:lang w:eastAsia="zh-CN"/>
              </w:rPr>
              <w:t>r</w:t>
            </w:r>
            <w:r w:rsidRPr="00DF30C4">
              <w:rPr>
                <w:rFonts w:ascii="Book Antiqua" w:hAnsi="Book Antiqua"/>
                <w:sz w:val="24"/>
                <w:szCs w:val="24"/>
              </w:rPr>
              <w:t>)</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1.22</w:t>
            </w:r>
          </w:p>
        </w:tc>
        <w:tc>
          <w:tcPr>
            <w:tcW w:w="141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0.15</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12.0</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0.85</w:t>
            </w:r>
          </w:p>
        </w:tc>
      </w:tr>
      <w:tr w:rsidR="00C172CC" w:rsidRPr="00DF30C4" w:rsidTr="00FF798C">
        <w:trPr>
          <w:trHeight w:val="402"/>
        </w:trPr>
        <w:tc>
          <w:tcPr>
            <w:tcW w:w="3970"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Duration of disease (&gt; 2 y</w:t>
            </w:r>
            <w:r w:rsidRPr="00DF30C4">
              <w:rPr>
                <w:rFonts w:ascii="Book Antiqua" w:eastAsia="宋体" w:hAnsi="Book Antiqua"/>
                <w:sz w:val="24"/>
                <w:szCs w:val="24"/>
                <w:lang w:eastAsia="zh-CN"/>
              </w:rPr>
              <w:t>r</w:t>
            </w:r>
            <w:r w:rsidRPr="00DF30C4">
              <w:rPr>
                <w:rFonts w:ascii="Book Antiqua" w:hAnsi="Book Antiqua"/>
                <w:sz w:val="24"/>
                <w:szCs w:val="24"/>
              </w:rPr>
              <w:t>)</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0.98</w:t>
            </w:r>
          </w:p>
        </w:tc>
        <w:tc>
          <w:tcPr>
            <w:tcW w:w="141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0.09</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9.18</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0.98</w:t>
            </w:r>
          </w:p>
        </w:tc>
      </w:tr>
      <w:tr w:rsidR="00C172CC" w:rsidRPr="00DF30C4" w:rsidTr="00FF798C">
        <w:trPr>
          <w:trHeight w:val="402"/>
        </w:trPr>
        <w:tc>
          <w:tcPr>
            <w:tcW w:w="3970"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Severity (severe)</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8.37</w:t>
            </w:r>
          </w:p>
        </w:tc>
        <w:tc>
          <w:tcPr>
            <w:tcW w:w="141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0.46</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751</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0.17</w:t>
            </w:r>
          </w:p>
        </w:tc>
      </w:tr>
      <w:tr w:rsidR="00C172CC" w:rsidRPr="00DF30C4" w:rsidTr="00FF798C">
        <w:trPr>
          <w:trHeight w:val="402"/>
        </w:trPr>
        <w:tc>
          <w:tcPr>
            <w:tcW w:w="3970"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Extent of disease (total colitis)</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2.43</w:t>
            </w:r>
          </w:p>
        </w:tc>
        <w:tc>
          <w:tcPr>
            <w:tcW w:w="141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0.15</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118</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0.55</w:t>
            </w:r>
          </w:p>
        </w:tc>
      </w:tr>
      <w:tr w:rsidR="00C172CC" w:rsidRPr="00DF30C4" w:rsidTr="00FF798C">
        <w:trPr>
          <w:trHeight w:val="402"/>
        </w:trPr>
        <w:tc>
          <w:tcPr>
            <w:tcW w:w="3970"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Apheresis use</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0.87</w:t>
            </w:r>
          </w:p>
        </w:tc>
        <w:tc>
          <w:tcPr>
            <w:tcW w:w="141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0.08</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9.59</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0.91</w:t>
            </w:r>
          </w:p>
        </w:tc>
      </w:tr>
      <w:tr w:rsidR="00C172CC" w:rsidRPr="00DF30C4" w:rsidTr="00FF798C">
        <w:trPr>
          <w:trHeight w:val="402"/>
        </w:trPr>
        <w:tc>
          <w:tcPr>
            <w:tcW w:w="3970"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CNI use</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0.54</w:t>
            </w:r>
          </w:p>
        </w:tc>
        <w:tc>
          <w:tcPr>
            <w:tcW w:w="141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0.01</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10.2</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0.69</w:t>
            </w:r>
          </w:p>
        </w:tc>
      </w:tr>
      <w:tr w:rsidR="00C172CC" w:rsidRPr="00DF30C4" w:rsidTr="00FF798C">
        <w:trPr>
          <w:trHeight w:val="402"/>
        </w:trPr>
        <w:tc>
          <w:tcPr>
            <w:tcW w:w="3970"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Ganciclovir use</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0.04</w:t>
            </w:r>
          </w:p>
        </w:tc>
        <w:tc>
          <w:tcPr>
            <w:tcW w:w="141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0.01</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0.50</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0.01</w:t>
            </w:r>
          </w:p>
        </w:tc>
      </w:tr>
      <w:tr w:rsidR="00C172CC" w:rsidRPr="00DF30C4" w:rsidTr="00FF798C">
        <w:trPr>
          <w:trHeight w:val="402"/>
        </w:trPr>
        <w:tc>
          <w:tcPr>
            <w:tcW w:w="3970"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Dose reduction of corticosteroids</w:t>
            </w:r>
          </w:p>
        </w:tc>
        <w:tc>
          <w:tcPr>
            <w:tcW w:w="155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0.76</w:t>
            </w:r>
          </w:p>
        </w:tc>
        <w:tc>
          <w:tcPr>
            <w:tcW w:w="1419"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0.03</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13.1</w:t>
            </w:r>
          </w:p>
        </w:tc>
        <w:tc>
          <w:tcPr>
            <w:tcW w:w="1276" w:type="dxa"/>
            <w:tcBorders>
              <w:top w:val="nil"/>
              <w:left w:val="nil"/>
              <w:bottom w:val="nil"/>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0.85</w:t>
            </w:r>
          </w:p>
        </w:tc>
      </w:tr>
      <w:tr w:rsidR="00C172CC" w:rsidRPr="00DF30C4" w:rsidTr="00FF798C">
        <w:trPr>
          <w:trHeight w:val="402"/>
        </w:trPr>
        <w:tc>
          <w:tcPr>
            <w:tcW w:w="3970" w:type="dxa"/>
            <w:tcBorders>
              <w:top w:val="nil"/>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rPr>
                <w:rFonts w:ascii="Book Antiqua" w:hAnsi="Book Antiqua"/>
                <w:sz w:val="24"/>
                <w:szCs w:val="24"/>
              </w:rPr>
            </w:pPr>
            <w:r w:rsidRPr="00DF30C4">
              <w:rPr>
                <w:rFonts w:ascii="Book Antiqua" w:hAnsi="Book Antiqua"/>
                <w:sz w:val="24"/>
                <w:szCs w:val="24"/>
              </w:rPr>
              <w:t>Number of CMV Ag</w:t>
            </w:r>
            <w:r w:rsidRPr="00DF30C4">
              <w:rPr>
                <w:rFonts w:ascii="Book Antiqua" w:eastAsia="宋体" w:hAnsi="Book Antiqua"/>
                <w:sz w:val="24"/>
                <w:szCs w:val="24"/>
                <w:vertAlign w:val="superscript"/>
                <w:lang w:eastAsia="zh-CN"/>
              </w:rPr>
              <w:t>1</w:t>
            </w:r>
            <w:r>
              <w:rPr>
                <w:rFonts w:ascii="Book Antiqua" w:hAnsi="Book Antiqua"/>
                <w:sz w:val="24"/>
                <w:szCs w:val="24"/>
              </w:rPr>
              <w:t xml:space="preserve"> </w:t>
            </w:r>
            <w:r w:rsidRPr="00DF30C4">
              <w:rPr>
                <w:rFonts w:ascii="Book Antiqua" w:hAnsi="Book Antiqua"/>
                <w:sz w:val="24"/>
                <w:szCs w:val="24"/>
              </w:rPr>
              <w:t>(&gt; 3)</w:t>
            </w:r>
          </w:p>
        </w:tc>
        <w:tc>
          <w:tcPr>
            <w:tcW w:w="1559" w:type="dxa"/>
            <w:tcBorders>
              <w:top w:val="nil"/>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3.77</w:t>
            </w:r>
          </w:p>
        </w:tc>
        <w:tc>
          <w:tcPr>
            <w:tcW w:w="1419" w:type="dxa"/>
            <w:tcBorders>
              <w:top w:val="nil"/>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0.53</w:t>
            </w:r>
          </w:p>
        </w:tc>
        <w:tc>
          <w:tcPr>
            <w:tcW w:w="1276" w:type="dxa"/>
            <w:tcBorders>
              <w:top w:val="nil"/>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42.3</w:t>
            </w:r>
          </w:p>
        </w:tc>
        <w:tc>
          <w:tcPr>
            <w:tcW w:w="1276" w:type="dxa"/>
            <w:tcBorders>
              <w:top w:val="nil"/>
              <w:left w:val="nil"/>
              <w:bottom w:val="single" w:sz="8" w:space="0" w:color="000000"/>
              <w:right w:val="nil"/>
            </w:tcBorders>
            <w:tcMar>
              <w:top w:w="72" w:type="dxa"/>
              <w:left w:w="144" w:type="dxa"/>
              <w:bottom w:w="72" w:type="dxa"/>
              <w:right w:w="144" w:type="dxa"/>
            </w:tcMar>
            <w:vAlign w:val="center"/>
          </w:tcPr>
          <w:p w:rsidR="00C172CC" w:rsidRPr="00DF30C4" w:rsidRDefault="00C172CC" w:rsidP="00DF30C4">
            <w:pPr>
              <w:spacing w:line="360" w:lineRule="auto"/>
              <w:ind w:firstLineChars="50" w:firstLine="120"/>
              <w:jc w:val="center"/>
              <w:rPr>
                <w:rFonts w:ascii="Book Antiqua" w:hAnsi="Book Antiqua"/>
                <w:sz w:val="24"/>
                <w:szCs w:val="24"/>
              </w:rPr>
            </w:pPr>
            <w:r w:rsidRPr="00DF30C4">
              <w:rPr>
                <w:rFonts w:ascii="Book Antiqua" w:hAnsi="Book Antiqua"/>
                <w:sz w:val="24"/>
                <w:szCs w:val="24"/>
              </w:rPr>
              <w:t>0.19</w:t>
            </w:r>
          </w:p>
        </w:tc>
      </w:tr>
    </w:tbl>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eastAsia="宋体" w:hAnsi="Book Antiqua" w:cs="Times New Roman"/>
          <w:color w:val="000000"/>
          <w:kern w:val="24"/>
          <w:vertAlign w:val="superscript"/>
          <w:lang w:eastAsia="zh-CN"/>
        </w:rPr>
      </w:pPr>
    </w:p>
    <w:p w:rsidR="00C172CC" w:rsidRPr="00DF30C4" w:rsidRDefault="00C172CC" w:rsidP="00DF30C4">
      <w:pPr>
        <w:pStyle w:val="a7"/>
        <w:spacing w:before="0" w:beforeAutospacing="0" w:after="0" w:afterAutospacing="0" w:line="360" w:lineRule="auto"/>
        <w:textAlignment w:val="baseline"/>
        <w:rPr>
          <w:rFonts w:ascii="Book Antiqua" w:hAnsi="Book Antiqua" w:cs="Times New Roman"/>
        </w:rPr>
      </w:pPr>
      <w:r w:rsidRPr="00DF30C4">
        <w:rPr>
          <w:rFonts w:ascii="Book Antiqua" w:eastAsia="宋体" w:hAnsi="Book Antiqua" w:cs="Times New Roman"/>
          <w:color w:val="000000"/>
          <w:kern w:val="24"/>
          <w:vertAlign w:val="superscript"/>
          <w:lang w:eastAsia="zh-CN"/>
        </w:rPr>
        <w:t>1</w:t>
      </w:r>
      <w:r w:rsidRPr="00DF30C4">
        <w:rPr>
          <w:rFonts w:ascii="Book Antiqua" w:hAnsi="Book Antiqua" w:cs="Times New Roman"/>
          <w:color w:val="000000"/>
          <w:kern w:val="24"/>
        </w:rPr>
        <w:t>This number means the maximum of CMV Ag detected during the period.</w:t>
      </w:r>
      <w:r>
        <w:rPr>
          <w:rFonts w:ascii="Book Antiqua" w:eastAsia="宋体" w:hAnsi="Book Antiqua" w:cs="Times New Roman"/>
          <w:lang w:eastAsia="zh-CN"/>
        </w:rPr>
        <w:t xml:space="preserve"> </w:t>
      </w:r>
      <w:r w:rsidRPr="00DF30C4">
        <w:rPr>
          <w:rFonts w:ascii="Book Antiqua" w:hAnsi="Book Antiqua"/>
          <w:color w:val="000000"/>
          <w:kern w:val="24"/>
        </w:rPr>
        <w:t>CMV Ag: Cytomegalovirus antigenemia assay; CAI: Clinical activity index</w:t>
      </w:r>
      <w:r w:rsidRPr="00DF30C4">
        <w:rPr>
          <w:rFonts w:ascii="Book Antiqua" w:eastAsia="宋体" w:hAnsi="Book Antiqua"/>
          <w:color w:val="000000"/>
          <w:kern w:val="24"/>
          <w:lang w:eastAsia="zh-CN"/>
        </w:rPr>
        <w:t>.</w:t>
      </w:r>
      <w:r w:rsidRPr="00DF30C4">
        <w:rPr>
          <w:rFonts w:ascii="Book Antiqua" w:hAnsi="Book Antiqua"/>
          <w:color w:val="000000"/>
          <w:kern w:val="24"/>
        </w:rPr>
        <w:t xml:space="preserve"> </w:t>
      </w:r>
    </w:p>
    <w:p w:rsidR="00C172CC" w:rsidRPr="00DF30C4" w:rsidRDefault="00372D39" w:rsidP="00DF30C4">
      <w:pPr>
        <w:widowControl/>
        <w:spacing w:line="360" w:lineRule="auto"/>
        <w:jc w:val="left"/>
        <w:rPr>
          <w:rFonts w:ascii="Book Antiqua" w:hAnsi="Book Antiqua" w:cs="Arial"/>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-6831330</wp:posOffset>
                </wp:positionH>
                <wp:positionV relativeFrom="paragraph">
                  <wp:posOffset>3622040</wp:posOffset>
                </wp:positionV>
                <wp:extent cx="5651500" cy="595630"/>
                <wp:effectExtent l="0" t="0" r="0" b="0"/>
                <wp:wrapNone/>
                <wp:docPr id="3141" name="テキスト ボックス 3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2CC" w:rsidRPr="00FE7627" w:rsidRDefault="00C172CC" w:rsidP="006A293C">
                            <w:pPr>
                              <w:textAlignment w:val="baseline"/>
                              <w:rPr>
                                <w:rFonts w:ascii="Times New Roman" w:hAnsi="Times New Roman"/>
                              </w:rPr>
                            </w:pPr>
                            <w:r w:rsidRPr="00FE7627">
                              <w:rPr>
                                <w:rFonts w:ascii="Times New Roman" w:hAnsi="Times New Roman"/>
                                <w:color w:val="000000"/>
                                <w:kern w:val="24"/>
                              </w:rPr>
                              <w:t>CMV Ag, cytomegalovirus antigenemia ass</w:t>
                            </w:r>
                            <w:r>
                              <w:rPr>
                                <w:rFonts w:ascii="Times New Roman" w:hAnsi="Times New Roman"/>
                                <w:color w:val="000000"/>
                                <w:kern w:val="24"/>
                              </w:rPr>
                              <w:t>ay; CAI, clinical activity index</w:t>
                            </w:r>
                            <w:r w:rsidRPr="00FE7627">
                              <w:rPr>
                                <w:rFonts w:ascii="Times New Roman" w:hAnsi="Times New Roman"/>
                                <w:color w:val="000000"/>
                                <w:kern w:val="24"/>
                              </w:rPr>
                              <w:t xml:space="preserve">; </w:t>
                            </w:r>
                          </w:p>
                          <w:p w:rsidR="00C172CC" w:rsidRPr="00FE7627" w:rsidRDefault="00C172CC" w:rsidP="006A293C">
                            <w:pPr>
                              <w:textAlignment w:val="baseline"/>
                              <w:rPr>
                                <w:rFonts w:ascii="Times New Roman" w:hAnsi="Times New Roman"/>
                              </w:rPr>
                            </w:pPr>
                            <w:r w:rsidRPr="00FE7627">
                              <w:rPr>
                                <w:rFonts w:ascii="Times New Roman" w:hAnsi="Times New Roman"/>
                                <w:color w:val="000000"/>
                                <w:kern w:val="24"/>
                              </w:rPr>
                              <w:t xml:space="preserve">By chi-square test, Fisher’s exact test, and </w:t>
                            </w:r>
                            <w:r>
                              <w:rPr>
                                <w:rFonts w:ascii="Times New Roman" w:hAnsi="Times New Roman"/>
                                <w:color w:val="000000"/>
                                <w:kern w:val="24"/>
                              </w:rPr>
                              <w:t>Mann-Whitney U-</w:t>
                            </w:r>
                            <w:r w:rsidRPr="00FE7627">
                              <w:rPr>
                                <w:rFonts w:ascii="Times New Roman" w:hAnsi="Times New Roman"/>
                                <w:color w:val="000000"/>
                                <w:kern w:val="24"/>
                              </w:rPr>
                              <w:t>test.</w:t>
                            </w:r>
                          </w:p>
                          <w:p w:rsidR="00C172CC" w:rsidRPr="00FE7627" w:rsidRDefault="00C172CC" w:rsidP="006A293C">
                            <w:pPr>
                              <w:textAlignment w:val="baseline"/>
                              <w:rPr>
                                <w:rFonts w:ascii="Times New Roman" w:hAnsi="Times New Roman"/>
                              </w:rPr>
                            </w:pPr>
                            <w:r w:rsidRPr="00FE7627">
                              <w:rPr>
                                <w:rFonts w:ascii="Times New Roman" w:hAnsi="Times New Roman"/>
                                <w:color w:val="000000"/>
                                <w:kern w:val="24"/>
                                <w:position w:val="7"/>
                                <w:vertAlign w:val="superscript"/>
                              </w:rPr>
                              <w:t>a</w:t>
                            </w:r>
                            <w:r w:rsidRPr="00FE7627">
                              <w:rPr>
                                <w:rFonts w:ascii="Times New Roman" w:hAnsi="Times New Roman"/>
                                <w:color w:val="000000"/>
                                <w:kern w:val="24"/>
                              </w:rPr>
                              <w:t xml:space="preserve"> Overall </w:t>
                            </w:r>
                            <w:r w:rsidRPr="00FE7627">
                              <w:rPr>
                                <w:rFonts w:ascii="Times New Roman" w:hAnsi="Times New Roman"/>
                                <w:i/>
                                <w:iCs/>
                                <w:color w:val="000000"/>
                                <w:kern w:val="24"/>
                              </w:rPr>
                              <w:t>P</w:t>
                            </w:r>
                            <w:r w:rsidRPr="00FE7627">
                              <w:rPr>
                                <w:rFonts w:ascii="Times New Roman" w:hAnsi="Times New Roman"/>
                                <w:color w:val="000000"/>
                                <w:kern w:val="24"/>
                              </w:rPr>
                              <w:t xml:space="preserve">-value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141" o:spid="_x0000_s1026" type="#_x0000_t202" style="position:absolute;margin-left:-537.9pt;margin-top:285.2pt;width:445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" filled="f" stroked="f">
                <v:textbox style="mso-fit-shape-to-text:t">
                  <w:txbxContent>
                    <w:p w:rsidR="00C172CC" w:rsidRPr="00FE7627" w:rsidRDefault="00C172CC" w:rsidP="006A293C">
                      <w:pPr>
                        <w:textAlignment w:val="baseline"/>
                        <w:rPr>
                          <w:rFonts w:ascii="Times New Roman" w:hAnsi="Times New Roman"/>
                        </w:rPr>
                      </w:pPr>
                      <w:r w:rsidRPr="00FE7627">
                        <w:rPr>
                          <w:rFonts w:ascii="Times New Roman" w:hAnsi="Times New Roman"/>
                          <w:color w:val="000000"/>
                          <w:kern w:val="24"/>
                        </w:rPr>
                        <w:t>CMV Ag, cytomegalovirus antigenemia ass</w:t>
                      </w:r>
                      <w:r>
                        <w:rPr>
                          <w:rFonts w:ascii="Times New Roman" w:hAnsi="Times New Roman"/>
                          <w:color w:val="000000"/>
                          <w:kern w:val="24"/>
                        </w:rPr>
                        <w:t>ay; CAI, clinical activity index</w:t>
                      </w:r>
                      <w:r w:rsidRPr="00FE7627">
                        <w:rPr>
                          <w:rFonts w:ascii="Times New Roman" w:hAnsi="Times New Roman"/>
                          <w:color w:val="000000"/>
                          <w:kern w:val="24"/>
                        </w:rPr>
                        <w:t xml:space="preserve">; </w:t>
                      </w:r>
                    </w:p>
                    <w:p w:rsidR="00C172CC" w:rsidRPr="00FE7627" w:rsidRDefault="00C172CC" w:rsidP="006A293C">
                      <w:pPr>
                        <w:textAlignment w:val="baseline"/>
                        <w:rPr>
                          <w:rFonts w:ascii="Times New Roman" w:hAnsi="Times New Roman"/>
                        </w:rPr>
                      </w:pPr>
                      <w:r w:rsidRPr="00FE7627">
                        <w:rPr>
                          <w:rFonts w:ascii="Times New Roman" w:hAnsi="Times New Roman"/>
                          <w:color w:val="000000"/>
                          <w:kern w:val="24"/>
                        </w:rPr>
                        <w:t xml:space="preserve">By chi-square test, Fisher’s exact test, and </w:t>
                      </w:r>
                      <w:r>
                        <w:rPr>
                          <w:rFonts w:ascii="Times New Roman" w:hAnsi="Times New Roman"/>
                          <w:color w:val="000000"/>
                          <w:kern w:val="24"/>
                        </w:rPr>
                        <w:t>Mann-Whitney U-</w:t>
                      </w:r>
                      <w:r w:rsidRPr="00FE7627">
                        <w:rPr>
                          <w:rFonts w:ascii="Times New Roman" w:hAnsi="Times New Roman"/>
                          <w:color w:val="000000"/>
                          <w:kern w:val="24"/>
                        </w:rPr>
                        <w:t>test.</w:t>
                      </w:r>
                    </w:p>
                    <w:p w:rsidR="00C172CC" w:rsidRPr="00FE7627" w:rsidRDefault="00C172CC" w:rsidP="006A293C">
                      <w:pPr>
                        <w:textAlignment w:val="baseline"/>
                        <w:rPr>
                          <w:rFonts w:ascii="Times New Roman" w:hAnsi="Times New Roman"/>
                        </w:rPr>
                      </w:pPr>
                      <w:r w:rsidRPr="00FE7627">
                        <w:rPr>
                          <w:rFonts w:ascii="Times New Roman" w:hAnsi="Times New Roman"/>
                          <w:color w:val="000000"/>
                          <w:kern w:val="24"/>
                          <w:position w:val="7"/>
                          <w:vertAlign w:val="superscript"/>
                        </w:rPr>
                        <w:t>a</w:t>
                      </w:r>
                      <w:r w:rsidRPr="00FE7627">
                        <w:rPr>
                          <w:rFonts w:ascii="Times New Roman" w:hAnsi="Times New Roman"/>
                          <w:color w:val="000000"/>
                          <w:kern w:val="24"/>
                        </w:rPr>
                        <w:t xml:space="preserve"> Overall </w:t>
                      </w:r>
                      <w:r w:rsidRPr="00FE7627">
                        <w:rPr>
                          <w:rFonts w:ascii="Times New Roman" w:hAnsi="Times New Roman"/>
                          <w:i/>
                          <w:iCs/>
                          <w:color w:val="000000"/>
                          <w:kern w:val="24"/>
                        </w:rPr>
                        <w:t>P</w:t>
                      </w:r>
                      <w:r w:rsidRPr="00FE7627">
                        <w:rPr>
                          <w:rFonts w:ascii="Times New Roman" w:hAnsi="Times New Roman"/>
                          <w:color w:val="000000"/>
                          <w:kern w:val="24"/>
                        </w:rPr>
                        <w:t xml:space="preserve">-value </w:t>
                      </w:r>
                    </w:p>
                  </w:txbxContent>
                </v:textbox>
              </v:shape>
            </w:pict>
          </mc:Fallback>
        </mc:AlternateContent>
      </w:r>
    </w:p>
    <w:p w:rsidR="00C172CC" w:rsidRPr="00DF30C4" w:rsidRDefault="00C172CC" w:rsidP="00DF30C4">
      <w:pPr>
        <w:widowControl/>
        <w:spacing w:line="360" w:lineRule="auto"/>
        <w:jc w:val="left"/>
        <w:rPr>
          <w:rFonts w:ascii="Book Antiqua" w:hAnsi="Book Antiqua"/>
          <w:b/>
          <w:sz w:val="24"/>
          <w:szCs w:val="24"/>
        </w:rPr>
      </w:pPr>
    </w:p>
    <w:p w:rsidR="00C172CC" w:rsidRPr="00DF30C4" w:rsidRDefault="00C172CC" w:rsidP="00DF30C4">
      <w:pPr>
        <w:widowControl/>
        <w:spacing w:line="360" w:lineRule="auto"/>
        <w:jc w:val="left"/>
        <w:rPr>
          <w:rFonts w:ascii="Book Antiqua" w:hAnsi="Book Antiqua"/>
          <w:b/>
          <w:sz w:val="24"/>
          <w:szCs w:val="24"/>
        </w:rPr>
      </w:pPr>
    </w:p>
    <w:sectPr w:rsidR="00C172CC" w:rsidRPr="00DF30C4" w:rsidSect="00DE28A6">
      <w:headerReference w:type="default" r:id="rId9"/>
      <w:pgSz w:w="11906" w:h="16838" w:code="9"/>
      <w:pgMar w:top="1701" w:right="851" w:bottom="1531" w:left="851" w:header="851" w:footer="992" w:gutter="0"/>
      <w:cols w:space="425"/>
      <w:docGrid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50" w:rsidRDefault="007C6050" w:rsidP="00686AED">
      <w:r>
        <w:separator/>
      </w:r>
    </w:p>
  </w:endnote>
  <w:endnote w:type="continuationSeparator" w:id="0">
    <w:p w:rsidR="007C6050" w:rsidRDefault="007C6050" w:rsidP="0068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inionPro-I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50" w:rsidRDefault="007C6050" w:rsidP="00686AED">
      <w:r>
        <w:separator/>
      </w:r>
    </w:p>
  </w:footnote>
  <w:footnote w:type="continuationSeparator" w:id="0">
    <w:p w:rsidR="007C6050" w:rsidRDefault="007C6050" w:rsidP="00686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CC" w:rsidRDefault="00C172CC" w:rsidP="009F1900">
    <w:pPr>
      <w:pStyle w:val="a5"/>
      <w:jc w:val="right"/>
    </w:pPr>
    <w:r>
      <w:t>Inokuchi</w:t>
    </w:r>
    <w:r w:rsidRPr="00686AED">
      <w:t xml:space="preserve"> </w:t>
    </w:r>
    <w:r w:rsidRPr="00206A45">
      <w:rPr>
        <w:i/>
      </w:rPr>
      <w:t>et al</w:t>
    </w:r>
    <w:r w:rsidRPr="00686AED">
      <w:t xml:space="preserve">. </w:t>
    </w:r>
    <w:r w:rsidR="007C6050">
      <w:fldChar w:fldCharType="begin"/>
    </w:r>
    <w:r w:rsidR="007C6050">
      <w:instrText>PAGE   \* MERGEFORMAT</w:instrText>
    </w:r>
    <w:r w:rsidR="007C6050">
      <w:fldChar w:fldCharType="separate"/>
    </w:r>
    <w:r w:rsidR="00DD542A" w:rsidRPr="00DD542A">
      <w:rPr>
        <w:noProof/>
        <w:lang w:val="ja-JP"/>
      </w:rPr>
      <w:t>22</w:t>
    </w:r>
    <w:r w:rsidR="007C6050">
      <w:rPr>
        <w:noProof/>
        <w:lang w:val="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01EC"/>
    <w:multiLevelType w:val="hybridMultilevel"/>
    <w:tmpl w:val="498CDD04"/>
    <w:lvl w:ilvl="0" w:tplc="F01C2A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BFD5F2D"/>
    <w:multiLevelType w:val="hybridMultilevel"/>
    <w:tmpl w:val="BF4A17A2"/>
    <w:lvl w:ilvl="0" w:tplc="F8E889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945E88"/>
    <w:multiLevelType w:val="hybridMultilevel"/>
    <w:tmpl w:val="6D247482"/>
    <w:lvl w:ilvl="0" w:tplc="C4F22DF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07C0FC4"/>
    <w:multiLevelType w:val="hybridMultilevel"/>
    <w:tmpl w:val="AC1E8428"/>
    <w:lvl w:ilvl="0" w:tplc="87A2C012">
      <w:start w:val="1"/>
      <w:numFmt w:val="decimal"/>
      <w:lvlText w:val="%1."/>
      <w:lvlJc w:val="left"/>
      <w:pPr>
        <w:ind w:left="360" w:hanging="360"/>
      </w:pPr>
      <w:rPr>
        <w:rFonts w:ascii="Century" w:eastAsia="MS Mincho" w:hAnsi="Century" w:cs="Times New Roman"/>
      </w:rPr>
    </w:lvl>
    <w:lvl w:ilvl="1" w:tplc="04090017" w:tentative="1">
      <w:start w:val="1"/>
      <w:numFmt w:val="aiueoFullWidth"/>
      <w:lvlText w:val="(%2)"/>
      <w:lvlJc w:val="left"/>
      <w:pPr>
        <w:ind w:left="698" w:hanging="420"/>
      </w:pPr>
      <w:rPr>
        <w:rFonts w:cs="Times New Roman"/>
      </w:rPr>
    </w:lvl>
    <w:lvl w:ilvl="2" w:tplc="04090011" w:tentative="1">
      <w:start w:val="1"/>
      <w:numFmt w:val="decimalEnclosedCircle"/>
      <w:lvlText w:val="%3"/>
      <w:lvlJc w:val="left"/>
      <w:pPr>
        <w:ind w:left="1118" w:hanging="420"/>
      </w:pPr>
      <w:rPr>
        <w:rFonts w:cs="Times New Roman"/>
      </w:rPr>
    </w:lvl>
    <w:lvl w:ilvl="3" w:tplc="0409000F" w:tentative="1">
      <w:start w:val="1"/>
      <w:numFmt w:val="decimal"/>
      <w:lvlText w:val="%4."/>
      <w:lvlJc w:val="left"/>
      <w:pPr>
        <w:ind w:left="1538" w:hanging="420"/>
      </w:pPr>
      <w:rPr>
        <w:rFonts w:cs="Times New Roman"/>
      </w:rPr>
    </w:lvl>
    <w:lvl w:ilvl="4" w:tplc="04090017" w:tentative="1">
      <w:start w:val="1"/>
      <w:numFmt w:val="aiueoFullWidth"/>
      <w:lvlText w:val="(%5)"/>
      <w:lvlJc w:val="left"/>
      <w:pPr>
        <w:ind w:left="1958" w:hanging="420"/>
      </w:pPr>
      <w:rPr>
        <w:rFonts w:cs="Times New Roman"/>
      </w:rPr>
    </w:lvl>
    <w:lvl w:ilvl="5" w:tplc="04090011" w:tentative="1">
      <w:start w:val="1"/>
      <w:numFmt w:val="decimalEnclosedCircle"/>
      <w:lvlText w:val="%6"/>
      <w:lvlJc w:val="left"/>
      <w:pPr>
        <w:ind w:left="2378" w:hanging="420"/>
      </w:pPr>
      <w:rPr>
        <w:rFonts w:cs="Times New Roman"/>
      </w:rPr>
    </w:lvl>
    <w:lvl w:ilvl="6" w:tplc="0409000F" w:tentative="1">
      <w:start w:val="1"/>
      <w:numFmt w:val="decimal"/>
      <w:lvlText w:val="%7."/>
      <w:lvlJc w:val="left"/>
      <w:pPr>
        <w:ind w:left="2798" w:hanging="420"/>
      </w:pPr>
      <w:rPr>
        <w:rFonts w:cs="Times New Roman"/>
      </w:rPr>
    </w:lvl>
    <w:lvl w:ilvl="7" w:tplc="04090017" w:tentative="1">
      <w:start w:val="1"/>
      <w:numFmt w:val="aiueoFullWidth"/>
      <w:lvlText w:val="(%8)"/>
      <w:lvlJc w:val="left"/>
      <w:pPr>
        <w:ind w:left="3218" w:hanging="420"/>
      </w:pPr>
      <w:rPr>
        <w:rFonts w:cs="Times New Roman"/>
      </w:rPr>
    </w:lvl>
    <w:lvl w:ilvl="8" w:tplc="04090011" w:tentative="1">
      <w:start w:val="1"/>
      <w:numFmt w:val="decimalEnclosedCircle"/>
      <w:lvlText w:val="%9"/>
      <w:lvlJc w:val="left"/>
      <w:pPr>
        <w:ind w:left="3638" w:hanging="420"/>
      </w:pPr>
      <w:rPr>
        <w:rFonts w:cs="Times New Roman"/>
      </w:rPr>
    </w:lvl>
  </w:abstractNum>
  <w:abstractNum w:abstractNumId="4">
    <w:nsid w:val="478C192A"/>
    <w:multiLevelType w:val="hybridMultilevel"/>
    <w:tmpl w:val="6E902D16"/>
    <w:lvl w:ilvl="0" w:tplc="438262D8">
      <w:start w:val="1"/>
      <w:numFmt w:val="decimal"/>
      <w:lvlText w:val="(%1)"/>
      <w:lvlJc w:val="left"/>
      <w:pPr>
        <w:ind w:left="360" w:hanging="360"/>
      </w:pPr>
      <w:rPr>
        <w:rFonts w:eastAsia="宋体"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70E14884"/>
    <w:multiLevelType w:val="hybridMultilevel"/>
    <w:tmpl w:val="48F0925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710938C8"/>
    <w:multiLevelType w:val="hybridMultilevel"/>
    <w:tmpl w:val="4532223E"/>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4907FDC"/>
    <w:multiLevelType w:val="hybridMultilevel"/>
    <w:tmpl w:val="BF081376"/>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753076A7"/>
    <w:multiLevelType w:val="hybridMultilevel"/>
    <w:tmpl w:val="48F0925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7EA55449"/>
    <w:multiLevelType w:val="hybridMultilevel"/>
    <w:tmpl w:val="1CB6E718"/>
    <w:lvl w:ilvl="0" w:tplc="8ECA3ED0">
      <w:start w:val="3"/>
      <w:numFmt w:val="bullet"/>
      <w:lvlText w:val=""/>
      <w:lvlJc w:val="left"/>
      <w:pPr>
        <w:ind w:left="360" w:hanging="360"/>
      </w:pPr>
      <w:rPr>
        <w:rFonts w:ascii="Wingdings" w:eastAsia="MS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F9265D6"/>
    <w:multiLevelType w:val="hybridMultilevel"/>
    <w:tmpl w:val="1C3C6E4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3"/>
  </w:num>
  <w:num w:numId="3">
    <w:abstractNumId w:val="1"/>
  </w:num>
  <w:num w:numId="4">
    <w:abstractNumId w:val="2"/>
  </w:num>
  <w:num w:numId="5">
    <w:abstractNumId w:val="8"/>
  </w:num>
  <w:num w:numId="6">
    <w:abstractNumId w:val="10"/>
  </w:num>
  <w:num w:numId="7">
    <w:abstractNumId w:val="5"/>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C7"/>
    <w:rsid w:val="0000257E"/>
    <w:rsid w:val="00002947"/>
    <w:rsid w:val="00002B3E"/>
    <w:rsid w:val="000054CD"/>
    <w:rsid w:val="00005655"/>
    <w:rsid w:val="00005EBA"/>
    <w:rsid w:val="00005EEE"/>
    <w:rsid w:val="00006A4F"/>
    <w:rsid w:val="000117DD"/>
    <w:rsid w:val="0001263B"/>
    <w:rsid w:val="00012E2D"/>
    <w:rsid w:val="00015F4E"/>
    <w:rsid w:val="00020F0E"/>
    <w:rsid w:val="00021B8D"/>
    <w:rsid w:val="00023664"/>
    <w:rsid w:val="00023C68"/>
    <w:rsid w:val="00024563"/>
    <w:rsid w:val="000256B8"/>
    <w:rsid w:val="00025D06"/>
    <w:rsid w:val="0003154C"/>
    <w:rsid w:val="00031A44"/>
    <w:rsid w:val="00032012"/>
    <w:rsid w:val="000326D5"/>
    <w:rsid w:val="000337E6"/>
    <w:rsid w:val="000338BD"/>
    <w:rsid w:val="00036A2F"/>
    <w:rsid w:val="00037292"/>
    <w:rsid w:val="00037BCD"/>
    <w:rsid w:val="000402BD"/>
    <w:rsid w:val="00040A0B"/>
    <w:rsid w:val="000447B6"/>
    <w:rsid w:val="00046131"/>
    <w:rsid w:val="0005039C"/>
    <w:rsid w:val="000516C1"/>
    <w:rsid w:val="00051F9E"/>
    <w:rsid w:val="00052330"/>
    <w:rsid w:val="000540ED"/>
    <w:rsid w:val="00054714"/>
    <w:rsid w:val="00054A36"/>
    <w:rsid w:val="00054BDF"/>
    <w:rsid w:val="00057642"/>
    <w:rsid w:val="000577DF"/>
    <w:rsid w:val="00057DF2"/>
    <w:rsid w:val="00060283"/>
    <w:rsid w:val="000606E6"/>
    <w:rsid w:val="00061124"/>
    <w:rsid w:val="00061536"/>
    <w:rsid w:val="00061ECA"/>
    <w:rsid w:val="00062790"/>
    <w:rsid w:val="00063154"/>
    <w:rsid w:val="000632A0"/>
    <w:rsid w:val="00063652"/>
    <w:rsid w:val="000641D9"/>
    <w:rsid w:val="00064290"/>
    <w:rsid w:val="0006607B"/>
    <w:rsid w:val="00066E7D"/>
    <w:rsid w:val="00070B38"/>
    <w:rsid w:val="000717FE"/>
    <w:rsid w:val="000725E2"/>
    <w:rsid w:val="00073CC0"/>
    <w:rsid w:val="00081C5F"/>
    <w:rsid w:val="00084818"/>
    <w:rsid w:val="00084ADD"/>
    <w:rsid w:val="000850BC"/>
    <w:rsid w:val="0008599B"/>
    <w:rsid w:val="000867C1"/>
    <w:rsid w:val="000874C3"/>
    <w:rsid w:val="00091E5C"/>
    <w:rsid w:val="00093B79"/>
    <w:rsid w:val="000947EA"/>
    <w:rsid w:val="00094B83"/>
    <w:rsid w:val="00096852"/>
    <w:rsid w:val="000A016C"/>
    <w:rsid w:val="000A08AC"/>
    <w:rsid w:val="000A0DF6"/>
    <w:rsid w:val="000A1337"/>
    <w:rsid w:val="000A180B"/>
    <w:rsid w:val="000A303F"/>
    <w:rsid w:val="000A4C17"/>
    <w:rsid w:val="000A5216"/>
    <w:rsid w:val="000A5281"/>
    <w:rsid w:val="000A5898"/>
    <w:rsid w:val="000A66E8"/>
    <w:rsid w:val="000A6EA3"/>
    <w:rsid w:val="000A7911"/>
    <w:rsid w:val="000B12E5"/>
    <w:rsid w:val="000B162F"/>
    <w:rsid w:val="000B1986"/>
    <w:rsid w:val="000B597F"/>
    <w:rsid w:val="000B712D"/>
    <w:rsid w:val="000B79CB"/>
    <w:rsid w:val="000B7A2A"/>
    <w:rsid w:val="000B7C63"/>
    <w:rsid w:val="000C068C"/>
    <w:rsid w:val="000C11F0"/>
    <w:rsid w:val="000C2CC2"/>
    <w:rsid w:val="000C3638"/>
    <w:rsid w:val="000C5945"/>
    <w:rsid w:val="000D0649"/>
    <w:rsid w:val="000D1460"/>
    <w:rsid w:val="000D3C8F"/>
    <w:rsid w:val="000E02AD"/>
    <w:rsid w:val="000E0A42"/>
    <w:rsid w:val="000E15A2"/>
    <w:rsid w:val="000E1862"/>
    <w:rsid w:val="000E3320"/>
    <w:rsid w:val="000E4362"/>
    <w:rsid w:val="000F1156"/>
    <w:rsid w:val="000F2C63"/>
    <w:rsid w:val="000F4486"/>
    <w:rsid w:val="000F4C7B"/>
    <w:rsid w:val="000F5DDB"/>
    <w:rsid w:val="000F702E"/>
    <w:rsid w:val="00101308"/>
    <w:rsid w:val="001022EA"/>
    <w:rsid w:val="0010268C"/>
    <w:rsid w:val="00103001"/>
    <w:rsid w:val="00103891"/>
    <w:rsid w:val="001038F5"/>
    <w:rsid w:val="001051D4"/>
    <w:rsid w:val="0011263C"/>
    <w:rsid w:val="00114BD2"/>
    <w:rsid w:val="001155C6"/>
    <w:rsid w:val="0011694F"/>
    <w:rsid w:val="0011729A"/>
    <w:rsid w:val="0011787B"/>
    <w:rsid w:val="00120868"/>
    <w:rsid w:val="00120B67"/>
    <w:rsid w:val="001219D0"/>
    <w:rsid w:val="00123C88"/>
    <w:rsid w:val="00124FA7"/>
    <w:rsid w:val="001303EE"/>
    <w:rsid w:val="00131695"/>
    <w:rsid w:val="00131C43"/>
    <w:rsid w:val="00131C5E"/>
    <w:rsid w:val="00132751"/>
    <w:rsid w:val="00134094"/>
    <w:rsid w:val="0013596D"/>
    <w:rsid w:val="001427BB"/>
    <w:rsid w:val="0014375B"/>
    <w:rsid w:val="00144483"/>
    <w:rsid w:val="00145818"/>
    <w:rsid w:val="00147FDD"/>
    <w:rsid w:val="00151148"/>
    <w:rsid w:val="00152230"/>
    <w:rsid w:val="0015289D"/>
    <w:rsid w:val="0015308E"/>
    <w:rsid w:val="00154A93"/>
    <w:rsid w:val="00155930"/>
    <w:rsid w:val="00156B68"/>
    <w:rsid w:val="00157035"/>
    <w:rsid w:val="00157787"/>
    <w:rsid w:val="00157DE9"/>
    <w:rsid w:val="00162B20"/>
    <w:rsid w:val="00163203"/>
    <w:rsid w:val="00165458"/>
    <w:rsid w:val="0016658C"/>
    <w:rsid w:val="0016723B"/>
    <w:rsid w:val="00167D58"/>
    <w:rsid w:val="00170464"/>
    <w:rsid w:val="00173560"/>
    <w:rsid w:val="001746FE"/>
    <w:rsid w:val="00174BF7"/>
    <w:rsid w:val="001751C5"/>
    <w:rsid w:val="001812C7"/>
    <w:rsid w:val="00182D2D"/>
    <w:rsid w:val="00183C49"/>
    <w:rsid w:val="00185043"/>
    <w:rsid w:val="001864FA"/>
    <w:rsid w:val="001869C7"/>
    <w:rsid w:val="0018700D"/>
    <w:rsid w:val="00190BC7"/>
    <w:rsid w:val="00191EA0"/>
    <w:rsid w:val="00191F83"/>
    <w:rsid w:val="00192C99"/>
    <w:rsid w:val="0019479B"/>
    <w:rsid w:val="001947B2"/>
    <w:rsid w:val="00196330"/>
    <w:rsid w:val="00197723"/>
    <w:rsid w:val="00197BCE"/>
    <w:rsid w:val="001A0C86"/>
    <w:rsid w:val="001A2B6A"/>
    <w:rsid w:val="001A2E7D"/>
    <w:rsid w:val="001B079D"/>
    <w:rsid w:val="001B2CA7"/>
    <w:rsid w:val="001B4DAA"/>
    <w:rsid w:val="001B6710"/>
    <w:rsid w:val="001C229C"/>
    <w:rsid w:val="001C30CC"/>
    <w:rsid w:val="001C4258"/>
    <w:rsid w:val="001C5266"/>
    <w:rsid w:val="001C65C3"/>
    <w:rsid w:val="001C6E2E"/>
    <w:rsid w:val="001D2D53"/>
    <w:rsid w:val="001D48E5"/>
    <w:rsid w:val="001D56B0"/>
    <w:rsid w:val="001D5922"/>
    <w:rsid w:val="001D6D5A"/>
    <w:rsid w:val="001D78D3"/>
    <w:rsid w:val="001E0609"/>
    <w:rsid w:val="001E0E34"/>
    <w:rsid w:val="001E1373"/>
    <w:rsid w:val="001E14AB"/>
    <w:rsid w:val="001E271B"/>
    <w:rsid w:val="001F0090"/>
    <w:rsid w:val="001F0E66"/>
    <w:rsid w:val="001F1EA2"/>
    <w:rsid w:val="001F3400"/>
    <w:rsid w:val="001F38EE"/>
    <w:rsid w:val="001F791A"/>
    <w:rsid w:val="00201078"/>
    <w:rsid w:val="00206A45"/>
    <w:rsid w:val="0021006E"/>
    <w:rsid w:val="00212457"/>
    <w:rsid w:val="002159DD"/>
    <w:rsid w:val="00215CE9"/>
    <w:rsid w:val="002169DA"/>
    <w:rsid w:val="00220A42"/>
    <w:rsid w:val="00221739"/>
    <w:rsid w:val="00222CFF"/>
    <w:rsid w:val="00223906"/>
    <w:rsid w:val="00223DD9"/>
    <w:rsid w:val="002246DD"/>
    <w:rsid w:val="00225A69"/>
    <w:rsid w:val="00225ACA"/>
    <w:rsid w:val="00230317"/>
    <w:rsid w:val="002303AC"/>
    <w:rsid w:val="00230586"/>
    <w:rsid w:val="0023060A"/>
    <w:rsid w:val="00231209"/>
    <w:rsid w:val="00231713"/>
    <w:rsid w:val="00231788"/>
    <w:rsid w:val="0023222F"/>
    <w:rsid w:val="00232739"/>
    <w:rsid w:val="00233117"/>
    <w:rsid w:val="00233A20"/>
    <w:rsid w:val="00234889"/>
    <w:rsid w:val="00235883"/>
    <w:rsid w:val="0023631D"/>
    <w:rsid w:val="00236900"/>
    <w:rsid w:val="00237165"/>
    <w:rsid w:val="00237D1D"/>
    <w:rsid w:val="00240485"/>
    <w:rsid w:val="00241B15"/>
    <w:rsid w:val="002420F8"/>
    <w:rsid w:val="00244501"/>
    <w:rsid w:val="00245B03"/>
    <w:rsid w:val="0024642A"/>
    <w:rsid w:val="00251193"/>
    <w:rsid w:val="002524D0"/>
    <w:rsid w:val="00252F19"/>
    <w:rsid w:val="00254E2C"/>
    <w:rsid w:val="00255DA2"/>
    <w:rsid w:val="0025657E"/>
    <w:rsid w:val="00256F6C"/>
    <w:rsid w:val="00257169"/>
    <w:rsid w:val="00257674"/>
    <w:rsid w:val="00262F38"/>
    <w:rsid w:val="00264045"/>
    <w:rsid w:val="0026685D"/>
    <w:rsid w:val="00266F5F"/>
    <w:rsid w:val="00273C0B"/>
    <w:rsid w:val="00274812"/>
    <w:rsid w:val="00275A9A"/>
    <w:rsid w:val="00276017"/>
    <w:rsid w:val="00280C19"/>
    <w:rsid w:val="002817FF"/>
    <w:rsid w:val="0028401B"/>
    <w:rsid w:val="0028498C"/>
    <w:rsid w:val="00284FB1"/>
    <w:rsid w:val="002850E0"/>
    <w:rsid w:val="00285E8C"/>
    <w:rsid w:val="00286B1D"/>
    <w:rsid w:val="00286E0F"/>
    <w:rsid w:val="00287F34"/>
    <w:rsid w:val="00291575"/>
    <w:rsid w:val="002935C7"/>
    <w:rsid w:val="0029406C"/>
    <w:rsid w:val="00297067"/>
    <w:rsid w:val="00297D81"/>
    <w:rsid w:val="002A0768"/>
    <w:rsid w:val="002A0CEC"/>
    <w:rsid w:val="002A1046"/>
    <w:rsid w:val="002A15F3"/>
    <w:rsid w:val="002A26AD"/>
    <w:rsid w:val="002A330F"/>
    <w:rsid w:val="002A49BB"/>
    <w:rsid w:val="002A7350"/>
    <w:rsid w:val="002B0D30"/>
    <w:rsid w:val="002B1D55"/>
    <w:rsid w:val="002B62BE"/>
    <w:rsid w:val="002B66BD"/>
    <w:rsid w:val="002B6C92"/>
    <w:rsid w:val="002B71DD"/>
    <w:rsid w:val="002C5D0C"/>
    <w:rsid w:val="002C6AB9"/>
    <w:rsid w:val="002C6B52"/>
    <w:rsid w:val="002D2997"/>
    <w:rsid w:val="002D3BBB"/>
    <w:rsid w:val="002D4798"/>
    <w:rsid w:val="002D5AD6"/>
    <w:rsid w:val="002D64CB"/>
    <w:rsid w:val="002E12DD"/>
    <w:rsid w:val="002E18D0"/>
    <w:rsid w:val="002E20D9"/>
    <w:rsid w:val="002E2A13"/>
    <w:rsid w:val="002E2EFA"/>
    <w:rsid w:val="002E3C6E"/>
    <w:rsid w:val="002E65F5"/>
    <w:rsid w:val="002E6ABD"/>
    <w:rsid w:val="002E6EE0"/>
    <w:rsid w:val="002E7843"/>
    <w:rsid w:val="002F1BC6"/>
    <w:rsid w:val="002F20F0"/>
    <w:rsid w:val="002F245D"/>
    <w:rsid w:val="002F2DCA"/>
    <w:rsid w:val="002F520F"/>
    <w:rsid w:val="002F5A5C"/>
    <w:rsid w:val="002F691A"/>
    <w:rsid w:val="002F7406"/>
    <w:rsid w:val="00301F95"/>
    <w:rsid w:val="00305BEF"/>
    <w:rsid w:val="003072F0"/>
    <w:rsid w:val="00310F51"/>
    <w:rsid w:val="00314C9D"/>
    <w:rsid w:val="0031588D"/>
    <w:rsid w:val="003178E3"/>
    <w:rsid w:val="0032070D"/>
    <w:rsid w:val="00324885"/>
    <w:rsid w:val="003266E8"/>
    <w:rsid w:val="003275BD"/>
    <w:rsid w:val="003300BB"/>
    <w:rsid w:val="00330ADB"/>
    <w:rsid w:val="00330DBC"/>
    <w:rsid w:val="0033208C"/>
    <w:rsid w:val="003324D3"/>
    <w:rsid w:val="0033322D"/>
    <w:rsid w:val="00340661"/>
    <w:rsid w:val="00343E90"/>
    <w:rsid w:val="003440FE"/>
    <w:rsid w:val="00344DF3"/>
    <w:rsid w:val="003470FE"/>
    <w:rsid w:val="003479C3"/>
    <w:rsid w:val="0035096B"/>
    <w:rsid w:val="003519CC"/>
    <w:rsid w:val="0035213C"/>
    <w:rsid w:val="00353A7D"/>
    <w:rsid w:val="00354C31"/>
    <w:rsid w:val="00355367"/>
    <w:rsid w:val="00355460"/>
    <w:rsid w:val="00355FD2"/>
    <w:rsid w:val="0035621A"/>
    <w:rsid w:val="00356D98"/>
    <w:rsid w:val="003571C1"/>
    <w:rsid w:val="0035778D"/>
    <w:rsid w:val="003613A0"/>
    <w:rsid w:val="00361F52"/>
    <w:rsid w:val="00362282"/>
    <w:rsid w:val="00362817"/>
    <w:rsid w:val="0036292A"/>
    <w:rsid w:val="00363E93"/>
    <w:rsid w:val="00365A92"/>
    <w:rsid w:val="00366D1F"/>
    <w:rsid w:val="0037222A"/>
    <w:rsid w:val="00372396"/>
    <w:rsid w:val="00372D39"/>
    <w:rsid w:val="003731F7"/>
    <w:rsid w:val="003738D1"/>
    <w:rsid w:val="00374340"/>
    <w:rsid w:val="00376CC5"/>
    <w:rsid w:val="00376E7F"/>
    <w:rsid w:val="003806F1"/>
    <w:rsid w:val="0038145E"/>
    <w:rsid w:val="00381826"/>
    <w:rsid w:val="00382741"/>
    <w:rsid w:val="003841F2"/>
    <w:rsid w:val="00384F07"/>
    <w:rsid w:val="00384FDA"/>
    <w:rsid w:val="00391CAA"/>
    <w:rsid w:val="00394541"/>
    <w:rsid w:val="00397FB5"/>
    <w:rsid w:val="003A0FAC"/>
    <w:rsid w:val="003A1277"/>
    <w:rsid w:val="003A2960"/>
    <w:rsid w:val="003A4811"/>
    <w:rsid w:val="003A639C"/>
    <w:rsid w:val="003A6FF8"/>
    <w:rsid w:val="003B0B5C"/>
    <w:rsid w:val="003B1847"/>
    <w:rsid w:val="003B2345"/>
    <w:rsid w:val="003B7BE7"/>
    <w:rsid w:val="003C2593"/>
    <w:rsid w:val="003C27DC"/>
    <w:rsid w:val="003C493B"/>
    <w:rsid w:val="003C4D71"/>
    <w:rsid w:val="003C5E0A"/>
    <w:rsid w:val="003C5F34"/>
    <w:rsid w:val="003C6B6C"/>
    <w:rsid w:val="003D01E3"/>
    <w:rsid w:val="003D109E"/>
    <w:rsid w:val="003D14EE"/>
    <w:rsid w:val="003D1AB4"/>
    <w:rsid w:val="003D4EA4"/>
    <w:rsid w:val="003D5383"/>
    <w:rsid w:val="003D56F1"/>
    <w:rsid w:val="003D5D1F"/>
    <w:rsid w:val="003D6486"/>
    <w:rsid w:val="003D66BC"/>
    <w:rsid w:val="003D697C"/>
    <w:rsid w:val="003E049E"/>
    <w:rsid w:val="003E15DD"/>
    <w:rsid w:val="003E3074"/>
    <w:rsid w:val="003E358C"/>
    <w:rsid w:val="003E412E"/>
    <w:rsid w:val="003E54CB"/>
    <w:rsid w:val="003E7984"/>
    <w:rsid w:val="003F47A6"/>
    <w:rsid w:val="003F6B1C"/>
    <w:rsid w:val="00400DAD"/>
    <w:rsid w:val="00401640"/>
    <w:rsid w:val="0040369B"/>
    <w:rsid w:val="00404030"/>
    <w:rsid w:val="00404BB2"/>
    <w:rsid w:val="004104B4"/>
    <w:rsid w:val="00411FE3"/>
    <w:rsid w:val="00412CB5"/>
    <w:rsid w:val="00414E28"/>
    <w:rsid w:val="00415CE7"/>
    <w:rsid w:val="004163A9"/>
    <w:rsid w:val="004200C7"/>
    <w:rsid w:val="0042057C"/>
    <w:rsid w:val="00422BE9"/>
    <w:rsid w:val="004235A9"/>
    <w:rsid w:val="00424B0E"/>
    <w:rsid w:val="004253A7"/>
    <w:rsid w:val="004260A8"/>
    <w:rsid w:val="00426CED"/>
    <w:rsid w:val="00427541"/>
    <w:rsid w:val="004353FF"/>
    <w:rsid w:val="00435C31"/>
    <w:rsid w:val="00435E34"/>
    <w:rsid w:val="0043657A"/>
    <w:rsid w:val="00436818"/>
    <w:rsid w:val="00436991"/>
    <w:rsid w:val="00437C4D"/>
    <w:rsid w:val="00440410"/>
    <w:rsid w:val="004436F6"/>
    <w:rsid w:val="00444A73"/>
    <w:rsid w:val="00444B76"/>
    <w:rsid w:val="004462A2"/>
    <w:rsid w:val="0045043B"/>
    <w:rsid w:val="00450931"/>
    <w:rsid w:val="00450FFF"/>
    <w:rsid w:val="00452AD6"/>
    <w:rsid w:val="00453E20"/>
    <w:rsid w:val="004541C5"/>
    <w:rsid w:val="00456DBC"/>
    <w:rsid w:val="00457395"/>
    <w:rsid w:val="00460F88"/>
    <w:rsid w:val="00462210"/>
    <w:rsid w:val="00462A6F"/>
    <w:rsid w:val="00464A51"/>
    <w:rsid w:val="00465280"/>
    <w:rsid w:val="00465F31"/>
    <w:rsid w:val="0046649F"/>
    <w:rsid w:val="00467D4B"/>
    <w:rsid w:val="00470A5C"/>
    <w:rsid w:val="0047286E"/>
    <w:rsid w:val="00476B3F"/>
    <w:rsid w:val="004770A8"/>
    <w:rsid w:val="004818B8"/>
    <w:rsid w:val="00482132"/>
    <w:rsid w:val="00483280"/>
    <w:rsid w:val="00483AFA"/>
    <w:rsid w:val="004849FF"/>
    <w:rsid w:val="00485543"/>
    <w:rsid w:val="0048554E"/>
    <w:rsid w:val="00486947"/>
    <w:rsid w:val="0048766E"/>
    <w:rsid w:val="0048787C"/>
    <w:rsid w:val="00495576"/>
    <w:rsid w:val="00497FB9"/>
    <w:rsid w:val="004A0442"/>
    <w:rsid w:val="004A19EC"/>
    <w:rsid w:val="004A2B24"/>
    <w:rsid w:val="004A3080"/>
    <w:rsid w:val="004A3CA5"/>
    <w:rsid w:val="004A4785"/>
    <w:rsid w:val="004A68B3"/>
    <w:rsid w:val="004A7BAA"/>
    <w:rsid w:val="004A7CF1"/>
    <w:rsid w:val="004B00CE"/>
    <w:rsid w:val="004B0849"/>
    <w:rsid w:val="004B0951"/>
    <w:rsid w:val="004B1E51"/>
    <w:rsid w:val="004B4794"/>
    <w:rsid w:val="004B49DE"/>
    <w:rsid w:val="004B689C"/>
    <w:rsid w:val="004B7132"/>
    <w:rsid w:val="004C03D9"/>
    <w:rsid w:val="004C0A4C"/>
    <w:rsid w:val="004C15C0"/>
    <w:rsid w:val="004C6659"/>
    <w:rsid w:val="004D1745"/>
    <w:rsid w:val="004D380B"/>
    <w:rsid w:val="004D5FC8"/>
    <w:rsid w:val="004D7026"/>
    <w:rsid w:val="004E2BC1"/>
    <w:rsid w:val="004E33A4"/>
    <w:rsid w:val="004E3976"/>
    <w:rsid w:val="004E5038"/>
    <w:rsid w:val="004E6023"/>
    <w:rsid w:val="004E7CCF"/>
    <w:rsid w:val="004F0DDB"/>
    <w:rsid w:val="004F0F9E"/>
    <w:rsid w:val="004F39CE"/>
    <w:rsid w:val="004F5B4F"/>
    <w:rsid w:val="004F5BF3"/>
    <w:rsid w:val="004F61F6"/>
    <w:rsid w:val="004F6DB3"/>
    <w:rsid w:val="00500572"/>
    <w:rsid w:val="00501047"/>
    <w:rsid w:val="00501135"/>
    <w:rsid w:val="00501AAD"/>
    <w:rsid w:val="005035CA"/>
    <w:rsid w:val="00504A62"/>
    <w:rsid w:val="0050680E"/>
    <w:rsid w:val="00506AB7"/>
    <w:rsid w:val="00507E4A"/>
    <w:rsid w:val="00510436"/>
    <w:rsid w:val="00510472"/>
    <w:rsid w:val="005111ED"/>
    <w:rsid w:val="00511412"/>
    <w:rsid w:val="00511F21"/>
    <w:rsid w:val="0051620B"/>
    <w:rsid w:val="00517B88"/>
    <w:rsid w:val="005208D8"/>
    <w:rsid w:val="00520B3A"/>
    <w:rsid w:val="00521567"/>
    <w:rsid w:val="00521D3F"/>
    <w:rsid w:val="0052222B"/>
    <w:rsid w:val="00522523"/>
    <w:rsid w:val="005225A2"/>
    <w:rsid w:val="00522AC2"/>
    <w:rsid w:val="00523B57"/>
    <w:rsid w:val="005253B8"/>
    <w:rsid w:val="005261A4"/>
    <w:rsid w:val="00526476"/>
    <w:rsid w:val="005264DD"/>
    <w:rsid w:val="00527FCE"/>
    <w:rsid w:val="00530AC7"/>
    <w:rsid w:val="005341D3"/>
    <w:rsid w:val="005356A8"/>
    <w:rsid w:val="005365CB"/>
    <w:rsid w:val="00537566"/>
    <w:rsid w:val="0053794C"/>
    <w:rsid w:val="00537C27"/>
    <w:rsid w:val="00537D8E"/>
    <w:rsid w:val="00542FA7"/>
    <w:rsid w:val="00543680"/>
    <w:rsid w:val="00543937"/>
    <w:rsid w:val="00545A33"/>
    <w:rsid w:val="0054745B"/>
    <w:rsid w:val="00547495"/>
    <w:rsid w:val="005478B9"/>
    <w:rsid w:val="00547E58"/>
    <w:rsid w:val="00550CA8"/>
    <w:rsid w:val="0055130F"/>
    <w:rsid w:val="00552E49"/>
    <w:rsid w:val="00554936"/>
    <w:rsid w:val="0055558F"/>
    <w:rsid w:val="00556536"/>
    <w:rsid w:val="00557D8C"/>
    <w:rsid w:val="00560693"/>
    <w:rsid w:val="0056162F"/>
    <w:rsid w:val="005626AD"/>
    <w:rsid w:val="005636B2"/>
    <w:rsid w:val="005645AA"/>
    <w:rsid w:val="005646B4"/>
    <w:rsid w:val="00564BAE"/>
    <w:rsid w:val="005703AE"/>
    <w:rsid w:val="0057117E"/>
    <w:rsid w:val="00572AD7"/>
    <w:rsid w:val="00572E54"/>
    <w:rsid w:val="00574ED2"/>
    <w:rsid w:val="005750FB"/>
    <w:rsid w:val="00575B99"/>
    <w:rsid w:val="00576BCE"/>
    <w:rsid w:val="00577705"/>
    <w:rsid w:val="00584712"/>
    <w:rsid w:val="00586636"/>
    <w:rsid w:val="00586882"/>
    <w:rsid w:val="0058713E"/>
    <w:rsid w:val="00590CCB"/>
    <w:rsid w:val="00590F79"/>
    <w:rsid w:val="005941C6"/>
    <w:rsid w:val="00595A7F"/>
    <w:rsid w:val="00596D39"/>
    <w:rsid w:val="005A03FA"/>
    <w:rsid w:val="005A162F"/>
    <w:rsid w:val="005A1F95"/>
    <w:rsid w:val="005A2298"/>
    <w:rsid w:val="005A442F"/>
    <w:rsid w:val="005A5C4C"/>
    <w:rsid w:val="005A7A13"/>
    <w:rsid w:val="005A7D0B"/>
    <w:rsid w:val="005A7D62"/>
    <w:rsid w:val="005B1BB6"/>
    <w:rsid w:val="005B201D"/>
    <w:rsid w:val="005B2DD4"/>
    <w:rsid w:val="005B326F"/>
    <w:rsid w:val="005B3831"/>
    <w:rsid w:val="005B3B04"/>
    <w:rsid w:val="005B4709"/>
    <w:rsid w:val="005B563E"/>
    <w:rsid w:val="005B626B"/>
    <w:rsid w:val="005B7EDB"/>
    <w:rsid w:val="005C0C56"/>
    <w:rsid w:val="005C0C82"/>
    <w:rsid w:val="005C2289"/>
    <w:rsid w:val="005C398B"/>
    <w:rsid w:val="005C3C28"/>
    <w:rsid w:val="005D0171"/>
    <w:rsid w:val="005D188D"/>
    <w:rsid w:val="005D46BB"/>
    <w:rsid w:val="005D4F08"/>
    <w:rsid w:val="005E15B8"/>
    <w:rsid w:val="005E2F79"/>
    <w:rsid w:val="005E35B3"/>
    <w:rsid w:val="005E3774"/>
    <w:rsid w:val="005E3A41"/>
    <w:rsid w:val="005E575B"/>
    <w:rsid w:val="005E6CE8"/>
    <w:rsid w:val="005E6E6F"/>
    <w:rsid w:val="005F2A60"/>
    <w:rsid w:val="005F5410"/>
    <w:rsid w:val="005F56E6"/>
    <w:rsid w:val="005F56ED"/>
    <w:rsid w:val="005F7A6B"/>
    <w:rsid w:val="00600696"/>
    <w:rsid w:val="006019EB"/>
    <w:rsid w:val="00602291"/>
    <w:rsid w:val="00603BAE"/>
    <w:rsid w:val="00604078"/>
    <w:rsid w:val="0060597E"/>
    <w:rsid w:val="00605B61"/>
    <w:rsid w:val="0060699C"/>
    <w:rsid w:val="00606C48"/>
    <w:rsid w:val="00606EFB"/>
    <w:rsid w:val="00607600"/>
    <w:rsid w:val="00614A0E"/>
    <w:rsid w:val="00615348"/>
    <w:rsid w:val="006155A2"/>
    <w:rsid w:val="00615AF4"/>
    <w:rsid w:val="00615B30"/>
    <w:rsid w:val="00616244"/>
    <w:rsid w:val="00620347"/>
    <w:rsid w:val="006218B0"/>
    <w:rsid w:val="00622DF7"/>
    <w:rsid w:val="00623B26"/>
    <w:rsid w:val="00625C39"/>
    <w:rsid w:val="00627FC9"/>
    <w:rsid w:val="006315A5"/>
    <w:rsid w:val="006326B2"/>
    <w:rsid w:val="00632732"/>
    <w:rsid w:val="00632E10"/>
    <w:rsid w:val="0063666B"/>
    <w:rsid w:val="006369C7"/>
    <w:rsid w:val="00636CE2"/>
    <w:rsid w:val="00636F99"/>
    <w:rsid w:val="00643390"/>
    <w:rsid w:val="00645C14"/>
    <w:rsid w:val="00646A5C"/>
    <w:rsid w:val="006505AC"/>
    <w:rsid w:val="00650959"/>
    <w:rsid w:val="00651474"/>
    <w:rsid w:val="0065171F"/>
    <w:rsid w:val="00652875"/>
    <w:rsid w:val="00654B43"/>
    <w:rsid w:val="006557C3"/>
    <w:rsid w:val="00656886"/>
    <w:rsid w:val="00657A4E"/>
    <w:rsid w:val="006638B3"/>
    <w:rsid w:val="00663D63"/>
    <w:rsid w:val="00667361"/>
    <w:rsid w:val="00670DF2"/>
    <w:rsid w:val="00670E6F"/>
    <w:rsid w:val="00672333"/>
    <w:rsid w:val="00672534"/>
    <w:rsid w:val="00672D6B"/>
    <w:rsid w:val="0067726D"/>
    <w:rsid w:val="006807A2"/>
    <w:rsid w:val="00680B9C"/>
    <w:rsid w:val="00681C9A"/>
    <w:rsid w:val="00683DD2"/>
    <w:rsid w:val="00685756"/>
    <w:rsid w:val="00686414"/>
    <w:rsid w:val="00686AED"/>
    <w:rsid w:val="00687DCD"/>
    <w:rsid w:val="00687FCB"/>
    <w:rsid w:val="0069083F"/>
    <w:rsid w:val="00692E13"/>
    <w:rsid w:val="0069345A"/>
    <w:rsid w:val="0069347F"/>
    <w:rsid w:val="00694495"/>
    <w:rsid w:val="00694757"/>
    <w:rsid w:val="0069532D"/>
    <w:rsid w:val="006954CC"/>
    <w:rsid w:val="00695535"/>
    <w:rsid w:val="006A12E1"/>
    <w:rsid w:val="006A187A"/>
    <w:rsid w:val="006A25B4"/>
    <w:rsid w:val="006A2696"/>
    <w:rsid w:val="006A293C"/>
    <w:rsid w:val="006A46D7"/>
    <w:rsid w:val="006B032E"/>
    <w:rsid w:val="006B22E3"/>
    <w:rsid w:val="006B39A5"/>
    <w:rsid w:val="006B4010"/>
    <w:rsid w:val="006B6E2C"/>
    <w:rsid w:val="006C04EC"/>
    <w:rsid w:val="006C0C00"/>
    <w:rsid w:val="006C0DC5"/>
    <w:rsid w:val="006C115A"/>
    <w:rsid w:val="006C3546"/>
    <w:rsid w:val="006C3C35"/>
    <w:rsid w:val="006C48AE"/>
    <w:rsid w:val="006C4CD9"/>
    <w:rsid w:val="006C4DE3"/>
    <w:rsid w:val="006D070D"/>
    <w:rsid w:val="006D09C1"/>
    <w:rsid w:val="006D0BE6"/>
    <w:rsid w:val="006D0F73"/>
    <w:rsid w:val="006D24F2"/>
    <w:rsid w:val="006D26E1"/>
    <w:rsid w:val="006D3319"/>
    <w:rsid w:val="006D46BE"/>
    <w:rsid w:val="006D5F15"/>
    <w:rsid w:val="006D7426"/>
    <w:rsid w:val="006D7818"/>
    <w:rsid w:val="006D7CC3"/>
    <w:rsid w:val="006E02F8"/>
    <w:rsid w:val="006E635E"/>
    <w:rsid w:val="006E72EA"/>
    <w:rsid w:val="006E7CC7"/>
    <w:rsid w:val="006F005E"/>
    <w:rsid w:val="006F1059"/>
    <w:rsid w:val="006F12A9"/>
    <w:rsid w:val="006F1384"/>
    <w:rsid w:val="006F2720"/>
    <w:rsid w:val="006F5F9C"/>
    <w:rsid w:val="006F7D93"/>
    <w:rsid w:val="007010FD"/>
    <w:rsid w:val="00703253"/>
    <w:rsid w:val="00705210"/>
    <w:rsid w:val="00707DB1"/>
    <w:rsid w:val="007111FE"/>
    <w:rsid w:val="00713698"/>
    <w:rsid w:val="00713B5A"/>
    <w:rsid w:val="00715CF2"/>
    <w:rsid w:val="007221E3"/>
    <w:rsid w:val="00722B33"/>
    <w:rsid w:val="007236EE"/>
    <w:rsid w:val="00731173"/>
    <w:rsid w:val="007314C1"/>
    <w:rsid w:val="00732C78"/>
    <w:rsid w:val="007334EA"/>
    <w:rsid w:val="0073440B"/>
    <w:rsid w:val="00734F45"/>
    <w:rsid w:val="00734F68"/>
    <w:rsid w:val="0073635C"/>
    <w:rsid w:val="00736566"/>
    <w:rsid w:val="00740860"/>
    <w:rsid w:val="00741ED1"/>
    <w:rsid w:val="0074256E"/>
    <w:rsid w:val="007432F2"/>
    <w:rsid w:val="00746F91"/>
    <w:rsid w:val="00747726"/>
    <w:rsid w:val="00751AF3"/>
    <w:rsid w:val="007523F0"/>
    <w:rsid w:val="0076019B"/>
    <w:rsid w:val="00760CB2"/>
    <w:rsid w:val="00761BAA"/>
    <w:rsid w:val="007623AD"/>
    <w:rsid w:val="007629BA"/>
    <w:rsid w:val="00766177"/>
    <w:rsid w:val="007706C7"/>
    <w:rsid w:val="00771416"/>
    <w:rsid w:val="00771C27"/>
    <w:rsid w:val="007740E7"/>
    <w:rsid w:val="0077606E"/>
    <w:rsid w:val="00782C37"/>
    <w:rsid w:val="00783663"/>
    <w:rsid w:val="00783EEF"/>
    <w:rsid w:val="00784CD0"/>
    <w:rsid w:val="007862E2"/>
    <w:rsid w:val="00786BDE"/>
    <w:rsid w:val="00787960"/>
    <w:rsid w:val="00790336"/>
    <w:rsid w:val="00790F67"/>
    <w:rsid w:val="007923DA"/>
    <w:rsid w:val="007938AD"/>
    <w:rsid w:val="00794AD4"/>
    <w:rsid w:val="00794CC9"/>
    <w:rsid w:val="00794DBD"/>
    <w:rsid w:val="0079597F"/>
    <w:rsid w:val="00796707"/>
    <w:rsid w:val="007A1DFB"/>
    <w:rsid w:val="007A1EE9"/>
    <w:rsid w:val="007A3D08"/>
    <w:rsid w:val="007A3EC0"/>
    <w:rsid w:val="007A4519"/>
    <w:rsid w:val="007A4C66"/>
    <w:rsid w:val="007A7FB0"/>
    <w:rsid w:val="007B01C0"/>
    <w:rsid w:val="007B1EB1"/>
    <w:rsid w:val="007B25EF"/>
    <w:rsid w:val="007B442B"/>
    <w:rsid w:val="007B4652"/>
    <w:rsid w:val="007B480C"/>
    <w:rsid w:val="007B4F72"/>
    <w:rsid w:val="007B614E"/>
    <w:rsid w:val="007C084E"/>
    <w:rsid w:val="007C2112"/>
    <w:rsid w:val="007C2DD0"/>
    <w:rsid w:val="007C56BE"/>
    <w:rsid w:val="007C6050"/>
    <w:rsid w:val="007C78F5"/>
    <w:rsid w:val="007D1A23"/>
    <w:rsid w:val="007D1DC4"/>
    <w:rsid w:val="007D2744"/>
    <w:rsid w:val="007D3D7C"/>
    <w:rsid w:val="007D45B3"/>
    <w:rsid w:val="007D49A5"/>
    <w:rsid w:val="007E0610"/>
    <w:rsid w:val="007E0D3A"/>
    <w:rsid w:val="007E1A95"/>
    <w:rsid w:val="007E2E04"/>
    <w:rsid w:val="007E49E6"/>
    <w:rsid w:val="007E5955"/>
    <w:rsid w:val="007E6418"/>
    <w:rsid w:val="007F0108"/>
    <w:rsid w:val="007F2C5B"/>
    <w:rsid w:val="007F2E12"/>
    <w:rsid w:val="007F2EF7"/>
    <w:rsid w:val="007F3703"/>
    <w:rsid w:val="007F3751"/>
    <w:rsid w:val="007F5BE5"/>
    <w:rsid w:val="007F640D"/>
    <w:rsid w:val="007F7BB5"/>
    <w:rsid w:val="00800219"/>
    <w:rsid w:val="00802226"/>
    <w:rsid w:val="00802314"/>
    <w:rsid w:val="0080262E"/>
    <w:rsid w:val="0080286E"/>
    <w:rsid w:val="00802CD0"/>
    <w:rsid w:val="008067E0"/>
    <w:rsid w:val="00807530"/>
    <w:rsid w:val="0081101E"/>
    <w:rsid w:val="008117C9"/>
    <w:rsid w:val="00811B14"/>
    <w:rsid w:val="008133AE"/>
    <w:rsid w:val="0081355A"/>
    <w:rsid w:val="00813F6D"/>
    <w:rsid w:val="0081496B"/>
    <w:rsid w:val="0081678F"/>
    <w:rsid w:val="00816A7C"/>
    <w:rsid w:val="0082307A"/>
    <w:rsid w:val="00825EA8"/>
    <w:rsid w:val="008264A9"/>
    <w:rsid w:val="008307A0"/>
    <w:rsid w:val="00830D8F"/>
    <w:rsid w:val="00831EA4"/>
    <w:rsid w:val="0083221C"/>
    <w:rsid w:val="00832B61"/>
    <w:rsid w:val="0083306E"/>
    <w:rsid w:val="00833ADF"/>
    <w:rsid w:val="008413FB"/>
    <w:rsid w:val="00842F36"/>
    <w:rsid w:val="00843210"/>
    <w:rsid w:val="008443B8"/>
    <w:rsid w:val="00846853"/>
    <w:rsid w:val="008479D2"/>
    <w:rsid w:val="00850C38"/>
    <w:rsid w:val="00851B06"/>
    <w:rsid w:val="0085281F"/>
    <w:rsid w:val="00854B66"/>
    <w:rsid w:val="00854E1D"/>
    <w:rsid w:val="00855AC4"/>
    <w:rsid w:val="00857A08"/>
    <w:rsid w:val="00857CC8"/>
    <w:rsid w:val="00857D40"/>
    <w:rsid w:val="00860AF2"/>
    <w:rsid w:val="0086167D"/>
    <w:rsid w:val="00861BB4"/>
    <w:rsid w:val="00861F96"/>
    <w:rsid w:val="00862FB6"/>
    <w:rsid w:val="00863273"/>
    <w:rsid w:val="0086341D"/>
    <w:rsid w:val="0086690F"/>
    <w:rsid w:val="008672C3"/>
    <w:rsid w:val="008717DD"/>
    <w:rsid w:val="0087222F"/>
    <w:rsid w:val="00873DC7"/>
    <w:rsid w:val="008777C7"/>
    <w:rsid w:val="00880574"/>
    <w:rsid w:val="00880624"/>
    <w:rsid w:val="00880AE8"/>
    <w:rsid w:val="00883F27"/>
    <w:rsid w:val="00883FE2"/>
    <w:rsid w:val="00884727"/>
    <w:rsid w:val="008852DC"/>
    <w:rsid w:val="0088553C"/>
    <w:rsid w:val="00890588"/>
    <w:rsid w:val="00890599"/>
    <w:rsid w:val="008931F4"/>
    <w:rsid w:val="00894895"/>
    <w:rsid w:val="0089542B"/>
    <w:rsid w:val="00895BE8"/>
    <w:rsid w:val="0089632F"/>
    <w:rsid w:val="0089647D"/>
    <w:rsid w:val="008A0141"/>
    <w:rsid w:val="008A0964"/>
    <w:rsid w:val="008A1928"/>
    <w:rsid w:val="008A1BF5"/>
    <w:rsid w:val="008A221B"/>
    <w:rsid w:val="008A48B5"/>
    <w:rsid w:val="008A4F81"/>
    <w:rsid w:val="008A5A18"/>
    <w:rsid w:val="008A5B70"/>
    <w:rsid w:val="008A7816"/>
    <w:rsid w:val="008B4674"/>
    <w:rsid w:val="008B4E5C"/>
    <w:rsid w:val="008B5410"/>
    <w:rsid w:val="008B5C7A"/>
    <w:rsid w:val="008B6FB3"/>
    <w:rsid w:val="008C021F"/>
    <w:rsid w:val="008C0DA5"/>
    <w:rsid w:val="008C1DF2"/>
    <w:rsid w:val="008C250D"/>
    <w:rsid w:val="008C57B5"/>
    <w:rsid w:val="008D3771"/>
    <w:rsid w:val="008D442C"/>
    <w:rsid w:val="008D4C86"/>
    <w:rsid w:val="008D6153"/>
    <w:rsid w:val="008D7507"/>
    <w:rsid w:val="008D758C"/>
    <w:rsid w:val="008D7767"/>
    <w:rsid w:val="008D7FA9"/>
    <w:rsid w:val="008E175F"/>
    <w:rsid w:val="008E19F7"/>
    <w:rsid w:val="008E1AE1"/>
    <w:rsid w:val="008E6242"/>
    <w:rsid w:val="008E6B54"/>
    <w:rsid w:val="008E7EA8"/>
    <w:rsid w:val="008F48E4"/>
    <w:rsid w:val="008F5187"/>
    <w:rsid w:val="008F7966"/>
    <w:rsid w:val="00900BB6"/>
    <w:rsid w:val="0090160E"/>
    <w:rsid w:val="00902E81"/>
    <w:rsid w:val="009031F1"/>
    <w:rsid w:val="00903711"/>
    <w:rsid w:val="00903AD5"/>
    <w:rsid w:val="00904714"/>
    <w:rsid w:val="00904FCE"/>
    <w:rsid w:val="009102FC"/>
    <w:rsid w:val="009108A3"/>
    <w:rsid w:val="00913304"/>
    <w:rsid w:val="00913633"/>
    <w:rsid w:val="00913FBC"/>
    <w:rsid w:val="009146C3"/>
    <w:rsid w:val="00914BB9"/>
    <w:rsid w:val="009153CD"/>
    <w:rsid w:val="00917389"/>
    <w:rsid w:val="00921068"/>
    <w:rsid w:val="009223FE"/>
    <w:rsid w:val="0092283D"/>
    <w:rsid w:val="0092287A"/>
    <w:rsid w:val="00923B21"/>
    <w:rsid w:val="0092679B"/>
    <w:rsid w:val="00931F05"/>
    <w:rsid w:val="00932811"/>
    <w:rsid w:val="0093283F"/>
    <w:rsid w:val="009341EF"/>
    <w:rsid w:val="00935B93"/>
    <w:rsid w:val="00937E46"/>
    <w:rsid w:val="00940218"/>
    <w:rsid w:val="00941001"/>
    <w:rsid w:val="00941090"/>
    <w:rsid w:val="00942394"/>
    <w:rsid w:val="00943B53"/>
    <w:rsid w:val="00945E0F"/>
    <w:rsid w:val="009464CA"/>
    <w:rsid w:val="0094663F"/>
    <w:rsid w:val="00950D90"/>
    <w:rsid w:val="00950EF7"/>
    <w:rsid w:val="009527C7"/>
    <w:rsid w:val="00952C20"/>
    <w:rsid w:val="00953C29"/>
    <w:rsid w:val="0095481F"/>
    <w:rsid w:val="009617AB"/>
    <w:rsid w:val="00965257"/>
    <w:rsid w:val="009674E8"/>
    <w:rsid w:val="00967A4F"/>
    <w:rsid w:val="00970839"/>
    <w:rsid w:val="00972644"/>
    <w:rsid w:val="00972A50"/>
    <w:rsid w:val="009737D8"/>
    <w:rsid w:val="00974936"/>
    <w:rsid w:val="00976196"/>
    <w:rsid w:val="009771DC"/>
    <w:rsid w:val="0098079E"/>
    <w:rsid w:val="009809F7"/>
    <w:rsid w:val="00981525"/>
    <w:rsid w:val="009818C2"/>
    <w:rsid w:val="0098218B"/>
    <w:rsid w:val="00982371"/>
    <w:rsid w:val="009823AB"/>
    <w:rsid w:val="00982D47"/>
    <w:rsid w:val="0098314B"/>
    <w:rsid w:val="0098378A"/>
    <w:rsid w:val="009839EA"/>
    <w:rsid w:val="00983CE0"/>
    <w:rsid w:val="009856F5"/>
    <w:rsid w:val="009857E9"/>
    <w:rsid w:val="0098586A"/>
    <w:rsid w:val="00985FB1"/>
    <w:rsid w:val="009863DE"/>
    <w:rsid w:val="0098770F"/>
    <w:rsid w:val="009909C3"/>
    <w:rsid w:val="009937D6"/>
    <w:rsid w:val="00994473"/>
    <w:rsid w:val="009945A7"/>
    <w:rsid w:val="00994B69"/>
    <w:rsid w:val="0099530E"/>
    <w:rsid w:val="00995C2F"/>
    <w:rsid w:val="00995FA4"/>
    <w:rsid w:val="009963FC"/>
    <w:rsid w:val="009970CE"/>
    <w:rsid w:val="009978BF"/>
    <w:rsid w:val="009A0EEC"/>
    <w:rsid w:val="009A29C0"/>
    <w:rsid w:val="009A3FB4"/>
    <w:rsid w:val="009A44B9"/>
    <w:rsid w:val="009A526A"/>
    <w:rsid w:val="009A5CDB"/>
    <w:rsid w:val="009A79D6"/>
    <w:rsid w:val="009A7C2A"/>
    <w:rsid w:val="009B140E"/>
    <w:rsid w:val="009B1D06"/>
    <w:rsid w:val="009B3806"/>
    <w:rsid w:val="009B5556"/>
    <w:rsid w:val="009B5CBE"/>
    <w:rsid w:val="009B78F8"/>
    <w:rsid w:val="009B79ED"/>
    <w:rsid w:val="009C10BA"/>
    <w:rsid w:val="009C11A9"/>
    <w:rsid w:val="009C1542"/>
    <w:rsid w:val="009C2A09"/>
    <w:rsid w:val="009C2F01"/>
    <w:rsid w:val="009C3D68"/>
    <w:rsid w:val="009C4436"/>
    <w:rsid w:val="009C4EFB"/>
    <w:rsid w:val="009C53AC"/>
    <w:rsid w:val="009C653C"/>
    <w:rsid w:val="009C7180"/>
    <w:rsid w:val="009D1A8F"/>
    <w:rsid w:val="009D2247"/>
    <w:rsid w:val="009D3682"/>
    <w:rsid w:val="009D424C"/>
    <w:rsid w:val="009E0B51"/>
    <w:rsid w:val="009E0CE8"/>
    <w:rsid w:val="009E0DC7"/>
    <w:rsid w:val="009E179B"/>
    <w:rsid w:val="009E1F0E"/>
    <w:rsid w:val="009E38A5"/>
    <w:rsid w:val="009E55AF"/>
    <w:rsid w:val="009E5A5C"/>
    <w:rsid w:val="009E762D"/>
    <w:rsid w:val="009E7BDB"/>
    <w:rsid w:val="009F0F1C"/>
    <w:rsid w:val="009F1900"/>
    <w:rsid w:val="009F33F9"/>
    <w:rsid w:val="009F4B76"/>
    <w:rsid w:val="00A015DD"/>
    <w:rsid w:val="00A01806"/>
    <w:rsid w:val="00A02787"/>
    <w:rsid w:val="00A03D2C"/>
    <w:rsid w:val="00A05180"/>
    <w:rsid w:val="00A0579A"/>
    <w:rsid w:val="00A05CB2"/>
    <w:rsid w:val="00A06314"/>
    <w:rsid w:val="00A07629"/>
    <w:rsid w:val="00A12AF4"/>
    <w:rsid w:val="00A13B1F"/>
    <w:rsid w:val="00A14FB8"/>
    <w:rsid w:val="00A1584C"/>
    <w:rsid w:val="00A16122"/>
    <w:rsid w:val="00A1613A"/>
    <w:rsid w:val="00A16638"/>
    <w:rsid w:val="00A16CE6"/>
    <w:rsid w:val="00A17F68"/>
    <w:rsid w:val="00A20E73"/>
    <w:rsid w:val="00A214B8"/>
    <w:rsid w:val="00A22429"/>
    <w:rsid w:val="00A22F48"/>
    <w:rsid w:val="00A2364E"/>
    <w:rsid w:val="00A23B4C"/>
    <w:rsid w:val="00A23B75"/>
    <w:rsid w:val="00A25B55"/>
    <w:rsid w:val="00A33261"/>
    <w:rsid w:val="00A340C6"/>
    <w:rsid w:val="00A34B5F"/>
    <w:rsid w:val="00A3572D"/>
    <w:rsid w:val="00A367E1"/>
    <w:rsid w:val="00A40C6B"/>
    <w:rsid w:val="00A41AC6"/>
    <w:rsid w:val="00A424B8"/>
    <w:rsid w:val="00A42646"/>
    <w:rsid w:val="00A460CE"/>
    <w:rsid w:val="00A46D49"/>
    <w:rsid w:val="00A511EA"/>
    <w:rsid w:val="00A51636"/>
    <w:rsid w:val="00A52D71"/>
    <w:rsid w:val="00A52EDE"/>
    <w:rsid w:val="00A5311E"/>
    <w:rsid w:val="00A53871"/>
    <w:rsid w:val="00A549D7"/>
    <w:rsid w:val="00A54A10"/>
    <w:rsid w:val="00A5523D"/>
    <w:rsid w:val="00A554B1"/>
    <w:rsid w:val="00A607C6"/>
    <w:rsid w:val="00A60F06"/>
    <w:rsid w:val="00A61602"/>
    <w:rsid w:val="00A620F3"/>
    <w:rsid w:val="00A62ED9"/>
    <w:rsid w:val="00A63177"/>
    <w:rsid w:val="00A636E7"/>
    <w:rsid w:val="00A66E7F"/>
    <w:rsid w:val="00A67746"/>
    <w:rsid w:val="00A705F1"/>
    <w:rsid w:val="00A71AF5"/>
    <w:rsid w:val="00A815E7"/>
    <w:rsid w:val="00A86B46"/>
    <w:rsid w:val="00A86E7B"/>
    <w:rsid w:val="00A879AA"/>
    <w:rsid w:val="00A87E76"/>
    <w:rsid w:val="00A90558"/>
    <w:rsid w:val="00A91AEF"/>
    <w:rsid w:val="00A91D01"/>
    <w:rsid w:val="00A94705"/>
    <w:rsid w:val="00A97DBB"/>
    <w:rsid w:val="00AA08DA"/>
    <w:rsid w:val="00AA1021"/>
    <w:rsid w:val="00AA138B"/>
    <w:rsid w:val="00AA1937"/>
    <w:rsid w:val="00AA3E04"/>
    <w:rsid w:val="00AA42E4"/>
    <w:rsid w:val="00AA59F8"/>
    <w:rsid w:val="00AA60CA"/>
    <w:rsid w:val="00AB0CCB"/>
    <w:rsid w:val="00AB3CFD"/>
    <w:rsid w:val="00AB3F9A"/>
    <w:rsid w:val="00AB7BA7"/>
    <w:rsid w:val="00AB7EFE"/>
    <w:rsid w:val="00AC000B"/>
    <w:rsid w:val="00AC0050"/>
    <w:rsid w:val="00AC04F1"/>
    <w:rsid w:val="00AC1F54"/>
    <w:rsid w:val="00AC235B"/>
    <w:rsid w:val="00AC2C44"/>
    <w:rsid w:val="00AD0467"/>
    <w:rsid w:val="00AD160E"/>
    <w:rsid w:val="00AD161C"/>
    <w:rsid w:val="00AD1C02"/>
    <w:rsid w:val="00AD21E8"/>
    <w:rsid w:val="00AD24D3"/>
    <w:rsid w:val="00AD3759"/>
    <w:rsid w:val="00AD4161"/>
    <w:rsid w:val="00AD5963"/>
    <w:rsid w:val="00AD6CE7"/>
    <w:rsid w:val="00AD6E17"/>
    <w:rsid w:val="00AE0A93"/>
    <w:rsid w:val="00AE13B9"/>
    <w:rsid w:val="00AE1C9D"/>
    <w:rsid w:val="00AE5D46"/>
    <w:rsid w:val="00AE6260"/>
    <w:rsid w:val="00AE7A22"/>
    <w:rsid w:val="00AF048E"/>
    <w:rsid w:val="00AF1A6F"/>
    <w:rsid w:val="00AF2D6E"/>
    <w:rsid w:val="00AF35EB"/>
    <w:rsid w:val="00AF4C14"/>
    <w:rsid w:val="00AF60CF"/>
    <w:rsid w:val="00AF69A7"/>
    <w:rsid w:val="00AF7317"/>
    <w:rsid w:val="00B03A1A"/>
    <w:rsid w:val="00B045BF"/>
    <w:rsid w:val="00B0505C"/>
    <w:rsid w:val="00B062D0"/>
    <w:rsid w:val="00B077A2"/>
    <w:rsid w:val="00B1177A"/>
    <w:rsid w:val="00B11E06"/>
    <w:rsid w:val="00B12B9E"/>
    <w:rsid w:val="00B14F81"/>
    <w:rsid w:val="00B160DB"/>
    <w:rsid w:val="00B16383"/>
    <w:rsid w:val="00B17A97"/>
    <w:rsid w:val="00B2131E"/>
    <w:rsid w:val="00B22237"/>
    <w:rsid w:val="00B22D35"/>
    <w:rsid w:val="00B23288"/>
    <w:rsid w:val="00B2516F"/>
    <w:rsid w:val="00B256CA"/>
    <w:rsid w:val="00B30015"/>
    <w:rsid w:val="00B30437"/>
    <w:rsid w:val="00B31040"/>
    <w:rsid w:val="00B32BD9"/>
    <w:rsid w:val="00B35F2C"/>
    <w:rsid w:val="00B35F52"/>
    <w:rsid w:val="00B40211"/>
    <w:rsid w:val="00B4023E"/>
    <w:rsid w:val="00B41713"/>
    <w:rsid w:val="00B418F5"/>
    <w:rsid w:val="00B41D50"/>
    <w:rsid w:val="00B41FC4"/>
    <w:rsid w:val="00B466BF"/>
    <w:rsid w:val="00B5193C"/>
    <w:rsid w:val="00B53B26"/>
    <w:rsid w:val="00B53FA3"/>
    <w:rsid w:val="00B5467A"/>
    <w:rsid w:val="00B566B2"/>
    <w:rsid w:val="00B60CE1"/>
    <w:rsid w:val="00B61105"/>
    <w:rsid w:val="00B613BF"/>
    <w:rsid w:val="00B627F1"/>
    <w:rsid w:val="00B62DC5"/>
    <w:rsid w:val="00B6361D"/>
    <w:rsid w:val="00B6421E"/>
    <w:rsid w:val="00B64FCC"/>
    <w:rsid w:val="00B65CDB"/>
    <w:rsid w:val="00B665C8"/>
    <w:rsid w:val="00B66740"/>
    <w:rsid w:val="00B70578"/>
    <w:rsid w:val="00B728B3"/>
    <w:rsid w:val="00B72943"/>
    <w:rsid w:val="00B72A25"/>
    <w:rsid w:val="00B72DFF"/>
    <w:rsid w:val="00B738A6"/>
    <w:rsid w:val="00B73FC3"/>
    <w:rsid w:val="00B75837"/>
    <w:rsid w:val="00B77CDB"/>
    <w:rsid w:val="00B819EB"/>
    <w:rsid w:val="00B81DAD"/>
    <w:rsid w:val="00B84257"/>
    <w:rsid w:val="00B85D66"/>
    <w:rsid w:val="00B87998"/>
    <w:rsid w:val="00B91C47"/>
    <w:rsid w:val="00B92396"/>
    <w:rsid w:val="00B941D0"/>
    <w:rsid w:val="00B942FF"/>
    <w:rsid w:val="00B94990"/>
    <w:rsid w:val="00B95348"/>
    <w:rsid w:val="00B967B2"/>
    <w:rsid w:val="00B974E4"/>
    <w:rsid w:val="00B975F4"/>
    <w:rsid w:val="00BA29CC"/>
    <w:rsid w:val="00BA3377"/>
    <w:rsid w:val="00BA3DCC"/>
    <w:rsid w:val="00BA5DE5"/>
    <w:rsid w:val="00BA6428"/>
    <w:rsid w:val="00BA7ACF"/>
    <w:rsid w:val="00BB02AE"/>
    <w:rsid w:val="00BB0FC0"/>
    <w:rsid w:val="00BB43AF"/>
    <w:rsid w:val="00BB5EB0"/>
    <w:rsid w:val="00BB6584"/>
    <w:rsid w:val="00BB6888"/>
    <w:rsid w:val="00BB73B4"/>
    <w:rsid w:val="00BB7FA0"/>
    <w:rsid w:val="00BC2878"/>
    <w:rsid w:val="00BC2C54"/>
    <w:rsid w:val="00BC4FF8"/>
    <w:rsid w:val="00BC7EEA"/>
    <w:rsid w:val="00BD0847"/>
    <w:rsid w:val="00BD0AE7"/>
    <w:rsid w:val="00BD0CA2"/>
    <w:rsid w:val="00BD0E27"/>
    <w:rsid w:val="00BD1214"/>
    <w:rsid w:val="00BD1221"/>
    <w:rsid w:val="00BD23B7"/>
    <w:rsid w:val="00BD61FF"/>
    <w:rsid w:val="00BD7B18"/>
    <w:rsid w:val="00BE2A22"/>
    <w:rsid w:val="00BE33F1"/>
    <w:rsid w:val="00BE43E1"/>
    <w:rsid w:val="00BE6475"/>
    <w:rsid w:val="00BE6A76"/>
    <w:rsid w:val="00BF37FB"/>
    <w:rsid w:val="00BF4275"/>
    <w:rsid w:val="00BF760B"/>
    <w:rsid w:val="00C00DC5"/>
    <w:rsid w:val="00C00E0B"/>
    <w:rsid w:val="00C036DA"/>
    <w:rsid w:val="00C04C25"/>
    <w:rsid w:val="00C05742"/>
    <w:rsid w:val="00C05CA5"/>
    <w:rsid w:val="00C0679D"/>
    <w:rsid w:val="00C06E17"/>
    <w:rsid w:val="00C07CB0"/>
    <w:rsid w:val="00C10965"/>
    <w:rsid w:val="00C10CB2"/>
    <w:rsid w:val="00C10DFC"/>
    <w:rsid w:val="00C11EF5"/>
    <w:rsid w:val="00C15F18"/>
    <w:rsid w:val="00C172CC"/>
    <w:rsid w:val="00C17694"/>
    <w:rsid w:val="00C20ED0"/>
    <w:rsid w:val="00C21BE7"/>
    <w:rsid w:val="00C25895"/>
    <w:rsid w:val="00C32999"/>
    <w:rsid w:val="00C32F8B"/>
    <w:rsid w:val="00C34844"/>
    <w:rsid w:val="00C36FDD"/>
    <w:rsid w:val="00C44287"/>
    <w:rsid w:val="00C442DE"/>
    <w:rsid w:val="00C4456E"/>
    <w:rsid w:val="00C44A4D"/>
    <w:rsid w:val="00C46E34"/>
    <w:rsid w:val="00C5131F"/>
    <w:rsid w:val="00C51653"/>
    <w:rsid w:val="00C52438"/>
    <w:rsid w:val="00C54558"/>
    <w:rsid w:val="00C5605C"/>
    <w:rsid w:val="00C567B0"/>
    <w:rsid w:val="00C56FFF"/>
    <w:rsid w:val="00C62219"/>
    <w:rsid w:val="00C62EA7"/>
    <w:rsid w:val="00C63C64"/>
    <w:rsid w:val="00C64507"/>
    <w:rsid w:val="00C64E01"/>
    <w:rsid w:val="00C702DE"/>
    <w:rsid w:val="00C75462"/>
    <w:rsid w:val="00C77207"/>
    <w:rsid w:val="00C829C5"/>
    <w:rsid w:val="00C840E1"/>
    <w:rsid w:val="00C84547"/>
    <w:rsid w:val="00C85EE7"/>
    <w:rsid w:val="00C87493"/>
    <w:rsid w:val="00C87B3D"/>
    <w:rsid w:val="00C919A5"/>
    <w:rsid w:val="00C9268A"/>
    <w:rsid w:val="00C93927"/>
    <w:rsid w:val="00C96EA7"/>
    <w:rsid w:val="00CA0CE8"/>
    <w:rsid w:val="00CA25EF"/>
    <w:rsid w:val="00CA3387"/>
    <w:rsid w:val="00CA4DF8"/>
    <w:rsid w:val="00CA5029"/>
    <w:rsid w:val="00CA6083"/>
    <w:rsid w:val="00CA653C"/>
    <w:rsid w:val="00CA72D0"/>
    <w:rsid w:val="00CA7AF9"/>
    <w:rsid w:val="00CA7E53"/>
    <w:rsid w:val="00CB17A8"/>
    <w:rsid w:val="00CB2C89"/>
    <w:rsid w:val="00CB2DBE"/>
    <w:rsid w:val="00CB53C6"/>
    <w:rsid w:val="00CB60FD"/>
    <w:rsid w:val="00CB75CD"/>
    <w:rsid w:val="00CC03C8"/>
    <w:rsid w:val="00CC0CC6"/>
    <w:rsid w:val="00CC24C9"/>
    <w:rsid w:val="00CC592E"/>
    <w:rsid w:val="00CC5E2E"/>
    <w:rsid w:val="00CC63B1"/>
    <w:rsid w:val="00CC7C84"/>
    <w:rsid w:val="00CD1E35"/>
    <w:rsid w:val="00CD254B"/>
    <w:rsid w:val="00CD3BAF"/>
    <w:rsid w:val="00CD753D"/>
    <w:rsid w:val="00CD7D3A"/>
    <w:rsid w:val="00CE06CF"/>
    <w:rsid w:val="00CE1CEC"/>
    <w:rsid w:val="00CE23D9"/>
    <w:rsid w:val="00CE3D90"/>
    <w:rsid w:val="00CE4864"/>
    <w:rsid w:val="00CE5704"/>
    <w:rsid w:val="00CE70B2"/>
    <w:rsid w:val="00CF24D7"/>
    <w:rsid w:val="00CF2503"/>
    <w:rsid w:val="00CF2E2F"/>
    <w:rsid w:val="00CF3067"/>
    <w:rsid w:val="00CF4A6F"/>
    <w:rsid w:val="00CF57F8"/>
    <w:rsid w:val="00CF6230"/>
    <w:rsid w:val="00CF733C"/>
    <w:rsid w:val="00CF7A42"/>
    <w:rsid w:val="00D013E0"/>
    <w:rsid w:val="00D02B52"/>
    <w:rsid w:val="00D03B0B"/>
    <w:rsid w:val="00D042E2"/>
    <w:rsid w:val="00D04484"/>
    <w:rsid w:val="00D05274"/>
    <w:rsid w:val="00D05E7A"/>
    <w:rsid w:val="00D05EF5"/>
    <w:rsid w:val="00D079A5"/>
    <w:rsid w:val="00D1183F"/>
    <w:rsid w:val="00D12BE4"/>
    <w:rsid w:val="00D1784F"/>
    <w:rsid w:val="00D2018A"/>
    <w:rsid w:val="00D20370"/>
    <w:rsid w:val="00D20B76"/>
    <w:rsid w:val="00D21BE7"/>
    <w:rsid w:val="00D21F42"/>
    <w:rsid w:val="00D23F56"/>
    <w:rsid w:val="00D2456E"/>
    <w:rsid w:val="00D24B49"/>
    <w:rsid w:val="00D255CA"/>
    <w:rsid w:val="00D3206A"/>
    <w:rsid w:val="00D32A30"/>
    <w:rsid w:val="00D3540D"/>
    <w:rsid w:val="00D438EA"/>
    <w:rsid w:val="00D44B25"/>
    <w:rsid w:val="00D460C6"/>
    <w:rsid w:val="00D47BDB"/>
    <w:rsid w:val="00D507DC"/>
    <w:rsid w:val="00D545CC"/>
    <w:rsid w:val="00D57705"/>
    <w:rsid w:val="00D614EF"/>
    <w:rsid w:val="00D637E9"/>
    <w:rsid w:val="00D63FE5"/>
    <w:rsid w:val="00D6400C"/>
    <w:rsid w:val="00D6510A"/>
    <w:rsid w:val="00D7087A"/>
    <w:rsid w:val="00D7252F"/>
    <w:rsid w:val="00D73F04"/>
    <w:rsid w:val="00D7439F"/>
    <w:rsid w:val="00D7454F"/>
    <w:rsid w:val="00D7559B"/>
    <w:rsid w:val="00D7699A"/>
    <w:rsid w:val="00D76C06"/>
    <w:rsid w:val="00D8038B"/>
    <w:rsid w:val="00D806DF"/>
    <w:rsid w:val="00D81542"/>
    <w:rsid w:val="00D84FEA"/>
    <w:rsid w:val="00D864A9"/>
    <w:rsid w:val="00D929F4"/>
    <w:rsid w:val="00D92FAE"/>
    <w:rsid w:val="00D93938"/>
    <w:rsid w:val="00D947C0"/>
    <w:rsid w:val="00D94CC3"/>
    <w:rsid w:val="00D95227"/>
    <w:rsid w:val="00D959FF"/>
    <w:rsid w:val="00D9763C"/>
    <w:rsid w:val="00DA0881"/>
    <w:rsid w:val="00DA35F2"/>
    <w:rsid w:val="00DA37AE"/>
    <w:rsid w:val="00DA39B2"/>
    <w:rsid w:val="00DA5332"/>
    <w:rsid w:val="00DA612F"/>
    <w:rsid w:val="00DA6579"/>
    <w:rsid w:val="00DA7E70"/>
    <w:rsid w:val="00DB0B64"/>
    <w:rsid w:val="00DB18E4"/>
    <w:rsid w:val="00DB2DA0"/>
    <w:rsid w:val="00DB5CD0"/>
    <w:rsid w:val="00DB7393"/>
    <w:rsid w:val="00DB7DA7"/>
    <w:rsid w:val="00DC00A6"/>
    <w:rsid w:val="00DC0E41"/>
    <w:rsid w:val="00DC1907"/>
    <w:rsid w:val="00DC2209"/>
    <w:rsid w:val="00DC2C1A"/>
    <w:rsid w:val="00DC3293"/>
    <w:rsid w:val="00DC3ADD"/>
    <w:rsid w:val="00DC3EF0"/>
    <w:rsid w:val="00DC411E"/>
    <w:rsid w:val="00DC49B5"/>
    <w:rsid w:val="00DC57B0"/>
    <w:rsid w:val="00DC6286"/>
    <w:rsid w:val="00DC6739"/>
    <w:rsid w:val="00DD3D62"/>
    <w:rsid w:val="00DD542A"/>
    <w:rsid w:val="00DD7442"/>
    <w:rsid w:val="00DE0208"/>
    <w:rsid w:val="00DE2349"/>
    <w:rsid w:val="00DE28A6"/>
    <w:rsid w:val="00DE3EEA"/>
    <w:rsid w:val="00DE47F2"/>
    <w:rsid w:val="00DE5A98"/>
    <w:rsid w:val="00DE76B2"/>
    <w:rsid w:val="00DE7DD1"/>
    <w:rsid w:val="00DF0B0D"/>
    <w:rsid w:val="00DF0F82"/>
    <w:rsid w:val="00DF140B"/>
    <w:rsid w:val="00DF251C"/>
    <w:rsid w:val="00DF2A62"/>
    <w:rsid w:val="00DF30C4"/>
    <w:rsid w:val="00DF3AD2"/>
    <w:rsid w:val="00DF3D19"/>
    <w:rsid w:val="00DF6A89"/>
    <w:rsid w:val="00DF7351"/>
    <w:rsid w:val="00E00532"/>
    <w:rsid w:val="00E02E24"/>
    <w:rsid w:val="00E04B4E"/>
    <w:rsid w:val="00E05287"/>
    <w:rsid w:val="00E059D1"/>
    <w:rsid w:val="00E05A5A"/>
    <w:rsid w:val="00E062DD"/>
    <w:rsid w:val="00E1006E"/>
    <w:rsid w:val="00E124AD"/>
    <w:rsid w:val="00E1393D"/>
    <w:rsid w:val="00E20E28"/>
    <w:rsid w:val="00E21ED3"/>
    <w:rsid w:val="00E22C7A"/>
    <w:rsid w:val="00E2421A"/>
    <w:rsid w:val="00E24CF9"/>
    <w:rsid w:val="00E25E11"/>
    <w:rsid w:val="00E26A8D"/>
    <w:rsid w:val="00E307CC"/>
    <w:rsid w:val="00E317BF"/>
    <w:rsid w:val="00E31CA0"/>
    <w:rsid w:val="00E3760E"/>
    <w:rsid w:val="00E4061B"/>
    <w:rsid w:val="00E4172F"/>
    <w:rsid w:val="00E4703C"/>
    <w:rsid w:val="00E4755A"/>
    <w:rsid w:val="00E477D7"/>
    <w:rsid w:val="00E47EAA"/>
    <w:rsid w:val="00E509E7"/>
    <w:rsid w:val="00E50AFF"/>
    <w:rsid w:val="00E519CF"/>
    <w:rsid w:val="00E62109"/>
    <w:rsid w:val="00E62336"/>
    <w:rsid w:val="00E62493"/>
    <w:rsid w:val="00E62C9B"/>
    <w:rsid w:val="00E70A3A"/>
    <w:rsid w:val="00E70CE1"/>
    <w:rsid w:val="00E7199C"/>
    <w:rsid w:val="00E72883"/>
    <w:rsid w:val="00E742BA"/>
    <w:rsid w:val="00E75FC7"/>
    <w:rsid w:val="00E76AF3"/>
    <w:rsid w:val="00E772EE"/>
    <w:rsid w:val="00E77673"/>
    <w:rsid w:val="00E81D11"/>
    <w:rsid w:val="00E844A7"/>
    <w:rsid w:val="00E84A42"/>
    <w:rsid w:val="00E84A7B"/>
    <w:rsid w:val="00E91FD1"/>
    <w:rsid w:val="00E9447F"/>
    <w:rsid w:val="00E960C6"/>
    <w:rsid w:val="00E96DEF"/>
    <w:rsid w:val="00E96EE9"/>
    <w:rsid w:val="00E97F6B"/>
    <w:rsid w:val="00EA079F"/>
    <w:rsid w:val="00EA1E1C"/>
    <w:rsid w:val="00EA224C"/>
    <w:rsid w:val="00EA39E2"/>
    <w:rsid w:val="00EA43A0"/>
    <w:rsid w:val="00EA4620"/>
    <w:rsid w:val="00EA4DEF"/>
    <w:rsid w:val="00EB03CC"/>
    <w:rsid w:val="00EB1F01"/>
    <w:rsid w:val="00EB24E5"/>
    <w:rsid w:val="00EB2DF5"/>
    <w:rsid w:val="00EB36C1"/>
    <w:rsid w:val="00EB7320"/>
    <w:rsid w:val="00EB7C24"/>
    <w:rsid w:val="00EC4172"/>
    <w:rsid w:val="00ED1EF8"/>
    <w:rsid w:val="00ED2A00"/>
    <w:rsid w:val="00ED44AC"/>
    <w:rsid w:val="00ED52A2"/>
    <w:rsid w:val="00ED68C8"/>
    <w:rsid w:val="00ED6D09"/>
    <w:rsid w:val="00EE0981"/>
    <w:rsid w:val="00EE1BD0"/>
    <w:rsid w:val="00EE26A1"/>
    <w:rsid w:val="00EE29C6"/>
    <w:rsid w:val="00EE4061"/>
    <w:rsid w:val="00EE4BB4"/>
    <w:rsid w:val="00EE4F3E"/>
    <w:rsid w:val="00EE5B31"/>
    <w:rsid w:val="00EE5E60"/>
    <w:rsid w:val="00EF1CAC"/>
    <w:rsid w:val="00EF2EE6"/>
    <w:rsid w:val="00EF43BA"/>
    <w:rsid w:val="00EF47AD"/>
    <w:rsid w:val="00EF4EF6"/>
    <w:rsid w:val="00EF4F11"/>
    <w:rsid w:val="00EF6104"/>
    <w:rsid w:val="00EF7176"/>
    <w:rsid w:val="00F00208"/>
    <w:rsid w:val="00F0094A"/>
    <w:rsid w:val="00F0181F"/>
    <w:rsid w:val="00F018D6"/>
    <w:rsid w:val="00F0196C"/>
    <w:rsid w:val="00F033EB"/>
    <w:rsid w:val="00F0429F"/>
    <w:rsid w:val="00F04996"/>
    <w:rsid w:val="00F05A10"/>
    <w:rsid w:val="00F11D9A"/>
    <w:rsid w:val="00F11E49"/>
    <w:rsid w:val="00F12E35"/>
    <w:rsid w:val="00F1596D"/>
    <w:rsid w:val="00F20EA5"/>
    <w:rsid w:val="00F21308"/>
    <w:rsid w:val="00F22DC0"/>
    <w:rsid w:val="00F233AC"/>
    <w:rsid w:val="00F25765"/>
    <w:rsid w:val="00F26A79"/>
    <w:rsid w:val="00F26FA0"/>
    <w:rsid w:val="00F3230F"/>
    <w:rsid w:val="00F336D2"/>
    <w:rsid w:val="00F33AD3"/>
    <w:rsid w:val="00F3436B"/>
    <w:rsid w:val="00F35928"/>
    <w:rsid w:val="00F35B8F"/>
    <w:rsid w:val="00F35EE5"/>
    <w:rsid w:val="00F4015E"/>
    <w:rsid w:val="00F401FA"/>
    <w:rsid w:val="00F409B9"/>
    <w:rsid w:val="00F40AD8"/>
    <w:rsid w:val="00F44C73"/>
    <w:rsid w:val="00F44D19"/>
    <w:rsid w:val="00F45A6A"/>
    <w:rsid w:val="00F471C6"/>
    <w:rsid w:val="00F47396"/>
    <w:rsid w:val="00F53626"/>
    <w:rsid w:val="00F60627"/>
    <w:rsid w:val="00F6165B"/>
    <w:rsid w:val="00F6253C"/>
    <w:rsid w:val="00F62E1E"/>
    <w:rsid w:val="00F63264"/>
    <w:rsid w:val="00F64434"/>
    <w:rsid w:val="00F657B7"/>
    <w:rsid w:val="00F66593"/>
    <w:rsid w:val="00F67203"/>
    <w:rsid w:val="00F710C6"/>
    <w:rsid w:val="00F72723"/>
    <w:rsid w:val="00F72D05"/>
    <w:rsid w:val="00F738B2"/>
    <w:rsid w:val="00F7449B"/>
    <w:rsid w:val="00F744AC"/>
    <w:rsid w:val="00F75C45"/>
    <w:rsid w:val="00F76F3A"/>
    <w:rsid w:val="00F8170E"/>
    <w:rsid w:val="00F835D4"/>
    <w:rsid w:val="00F83811"/>
    <w:rsid w:val="00F84462"/>
    <w:rsid w:val="00F84AB2"/>
    <w:rsid w:val="00F93F91"/>
    <w:rsid w:val="00F94313"/>
    <w:rsid w:val="00F95DF1"/>
    <w:rsid w:val="00F9657D"/>
    <w:rsid w:val="00FA1FA5"/>
    <w:rsid w:val="00FA2209"/>
    <w:rsid w:val="00FA419D"/>
    <w:rsid w:val="00FA43FC"/>
    <w:rsid w:val="00FB01C7"/>
    <w:rsid w:val="00FB0FB8"/>
    <w:rsid w:val="00FB19AF"/>
    <w:rsid w:val="00FB2AAF"/>
    <w:rsid w:val="00FB3492"/>
    <w:rsid w:val="00FB7F3B"/>
    <w:rsid w:val="00FC004A"/>
    <w:rsid w:val="00FC0568"/>
    <w:rsid w:val="00FC0918"/>
    <w:rsid w:val="00FC458B"/>
    <w:rsid w:val="00FC4B19"/>
    <w:rsid w:val="00FC5A4A"/>
    <w:rsid w:val="00FC60B0"/>
    <w:rsid w:val="00FC6B36"/>
    <w:rsid w:val="00FC71AE"/>
    <w:rsid w:val="00FC71BD"/>
    <w:rsid w:val="00FC75E6"/>
    <w:rsid w:val="00FC7E58"/>
    <w:rsid w:val="00FD02BA"/>
    <w:rsid w:val="00FD0375"/>
    <w:rsid w:val="00FD0948"/>
    <w:rsid w:val="00FD13CF"/>
    <w:rsid w:val="00FD1ED9"/>
    <w:rsid w:val="00FD3C5D"/>
    <w:rsid w:val="00FD4088"/>
    <w:rsid w:val="00FD5B2F"/>
    <w:rsid w:val="00FE0E08"/>
    <w:rsid w:val="00FE161D"/>
    <w:rsid w:val="00FE21CE"/>
    <w:rsid w:val="00FE230D"/>
    <w:rsid w:val="00FE3325"/>
    <w:rsid w:val="00FE59C3"/>
    <w:rsid w:val="00FE6A1C"/>
    <w:rsid w:val="00FE7627"/>
    <w:rsid w:val="00FE7FDD"/>
    <w:rsid w:val="00FF053A"/>
    <w:rsid w:val="00FF4392"/>
    <w:rsid w:val="00FF4C20"/>
    <w:rsid w:val="00FF748C"/>
    <w:rsid w:val="00FF7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0B"/>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B01C7"/>
    <w:rPr>
      <w:rFonts w:ascii="Arial" w:eastAsia="MS Gothic" w:hAnsi="Arial"/>
      <w:kern w:val="0"/>
      <w:sz w:val="18"/>
      <w:szCs w:val="18"/>
      <w:lang w:eastAsia="zh-CN"/>
    </w:rPr>
  </w:style>
  <w:style w:type="character" w:customStyle="1" w:styleId="Char">
    <w:name w:val="批注框文本 Char"/>
    <w:basedOn w:val="a0"/>
    <w:link w:val="a3"/>
    <w:uiPriority w:val="99"/>
    <w:semiHidden/>
    <w:locked/>
    <w:rsid w:val="00FB01C7"/>
    <w:rPr>
      <w:rFonts w:ascii="Arial" w:eastAsia="MS Gothic" w:hAnsi="Arial"/>
      <w:sz w:val="18"/>
    </w:rPr>
  </w:style>
  <w:style w:type="paragraph" w:styleId="a4">
    <w:name w:val="List Paragraph"/>
    <w:basedOn w:val="a"/>
    <w:uiPriority w:val="99"/>
    <w:qFormat/>
    <w:rsid w:val="00632E10"/>
    <w:pPr>
      <w:ind w:leftChars="400" w:left="840"/>
    </w:pPr>
  </w:style>
  <w:style w:type="paragraph" w:styleId="a5">
    <w:name w:val="header"/>
    <w:basedOn w:val="a"/>
    <w:link w:val="Char0"/>
    <w:uiPriority w:val="99"/>
    <w:rsid w:val="00686AED"/>
    <w:pPr>
      <w:tabs>
        <w:tab w:val="center" w:pos="4252"/>
        <w:tab w:val="right" w:pos="8504"/>
      </w:tabs>
      <w:snapToGrid w:val="0"/>
    </w:pPr>
    <w:rPr>
      <w:kern w:val="0"/>
      <w:sz w:val="20"/>
      <w:szCs w:val="20"/>
      <w:lang w:eastAsia="zh-CN"/>
    </w:rPr>
  </w:style>
  <w:style w:type="character" w:customStyle="1" w:styleId="Char0">
    <w:name w:val="页眉 Char"/>
    <w:basedOn w:val="a0"/>
    <w:link w:val="a5"/>
    <w:uiPriority w:val="99"/>
    <w:locked/>
    <w:rsid w:val="00686AED"/>
  </w:style>
  <w:style w:type="paragraph" w:styleId="a6">
    <w:name w:val="footer"/>
    <w:basedOn w:val="a"/>
    <w:link w:val="Char1"/>
    <w:uiPriority w:val="99"/>
    <w:rsid w:val="00686AED"/>
    <w:pPr>
      <w:tabs>
        <w:tab w:val="center" w:pos="4252"/>
        <w:tab w:val="right" w:pos="8504"/>
      </w:tabs>
      <w:snapToGrid w:val="0"/>
    </w:pPr>
    <w:rPr>
      <w:kern w:val="0"/>
      <w:sz w:val="20"/>
      <w:szCs w:val="20"/>
      <w:lang w:eastAsia="zh-CN"/>
    </w:rPr>
  </w:style>
  <w:style w:type="character" w:customStyle="1" w:styleId="Char1">
    <w:name w:val="页脚 Char"/>
    <w:basedOn w:val="a0"/>
    <w:link w:val="a6"/>
    <w:uiPriority w:val="99"/>
    <w:locked/>
    <w:rsid w:val="00686AED"/>
  </w:style>
  <w:style w:type="paragraph" w:styleId="a7">
    <w:name w:val="Normal (Web)"/>
    <w:basedOn w:val="a"/>
    <w:uiPriority w:val="99"/>
    <w:rsid w:val="00504A62"/>
    <w:pPr>
      <w:widowControl/>
      <w:spacing w:before="100" w:beforeAutospacing="1" w:after="100" w:afterAutospacing="1"/>
      <w:jc w:val="left"/>
    </w:pPr>
    <w:rPr>
      <w:rFonts w:ascii="MS PGothic" w:eastAsia="MS PGothic" w:hAnsi="MS PGothic" w:cs="MS PGothic"/>
      <w:kern w:val="0"/>
      <w:sz w:val="24"/>
      <w:szCs w:val="24"/>
    </w:rPr>
  </w:style>
  <w:style w:type="paragraph" w:styleId="a8">
    <w:name w:val="Title"/>
    <w:basedOn w:val="a"/>
    <w:next w:val="a"/>
    <w:link w:val="Char2"/>
    <w:uiPriority w:val="99"/>
    <w:qFormat/>
    <w:rsid w:val="007D2744"/>
    <w:pPr>
      <w:spacing w:before="240" w:after="120"/>
      <w:jc w:val="center"/>
      <w:outlineLvl w:val="0"/>
    </w:pPr>
    <w:rPr>
      <w:rFonts w:ascii="Arial" w:eastAsia="MS Gothic" w:hAnsi="Arial"/>
      <w:kern w:val="0"/>
      <w:sz w:val="32"/>
      <w:szCs w:val="32"/>
      <w:lang w:eastAsia="zh-CN"/>
    </w:rPr>
  </w:style>
  <w:style w:type="character" w:customStyle="1" w:styleId="Char2">
    <w:name w:val="标题 Char"/>
    <w:basedOn w:val="a0"/>
    <w:link w:val="a8"/>
    <w:uiPriority w:val="99"/>
    <w:locked/>
    <w:rsid w:val="007D2744"/>
    <w:rPr>
      <w:rFonts w:ascii="Arial" w:eastAsia="MS Gothic" w:hAnsi="Arial"/>
      <w:sz w:val="32"/>
    </w:rPr>
  </w:style>
  <w:style w:type="character" w:styleId="a9">
    <w:name w:val="Hyperlink"/>
    <w:basedOn w:val="a0"/>
    <w:uiPriority w:val="99"/>
    <w:rsid w:val="00BA3377"/>
    <w:rPr>
      <w:rFonts w:cs="Times New Roman"/>
      <w:color w:val="0000FF"/>
      <w:u w:val="single"/>
    </w:rPr>
  </w:style>
  <w:style w:type="paragraph" w:customStyle="1" w:styleId="lead">
    <w:name w:val="lead"/>
    <w:basedOn w:val="a"/>
    <w:uiPriority w:val="99"/>
    <w:rsid w:val="004A3CA5"/>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rm">
    <w:name w:val="norm"/>
    <w:basedOn w:val="a"/>
    <w:uiPriority w:val="99"/>
    <w:rsid w:val="004A3CA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mb">
    <w:name w:val="mb"/>
    <w:uiPriority w:val="99"/>
    <w:rsid w:val="004A3CA5"/>
  </w:style>
  <w:style w:type="paragraph" w:customStyle="1" w:styleId="yiv577487936msonormal">
    <w:name w:val="yiv577487936msonormal"/>
    <w:basedOn w:val="a"/>
    <w:uiPriority w:val="99"/>
    <w:rsid w:val="000E0A42"/>
    <w:pPr>
      <w:widowControl/>
      <w:spacing w:before="100" w:beforeAutospacing="1" w:after="100" w:afterAutospacing="1"/>
      <w:jc w:val="left"/>
    </w:pPr>
    <w:rPr>
      <w:rFonts w:ascii="MS PGothic" w:eastAsia="MS PGothic" w:hAnsi="MS PGothic" w:cs="MS PGothic"/>
      <w:kern w:val="0"/>
      <w:sz w:val="24"/>
      <w:szCs w:val="24"/>
    </w:rPr>
  </w:style>
  <w:style w:type="character" w:styleId="aa">
    <w:name w:val="annotation reference"/>
    <w:basedOn w:val="a0"/>
    <w:uiPriority w:val="99"/>
    <w:semiHidden/>
    <w:rsid w:val="00EF7176"/>
    <w:rPr>
      <w:rFonts w:cs="Times New Roman"/>
      <w:sz w:val="21"/>
      <w:szCs w:val="21"/>
    </w:rPr>
  </w:style>
  <w:style w:type="paragraph" w:styleId="ab">
    <w:name w:val="annotation text"/>
    <w:basedOn w:val="a"/>
    <w:link w:val="Char3"/>
    <w:uiPriority w:val="99"/>
    <w:rsid w:val="00EF7176"/>
    <w:pPr>
      <w:jc w:val="left"/>
    </w:pPr>
  </w:style>
  <w:style w:type="character" w:customStyle="1" w:styleId="Char3">
    <w:name w:val="批注文字 Char"/>
    <w:basedOn w:val="a0"/>
    <w:link w:val="ab"/>
    <w:uiPriority w:val="99"/>
    <w:locked/>
    <w:rsid w:val="00EF7176"/>
    <w:rPr>
      <w:rFonts w:cs="Times New Roman"/>
      <w:kern w:val="2"/>
      <w:sz w:val="22"/>
      <w:szCs w:val="22"/>
    </w:rPr>
  </w:style>
  <w:style w:type="paragraph" w:styleId="ac">
    <w:name w:val="annotation subject"/>
    <w:basedOn w:val="ab"/>
    <w:next w:val="ab"/>
    <w:link w:val="Char4"/>
    <w:uiPriority w:val="99"/>
    <w:semiHidden/>
    <w:rsid w:val="00EF7176"/>
    <w:rPr>
      <w:b/>
      <w:bCs/>
    </w:rPr>
  </w:style>
  <w:style w:type="character" w:customStyle="1" w:styleId="Char4">
    <w:name w:val="批注主题 Char"/>
    <w:basedOn w:val="Char3"/>
    <w:link w:val="ac"/>
    <w:uiPriority w:val="99"/>
    <w:semiHidden/>
    <w:locked/>
    <w:rsid w:val="00EF7176"/>
    <w:rPr>
      <w:rFonts w:cs="Times New Roman"/>
      <w:b/>
      <w:bCs/>
      <w:kern w:val="2"/>
      <w:sz w:val="22"/>
      <w:szCs w:val="22"/>
    </w:rPr>
  </w:style>
  <w:style w:type="paragraph" w:customStyle="1" w:styleId="CharCharChar">
    <w:name w:val="Char Char Char"/>
    <w:basedOn w:val="a"/>
    <w:autoRedefine/>
    <w:uiPriority w:val="99"/>
    <w:rsid w:val="00404BB2"/>
    <w:pPr>
      <w:tabs>
        <w:tab w:val="num" w:pos="360"/>
      </w:tabs>
      <w:ind w:left="360" w:hangingChars="200" w:hanging="360"/>
    </w:pPr>
    <w:rPr>
      <w:rFonts w:ascii="Times New Roman" w:eastAsia="宋体" w:hAnsi="Times New Roman"/>
      <w:sz w:val="24"/>
      <w:szCs w:val="24"/>
      <w:lang w:eastAsia="zh-CN"/>
    </w:rPr>
  </w:style>
  <w:style w:type="character" w:customStyle="1" w:styleId="labellist1">
    <w:name w:val="label_list1"/>
    <w:uiPriority w:val="99"/>
    <w:rsid w:val="00404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0B"/>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B01C7"/>
    <w:rPr>
      <w:rFonts w:ascii="Arial" w:eastAsia="MS Gothic" w:hAnsi="Arial"/>
      <w:kern w:val="0"/>
      <w:sz w:val="18"/>
      <w:szCs w:val="18"/>
      <w:lang w:eastAsia="zh-CN"/>
    </w:rPr>
  </w:style>
  <w:style w:type="character" w:customStyle="1" w:styleId="Char">
    <w:name w:val="批注框文本 Char"/>
    <w:basedOn w:val="a0"/>
    <w:link w:val="a3"/>
    <w:uiPriority w:val="99"/>
    <w:semiHidden/>
    <w:locked/>
    <w:rsid w:val="00FB01C7"/>
    <w:rPr>
      <w:rFonts w:ascii="Arial" w:eastAsia="MS Gothic" w:hAnsi="Arial"/>
      <w:sz w:val="18"/>
    </w:rPr>
  </w:style>
  <w:style w:type="paragraph" w:styleId="a4">
    <w:name w:val="List Paragraph"/>
    <w:basedOn w:val="a"/>
    <w:uiPriority w:val="99"/>
    <w:qFormat/>
    <w:rsid w:val="00632E10"/>
    <w:pPr>
      <w:ind w:leftChars="400" w:left="840"/>
    </w:pPr>
  </w:style>
  <w:style w:type="paragraph" w:styleId="a5">
    <w:name w:val="header"/>
    <w:basedOn w:val="a"/>
    <w:link w:val="Char0"/>
    <w:uiPriority w:val="99"/>
    <w:rsid w:val="00686AED"/>
    <w:pPr>
      <w:tabs>
        <w:tab w:val="center" w:pos="4252"/>
        <w:tab w:val="right" w:pos="8504"/>
      </w:tabs>
      <w:snapToGrid w:val="0"/>
    </w:pPr>
    <w:rPr>
      <w:kern w:val="0"/>
      <w:sz w:val="20"/>
      <w:szCs w:val="20"/>
      <w:lang w:eastAsia="zh-CN"/>
    </w:rPr>
  </w:style>
  <w:style w:type="character" w:customStyle="1" w:styleId="Char0">
    <w:name w:val="页眉 Char"/>
    <w:basedOn w:val="a0"/>
    <w:link w:val="a5"/>
    <w:uiPriority w:val="99"/>
    <w:locked/>
    <w:rsid w:val="00686AED"/>
  </w:style>
  <w:style w:type="paragraph" w:styleId="a6">
    <w:name w:val="footer"/>
    <w:basedOn w:val="a"/>
    <w:link w:val="Char1"/>
    <w:uiPriority w:val="99"/>
    <w:rsid w:val="00686AED"/>
    <w:pPr>
      <w:tabs>
        <w:tab w:val="center" w:pos="4252"/>
        <w:tab w:val="right" w:pos="8504"/>
      </w:tabs>
      <w:snapToGrid w:val="0"/>
    </w:pPr>
    <w:rPr>
      <w:kern w:val="0"/>
      <w:sz w:val="20"/>
      <w:szCs w:val="20"/>
      <w:lang w:eastAsia="zh-CN"/>
    </w:rPr>
  </w:style>
  <w:style w:type="character" w:customStyle="1" w:styleId="Char1">
    <w:name w:val="页脚 Char"/>
    <w:basedOn w:val="a0"/>
    <w:link w:val="a6"/>
    <w:uiPriority w:val="99"/>
    <w:locked/>
    <w:rsid w:val="00686AED"/>
  </w:style>
  <w:style w:type="paragraph" w:styleId="a7">
    <w:name w:val="Normal (Web)"/>
    <w:basedOn w:val="a"/>
    <w:uiPriority w:val="99"/>
    <w:rsid w:val="00504A62"/>
    <w:pPr>
      <w:widowControl/>
      <w:spacing w:before="100" w:beforeAutospacing="1" w:after="100" w:afterAutospacing="1"/>
      <w:jc w:val="left"/>
    </w:pPr>
    <w:rPr>
      <w:rFonts w:ascii="MS PGothic" w:eastAsia="MS PGothic" w:hAnsi="MS PGothic" w:cs="MS PGothic"/>
      <w:kern w:val="0"/>
      <w:sz w:val="24"/>
      <w:szCs w:val="24"/>
    </w:rPr>
  </w:style>
  <w:style w:type="paragraph" w:styleId="a8">
    <w:name w:val="Title"/>
    <w:basedOn w:val="a"/>
    <w:next w:val="a"/>
    <w:link w:val="Char2"/>
    <w:uiPriority w:val="99"/>
    <w:qFormat/>
    <w:rsid w:val="007D2744"/>
    <w:pPr>
      <w:spacing w:before="240" w:after="120"/>
      <w:jc w:val="center"/>
      <w:outlineLvl w:val="0"/>
    </w:pPr>
    <w:rPr>
      <w:rFonts w:ascii="Arial" w:eastAsia="MS Gothic" w:hAnsi="Arial"/>
      <w:kern w:val="0"/>
      <w:sz w:val="32"/>
      <w:szCs w:val="32"/>
      <w:lang w:eastAsia="zh-CN"/>
    </w:rPr>
  </w:style>
  <w:style w:type="character" w:customStyle="1" w:styleId="Char2">
    <w:name w:val="标题 Char"/>
    <w:basedOn w:val="a0"/>
    <w:link w:val="a8"/>
    <w:uiPriority w:val="99"/>
    <w:locked/>
    <w:rsid w:val="007D2744"/>
    <w:rPr>
      <w:rFonts w:ascii="Arial" w:eastAsia="MS Gothic" w:hAnsi="Arial"/>
      <w:sz w:val="32"/>
    </w:rPr>
  </w:style>
  <w:style w:type="character" w:styleId="a9">
    <w:name w:val="Hyperlink"/>
    <w:basedOn w:val="a0"/>
    <w:uiPriority w:val="99"/>
    <w:rsid w:val="00BA3377"/>
    <w:rPr>
      <w:rFonts w:cs="Times New Roman"/>
      <w:color w:val="0000FF"/>
      <w:u w:val="single"/>
    </w:rPr>
  </w:style>
  <w:style w:type="paragraph" w:customStyle="1" w:styleId="lead">
    <w:name w:val="lead"/>
    <w:basedOn w:val="a"/>
    <w:uiPriority w:val="99"/>
    <w:rsid w:val="004A3CA5"/>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rm">
    <w:name w:val="norm"/>
    <w:basedOn w:val="a"/>
    <w:uiPriority w:val="99"/>
    <w:rsid w:val="004A3CA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mb">
    <w:name w:val="mb"/>
    <w:uiPriority w:val="99"/>
    <w:rsid w:val="004A3CA5"/>
  </w:style>
  <w:style w:type="paragraph" w:customStyle="1" w:styleId="yiv577487936msonormal">
    <w:name w:val="yiv577487936msonormal"/>
    <w:basedOn w:val="a"/>
    <w:uiPriority w:val="99"/>
    <w:rsid w:val="000E0A42"/>
    <w:pPr>
      <w:widowControl/>
      <w:spacing w:before="100" w:beforeAutospacing="1" w:after="100" w:afterAutospacing="1"/>
      <w:jc w:val="left"/>
    </w:pPr>
    <w:rPr>
      <w:rFonts w:ascii="MS PGothic" w:eastAsia="MS PGothic" w:hAnsi="MS PGothic" w:cs="MS PGothic"/>
      <w:kern w:val="0"/>
      <w:sz w:val="24"/>
      <w:szCs w:val="24"/>
    </w:rPr>
  </w:style>
  <w:style w:type="character" w:styleId="aa">
    <w:name w:val="annotation reference"/>
    <w:basedOn w:val="a0"/>
    <w:uiPriority w:val="99"/>
    <w:semiHidden/>
    <w:rsid w:val="00EF7176"/>
    <w:rPr>
      <w:rFonts w:cs="Times New Roman"/>
      <w:sz w:val="21"/>
      <w:szCs w:val="21"/>
    </w:rPr>
  </w:style>
  <w:style w:type="paragraph" w:styleId="ab">
    <w:name w:val="annotation text"/>
    <w:basedOn w:val="a"/>
    <w:link w:val="Char3"/>
    <w:uiPriority w:val="99"/>
    <w:rsid w:val="00EF7176"/>
    <w:pPr>
      <w:jc w:val="left"/>
    </w:pPr>
  </w:style>
  <w:style w:type="character" w:customStyle="1" w:styleId="Char3">
    <w:name w:val="批注文字 Char"/>
    <w:basedOn w:val="a0"/>
    <w:link w:val="ab"/>
    <w:uiPriority w:val="99"/>
    <w:locked/>
    <w:rsid w:val="00EF7176"/>
    <w:rPr>
      <w:rFonts w:cs="Times New Roman"/>
      <w:kern w:val="2"/>
      <w:sz w:val="22"/>
      <w:szCs w:val="22"/>
    </w:rPr>
  </w:style>
  <w:style w:type="paragraph" w:styleId="ac">
    <w:name w:val="annotation subject"/>
    <w:basedOn w:val="ab"/>
    <w:next w:val="ab"/>
    <w:link w:val="Char4"/>
    <w:uiPriority w:val="99"/>
    <w:semiHidden/>
    <w:rsid w:val="00EF7176"/>
    <w:rPr>
      <w:b/>
      <w:bCs/>
    </w:rPr>
  </w:style>
  <w:style w:type="character" w:customStyle="1" w:styleId="Char4">
    <w:name w:val="批注主题 Char"/>
    <w:basedOn w:val="Char3"/>
    <w:link w:val="ac"/>
    <w:uiPriority w:val="99"/>
    <w:semiHidden/>
    <w:locked/>
    <w:rsid w:val="00EF7176"/>
    <w:rPr>
      <w:rFonts w:cs="Times New Roman"/>
      <w:b/>
      <w:bCs/>
      <w:kern w:val="2"/>
      <w:sz w:val="22"/>
      <w:szCs w:val="22"/>
    </w:rPr>
  </w:style>
  <w:style w:type="paragraph" w:customStyle="1" w:styleId="CharCharChar">
    <w:name w:val="Char Char Char"/>
    <w:basedOn w:val="a"/>
    <w:autoRedefine/>
    <w:uiPriority w:val="99"/>
    <w:rsid w:val="00404BB2"/>
    <w:pPr>
      <w:tabs>
        <w:tab w:val="num" w:pos="360"/>
      </w:tabs>
      <w:ind w:left="360" w:hangingChars="200" w:hanging="360"/>
    </w:pPr>
    <w:rPr>
      <w:rFonts w:ascii="Times New Roman" w:eastAsia="宋体" w:hAnsi="Times New Roman"/>
      <w:sz w:val="24"/>
      <w:szCs w:val="24"/>
      <w:lang w:eastAsia="zh-CN"/>
    </w:rPr>
  </w:style>
  <w:style w:type="character" w:customStyle="1" w:styleId="labellist1">
    <w:name w:val="label_list1"/>
    <w:uiPriority w:val="99"/>
    <w:rsid w:val="0040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1513">
      <w:marLeft w:val="0"/>
      <w:marRight w:val="0"/>
      <w:marTop w:val="0"/>
      <w:marBottom w:val="0"/>
      <w:divBdr>
        <w:top w:val="none" w:sz="0" w:space="0" w:color="auto"/>
        <w:left w:val="none" w:sz="0" w:space="0" w:color="auto"/>
        <w:bottom w:val="none" w:sz="0" w:space="0" w:color="auto"/>
        <w:right w:val="none" w:sz="0" w:space="0" w:color="auto"/>
      </w:divBdr>
      <w:divsChild>
        <w:div w:id="335501487">
          <w:marLeft w:val="0"/>
          <w:marRight w:val="0"/>
          <w:marTop w:val="0"/>
          <w:marBottom w:val="0"/>
          <w:divBdr>
            <w:top w:val="none" w:sz="0" w:space="0" w:color="auto"/>
            <w:left w:val="none" w:sz="0" w:space="0" w:color="auto"/>
            <w:bottom w:val="none" w:sz="0" w:space="0" w:color="auto"/>
            <w:right w:val="none" w:sz="0" w:space="0" w:color="auto"/>
          </w:divBdr>
          <w:divsChild>
            <w:div w:id="335501493">
              <w:marLeft w:val="0"/>
              <w:marRight w:val="0"/>
              <w:marTop w:val="0"/>
              <w:marBottom w:val="0"/>
              <w:divBdr>
                <w:top w:val="none" w:sz="0" w:space="0" w:color="auto"/>
                <w:left w:val="none" w:sz="0" w:space="0" w:color="auto"/>
                <w:bottom w:val="none" w:sz="0" w:space="0" w:color="auto"/>
                <w:right w:val="none" w:sz="0" w:space="0" w:color="auto"/>
              </w:divBdr>
              <w:divsChild>
                <w:div w:id="335501504">
                  <w:marLeft w:val="0"/>
                  <w:marRight w:val="0"/>
                  <w:marTop w:val="0"/>
                  <w:marBottom w:val="0"/>
                  <w:divBdr>
                    <w:top w:val="none" w:sz="0" w:space="0" w:color="auto"/>
                    <w:left w:val="none" w:sz="0" w:space="0" w:color="auto"/>
                    <w:bottom w:val="none" w:sz="0" w:space="0" w:color="auto"/>
                    <w:right w:val="none" w:sz="0" w:space="0" w:color="auto"/>
                  </w:divBdr>
                  <w:divsChild>
                    <w:div w:id="335501497">
                      <w:marLeft w:val="0"/>
                      <w:marRight w:val="0"/>
                      <w:marTop w:val="0"/>
                      <w:marBottom w:val="0"/>
                      <w:divBdr>
                        <w:top w:val="none" w:sz="0" w:space="0" w:color="auto"/>
                        <w:left w:val="none" w:sz="0" w:space="0" w:color="auto"/>
                        <w:bottom w:val="none" w:sz="0" w:space="0" w:color="auto"/>
                        <w:right w:val="none" w:sz="0" w:space="0" w:color="auto"/>
                      </w:divBdr>
                      <w:divsChild>
                        <w:div w:id="335501538">
                          <w:marLeft w:val="0"/>
                          <w:marRight w:val="0"/>
                          <w:marTop w:val="0"/>
                          <w:marBottom w:val="0"/>
                          <w:divBdr>
                            <w:top w:val="none" w:sz="0" w:space="0" w:color="auto"/>
                            <w:left w:val="none" w:sz="0" w:space="0" w:color="auto"/>
                            <w:bottom w:val="none" w:sz="0" w:space="0" w:color="auto"/>
                            <w:right w:val="none" w:sz="0" w:space="0" w:color="auto"/>
                          </w:divBdr>
                          <w:divsChild>
                            <w:div w:id="335501563">
                              <w:marLeft w:val="0"/>
                              <w:marRight w:val="0"/>
                              <w:marTop w:val="0"/>
                              <w:marBottom w:val="0"/>
                              <w:divBdr>
                                <w:top w:val="none" w:sz="0" w:space="0" w:color="auto"/>
                                <w:left w:val="none" w:sz="0" w:space="0" w:color="auto"/>
                                <w:bottom w:val="none" w:sz="0" w:space="0" w:color="auto"/>
                                <w:right w:val="none" w:sz="0" w:space="0" w:color="auto"/>
                              </w:divBdr>
                              <w:divsChild>
                                <w:div w:id="335501542">
                                  <w:marLeft w:val="0"/>
                                  <w:marRight w:val="0"/>
                                  <w:marTop w:val="0"/>
                                  <w:marBottom w:val="0"/>
                                  <w:divBdr>
                                    <w:top w:val="none" w:sz="0" w:space="0" w:color="auto"/>
                                    <w:left w:val="none" w:sz="0" w:space="0" w:color="auto"/>
                                    <w:bottom w:val="none" w:sz="0" w:space="0" w:color="auto"/>
                                    <w:right w:val="none" w:sz="0" w:space="0" w:color="auto"/>
                                  </w:divBdr>
                                  <w:divsChild>
                                    <w:div w:id="3355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501515">
      <w:marLeft w:val="0"/>
      <w:marRight w:val="0"/>
      <w:marTop w:val="0"/>
      <w:marBottom w:val="0"/>
      <w:divBdr>
        <w:top w:val="none" w:sz="0" w:space="0" w:color="auto"/>
        <w:left w:val="none" w:sz="0" w:space="0" w:color="auto"/>
        <w:bottom w:val="none" w:sz="0" w:space="0" w:color="auto"/>
        <w:right w:val="none" w:sz="0" w:space="0" w:color="auto"/>
      </w:divBdr>
    </w:div>
    <w:div w:id="335501516">
      <w:marLeft w:val="0"/>
      <w:marRight w:val="0"/>
      <w:marTop w:val="0"/>
      <w:marBottom w:val="0"/>
      <w:divBdr>
        <w:top w:val="none" w:sz="0" w:space="0" w:color="auto"/>
        <w:left w:val="none" w:sz="0" w:space="0" w:color="auto"/>
        <w:bottom w:val="none" w:sz="0" w:space="0" w:color="auto"/>
        <w:right w:val="none" w:sz="0" w:space="0" w:color="auto"/>
      </w:divBdr>
    </w:div>
    <w:div w:id="335501517">
      <w:marLeft w:val="0"/>
      <w:marRight w:val="0"/>
      <w:marTop w:val="0"/>
      <w:marBottom w:val="0"/>
      <w:divBdr>
        <w:top w:val="none" w:sz="0" w:space="0" w:color="auto"/>
        <w:left w:val="none" w:sz="0" w:space="0" w:color="auto"/>
        <w:bottom w:val="none" w:sz="0" w:space="0" w:color="auto"/>
        <w:right w:val="none" w:sz="0" w:space="0" w:color="auto"/>
      </w:divBdr>
    </w:div>
    <w:div w:id="335501518">
      <w:marLeft w:val="0"/>
      <w:marRight w:val="0"/>
      <w:marTop w:val="0"/>
      <w:marBottom w:val="0"/>
      <w:divBdr>
        <w:top w:val="none" w:sz="0" w:space="0" w:color="auto"/>
        <w:left w:val="none" w:sz="0" w:space="0" w:color="auto"/>
        <w:bottom w:val="none" w:sz="0" w:space="0" w:color="auto"/>
        <w:right w:val="none" w:sz="0" w:space="0" w:color="auto"/>
      </w:divBdr>
    </w:div>
    <w:div w:id="335501519">
      <w:marLeft w:val="0"/>
      <w:marRight w:val="0"/>
      <w:marTop w:val="0"/>
      <w:marBottom w:val="0"/>
      <w:divBdr>
        <w:top w:val="none" w:sz="0" w:space="0" w:color="auto"/>
        <w:left w:val="none" w:sz="0" w:space="0" w:color="auto"/>
        <w:bottom w:val="none" w:sz="0" w:space="0" w:color="auto"/>
        <w:right w:val="none" w:sz="0" w:space="0" w:color="auto"/>
      </w:divBdr>
    </w:div>
    <w:div w:id="335501520">
      <w:marLeft w:val="0"/>
      <w:marRight w:val="0"/>
      <w:marTop w:val="0"/>
      <w:marBottom w:val="0"/>
      <w:divBdr>
        <w:top w:val="none" w:sz="0" w:space="0" w:color="auto"/>
        <w:left w:val="none" w:sz="0" w:space="0" w:color="auto"/>
        <w:bottom w:val="none" w:sz="0" w:space="0" w:color="auto"/>
        <w:right w:val="none" w:sz="0" w:space="0" w:color="auto"/>
      </w:divBdr>
    </w:div>
    <w:div w:id="335501521">
      <w:marLeft w:val="0"/>
      <w:marRight w:val="0"/>
      <w:marTop w:val="0"/>
      <w:marBottom w:val="0"/>
      <w:divBdr>
        <w:top w:val="none" w:sz="0" w:space="0" w:color="auto"/>
        <w:left w:val="none" w:sz="0" w:space="0" w:color="auto"/>
        <w:bottom w:val="none" w:sz="0" w:space="0" w:color="auto"/>
        <w:right w:val="none" w:sz="0" w:space="0" w:color="auto"/>
      </w:divBdr>
    </w:div>
    <w:div w:id="335501522">
      <w:marLeft w:val="0"/>
      <w:marRight w:val="0"/>
      <w:marTop w:val="0"/>
      <w:marBottom w:val="0"/>
      <w:divBdr>
        <w:top w:val="none" w:sz="0" w:space="0" w:color="auto"/>
        <w:left w:val="none" w:sz="0" w:space="0" w:color="auto"/>
        <w:bottom w:val="none" w:sz="0" w:space="0" w:color="auto"/>
        <w:right w:val="none" w:sz="0" w:space="0" w:color="auto"/>
      </w:divBdr>
    </w:div>
    <w:div w:id="335501523">
      <w:marLeft w:val="0"/>
      <w:marRight w:val="0"/>
      <w:marTop w:val="0"/>
      <w:marBottom w:val="0"/>
      <w:divBdr>
        <w:top w:val="none" w:sz="0" w:space="0" w:color="auto"/>
        <w:left w:val="none" w:sz="0" w:space="0" w:color="auto"/>
        <w:bottom w:val="none" w:sz="0" w:space="0" w:color="auto"/>
        <w:right w:val="none" w:sz="0" w:space="0" w:color="auto"/>
      </w:divBdr>
    </w:div>
    <w:div w:id="335501524">
      <w:marLeft w:val="0"/>
      <w:marRight w:val="0"/>
      <w:marTop w:val="0"/>
      <w:marBottom w:val="0"/>
      <w:divBdr>
        <w:top w:val="none" w:sz="0" w:space="0" w:color="auto"/>
        <w:left w:val="none" w:sz="0" w:space="0" w:color="auto"/>
        <w:bottom w:val="none" w:sz="0" w:space="0" w:color="auto"/>
        <w:right w:val="none" w:sz="0" w:space="0" w:color="auto"/>
      </w:divBdr>
    </w:div>
    <w:div w:id="335501525">
      <w:marLeft w:val="0"/>
      <w:marRight w:val="0"/>
      <w:marTop w:val="0"/>
      <w:marBottom w:val="0"/>
      <w:divBdr>
        <w:top w:val="none" w:sz="0" w:space="0" w:color="auto"/>
        <w:left w:val="none" w:sz="0" w:space="0" w:color="auto"/>
        <w:bottom w:val="none" w:sz="0" w:space="0" w:color="auto"/>
        <w:right w:val="none" w:sz="0" w:space="0" w:color="auto"/>
      </w:divBdr>
    </w:div>
    <w:div w:id="335501526">
      <w:marLeft w:val="0"/>
      <w:marRight w:val="0"/>
      <w:marTop w:val="0"/>
      <w:marBottom w:val="0"/>
      <w:divBdr>
        <w:top w:val="none" w:sz="0" w:space="0" w:color="auto"/>
        <w:left w:val="none" w:sz="0" w:space="0" w:color="auto"/>
        <w:bottom w:val="none" w:sz="0" w:space="0" w:color="auto"/>
        <w:right w:val="none" w:sz="0" w:space="0" w:color="auto"/>
      </w:divBdr>
    </w:div>
    <w:div w:id="335501527">
      <w:marLeft w:val="0"/>
      <w:marRight w:val="0"/>
      <w:marTop w:val="0"/>
      <w:marBottom w:val="0"/>
      <w:divBdr>
        <w:top w:val="none" w:sz="0" w:space="0" w:color="auto"/>
        <w:left w:val="none" w:sz="0" w:space="0" w:color="auto"/>
        <w:bottom w:val="none" w:sz="0" w:space="0" w:color="auto"/>
        <w:right w:val="none" w:sz="0" w:space="0" w:color="auto"/>
      </w:divBdr>
    </w:div>
    <w:div w:id="335501528">
      <w:marLeft w:val="0"/>
      <w:marRight w:val="0"/>
      <w:marTop w:val="0"/>
      <w:marBottom w:val="0"/>
      <w:divBdr>
        <w:top w:val="none" w:sz="0" w:space="0" w:color="auto"/>
        <w:left w:val="none" w:sz="0" w:space="0" w:color="auto"/>
        <w:bottom w:val="none" w:sz="0" w:space="0" w:color="auto"/>
        <w:right w:val="none" w:sz="0" w:space="0" w:color="auto"/>
      </w:divBdr>
    </w:div>
    <w:div w:id="335501529">
      <w:marLeft w:val="0"/>
      <w:marRight w:val="0"/>
      <w:marTop w:val="0"/>
      <w:marBottom w:val="0"/>
      <w:divBdr>
        <w:top w:val="none" w:sz="0" w:space="0" w:color="auto"/>
        <w:left w:val="none" w:sz="0" w:space="0" w:color="auto"/>
        <w:bottom w:val="none" w:sz="0" w:space="0" w:color="auto"/>
        <w:right w:val="none" w:sz="0" w:space="0" w:color="auto"/>
      </w:divBdr>
    </w:div>
    <w:div w:id="335501530">
      <w:marLeft w:val="0"/>
      <w:marRight w:val="0"/>
      <w:marTop w:val="0"/>
      <w:marBottom w:val="0"/>
      <w:divBdr>
        <w:top w:val="none" w:sz="0" w:space="0" w:color="auto"/>
        <w:left w:val="none" w:sz="0" w:space="0" w:color="auto"/>
        <w:bottom w:val="none" w:sz="0" w:space="0" w:color="auto"/>
        <w:right w:val="none" w:sz="0" w:space="0" w:color="auto"/>
      </w:divBdr>
      <w:divsChild>
        <w:div w:id="335501475">
          <w:marLeft w:val="0"/>
          <w:marRight w:val="0"/>
          <w:marTop w:val="0"/>
          <w:marBottom w:val="0"/>
          <w:divBdr>
            <w:top w:val="none" w:sz="0" w:space="0" w:color="auto"/>
            <w:left w:val="none" w:sz="0" w:space="0" w:color="auto"/>
            <w:bottom w:val="none" w:sz="0" w:space="0" w:color="auto"/>
            <w:right w:val="none" w:sz="0" w:space="0" w:color="auto"/>
          </w:divBdr>
        </w:div>
        <w:div w:id="335501478">
          <w:marLeft w:val="0"/>
          <w:marRight w:val="0"/>
          <w:marTop w:val="0"/>
          <w:marBottom w:val="0"/>
          <w:divBdr>
            <w:top w:val="none" w:sz="0" w:space="0" w:color="auto"/>
            <w:left w:val="none" w:sz="0" w:space="0" w:color="auto"/>
            <w:bottom w:val="none" w:sz="0" w:space="0" w:color="auto"/>
            <w:right w:val="none" w:sz="0" w:space="0" w:color="auto"/>
          </w:divBdr>
        </w:div>
        <w:div w:id="335501480">
          <w:marLeft w:val="0"/>
          <w:marRight w:val="0"/>
          <w:marTop w:val="0"/>
          <w:marBottom w:val="0"/>
          <w:divBdr>
            <w:top w:val="none" w:sz="0" w:space="0" w:color="auto"/>
            <w:left w:val="none" w:sz="0" w:space="0" w:color="auto"/>
            <w:bottom w:val="none" w:sz="0" w:space="0" w:color="auto"/>
            <w:right w:val="none" w:sz="0" w:space="0" w:color="auto"/>
          </w:divBdr>
        </w:div>
        <w:div w:id="335501481">
          <w:marLeft w:val="0"/>
          <w:marRight w:val="0"/>
          <w:marTop w:val="0"/>
          <w:marBottom w:val="0"/>
          <w:divBdr>
            <w:top w:val="none" w:sz="0" w:space="0" w:color="auto"/>
            <w:left w:val="none" w:sz="0" w:space="0" w:color="auto"/>
            <w:bottom w:val="none" w:sz="0" w:space="0" w:color="auto"/>
            <w:right w:val="none" w:sz="0" w:space="0" w:color="auto"/>
          </w:divBdr>
        </w:div>
        <w:div w:id="335501483">
          <w:marLeft w:val="0"/>
          <w:marRight w:val="0"/>
          <w:marTop w:val="0"/>
          <w:marBottom w:val="0"/>
          <w:divBdr>
            <w:top w:val="none" w:sz="0" w:space="0" w:color="auto"/>
            <w:left w:val="none" w:sz="0" w:space="0" w:color="auto"/>
            <w:bottom w:val="none" w:sz="0" w:space="0" w:color="auto"/>
            <w:right w:val="none" w:sz="0" w:space="0" w:color="auto"/>
          </w:divBdr>
        </w:div>
        <w:div w:id="335501484">
          <w:marLeft w:val="0"/>
          <w:marRight w:val="0"/>
          <w:marTop w:val="0"/>
          <w:marBottom w:val="0"/>
          <w:divBdr>
            <w:top w:val="none" w:sz="0" w:space="0" w:color="auto"/>
            <w:left w:val="none" w:sz="0" w:space="0" w:color="auto"/>
            <w:bottom w:val="none" w:sz="0" w:space="0" w:color="auto"/>
            <w:right w:val="none" w:sz="0" w:space="0" w:color="auto"/>
          </w:divBdr>
        </w:div>
        <w:div w:id="335501485">
          <w:marLeft w:val="0"/>
          <w:marRight w:val="0"/>
          <w:marTop w:val="0"/>
          <w:marBottom w:val="0"/>
          <w:divBdr>
            <w:top w:val="none" w:sz="0" w:space="0" w:color="auto"/>
            <w:left w:val="none" w:sz="0" w:space="0" w:color="auto"/>
            <w:bottom w:val="none" w:sz="0" w:space="0" w:color="auto"/>
            <w:right w:val="none" w:sz="0" w:space="0" w:color="auto"/>
          </w:divBdr>
        </w:div>
        <w:div w:id="335501486">
          <w:marLeft w:val="0"/>
          <w:marRight w:val="0"/>
          <w:marTop w:val="0"/>
          <w:marBottom w:val="0"/>
          <w:divBdr>
            <w:top w:val="none" w:sz="0" w:space="0" w:color="auto"/>
            <w:left w:val="none" w:sz="0" w:space="0" w:color="auto"/>
            <w:bottom w:val="none" w:sz="0" w:space="0" w:color="auto"/>
            <w:right w:val="none" w:sz="0" w:space="0" w:color="auto"/>
          </w:divBdr>
        </w:div>
        <w:div w:id="335501488">
          <w:marLeft w:val="0"/>
          <w:marRight w:val="0"/>
          <w:marTop w:val="0"/>
          <w:marBottom w:val="0"/>
          <w:divBdr>
            <w:top w:val="none" w:sz="0" w:space="0" w:color="auto"/>
            <w:left w:val="none" w:sz="0" w:space="0" w:color="auto"/>
            <w:bottom w:val="none" w:sz="0" w:space="0" w:color="auto"/>
            <w:right w:val="none" w:sz="0" w:space="0" w:color="auto"/>
          </w:divBdr>
        </w:div>
        <w:div w:id="335501489">
          <w:marLeft w:val="0"/>
          <w:marRight w:val="0"/>
          <w:marTop w:val="0"/>
          <w:marBottom w:val="0"/>
          <w:divBdr>
            <w:top w:val="none" w:sz="0" w:space="0" w:color="auto"/>
            <w:left w:val="none" w:sz="0" w:space="0" w:color="auto"/>
            <w:bottom w:val="none" w:sz="0" w:space="0" w:color="auto"/>
            <w:right w:val="none" w:sz="0" w:space="0" w:color="auto"/>
          </w:divBdr>
        </w:div>
        <w:div w:id="335501490">
          <w:marLeft w:val="0"/>
          <w:marRight w:val="0"/>
          <w:marTop w:val="0"/>
          <w:marBottom w:val="0"/>
          <w:divBdr>
            <w:top w:val="none" w:sz="0" w:space="0" w:color="auto"/>
            <w:left w:val="none" w:sz="0" w:space="0" w:color="auto"/>
            <w:bottom w:val="none" w:sz="0" w:space="0" w:color="auto"/>
            <w:right w:val="none" w:sz="0" w:space="0" w:color="auto"/>
          </w:divBdr>
        </w:div>
        <w:div w:id="335501491">
          <w:marLeft w:val="0"/>
          <w:marRight w:val="0"/>
          <w:marTop w:val="0"/>
          <w:marBottom w:val="0"/>
          <w:divBdr>
            <w:top w:val="none" w:sz="0" w:space="0" w:color="auto"/>
            <w:left w:val="none" w:sz="0" w:space="0" w:color="auto"/>
            <w:bottom w:val="none" w:sz="0" w:space="0" w:color="auto"/>
            <w:right w:val="none" w:sz="0" w:space="0" w:color="auto"/>
          </w:divBdr>
        </w:div>
        <w:div w:id="335501498">
          <w:marLeft w:val="0"/>
          <w:marRight w:val="0"/>
          <w:marTop w:val="0"/>
          <w:marBottom w:val="0"/>
          <w:divBdr>
            <w:top w:val="none" w:sz="0" w:space="0" w:color="auto"/>
            <w:left w:val="none" w:sz="0" w:space="0" w:color="auto"/>
            <w:bottom w:val="none" w:sz="0" w:space="0" w:color="auto"/>
            <w:right w:val="none" w:sz="0" w:space="0" w:color="auto"/>
          </w:divBdr>
        </w:div>
        <w:div w:id="335501499">
          <w:marLeft w:val="0"/>
          <w:marRight w:val="0"/>
          <w:marTop w:val="0"/>
          <w:marBottom w:val="0"/>
          <w:divBdr>
            <w:top w:val="none" w:sz="0" w:space="0" w:color="auto"/>
            <w:left w:val="none" w:sz="0" w:space="0" w:color="auto"/>
            <w:bottom w:val="none" w:sz="0" w:space="0" w:color="auto"/>
            <w:right w:val="none" w:sz="0" w:space="0" w:color="auto"/>
          </w:divBdr>
        </w:div>
        <w:div w:id="335501500">
          <w:marLeft w:val="0"/>
          <w:marRight w:val="0"/>
          <w:marTop w:val="0"/>
          <w:marBottom w:val="0"/>
          <w:divBdr>
            <w:top w:val="none" w:sz="0" w:space="0" w:color="auto"/>
            <w:left w:val="none" w:sz="0" w:space="0" w:color="auto"/>
            <w:bottom w:val="none" w:sz="0" w:space="0" w:color="auto"/>
            <w:right w:val="none" w:sz="0" w:space="0" w:color="auto"/>
          </w:divBdr>
        </w:div>
        <w:div w:id="335501506">
          <w:marLeft w:val="0"/>
          <w:marRight w:val="0"/>
          <w:marTop w:val="0"/>
          <w:marBottom w:val="0"/>
          <w:divBdr>
            <w:top w:val="none" w:sz="0" w:space="0" w:color="auto"/>
            <w:left w:val="none" w:sz="0" w:space="0" w:color="auto"/>
            <w:bottom w:val="none" w:sz="0" w:space="0" w:color="auto"/>
            <w:right w:val="none" w:sz="0" w:space="0" w:color="auto"/>
          </w:divBdr>
        </w:div>
        <w:div w:id="335501508">
          <w:marLeft w:val="0"/>
          <w:marRight w:val="0"/>
          <w:marTop w:val="0"/>
          <w:marBottom w:val="0"/>
          <w:divBdr>
            <w:top w:val="none" w:sz="0" w:space="0" w:color="auto"/>
            <w:left w:val="none" w:sz="0" w:space="0" w:color="auto"/>
            <w:bottom w:val="none" w:sz="0" w:space="0" w:color="auto"/>
            <w:right w:val="none" w:sz="0" w:space="0" w:color="auto"/>
          </w:divBdr>
        </w:div>
        <w:div w:id="335501509">
          <w:marLeft w:val="0"/>
          <w:marRight w:val="0"/>
          <w:marTop w:val="0"/>
          <w:marBottom w:val="0"/>
          <w:divBdr>
            <w:top w:val="none" w:sz="0" w:space="0" w:color="auto"/>
            <w:left w:val="none" w:sz="0" w:space="0" w:color="auto"/>
            <w:bottom w:val="none" w:sz="0" w:space="0" w:color="auto"/>
            <w:right w:val="none" w:sz="0" w:space="0" w:color="auto"/>
          </w:divBdr>
        </w:div>
        <w:div w:id="335501512">
          <w:marLeft w:val="0"/>
          <w:marRight w:val="0"/>
          <w:marTop w:val="0"/>
          <w:marBottom w:val="0"/>
          <w:divBdr>
            <w:top w:val="none" w:sz="0" w:space="0" w:color="auto"/>
            <w:left w:val="none" w:sz="0" w:space="0" w:color="auto"/>
            <w:bottom w:val="none" w:sz="0" w:space="0" w:color="auto"/>
            <w:right w:val="none" w:sz="0" w:space="0" w:color="auto"/>
          </w:divBdr>
        </w:div>
        <w:div w:id="335501531">
          <w:marLeft w:val="0"/>
          <w:marRight w:val="0"/>
          <w:marTop w:val="0"/>
          <w:marBottom w:val="0"/>
          <w:divBdr>
            <w:top w:val="none" w:sz="0" w:space="0" w:color="auto"/>
            <w:left w:val="none" w:sz="0" w:space="0" w:color="auto"/>
            <w:bottom w:val="none" w:sz="0" w:space="0" w:color="auto"/>
            <w:right w:val="none" w:sz="0" w:space="0" w:color="auto"/>
          </w:divBdr>
        </w:div>
        <w:div w:id="335501534">
          <w:marLeft w:val="0"/>
          <w:marRight w:val="0"/>
          <w:marTop w:val="0"/>
          <w:marBottom w:val="0"/>
          <w:divBdr>
            <w:top w:val="none" w:sz="0" w:space="0" w:color="auto"/>
            <w:left w:val="none" w:sz="0" w:space="0" w:color="auto"/>
            <w:bottom w:val="none" w:sz="0" w:space="0" w:color="auto"/>
            <w:right w:val="none" w:sz="0" w:space="0" w:color="auto"/>
          </w:divBdr>
        </w:div>
        <w:div w:id="335501535">
          <w:marLeft w:val="0"/>
          <w:marRight w:val="0"/>
          <w:marTop w:val="0"/>
          <w:marBottom w:val="0"/>
          <w:divBdr>
            <w:top w:val="none" w:sz="0" w:space="0" w:color="auto"/>
            <w:left w:val="none" w:sz="0" w:space="0" w:color="auto"/>
            <w:bottom w:val="none" w:sz="0" w:space="0" w:color="auto"/>
            <w:right w:val="none" w:sz="0" w:space="0" w:color="auto"/>
          </w:divBdr>
        </w:div>
        <w:div w:id="335501536">
          <w:marLeft w:val="0"/>
          <w:marRight w:val="0"/>
          <w:marTop w:val="0"/>
          <w:marBottom w:val="0"/>
          <w:divBdr>
            <w:top w:val="none" w:sz="0" w:space="0" w:color="auto"/>
            <w:left w:val="none" w:sz="0" w:space="0" w:color="auto"/>
            <w:bottom w:val="none" w:sz="0" w:space="0" w:color="auto"/>
            <w:right w:val="none" w:sz="0" w:space="0" w:color="auto"/>
          </w:divBdr>
        </w:div>
        <w:div w:id="335501540">
          <w:marLeft w:val="0"/>
          <w:marRight w:val="0"/>
          <w:marTop w:val="0"/>
          <w:marBottom w:val="0"/>
          <w:divBdr>
            <w:top w:val="none" w:sz="0" w:space="0" w:color="auto"/>
            <w:left w:val="none" w:sz="0" w:space="0" w:color="auto"/>
            <w:bottom w:val="none" w:sz="0" w:space="0" w:color="auto"/>
            <w:right w:val="none" w:sz="0" w:space="0" w:color="auto"/>
          </w:divBdr>
        </w:div>
        <w:div w:id="335501541">
          <w:marLeft w:val="0"/>
          <w:marRight w:val="0"/>
          <w:marTop w:val="0"/>
          <w:marBottom w:val="0"/>
          <w:divBdr>
            <w:top w:val="none" w:sz="0" w:space="0" w:color="auto"/>
            <w:left w:val="none" w:sz="0" w:space="0" w:color="auto"/>
            <w:bottom w:val="none" w:sz="0" w:space="0" w:color="auto"/>
            <w:right w:val="none" w:sz="0" w:space="0" w:color="auto"/>
          </w:divBdr>
        </w:div>
        <w:div w:id="335501543">
          <w:marLeft w:val="0"/>
          <w:marRight w:val="0"/>
          <w:marTop w:val="0"/>
          <w:marBottom w:val="0"/>
          <w:divBdr>
            <w:top w:val="none" w:sz="0" w:space="0" w:color="auto"/>
            <w:left w:val="none" w:sz="0" w:space="0" w:color="auto"/>
            <w:bottom w:val="none" w:sz="0" w:space="0" w:color="auto"/>
            <w:right w:val="none" w:sz="0" w:space="0" w:color="auto"/>
          </w:divBdr>
        </w:div>
        <w:div w:id="335501545">
          <w:marLeft w:val="0"/>
          <w:marRight w:val="0"/>
          <w:marTop w:val="0"/>
          <w:marBottom w:val="0"/>
          <w:divBdr>
            <w:top w:val="none" w:sz="0" w:space="0" w:color="auto"/>
            <w:left w:val="none" w:sz="0" w:space="0" w:color="auto"/>
            <w:bottom w:val="none" w:sz="0" w:space="0" w:color="auto"/>
            <w:right w:val="none" w:sz="0" w:space="0" w:color="auto"/>
          </w:divBdr>
        </w:div>
        <w:div w:id="335501546">
          <w:marLeft w:val="0"/>
          <w:marRight w:val="0"/>
          <w:marTop w:val="0"/>
          <w:marBottom w:val="0"/>
          <w:divBdr>
            <w:top w:val="none" w:sz="0" w:space="0" w:color="auto"/>
            <w:left w:val="none" w:sz="0" w:space="0" w:color="auto"/>
            <w:bottom w:val="none" w:sz="0" w:space="0" w:color="auto"/>
            <w:right w:val="none" w:sz="0" w:space="0" w:color="auto"/>
          </w:divBdr>
        </w:div>
        <w:div w:id="335501548">
          <w:marLeft w:val="0"/>
          <w:marRight w:val="0"/>
          <w:marTop w:val="0"/>
          <w:marBottom w:val="0"/>
          <w:divBdr>
            <w:top w:val="none" w:sz="0" w:space="0" w:color="auto"/>
            <w:left w:val="none" w:sz="0" w:space="0" w:color="auto"/>
            <w:bottom w:val="none" w:sz="0" w:space="0" w:color="auto"/>
            <w:right w:val="none" w:sz="0" w:space="0" w:color="auto"/>
          </w:divBdr>
        </w:div>
        <w:div w:id="335501555">
          <w:marLeft w:val="0"/>
          <w:marRight w:val="0"/>
          <w:marTop w:val="0"/>
          <w:marBottom w:val="0"/>
          <w:divBdr>
            <w:top w:val="none" w:sz="0" w:space="0" w:color="auto"/>
            <w:left w:val="none" w:sz="0" w:space="0" w:color="auto"/>
            <w:bottom w:val="none" w:sz="0" w:space="0" w:color="auto"/>
            <w:right w:val="none" w:sz="0" w:space="0" w:color="auto"/>
          </w:divBdr>
        </w:div>
        <w:div w:id="335501559">
          <w:marLeft w:val="0"/>
          <w:marRight w:val="0"/>
          <w:marTop w:val="0"/>
          <w:marBottom w:val="0"/>
          <w:divBdr>
            <w:top w:val="none" w:sz="0" w:space="0" w:color="auto"/>
            <w:left w:val="none" w:sz="0" w:space="0" w:color="auto"/>
            <w:bottom w:val="none" w:sz="0" w:space="0" w:color="auto"/>
            <w:right w:val="none" w:sz="0" w:space="0" w:color="auto"/>
          </w:divBdr>
        </w:div>
        <w:div w:id="335501561">
          <w:marLeft w:val="0"/>
          <w:marRight w:val="0"/>
          <w:marTop w:val="0"/>
          <w:marBottom w:val="0"/>
          <w:divBdr>
            <w:top w:val="none" w:sz="0" w:space="0" w:color="auto"/>
            <w:left w:val="none" w:sz="0" w:space="0" w:color="auto"/>
            <w:bottom w:val="none" w:sz="0" w:space="0" w:color="auto"/>
            <w:right w:val="none" w:sz="0" w:space="0" w:color="auto"/>
          </w:divBdr>
        </w:div>
      </w:divsChild>
    </w:div>
    <w:div w:id="335501549">
      <w:marLeft w:val="0"/>
      <w:marRight w:val="0"/>
      <w:marTop w:val="0"/>
      <w:marBottom w:val="0"/>
      <w:divBdr>
        <w:top w:val="none" w:sz="0" w:space="0" w:color="auto"/>
        <w:left w:val="none" w:sz="0" w:space="0" w:color="auto"/>
        <w:bottom w:val="none" w:sz="0" w:space="0" w:color="auto"/>
        <w:right w:val="none" w:sz="0" w:space="0" w:color="auto"/>
      </w:divBdr>
      <w:divsChild>
        <w:div w:id="335501532">
          <w:marLeft w:val="0"/>
          <w:marRight w:val="0"/>
          <w:marTop w:val="0"/>
          <w:marBottom w:val="0"/>
          <w:divBdr>
            <w:top w:val="none" w:sz="0" w:space="0" w:color="auto"/>
            <w:left w:val="none" w:sz="0" w:space="0" w:color="auto"/>
            <w:bottom w:val="none" w:sz="0" w:space="0" w:color="auto"/>
            <w:right w:val="none" w:sz="0" w:space="0" w:color="auto"/>
          </w:divBdr>
          <w:divsChild>
            <w:div w:id="335501476">
              <w:marLeft w:val="0"/>
              <w:marRight w:val="0"/>
              <w:marTop w:val="0"/>
              <w:marBottom w:val="0"/>
              <w:divBdr>
                <w:top w:val="none" w:sz="0" w:space="0" w:color="auto"/>
                <w:left w:val="none" w:sz="0" w:space="0" w:color="auto"/>
                <w:bottom w:val="none" w:sz="0" w:space="0" w:color="auto"/>
                <w:right w:val="none" w:sz="0" w:space="0" w:color="auto"/>
              </w:divBdr>
            </w:div>
            <w:div w:id="335501477">
              <w:marLeft w:val="0"/>
              <w:marRight w:val="0"/>
              <w:marTop w:val="0"/>
              <w:marBottom w:val="0"/>
              <w:divBdr>
                <w:top w:val="none" w:sz="0" w:space="0" w:color="auto"/>
                <w:left w:val="none" w:sz="0" w:space="0" w:color="auto"/>
                <w:bottom w:val="none" w:sz="0" w:space="0" w:color="auto"/>
                <w:right w:val="none" w:sz="0" w:space="0" w:color="auto"/>
              </w:divBdr>
            </w:div>
            <w:div w:id="335501479">
              <w:marLeft w:val="0"/>
              <w:marRight w:val="0"/>
              <w:marTop w:val="0"/>
              <w:marBottom w:val="0"/>
              <w:divBdr>
                <w:top w:val="none" w:sz="0" w:space="0" w:color="auto"/>
                <w:left w:val="none" w:sz="0" w:space="0" w:color="auto"/>
                <w:bottom w:val="none" w:sz="0" w:space="0" w:color="auto"/>
                <w:right w:val="none" w:sz="0" w:space="0" w:color="auto"/>
              </w:divBdr>
            </w:div>
            <w:div w:id="335501482">
              <w:marLeft w:val="0"/>
              <w:marRight w:val="0"/>
              <w:marTop w:val="0"/>
              <w:marBottom w:val="0"/>
              <w:divBdr>
                <w:top w:val="none" w:sz="0" w:space="0" w:color="auto"/>
                <w:left w:val="none" w:sz="0" w:space="0" w:color="auto"/>
                <w:bottom w:val="none" w:sz="0" w:space="0" w:color="auto"/>
                <w:right w:val="none" w:sz="0" w:space="0" w:color="auto"/>
              </w:divBdr>
            </w:div>
            <w:div w:id="335501492">
              <w:marLeft w:val="0"/>
              <w:marRight w:val="0"/>
              <w:marTop w:val="0"/>
              <w:marBottom w:val="0"/>
              <w:divBdr>
                <w:top w:val="none" w:sz="0" w:space="0" w:color="auto"/>
                <w:left w:val="none" w:sz="0" w:space="0" w:color="auto"/>
                <w:bottom w:val="none" w:sz="0" w:space="0" w:color="auto"/>
                <w:right w:val="none" w:sz="0" w:space="0" w:color="auto"/>
              </w:divBdr>
            </w:div>
            <w:div w:id="335501494">
              <w:marLeft w:val="0"/>
              <w:marRight w:val="0"/>
              <w:marTop w:val="0"/>
              <w:marBottom w:val="0"/>
              <w:divBdr>
                <w:top w:val="none" w:sz="0" w:space="0" w:color="auto"/>
                <w:left w:val="none" w:sz="0" w:space="0" w:color="auto"/>
                <w:bottom w:val="none" w:sz="0" w:space="0" w:color="auto"/>
                <w:right w:val="none" w:sz="0" w:space="0" w:color="auto"/>
              </w:divBdr>
            </w:div>
            <w:div w:id="335501495">
              <w:marLeft w:val="0"/>
              <w:marRight w:val="0"/>
              <w:marTop w:val="0"/>
              <w:marBottom w:val="0"/>
              <w:divBdr>
                <w:top w:val="none" w:sz="0" w:space="0" w:color="auto"/>
                <w:left w:val="none" w:sz="0" w:space="0" w:color="auto"/>
                <w:bottom w:val="none" w:sz="0" w:space="0" w:color="auto"/>
                <w:right w:val="none" w:sz="0" w:space="0" w:color="auto"/>
              </w:divBdr>
            </w:div>
            <w:div w:id="335501496">
              <w:marLeft w:val="0"/>
              <w:marRight w:val="0"/>
              <w:marTop w:val="0"/>
              <w:marBottom w:val="0"/>
              <w:divBdr>
                <w:top w:val="none" w:sz="0" w:space="0" w:color="auto"/>
                <w:left w:val="none" w:sz="0" w:space="0" w:color="auto"/>
                <w:bottom w:val="none" w:sz="0" w:space="0" w:color="auto"/>
                <w:right w:val="none" w:sz="0" w:space="0" w:color="auto"/>
              </w:divBdr>
            </w:div>
            <w:div w:id="335501501">
              <w:marLeft w:val="0"/>
              <w:marRight w:val="0"/>
              <w:marTop w:val="0"/>
              <w:marBottom w:val="0"/>
              <w:divBdr>
                <w:top w:val="none" w:sz="0" w:space="0" w:color="auto"/>
                <w:left w:val="none" w:sz="0" w:space="0" w:color="auto"/>
                <w:bottom w:val="none" w:sz="0" w:space="0" w:color="auto"/>
                <w:right w:val="none" w:sz="0" w:space="0" w:color="auto"/>
              </w:divBdr>
            </w:div>
            <w:div w:id="335501502">
              <w:marLeft w:val="0"/>
              <w:marRight w:val="0"/>
              <w:marTop w:val="0"/>
              <w:marBottom w:val="0"/>
              <w:divBdr>
                <w:top w:val="none" w:sz="0" w:space="0" w:color="auto"/>
                <w:left w:val="none" w:sz="0" w:space="0" w:color="auto"/>
                <w:bottom w:val="none" w:sz="0" w:space="0" w:color="auto"/>
                <w:right w:val="none" w:sz="0" w:space="0" w:color="auto"/>
              </w:divBdr>
            </w:div>
            <w:div w:id="335501503">
              <w:marLeft w:val="0"/>
              <w:marRight w:val="0"/>
              <w:marTop w:val="0"/>
              <w:marBottom w:val="0"/>
              <w:divBdr>
                <w:top w:val="none" w:sz="0" w:space="0" w:color="auto"/>
                <w:left w:val="none" w:sz="0" w:space="0" w:color="auto"/>
                <w:bottom w:val="none" w:sz="0" w:space="0" w:color="auto"/>
                <w:right w:val="none" w:sz="0" w:space="0" w:color="auto"/>
              </w:divBdr>
            </w:div>
            <w:div w:id="335501505">
              <w:marLeft w:val="0"/>
              <w:marRight w:val="0"/>
              <w:marTop w:val="0"/>
              <w:marBottom w:val="0"/>
              <w:divBdr>
                <w:top w:val="none" w:sz="0" w:space="0" w:color="auto"/>
                <w:left w:val="none" w:sz="0" w:space="0" w:color="auto"/>
                <w:bottom w:val="none" w:sz="0" w:space="0" w:color="auto"/>
                <w:right w:val="none" w:sz="0" w:space="0" w:color="auto"/>
              </w:divBdr>
            </w:div>
            <w:div w:id="335501507">
              <w:marLeft w:val="0"/>
              <w:marRight w:val="0"/>
              <w:marTop w:val="0"/>
              <w:marBottom w:val="0"/>
              <w:divBdr>
                <w:top w:val="none" w:sz="0" w:space="0" w:color="auto"/>
                <w:left w:val="none" w:sz="0" w:space="0" w:color="auto"/>
                <w:bottom w:val="none" w:sz="0" w:space="0" w:color="auto"/>
                <w:right w:val="none" w:sz="0" w:space="0" w:color="auto"/>
              </w:divBdr>
            </w:div>
            <w:div w:id="335501510">
              <w:marLeft w:val="0"/>
              <w:marRight w:val="0"/>
              <w:marTop w:val="0"/>
              <w:marBottom w:val="0"/>
              <w:divBdr>
                <w:top w:val="none" w:sz="0" w:space="0" w:color="auto"/>
                <w:left w:val="none" w:sz="0" w:space="0" w:color="auto"/>
                <w:bottom w:val="none" w:sz="0" w:space="0" w:color="auto"/>
                <w:right w:val="none" w:sz="0" w:space="0" w:color="auto"/>
              </w:divBdr>
            </w:div>
            <w:div w:id="335501511">
              <w:marLeft w:val="0"/>
              <w:marRight w:val="0"/>
              <w:marTop w:val="0"/>
              <w:marBottom w:val="0"/>
              <w:divBdr>
                <w:top w:val="none" w:sz="0" w:space="0" w:color="auto"/>
                <w:left w:val="none" w:sz="0" w:space="0" w:color="auto"/>
                <w:bottom w:val="none" w:sz="0" w:space="0" w:color="auto"/>
                <w:right w:val="none" w:sz="0" w:space="0" w:color="auto"/>
              </w:divBdr>
            </w:div>
            <w:div w:id="335501514">
              <w:marLeft w:val="0"/>
              <w:marRight w:val="0"/>
              <w:marTop w:val="0"/>
              <w:marBottom w:val="0"/>
              <w:divBdr>
                <w:top w:val="none" w:sz="0" w:space="0" w:color="auto"/>
                <w:left w:val="none" w:sz="0" w:space="0" w:color="auto"/>
                <w:bottom w:val="none" w:sz="0" w:space="0" w:color="auto"/>
                <w:right w:val="none" w:sz="0" w:space="0" w:color="auto"/>
              </w:divBdr>
            </w:div>
            <w:div w:id="335501533">
              <w:marLeft w:val="0"/>
              <w:marRight w:val="0"/>
              <w:marTop w:val="0"/>
              <w:marBottom w:val="0"/>
              <w:divBdr>
                <w:top w:val="none" w:sz="0" w:space="0" w:color="auto"/>
                <w:left w:val="none" w:sz="0" w:space="0" w:color="auto"/>
                <w:bottom w:val="none" w:sz="0" w:space="0" w:color="auto"/>
                <w:right w:val="none" w:sz="0" w:space="0" w:color="auto"/>
              </w:divBdr>
            </w:div>
            <w:div w:id="335501537">
              <w:marLeft w:val="0"/>
              <w:marRight w:val="0"/>
              <w:marTop w:val="0"/>
              <w:marBottom w:val="0"/>
              <w:divBdr>
                <w:top w:val="none" w:sz="0" w:space="0" w:color="auto"/>
                <w:left w:val="none" w:sz="0" w:space="0" w:color="auto"/>
                <w:bottom w:val="none" w:sz="0" w:space="0" w:color="auto"/>
                <w:right w:val="none" w:sz="0" w:space="0" w:color="auto"/>
              </w:divBdr>
            </w:div>
            <w:div w:id="335501544">
              <w:marLeft w:val="0"/>
              <w:marRight w:val="0"/>
              <w:marTop w:val="0"/>
              <w:marBottom w:val="0"/>
              <w:divBdr>
                <w:top w:val="none" w:sz="0" w:space="0" w:color="auto"/>
                <w:left w:val="none" w:sz="0" w:space="0" w:color="auto"/>
                <w:bottom w:val="none" w:sz="0" w:space="0" w:color="auto"/>
                <w:right w:val="none" w:sz="0" w:space="0" w:color="auto"/>
              </w:divBdr>
            </w:div>
            <w:div w:id="335501547">
              <w:marLeft w:val="0"/>
              <w:marRight w:val="0"/>
              <w:marTop w:val="0"/>
              <w:marBottom w:val="0"/>
              <w:divBdr>
                <w:top w:val="none" w:sz="0" w:space="0" w:color="auto"/>
                <w:left w:val="none" w:sz="0" w:space="0" w:color="auto"/>
                <w:bottom w:val="none" w:sz="0" w:space="0" w:color="auto"/>
                <w:right w:val="none" w:sz="0" w:space="0" w:color="auto"/>
              </w:divBdr>
            </w:div>
            <w:div w:id="335501550">
              <w:marLeft w:val="0"/>
              <w:marRight w:val="0"/>
              <w:marTop w:val="0"/>
              <w:marBottom w:val="0"/>
              <w:divBdr>
                <w:top w:val="none" w:sz="0" w:space="0" w:color="auto"/>
                <w:left w:val="none" w:sz="0" w:space="0" w:color="auto"/>
                <w:bottom w:val="none" w:sz="0" w:space="0" w:color="auto"/>
                <w:right w:val="none" w:sz="0" w:space="0" w:color="auto"/>
              </w:divBdr>
            </w:div>
            <w:div w:id="335501551">
              <w:marLeft w:val="0"/>
              <w:marRight w:val="0"/>
              <w:marTop w:val="0"/>
              <w:marBottom w:val="0"/>
              <w:divBdr>
                <w:top w:val="none" w:sz="0" w:space="0" w:color="auto"/>
                <w:left w:val="none" w:sz="0" w:space="0" w:color="auto"/>
                <w:bottom w:val="none" w:sz="0" w:space="0" w:color="auto"/>
                <w:right w:val="none" w:sz="0" w:space="0" w:color="auto"/>
              </w:divBdr>
            </w:div>
            <w:div w:id="335501552">
              <w:marLeft w:val="0"/>
              <w:marRight w:val="0"/>
              <w:marTop w:val="0"/>
              <w:marBottom w:val="0"/>
              <w:divBdr>
                <w:top w:val="none" w:sz="0" w:space="0" w:color="auto"/>
                <w:left w:val="none" w:sz="0" w:space="0" w:color="auto"/>
                <w:bottom w:val="none" w:sz="0" w:space="0" w:color="auto"/>
                <w:right w:val="none" w:sz="0" w:space="0" w:color="auto"/>
              </w:divBdr>
            </w:div>
            <w:div w:id="335501553">
              <w:marLeft w:val="0"/>
              <w:marRight w:val="0"/>
              <w:marTop w:val="0"/>
              <w:marBottom w:val="0"/>
              <w:divBdr>
                <w:top w:val="none" w:sz="0" w:space="0" w:color="auto"/>
                <w:left w:val="none" w:sz="0" w:space="0" w:color="auto"/>
                <w:bottom w:val="none" w:sz="0" w:space="0" w:color="auto"/>
                <w:right w:val="none" w:sz="0" w:space="0" w:color="auto"/>
              </w:divBdr>
            </w:div>
            <w:div w:id="335501554">
              <w:marLeft w:val="0"/>
              <w:marRight w:val="0"/>
              <w:marTop w:val="0"/>
              <w:marBottom w:val="0"/>
              <w:divBdr>
                <w:top w:val="none" w:sz="0" w:space="0" w:color="auto"/>
                <w:left w:val="none" w:sz="0" w:space="0" w:color="auto"/>
                <w:bottom w:val="none" w:sz="0" w:space="0" w:color="auto"/>
                <w:right w:val="none" w:sz="0" w:space="0" w:color="auto"/>
              </w:divBdr>
            </w:div>
            <w:div w:id="335501557">
              <w:marLeft w:val="0"/>
              <w:marRight w:val="0"/>
              <w:marTop w:val="0"/>
              <w:marBottom w:val="0"/>
              <w:divBdr>
                <w:top w:val="none" w:sz="0" w:space="0" w:color="auto"/>
                <w:left w:val="none" w:sz="0" w:space="0" w:color="auto"/>
                <w:bottom w:val="none" w:sz="0" w:space="0" w:color="auto"/>
                <w:right w:val="none" w:sz="0" w:space="0" w:color="auto"/>
              </w:divBdr>
            </w:div>
            <w:div w:id="335501558">
              <w:marLeft w:val="0"/>
              <w:marRight w:val="0"/>
              <w:marTop w:val="0"/>
              <w:marBottom w:val="0"/>
              <w:divBdr>
                <w:top w:val="none" w:sz="0" w:space="0" w:color="auto"/>
                <w:left w:val="none" w:sz="0" w:space="0" w:color="auto"/>
                <w:bottom w:val="none" w:sz="0" w:space="0" w:color="auto"/>
                <w:right w:val="none" w:sz="0" w:space="0" w:color="auto"/>
              </w:divBdr>
            </w:div>
            <w:div w:id="335501560">
              <w:marLeft w:val="0"/>
              <w:marRight w:val="0"/>
              <w:marTop w:val="0"/>
              <w:marBottom w:val="0"/>
              <w:divBdr>
                <w:top w:val="none" w:sz="0" w:space="0" w:color="auto"/>
                <w:left w:val="none" w:sz="0" w:space="0" w:color="auto"/>
                <w:bottom w:val="none" w:sz="0" w:space="0" w:color="auto"/>
                <w:right w:val="none" w:sz="0" w:space="0" w:color="auto"/>
              </w:divBdr>
            </w:div>
            <w:div w:id="335501562">
              <w:marLeft w:val="0"/>
              <w:marRight w:val="0"/>
              <w:marTop w:val="0"/>
              <w:marBottom w:val="0"/>
              <w:divBdr>
                <w:top w:val="none" w:sz="0" w:space="0" w:color="auto"/>
                <w:left w:val="none" w:sz="0" w:space="0" w:color="auto"/>
                <w:bottom w:val="none" w:sz="0" w:space="0" w:color="auto"/>
                <w:right w:val="none" w:sz="0" w:space="0" w:color="auto"/>
              </w:divBdr>
            </w:div>
            <w:div w:id="335501564">
              <w:marLeft w:val="0"/>
              <w:marRight w:val="0"/>
              <w:marTop w:val="0"/>
              <w:marBottom w:val="0"/>
              <w:divBdr>
                <w:top w:val="none" w:sz="0" w:space="0" w:color="auto"/>
                <w:left w:val="none" w:sz="0" w:space="0" w:color="auto"/>
                <w:bottom w:val="none" w:sz="0" w:space="0" w:color="auto"/>
                <w:right w:val="none" w:sz="0" w:space="0" w:color="auto"/>
              </w:divBdr>
            </w:div>
            <w:div w:id="3355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1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shpi@yahoo.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6935</Words>
  <Characters>39533</Characters>
  <Application>Microsoft Office Word</Application>
  <DocSecurity>0</DocSecurity>
  <Lines>329</Lines>
  <Paragraphs>92</Paragraphs>
  <ScaleCrop>false</ScaleCrop>
  <Company>Hewlett-Packard Company</Company>
  <LinksUpToDate>false</LinksUpToDate>
  <CharactersWithSpaces>46376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follow-up of ulcerative colitis patients treated by the strategy based on cytomegalovirus antigen status</dc:title>
  <dc:creator>saki</dc:creator>
  <cp:lastModifiedBy>LS Ma</cp:lastModifiedBy>
  <cp:revision>2</cp:revision>
  <cp:lastPrinted>2013-02-11T06:49:00Z</cp:lastPrinted>
  <dcterms:created xsi:type="dcterms:W3CDTF">2013-10-19T14:50:00Z</dcterms:created>
  <dcterms:modified xsi:type="dcterms:W3CDTF">2013-10-19T14:50:00Z</dcterms:modified>
</cp:coreProperties>
</file>