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2B9" w:rsidRPr="003619EE" w:rsidRDefault="004B62B9" w:rsidP="003619EE">
      <w:pPr>
        <w:adjustRightInd w:val="0"/>
        <w:snapToGrid w:val="0"/>
        <w:spacing w:after="0" w:line="360" w:lineRule="auto"/>
        <w:jc w:val="both"/>
        <w:rPr>
          <w:rFonts w:ascii="Book Antiqua" w:eastAsia="BatangChe" w:hAnsi="Book Antiqua"/>
          <w:i/>
          <w:sz w:val="24"/>
          <w:szCs w:val="24"/>
          <w:lang w:val="en-GB"/>
        </w:rPr>
      </w:pPr>
      <w:r w:rsidRPr="003619EE">
        <w:rPr>
          <w:rFonts w:ascii="Book Antiqua" w:eastAsia="BatangChe" w:hAnsi="Book Antiqua"/>
          <w:b/>
          <w:sz w:val="24"/>
          <w:szCs w:val="24"/>
          <w:lang w:val="en-GB"/>
        </w:rPr>
        <w:t xml:space="preserve">Name of journal: </w:t>
      </w:r>
      <w:r w:rsidRPr="003619EE">
        <w:rPr>
          <w:rFonts w:ascii="Book Antiqua" w:eastAsia="BatangChe" w:hAnsi="Book Antiqua"/>
          <w:i/>
          <w:sz w:val="24"/>
          <w:szCs w:val="24"/>
          <w:lang w:val="en-GB"/>
        </w:rPr>
        <w:t>World Journal of Gastroenterology</w:t>
      </w:r>
    </w:p>
    <w:p w:rsidR="004B62B9" w:rsidRPr="003619EE" w:rsidRDefault="004B62B9" w:rsidP="003619EE">
      <w:pPr>
        <w:adjustRightInd w:val="0"/>
        <w:snapToGrid w:val="0"/>
        <w:spacing w:after="0" w:line="360" w:lineRule="auto"/>
        <w:jc w:val="both"/>
        <w:rPr>
          <w:rFonts w:ascii="Book Antiqua" w:hAnsi="Book Antiqua"/>
          <w:b/>
          <w:sz w:val="24"/>
          <w:szCs w:val="24"/>
          <w:lang w:val="en-GB" w:eastAsia="zh-CN"/>
        </w:rPr>
      </w:pPr>
      <w:r w:rsidRPr="003619EE">
        <w:rPr>
          <w:rFonts w:ascii="Book Antiqua" w:eastAsia="BatangChe" w:hAnsi="Book Antiqua"/>
          <w:b/>
          <w:sz w:val="24"/>
          <w:szCs w:val="24"/>
          <w:lang w:val="en-GB"/>
        </w:rPr>
        <w:t>ESPS Manuscript NO:</w:t>
      </w:r>
      <w:r w:rsidRPr="003619EE">
        <w:rPr>
          <w:rFonts w:ascii="Book Antiqua" w:hAnsi="Book Antiqua"/>
          <w:b/>
          <w:sz w:val="24"/>
          <w:szCs w:val="24"/>
          <w:lang w:val="en-GB"/>
        </w:rPr>
        <w:t xml:space="preserve"> </w:t>
      </w:r>
      <w:r w:rsidRPr="003619EE">
        <w:rPr>
          <w:rFonts w:ascii="Book Antiqua" w:hAnsi="Book Antiqua"/>
          <w:b/>
          <w:sz w:val="24"/>
          <w:szCs w:val="24"/>
          <w:lang w:val="en-GB" w:eastAsia="zh-CN"/>
        </w:rPr>
        <w:t>4954</w:t>
      </w:r>
    </w:p>
    <w:p w:rsidR="004B62B9" w:rsidRPr="003619EE" w:rsidRDefault="004B62B9" w:rsidP="003619EE">
      <w:pPr>
        <w:adjustRightInd w:val="0"/>
        <w:snapToGrid w:val="0"/>
        <w:spacing w:after="0" w:line="360" w:lineRule="auto"/>
        <w:jc w:val="both"/>
        <w:rPr>
          <w:rFonts w:ascii="Book Antiqua" w:hAnsi="Book Antiqua"/>
          <w:b/>
          <w:sz w:val="24"/>
          <w:szCs w:val="24"/>
          <w:lang w:val="en-GB" w:eastAsia="zh-CN"/>
        </w:rPr>
      </w:pPr>
      <w:r w:rsidRPr="003619EE">
        <w:rPr>
          <w:rFonts w:ascii="Book Antiqua" w:eastAsia="BatangChe" w:hAnsi="Book Antiqua"/>
          <w:b/>
          <w:sz w:val="24"/>
          <w:szCs w:val="24"/>
          <w:lang w:val="en-GB"/>
        </w:rPr>
        <w:t>Columns:</w:t>
      </w:r>
      <w:r w:rsidRPr="003619EE">
        <w:rPr>
          <w:rFonts w:ascii="Book Antiqua" w:hAnsi="Book Antiqua"/>
          <w:b/>
          <w:sz w:val="24"/>
          <w:szCs w:val="24"/>
          <w:lang w:val="en-GB"/>
        </w:rPr>
        <w:t xml:space="preserve"> </w:t>
      </w:r>
      <w:r w:rsidRPr="003619EE">
        <w:rPr>
          <w:rFonts w:ascii="Book Antiqua" w:hAnsi="Book Antiqua"/>
          <w:b/>
          <w:sz w:val="24"/>
          <w:szCs w:val="24"/>
          <w:lang w:val="en-GB" w:eastAsia="zh-CN"/>
        </w:rPr>
        <w:t>CASE REPORT</w:t>
      </w:r>
    </w:p>
    <w:p w:rsidR="004B62B9" w:rsidRPr="003619EE" w:rsidRDefault="004B62B9" w:rsidP="003619EE">
      <w:pPr>
        <w:spacing w:after="0" w:line="360" w:lineRule="auto"/>
        <w:jc w:val="both"/>
        <w:rPr>
          <w:rFonts w:ascii="Book Antiqua" w:hAnsi="Book Antiqua"/>
          <w:b/>
          <w:sz w:val="24"/>
          <w:szCs w:val="24"/>
          <w:lang w:val="en-GB" w:eastAsia="zh-CN"/>
        </w:rPr>
      </w:pPr>
    </w:p>
    <w:p w:rsidR="004B62B9" w:rsidRPr="003619EE" w:rsidRDefault="004B62B9" w:rsidP="003619EE">
      <w:pPr>
        <w:spacing w:after="0" w:line="360" w:lineRule="auto"/>
        <w:jc w:val="both"/>
        <w:rPr>
          <w:rFonts w:ascii="Book Antiqua" w:hAnsi="Book Antiqua"/>
          <w:b/>
          <w:sz w:val="24"/>
          <w:szCs w:val="24"/>
          <w:lang w:val="en-GB"/>
        </w:rPr>
      </w:pPr>
      <w:r w:rsidRPr="003619EE">
        <w:rPr>
          <w:rFonts w:ascii="Book Antiqua" w:hAnsi="Book Antiqua"/>
          <w:b/>
          <w:sz w:val="24"/>
          <w:szCs w:val="24"/>
          <w:lang w:val="en-GB"/>
        </w:rPr>
        <w:t xml:space="preserve">Perihepatic adhesions: An unusual complication of hemolysis, elevated liver enzymes and low platelet syndrome syndrome </w:t>
      </w:r>
    </w:p>
    <w:p w:rsidR="004B62B9" w:rsidRPr="003619EE" w:rsidRDefault="004B62B9" w:rsidP="003619EE">
      <w:pPr>
        <w:spacing w:after="0" w:line="360" w:lineRule="auto"/>
        <w:jc w:val="both"/>
        <w:rPr>
          <w:rFonts w:ascii="Book Antiqua" w:hAnsi="Book Antiqua"/>
          <w:sz w:val="24"/>
          <w:szCs w:val="24"/>
          <w:lang w:val="en-GB"/>
        </w:rPr>
      </w:pP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sz w:val="24"/>
          <w:szCs w:val="24"/>
          <w:lang w:val="en-GB"/>
        </w:rPr>
        <w:t xml:space="preserve">Koeneman </w:t>
      </w:r>
      <w:r w:rsidRPr="003619EE">
        <w:rPr>
          <w:rFonts w:ascii="Book Antiqua" w:hAnsi="Book Antiqua"/>
          <w:sz w:val="24"/>
          <w:szCs w:val="24"/>
          <w:lang w:val="en-GB" w:eastAsia="zh-CN"/>
        </w:rPr>
        <w:t>MM</w:t>
      </w:r>
      <w:r w:rsidRPr="003619EE">
        <w:rPr>
          <w:rFonts w:ascii="Book Antiqua" w:hAnsi="Book Antiqua"/>
          <w:i/>
          <w:sz w:val="24"/>
          <w:szCs w:val="24"/>
          <w:lang w:val="en-GB" w:eastAsia="zh-CN"/>
        </w:rPr>
        <w:t xml:space="preserve"> et al</w:t>
      </w:r>
      <w:r w:rsidRPr="003619EE">
        <w:rPr>
          <w:rFonts w:ascii="Book Antiqua" w:hAnsi="Book Antiqua"/>
          <w:sz w:val="24"/>
          <w:szCs w:val="24"/>
          <w:lang w:val="en-GB" w:eastAsia="zh-CN"/>
        </w:rPr>
        <w:t xml:space="preserve">.  </w:t>
      </w:r>
      <w:r w:rsidRPr="003619EE">
        <w:rPr>
          <w:rFonts w:ascii="Book Antiqua" w:hAnsi="Book Antiqua"/>
          <w:sz w:val="24"/>
          <w:szCs w:val="24"/>
          <w:lang w:val="en-GB"/>
        </w:rPr>
        <w:t>Perihepatic adhesions after HELLP syndrome</w:t>
      </w:r>
    </w:p>
    <w:p w:rsidR="004B62B9" w:rsidRPr="003619EE" w:rsidRDefault="004B62B9" w:rsidP="003619EE">
      <w:pPr>
        <w:spacing w:after="0" w:line="360" w:lineRule="auto"/>
        <w:jc w:val="both"/>
        <w:rPr>
          <w:rFonts w:ascii="Book Antiqua" w:hAnsi="Book Antiqua"/>
          <w:b/>
          <w:sz w:val="24"/>
          <w:szCs w:val="24"/>
          <w:lang w:val="en-GB"/>
        </w:rPr>
      </w:pPr>
    </w:p>
    <w:p w:rsidR="004B62B9" w:rsidRPr="003619EE" w:rsidRDefault="004B62B9" w:rsidP="003619EE">
      <w:pPr>
        <w:spacing w:after="0" w:line="360" w:lineRule="auto"/>
        <w:jc w:val="both"/>
        <w:rPr>
          <w:rFonts w:ascii="Book Antiqua" w:hAnsi="Book Antiqua"/>
          <w:sz w:val="24"/>
          <w:szCs w:val="24"/>
        </w:rPr>
      </w:pPr>
      <w:r w:rsidRPr="003619EE">
        <w:rPr>
          <w:rFonts w:ascii="Book Antiqua" w:hAnsi="Book Antiqua"/>
          <w:sz w:val="24"/>
          <w:szCs w:val="24"/>
        </w:rPr>
        <w:t>Margot M Koeneman</w:t>
      </w:r>
      <w:r w:rsidRPr="003619EE">
        <w:rPr>
          <w:rFonts w:ascii="Book Antiqua" w:hAnsi="Book Antiqua"/>
          <w:sz w:val="24"/>
          <w:szCs w:val="24"/>
          <w:lang w:eastAsia="zh-CN"/>
        </w:rPr>
        <w:t>,</w:t>
      </w:r>
      <w:r w:rsidRPr="003619EE">
        <w:rPr>
          <w:rFonts w:ascii="Book Antiqua" w:hAnsi="Book Antiqua"/>
          <w:sz w:val="24"/>
          <w:szCs w:val="24"/>
        </w:rPr>
        <w:t xml:space="preserve"> Ger H Koek, Marc Bemelmans, Louis L Peeters </w:t>
      </w:r>
    </w:p>
    <w:p w:rsidR="004B62B9" w:rsidRPr="003619EE" w:rsidRDefault="004B62B9" w:rsidP="003619EE">
      <w:pPr>
        <w:spacing w:after="0" w:line="360" w:lineRule="auto"/>
        <w:jc w:val="both"/>
        <w:rPr>
          <w:rFonts w:ascii="Book Antiqua" w:hAnsi="Book Antiqua"/>
          <w:sz w:val="24"/>
          <w:szCs w:val="24"/>
        </w:rPr>
      </w:pP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b/>
          <w:sz w:val="24"/>
          <w:szCs w:val="24"/>
          <w:lang w:val="en-GB"/>
        </w:rPr>
        <w:t xml:space="preserve">Margot M Koeneman, Louis L Peeters, </w:t>
      </w:r>
      <w:r w:rsidRPr="003619EE">
        <w:rPr>
          <w:rFonts w:ascii="Book Antiqua" w:hAnsi="Book Antiqua"/>
          <w:sz w:val="24"/>
          <w:szCs w:val="24"/>
          <w:lang w:val="en-GB"/>
        </w:rPr>
        <w:t xml:space="preserve">Department of Obstetrics and Gynecology, Maastricht University Medical Center, 6202 AZ Maastricht, The Netherlands </w:t>
      </w:r>
    </w:p>
    <w:p w:rsidR="004B62B9" w:rsidRPr="003619EE" w:rsidRDefault="004B62B9" w:rsidP="003619EE">
      <w:pPr>
        <w:spacing w:after="0" w:line="360" w:lineRule="auto"/>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b/>
          <w:sz w:val="24"/>
          <w:szCs w:val="24"/>
          <w:lang w:val="en-GB"/>
        </w:rPr>
        <w:t>Ger H Koek</w:t>
      </w:r>
      <w:r w:rsidRPr="003619EE">
        <w:rPr>
          <w:rFonts w:ascii="Book Antiqua" w:hAnsi="Book Antiqua"/>
          <w:sz w:val="24"/>
          <w:szCs w:val="24"/>
          <w:lang w:val="en-GB" w:eastAsia="zh-CN"/>
        </w:rPr>
        <w:t>,</w:t>
      </w:r>
      <w:r w:rsidRPr="003619EE">
        <w:rPr>
          <w:rFonts w:ascii="Book Antiqua" w:hAnsi="Book Antiqua"/>
          <w:sz w:val="24"/>
          <w:szCs w:val="24"/>
          <w:lang w:val="en-GB"/>
        </w:rPr>
        <w:t xml:space="preserve"> Department of Internal Medicine, Division of Gastroenterology and Hepatology, Maastri</w:t>
      </w:r>
      <w:r>
        <w:rPr>
          <w:rFonts w:ascii="Book Antiqua" w:hAnsi="Book Antiqua"/>
          <w:sz w:val="24"/>
          <w:szCs w:val="24"/>
          <w:lang w:val="en-GB"/>
        </w:rPr>
        <w:t>cht University Medical Center,</w:t>
      </w:r>
      <w:r w:rsidRPr="003619EE">
        <w:rPr>
          <w:rFonts w:ascii="Book Antiqua" w:hAnsi="Book Antiqua"/>
          <w:sz w:val="24"/>
          <w:szCs w:val="24"/>
          <w:lang w:val="en-GB"/>
        </w:rPr>
        <w:t xml:space="preserve"> 6202 AZ Maastricht, The Netherlands </w:t>
      </w:r>
    </w:p>
    <w:p w:rsidR="004B62B9" w:rsidRPr="003619EE" w:rsidRDefault="004B62B9" w:rsidP="003619EE">
      <w:pPr>
        <w:spacing w:after="0" w:line="360" w:lineRule="auto"/>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b/>
          <w:sz w:val="24"/>
          <w:szCs w:val="24"/>
        </w:rPr>
        <w:t>Marc Bemelmans</w:t>
      </w:r>
      <w:r w:rsidRPr="003619EE">
        <w:rPr>
          <w:rFonts w:ascii="Book Antiqua" w:hAnsi="Book Antiqua"/>
          <w:sz w:val="24"/>
          <w:szCs w:val="24"/>
          <w:lang w:val="en-US"/>
        </w:rPr>
        <w:t xml:space="preserve">, Department of Surgery, </w:t>
      </w:r>
      <w:r w:rsidRPr="003619EE">
        <w:rPr>
          <w:rFonts w:ascii="Book Antiqua" w:hAnsi="Book Antiqua"/>
          <w:sz w:val="24"/>
          <w:szCs w:val="24"/>
          <w:lang w:val="en-GB"/>
        </w:rPr>
        <w:t xml:space="preserve">Maastricht University Medical Center, 6202 AZ Maastricht, The Netherlands </w:t>
      </w:r>
    </w:p>
    <w:p w:rsidR="004B62B9" w:rsidRPr="003619EE" w:rsidRDefault="004B62B9" w:rsidP="003619EE">
      <w:pPr>
        <w:spacing w:after="0" w:line="360" w:lineRule="auto"/>
        <w:jc w:val="both"/>
        <w:rPr>
          <w:rFonts w:ascii="Book Antiqua" w:hAnsi="Book Antiqua"/>
          <w:sz w:val="24"/>
          <w:szCs w:val="24"/>
          <w:lang w:val="en-US" w:eastAsia="zh-CN"/>
        </w:rPr>
      </w:pP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b/>
          <w:sz w:val="24"/>
          <w:szCs w:val="24"/>
          <w:lang w:val="en-GB"/>
        </w:rPr>
        <w:t>Author contributions</w:t>
      </w:r>
      <w:r w:rsidRPr="003619EE">
        <w:rPr>
          <w:rFonts w:ascii="Book Antiqua" w:hAnsi="Book Antiqua"/>
          <w:b/>
          <w:i/>
          <w:sz w:val="24"/>
          <w:szCs w:val="24"/>
          <w:lang w:val="en-GB"/>
        </w:rPr>
        <w:t>:</w:t>
      </w:r>
      <w:r w:rsidRPr="003619EE">
        <w:rPr>
          <w:rFonts w:ascii="Book Antiqua" w:hAnsi="Book Antiqua"/>
          <w:sz w:val="24"/>
          <w:szCs w:val="24"/>
          <w:lang w:val="en-GB"/>
        </w:rPr>
        <w:t xml:space="preserve"> </w:t>
      </w:r>
      <w:r w:rsidRPr="003619EE">
        <w:rPr>
          <w:rFonts w:ascii="Book Antiqua" w:hAnsi="Book Antiqua"/>
          <w:sz w:val="24"/>
          <w:szCs w:val="24"/>
        </w:rPr>
        <w:t>Koek</w:t>
      </w:r>
      <w:r w:rsidRPr="003619EE">
        <w:rPr>
          <w:rFonts w:ascii="Book Antiqua" w:hAnsi="Book Antiqua"/>
          <w:sz w:val="24"/>
          <w:szCs w:val="24"/>
          <w:lang w:val="en-GB"/>
        </w:rPr>
        <w:t xml:space="preserve"> G</w:t>
      </w:r>
      <w:r w:rsidRPr="003619EE">
        <w:rPr>
          <w:rFonts w:ascii="Book Antiqua" w:hAnsi="Book Antiqua"/>
          <w:sz w:val="24"/>
          <w:szCs w:val="24"/>
          <w:lang w:val="en-GB" w:eastAsia="zh-CN"/>
        </w:rPr>
        <w:t>H</w:t>
      </w:r>
      <w:r w:rsidRPr="003619EE">
        <w:rPr>
          <w:rFonts w:ascii="Book Antiqua" w:hAnsi="Book Antiqua"/>
          <w:sz w:val="24"/>
          <w:szCs w:val="24"/>
          <w:lang w:val="en-GB"/>
        </w:rPr>
        <w:t xml:space="preserve">, </w:t>
      </w:r>
      <w:r w:rsidRPr="003619EE">
        <w:rPr>
          <w:rFonts w:ascii="Book Antiqua" w:hAnsi="Book Antiqua"/>
          <w:sz w:val="24"/>
          <w:szCs w:val="24"/>
        </w:rPr>
        <w:t>Bemelmans</w:t>
      </w:r>
      <w:r w:rsidRPr="003619EE">
        <w:rPr>
          <w:rFonts w:ascii="Book Antiqua" w:hAnsi="Book Antiqua"/>
          <w:sz w:val="24"/>
          <w:szCs w:val="24"/>
          <w:lang w:val="en-GB"/>
        </w:rPr>
        <w:t xml:space="preserve"> M and </w:t>
      </w:r>
      <w:r w:rsidRPr="003619EE">
        <w:rPr>
          <w:rFonts w:ascii="Book Antiqua" w:hAnsi="Book Antiqua"/>
          <w:sz w:val="24"/>
          <w:szCs w:val="24"/>
        </w:rPr>
        <w:t xml:space="preserve">Peeters </w:t>
      </w:r>
      <w:r w:rsidRPr="003619EE">
        <w:rPr>
          <w:rFonts w:ascii="Book Antiqua" w:hAnsi="Book Antiqua"/>
          <w:sz w:val="24"/>
          <w:szCs w:val="24"/>
          <w:lang w:val="en-GB"/>
        </w:rPr>
        <w:t>L</w:t>
      </w:r>
      <w:r w:rsidRPr="003619EE">
        <w:rPr>
          <w:rFonts w:ascii="Book Antiqua" w:hAnsi="Book Antiqua"/>
          <w:sz w:val="24"/>
          <w:szCs w:val="24"/>
          <w:lang w:val="en-GB" w:eastAsia="zh-CN"/>
        </w:rPr>
        <w:t>L</w:t>
      </w:r>
      <w:r w:rsidRPr="003619EE">
        <w:rPr>
          <w:rFonts w:ascii="Book Antiqua" w:hAnsi="Book Antiqua"/>
          <w:sz w:val="24"/>
          <w:szCs w:val="24"/>
          <w:lang w:val="en-GB"/>
        </w:rPr>
        <w:t xml:space="preserve"> were the treating physicians. </w:t>
      </w:r>
      <w:r w:rsidRPr="003619EE">
        <w:rPr>
          <w:rFonts w:ascii="Book Antiqua" w:hAnsi="Book Antiqua"/>
          <w:sz w:val="24"/>
          <w:szCs w:val="24"/>
        </w:rPr>
        <w:t>Koeneman</w:t>
      </w:r>
      <w:r w:rsidRPr="003619EE">
        <w:rPr>
          <w:rFonts w:ascii="Book Antiqua" w:hAnsi="Book Antiqua"/>
          <w:sz w:val="24"/>
          <w:szCs w:val="24"/>
          <w:lang w:val="en-GB"/>
        </w:rPr>
        <w:t xml:space="preserve"> M</w:t>
      </w:r>
      <w:r w:rsidRPr="003619EE">
        <w:rPr>
          <w:rFonts w:ascii="Book Antiqua" w:hAnsi="Book Antiqua"/>
          <w:sz w:val="24"/>
          <w:szCs w:val="24"/>
          <w:lang w:val="en-GB" w:eastAsia="zh-CN"/>
        </w:rPr>
        <w:t>M</w:t>
      </w:r>
      <w:r w:rsidRPr="003619EE">
        <w:rPr>
          <w:rFonts w:ascii="Book Antiqua" w:hAnsi="Book Antiqua"/>
          <w:sz w:val="24"/>
          <w:szCs w:val="24"/>
          <w:lang w:val="en-GB"/>
        </w:rPr>
        <w:t xml:space="preserve"> drafted the manuscript</w:t>
      </w:r>
      <w:r w:rsidRPr="003619EE">
        <w:rPr>
          <w:rFonts w:ascii="Book Antiqua" w:hAnsi="Book Antiqua"/>
          <w:sz w:val="24"/>
          <w:szCs w:val="24"/>
          <w:lang w:val="en-GB" w:eastAsia="zh-CN"/>
        </w:rPr>
        <w:t xml:space="preserve">; </w:t>
      </w:r>
      <w:r w:rsidRPr="003619EE">
        <w:rPr>
          <w:rFonts w:ascii="Book Antiqua" w:hAnsi="Book Antiqua"/>
          <w:sz w:val="24"/>
          <w:szCs w:val="24"/>
        </w:rPr>
        <w:t>Koek</w:t>
      </w:r>
      <w:r w:rsidRPr="003619EE">
        <w:rPr>
          <w:rFonts w:ascii="Book Antiqua" w:hAnsi="Book Antiqua"/>
          <w:sz w:val="24"/>
          <w:szCs w:val="24"/>
          <w:lang w:val="en-GB"/>
        </w:rPr>
        <w:t xml:space="preserve"> G</w:t>
      </w:r>
      <w:r w:rsidRPr="003619EE">
        <w:rPr>
          <w:rFonts w:ascii="Book Antiqua" w:hAnsi="Book Antiqua"/>
          <w:sz w:val="24"/>
          <w:szCs w:val="24"/>
          <w:lang w:val="en-GB" w:eastAsia="zh-CN"/>
        </w:rPr>
        <w:t>H</w:t>
      </w:r>
      <w:r w:rsidRPr="003619EE">
        <w:rPr>
          <w:rFonts w:ascii="Book Antiqua" w:hAnsi="Book Antiqua"/>
          <w:sz w:val="24"/>
          <w:szCs w:val="24"/>
          <w:lang w:val="en-GB"/>
        </w:rPr>
        <w:t xml:space="preserve"> </w:t>
      </w:r>
      <w:r w:rsidRPr="003619EE">
        <w:rPr>
          <w:rFonts w:ascii="Book Antiqua" w:hAnsi="Book Antiqua"/>
          <w:sz w:val="24"/>
          <w:szCs w:val="24"/>
          <w:lang w:val="en-GB" w:eastAsia="zh-CN"/>
        </w:rPr>
        <w:t>and</w:t>
      </w:r>
      <w:r w:rsidRPr="003619EE">
        <w:rPr>
          <w:rFonts w:ascii="Book Antiqua" w:hAnsi="Book Antiqua"/>
          <w:sz w:val="24"/>
          <w:szCs w:val="24"/>
          <w:lang w:val="en-GB"/>
        </w:rPr>
        <w:t xml:space="preserve"> </w:t>
      </w:r>
      <w:r w:rsidRPr="003619EE">
        <w:rPr>
          <w:rFonts w:ascii="Book Antiqua" w:hAnsi="Book Antiqua"/>
          <w:sz w:val="24"/>
          <w:szCs w:val="24"/>
        </w:rPr>
        <w:t xml:space="preserve">Peeters </w:t>
      </w:r>
      <w:r w:rsidRPr="003619EE">
        <w:rPr>
          <w:rFonts w:ascii="Book Antiqua" w:hAnsi="Book Antiqua"/>
          <w:sz w:val="24"/>
          <w:szCs w:val="24"/>
          <w:lang w:val="en-GB"/>
        </w:rPr>
        <w:t>L</w:t>
      </w:r>
      <w:r w:rsidRPr="003619EE">
        <w:rPr>
          <w:rFonts w:ascii="Book Antiqua" w:hAnsi="Book Antiqua"/>
          <w:sz w:val="24"/>
          <w:szCs w:val="24"/>
          <w:lang w:val="en-GB" w:eastAsia="zh-CN"/>
        </w:rPr>
        <w:t>L</w:t>
      </w:r>
      <w:r w:rsidRPr="003619EE">
        <w:rPr>
          <w:rFonts w:ascii="Book Antiqua" w:hAnsi="Book Antiqua"/>
          <w:sz w:val="24"/>
          <w:szCs w:val="24"/>
          <w:lang w:val="en-GB"/>
        </w:rPr>
        <w:t xml:space="preserve"> reviewed the manuscript</w:t>
      </w:r>
      <w:r w:rsidRPr="003619EE">
        <w:rPr>
          <w:rFonts w:ascii="Book Antiqua" w:hAnsi="Book Antiqua"/>
          <w:sz w:val="24"/>
          <w:szCs w:val="24"/>
          <w:lang w:val="en-GB" w:eastAsia="zh-CN"/>
        </w:rPr>
        <w:t>;</w:t>
      </w:r>
      <w:r w:rsidRPr="003619EE">
        <w:rPr>
          <w:rFonts w:ascii="Book Antiqua" w:hAnsi="Book Antiqua"/>
          <w:sz w:val="24"/>
          <w:szCs w:val="24"/>
          <w:lang w:val="en-GB"/>
        </w:rPr>
        <w:t xml:space="preserve"> all authors performed data collection </w:t>
      </w:r>
      <w:r w:rsidRPr="003619EE">
        <w:rPr>
          <w:rFonts w:ascii="Book Antiqua" w:hAnsi="Book Antiqua"/>
          <w:sz w:val="24"/>
          <w:szCs w:val="24"/>
          <w:lang w:val="en-GB" w:eastAsia="zh-CN"/>
        </w:rPr>
        <w:t>and c</w:t>
      </w:r>
      <w:r w:rsidRPr="003619EE">
        <w:rPr>
          <w:rFonts w:ascii="Book Antiqua" w:hAnsi="Book Antiqua" w:cs="Tahoma"/>
          <w:color w:val="000000"/>
          <w:spacing w:val="-5"/>
          <w:sz w:val="24"/>
          <w:szCs w:val="24"/>
        </w:rPr>
        <w:t xml:space="preserve">ontributed to </w:t>
      </w:r>
      <w:r w:rsidRPr="003619EE">
        <w:rPr>
          <w:rFonts w:ascii="Book Antiqua" w:hAnsi="Book Antiqua"/>
          <w:sz w:val="24"/>
          <w:szCs w:val="24"/>
          <w:lang w:val="en-GB"/>
        </w:rPr>
        <w:t xml:space="preserve">approve of the final version of the manuscript. </w:t>
      </w:r>
    </w:p>
    <w:p w:rsidR="004B62B9" w:rsidRPr="003619EE" w:rsidRDefault="004B62B9" w:rsidP="003619EE">
      <w:pPr>
        <w:spacing w:after="0" w:line="360" w:lineRule="auto"/>
        <w:jc w:val="both"/>
        <w:rPr>
          <w:rFonts w:ascii="Book Antiqua" w:hAnsi="Book Antiqua"/>
          <w:b/>
          <w:sz w:val="24"/>
          <w:szCs w:val="24"/>
          <w:lang w:val="en-GB"/>
        </w:rPr>
      </w:pPr>
      <w:r w:rsidRPr="003619EE">
        <w:rPr>
          <w:rFonts w:ascii="Book Antiqua" w:hAnsi="Book Antiqua"/>
          <w:b/>
          <w:sz w:val="24"/>
          <w:szCs w:val="24"/>
          <w:lang w:val="en-GB"/>
        </w:rPr>
        <w:br w:type="page"/>
      </w:r>
      <w:r w:rsidRPr="003619EE">
        <w:rPr>
          <w:rFonts w:ascii="Book Antiqua" w:hAnsi="Book Antiqua"/>
          <w:b/>
          <w:sz w:val="24"/>
          <w:szCs w:val="24"/>
          <w:lang w:val="en-GB"/>
        </w:rPr>
        <w:lastRenderedPageBreak/>
        <w:t>Correspondence to: Margot M Koeneman</w:t>
      </w:r>
      <w:r w:rsidRPr="003619EE">
        <w:rPr>
          <w:rFonts w:ascii="Book Antiqua" w:hAnsi="Book Antiqua"/>
          <w:b/>
          <w:sz w:val="24"/>
          <w:szCs w:val="24"/>
          <w:lang w:val="en-GB" w:eastAsia="zh-CN"/>
        </w:rPr>
        <w:t xml:space="preserve">, MD, </w:t>
      </w:r>
      <w:r w:rsidRPr="003619EE">
        <w:rPr>
          <w:rFonts w:ascii="Book Antiqua" w:hAnsi="Book Antiqua"/>
          <w:sz w:val="24"/>
          <w:szCs w:val="24"/>
          <w:lang w:val="en-GB"/>
        </w:rPr>
        <w:t>Department of Obstetrics and Gynecology, Maastricht University Medical Center, Postbus 5800, 6202 AZ Maastricht, The Netherlands</w:t>
      </w:r>
      <w:r w:rsidRPr="003619EE">
        <w:rPr>
          <w:rFonts w:ascii="Book Antiqua" w:hAnsi="Book Antiqua"/>
          <w:sz w:val="24"/>
          <w:szCs w:val="24"/>
          <w:lang w:val="en-GB" w:eastAsia="zh-CN"/>
        </w:rPr>
        <w:t>.</w:t>
      </w:r>
      <w:r w:rsidRPr="003619EE">
        <w:rPr>
          <w:rFonts w:ascii="Book Antiqua" w:hAnsi="Book Antiqua"/>
          <w:sz w:val="24"/>
          <w:szCs w:val="24"/>
          <w:lang w:val="fr-FR"/>
        </w:rPr>
        <w:t xml:space="preserve"> m.koeneman@alumni.maastrichtuniversity.nl </w:t>
      </w:r>
    </w:p>
    <w:p w:rsidR="004B62B9" w:rsidRPr="003619EE" w:rsidRDefault="004B62B9" w:rsidP="003619EE">
      <w:pPr>
        <w:spacing w:after="0" w:line="360" w:lineRule="auto"/>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b/>
          <w:sz w:val="24"/>
          <w:szCs w:val="24"/>
        </w:rPr>
        <w:t>Telephone:</w:t>
      </w:r>
      <w:r w:rsidRPr="003619EE">
        <w:rPr>
          <w:rFonts w:ascii="Book Antiqua" w:hAnsi="Book Antiqua"/>
          <w:sz w:val="24"/>
          <w:szCs w:val="24"/>
        </w:rPr>
        <w:t xml:space="preserve"> </w:t>
      </w:r>
      <w:r w:rsidRPr="003619EE">
        <w:rPr>
          <w:rFonts w:ascii="Book Antiqua" w:hAnsi="Book Antiqua"/>
          <w:sz w:val="24"/>
          <w:szCs w:val="24"/>
          <w:lang w:val="en-GB"/>
        </w:rPr>
        <w:t>+31-6-26636694</w:t>
      </w:r>
      <w:r w:rsidRPr="003619EE">
        <w:rPr>
          <w:rFonts w:ascii="Book Antiqua" w:hAnsi="Book Antiqua"/>
          <w:b/>
          <w:sz w:val="24"/>
          <w:szCs w:val="24"/>
        </w:rPr>
        <w:t xml:space="preserve"> Fax: </w:t>
      </w:r>
      <w:r w:rsidRPr="003619EE">
        <w:rPr>
          <w:rFonts w:ascii="Book Antiqua" w:hAnsi="Book Antiqua"/>
          <w:sz w:val="24"/>
          <w:szCs w:val="24"/>
          <w:lang w:val="fr-FR" w:eastAsia="nl-NL"/>
        </w:rPr>
        <w:t>+31-43-3875006</w:t>
      </w:r>
    </w:p>
    <w:p w:rsidR="004B62B9" w:rsidRPr="003619EE" w:rsidRDefault="004B62B9" w:rsidP="003619EE">
      <w:pPr>
        <w:spacing w:after="0" w:line="360" w:lineRule="auto"/>
        <w:jc w:val="both"/>
        <w:rPr>
          <w:rFonts w:ascii="Book Antiqua" w:hAnsi="Book Antiqua"/>
          <w:sz w:val="24"/>
          <w:szCs w:val="24"/>
        </w:rPr>
      </w:pPr>
    </w:p>
    <w:p w:rsidR="004B62B9" w:rsidRPr="003619EE" w:rsidRDefault="004B62B9" w:rsidP="003619EE">
      <w:pPr>
        <w:spacing w:after="0" w:line="360" w:lineRule="auto"/>
        <w:jc w:val="both"/>
        <w:rPr>
          <w:rFonts w:ascii="Book Antiqua" w:hAnsi="Book Antiqua"/>
          <w:sz w:val="24"/>
          <w:szCs w:val="24"/>
          <w:lang w:eastAsia="zh-CN"/>
        </w:rPr>
      </w:pPr>
      <w:r w:rsidRPr="003619EE">
        <w:rPr>
          <w:rFonts w:ascii="Book Antiqua" w:hAnsi="Book Antiqua"/>
          <w:b/>
          <w:sz w:val="24"/>
          <w:szCs w:val="24"/>
        </w:rPr>
        <w:t xml:space="preserve">Received: </w:t>
      </w:r>
      <w:r w:rsidRPr="003619EE">
        <w:rPr>
          <w:rFonts w:ascii="Book Antiqua" w:hAnsi="Book Antiqua"/>
          <w:sz w:val="24"/>
          <w:szCs w:val="24"/>
          <w:lang w:eastAsia="zh-CN"/>
        </w:rPr>
        <w:t>August</w:t>
      </w:r>
      <w:r w:rsidRPr="003619EE">
        <w:rPr>
          <w:rFonts w:ascii="Book Antiqua" w:hAnsi="Book Antiqua"/>
          <w:b/>
          <w:sz w:val="24"/>
          <w:szCs w:val="24"/>
          <w:lang w:eastAsia="zh-CN"/>
        </w:rPr>
        <w:t xml:space="preserve"> </w:t>
      </w:r>
      <w:r w:rsidRPr="003619EE">
        <w:rPr>
          <w:rFonts w:ascii="Book Antiqua" w:hAnsi="Book Antiqua"/>
          <w:sz w:val="24"/>
          <w:szCs w:val="24"/>
          <w:lang w:eastAsia="zh-CN"/>
        </w:rPr>
        <w:t>13, 2013</w:t>
      </w:r>
      <w:r w:rsidRPr="003619EE">
        <w:rPr>
          <w:rFonts w:ascii="Book Antiqua" w:hAnsi="Book Antiqua"/>
          <w:b/>
          <w:sz w:val="24"/>
          <w:szCs w:val="24"/>
          <w:lang w:eastAsia="zh-CN"/>
        </w:rPr>
        <w:t xml:space="preserve"> </w:t>
      </w:r>
      <w:r w:rsidRPr="003619EE">
        <w:rPr>
          <w:rFonts w:ascii="Book Antiqua" w:hAnsi="Book Antiqua"/>
          <w:b/>
          <w:sz w:val="24"/>
          <w:szCs w:val="24"/>
        </w:rPr>
        <w:t xml:space="preserve">Revised: </w:t>
      </w:r>
      <w:r w:rsidRPr="003619EE">
        <w:rPr>
          <w:rFonts w:ascii="Book Antiqua" w:hAnsi="Book Antiqua"/>
          <w:sz w:val="24"/>
          <w:szCs w:val="24"/>
          <w:lang w:eastAsia="zh-CN"/>
        </w:rPr>
        <w:t>November 15, 2013</w:t>
      </w:r>
    </w:p>
    <w:p w:rsidR="00B95AFE" w:rsidRPr="008E1700" w:rsidRDefault="004B62B9" w:rsidP="00B95AFE">
      <w:pPr>
        <w:rPr>
          <w:rFonts w:ascii="Book Antiqua" w:hAnsi="Book Antiqua"/>
          <w:sz w:val="24"/>
          <w:szCs w:val="24"/>
        </w:rPr>
      </w:pPr>
      <w:r w:rsidRPr="003619EE">
        <w:rPr>
          <w:rFonts w:ascii="Book Antiqua" w:hAnsi="Book Antiqua"/>
          <w:b/>
          <w:sz w:val="24"/>
          <w:szCs w:val="24"/>
        </w:rPr>
        <w:t xml:space="preserve">Accepted: </w:t>
      </w:r>
      <w:r w:rsidR="00B95AFE" w:rsidRPr="008E1700">
        <w:rPr>
          <w:rFonts w:ascii="Book Antiqua" w:hAnsi="Book Antiqua"/>
          <w:sz w:val="24"/>
          <w:szCs w:val="24"/>
        </w:rPr>
        <w:t>January 6, 2014</w:t>
      </w:r>
    </w:p>
    <w:p w:rsidR="004B62B9" w:rsidRPr="003619EE" w:rsidRDefault="004B62B9" w:rsidP="003619EE">
      <w:pPr>
        <w:spacing w:after="0" w:line="360" w:lineRule="auto"/>
        <w:jc w:val="both"/>
        <w:rPr>
          <w:rFonts w:ascii="Book Antiqua" w:hAnsi="Book Antiqua"/>
          <w:b/>
          <w:sz w:val="24"/>
          <w:szCs w:val="24"/>
        </w:rPr>
      </w:pPr>
      <w:bookmarkStart w:id="0" w:name="_GoBack"/>
      <w:bookmarkEnd w:id="0"/>
    </w:p>
    <w:p w:rsidR="004B62B9" w:rsidRPr="003619EE" w:rsidRDefault="004B62B9" w:rsidP="003619EE">
      <w:pPr>
        <w:spacing w:after="0" w:line="360" w:lineRule="auto"/>
        <w:jc w:val="both"/>
        <w:rPr>
          <w:rFonts w:ascii="Book Antiqua" w:hAnsi="Book Antiqua"/>
          <w:b/>
          <w:sz w:val="24"/>
          <w:szCs w:val="24"/>
        </w:rPr>
      </w:pPr>
      <w:r w:rsidRPr="003619EE">
        <w:rPr>
          <w:rFonts w:ascii="Book Antiqua" w:hAnsi="Book Antiqua"/>
          <w:b/>
          <w:sz w:val="24"/>
          <w:szCs w:val="24"/>
        </w:rPr>
        <w:t xml:space="preserve">Published online: </w:t>
      </w:r>
    </w:p>
    <w:p w:rsidR="004B62B9" w:rsidRPr="003619EE" w:rsidRDefault="004B62B9" w:rsidP="003619EE">
      <w:pPr>
        <w:spacing w:after="0" w:line="360" w:lineRule="auto"/>
        <w:jc w:val="both"/>
        <w:rPr>
          <w:rFonts w:ascii="Book Antiqua" w:hAnsi="Book Antiqua"/>
          <w:sz w:val="24"/>
          <w:szCs w:val="24"/>
          <w:lang w:val="fr-FR"/>
        </w:rPr>
      </w:pP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b/>
          <w:sz w:val="24"/>
          <w:szCs w:val="24"/>
          <w:lang w:val="en-GB"/>
        </w:rPr>
        <w:t>Abstract</w:t>
      </w:r>
      <w:r w:rsidRPr="003619EE">
        <w:rPr>
          <w:rFonts w:ascii="Book Antiqua" w:hAnsi="Book Antiqua"/>
          <w:sz w:val="24"/>
          <w:szCs w:val="24"/>
          <w:lang w:val="en-GB"/>
        </w:rPr>
        <w:t xml:space="preserve"> </w:t>
      </w: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sz w:val="24"/>
          <w:szCs w:val="24"/>
          <w:lang w:val="en-GB"/>
        </w:rPr>
        <w:t>We present a case of symptomatic perihepatic adhesions, which developed after a pregnancy complicated by hemolysis, elevated liver en</w:t>
      </w:r>
      <w:r>
        <w:rPr>
          <w:rFonts w:ascii="Book Antiqua" w:hAnsi="Book Antiqua"/>
          <w:sz w:val="24"/>
          <w:szCs w:val="24"/>
          <w:lang w:val="en-GB"/>
        </w:rPr>
        <w:t>zymes and low platelet (</w:t>
      </w:r>
      <w:r w:rsidRPr="003619EE">
        <w:rPr>
          <w:rFonts w:ascii="Book Antiqua" w:hAnsi="Book Antiqua"/>
          <w:sz w:val="24"/>
          <w:szCs w:val="24"/>
          <w:lang w:val="en-GB"/>
        </w:rPr>
        <w:t>HELLP</w:t>
      </w:r>
      <w:r>
        <w:rPr>
          <w:rFonts w:ascii="Book Antiqua" w:hAnsi="Book Antiqua"/>
          <w:sz w:val="24"/>
          <w:szCs w:val="24"/>
          <w:lang w:val="en-GB"/>
        </w:rPr>
        <w:t xml:space="preserve">) syndrome </w:t>
      </w:r>
      <w:r w:rsidRPr="003619EE">
        <w:rPr>
          <w:rFonts w:ascii="Book Antiqua" w:hAnsi="Book Antiqua"/>
          <w:sz w:val="24"/>
          <w:szCs w:val="24"/>
          <w:lang w:val="en-GB"/>
        </w:rPr>
        <w:t>(in which a subcapsular liver hematoma occurred. Our patient presented with complaints of persistent, severe right -sided upper abdominal pain. The complaints developed gradually, one year after a pregnancy that had been complicated by HELLP syndrome with a subcapsular liver hematoma. The hematoma had resolved spontaneously. An upper-abdominal magnetic resonance imaging revealed a density between liver and diaphragm at the site of the former subcapsular hematoma, suspect of perihepatic adhesions. The presence of perihepatic adhesions was confirmed during a laparoscopy and treated by adhesiolysis in the same session. The adhesions may have developed in response to the degradation process of the subcapsular liver hematoma during conservative treatment. This case of perihepatic adhesions may therefor be the first presentation of a long term sequel of supcapsular liver hematoma in HELLP syndrome.</w:t>
      </w:r>
    </w:p>
    <w:p w:rsidR="004B62B9" w:rsidRPr="003619EE" w:rsidRDefault="004B62B9" w:rsidP="003619EE">
      <w:pPr>
        <w:spacing w:after="0" w:line="360" w:lineRule="auto"/>
        <w:jc w:val="both"/>
        <w:rPr>
          <w:rFonts w:ascii="Book Antiqua" w:hAnsi="Book Antiqua"/>
          <w:sz w:val="24"/>
          <w:szCs w:val="24"/>
          <w:lang w:eastAsia="zh-CN"/>
        </w:rPr>
      </w:pPr>
    </w:p>
    <w:p w:rsidR="004B62B9" w:rsidRPr="003619EE" w:rsidRDefault="004B62B9" w:rsidP="003619EE">
      <w:pPr>
        <w:spacing w:after="0" w:line="360" w:lineRule="auto"/>
        <w:jc w:val="both"/>
        <w:rPr>
          <w:rFonts w:ascii="Book Antiqua" w:hAnsi="Book Antiqua"/>
          <w:sz w:val="24"/>
          <w:szCs w:val="24"/>
        </w:rPr>
      </w:pPr>
      <w:r w:rsidRPr="003619EE">
        <w:rPr>
          <w:rFonts w:ascii="Book Antiqua" w:hAnsi="Book Antiqua"/>
          <w:sz w:val="24"/>
          <w:szCs w:val="24"/>
        </w:rPr>
        <w:sym w:font="Symbol" w:char="F0D3"/>
      </w:r>
      <w:r>
        <w:rPr>
          <w:rFonts w:ascii="Book Antiqua" w:hAnsi="Book Antiqua"/>
          <w:sz w:val="24"/>
          <w:szCs w:val="24"/>
        </w:rPr>
        <w:t>2014</w:t>
      </w:r>
      <w:r w:rsidRPr="003619EE">
        <w:rPr>
          <w:rFonts w:ascii="Book Antiqua" w:hAnsi="Book Antiqua"/>
          <w:sz w:val="24"/>
          <w:szCs w:val="24"/>
        </w:rPr>
        <w:t xml:space="preserve"> Baishideng Publishing Group Co., Limited. All rights reserved.</w:t>
      </w:r>
    </w:p>
    <w:p w:rsidR="004B62B9" w:rsidRPr="003619EE" w:rsidRDefault="004B62B9" w:rsidP="003619EE">
      <w:pPr>
        <w:spacing w:after="0" w:line="360" w:lineRule="auto"/>
        <w:jc w:val="both"/>
        <w:rPr>
          <w:rFonts w:ascii="Book Antiqua" w:hAnsi="Book Antiqua"/>
          <w:sz w:val="24"/>
          <w:szCs w:val="24"/>
          <w:lang w:val="en-GB"/>
        </w:rPr>
      </w:pP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b/>
          <w:sz w:val="24"/>
          <w:szCs w:val="24"/>
          <w:lang w:val="en-GB"/>
        </w:rPr>
        <w:t>Key words</w:t>
      </w:r>
      <w:r w:rsidRPr="003619EE">
        <w:rPr>
          <w:rFonts w:ascii="Book Antiqua" w:hAnsi="Book Antiqua"/>
          <w:sz w:val="24"/>
          <w:szCs w:val="24"/>
          <w:lang w:val="en-GB"/>
        </w:rPr>
        <w:t>: Hemolysis, elevated liver enzymes and low platelet syndrome; Liver; Haematoma; Long-term effects; Adhesions</w:t>
      </w:r>
      <w:r w:rsidRPr="003619EE">
        <w:rPr>
          <w:rFonts w:ascii="Book Antiqua" w:hAnsi="Book Antiqua"/>
          <w:sz w:val="24"/>
          <w:szCs w:val="24"/>
          <w:lang w:val="en-GB" w:eastAsia="zh-CN"/>
        </w:rPr>
        <w:t xml:space="preserve">; </w:t>
      </w:r>
      <w:r w:rsidRPr="003619EE">
        <w:rPr>
          <w:rFonts w:ascii="Book Antiqua" w:hAnsi="Book Antiqua"/>
          <w:sz w:val="24"/>
          <w:szCs w:val="24"/>
          <w:lang w:val="en-GB"/>
        </w:rPr>
        <w:t>Tissue</w:t>
      </w:r>
    </w:p>
    <w:p w:rsidR="004B62B9" w:rsidRPr="003619EE" w:rsidRDefault="004B62B9" w:rsidP="003619EE">
      <w:pPr>
        <w:spacing w:after="0" w:line="360" w:lineRule="auto"/>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b/>
          <w:sz w:val="24"/>
          <w:szCs w:val="24"/>
          <w:lang w:val="en-GB"/>
        </w:rPr>
        <w:t>Core tip</w:t>
      </w:r>
      <w:r w:rsidRPr="003619EE">
        <w:rPr>
          <w:rFonts w:ascii="Book Antiqua" w:hAnsi="Book Antiqua"/>
          <w:sz w:val="24"/>
          <w:szCs w:val="24"/>
          <w:lang w:val="en-GB"/>
        </w:rPr>
        <w:t>: This case of perihepatic adhesions may be the first presentation of a long term sequella of supcapsular liver hematoma in hemolysis, elevated liver enzymes and low platelet syndrome, which occured in pregnancy.</w:t>
      </w:r>
    </w:p>
    <w:p w:rsidR="004B62B9" w:rsidRPr="003619EE" w:rsidRDefault="004B62B9" w:rsidP="003619EE">
      <w:pPr>
        <w:spacing w:after="0" w:line="360" w:lineRule="auto"/>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sz w:val="24"/>
          <w:szCs w:val="24"/>
          <w:lang w:eastAsia="zh-CN"/>
        </w:rPr>
      </w:pPr>
      <w:r w:rsidRPr="003619EE">
        <w:rPr>
          <w:rFonts w:ascii="Book Antiqua" w:hAnsi="Book Antiqua"/>
          <w:sz w:val="24"/>
          <w:szCs w:val="24"/>
        </w:rPr>
        <w:t>Koeneman MM</w:t>
      </w:r>
      <w:r w:rsidRPr="003619EE">
        <w:rPr>
          <w:rFonts w:ascii="Book Antiqua" w:hAnsi="Book Antiqua"/>
          <w:sz w:val="24"/>
          <w:szCs w:val="24"/>
          <w:lang w:eastAsia="zh-CN"/>
        </w:rPr>
        <w:t>,</w:t>
      </w:r>
      <w:r w:rsidRPr="003619EE">
        <w:rPr>
          <w:rFonts w:ascii="Book Antiqua" w:hAnsi="Book Antiqua"/>
          <w:sz w:val="24"/>
          <w:szCs w:val="24"/>
        </w:rPr>
        <w:t xml:space="preserve"> Koek GH, Bemelmans M, Peeters LL</w:t>
      </w:r>
      <w:r w:rsidRPr="003619EE">
        <w:rPr>
          <w:rFonts w:ascii="Book Antiqua" w:hAnsi="Book Antiqua"/>
          <w:sz w:val="24"/>
          <w:szCs w:val="24"/>
          <w:lang w:eastAsia="zh-CN"/>
        </w:rPr>
        <w:t>. Perihepatic adhesions: an unusual complication of hemolysis, elevated liver enzymes and low platelet syndrome syndrome</w:t>
      </w:r>
      <w:r>
        <w:rPr>
          <w:rFonts w:ascii="Book Antiqua" w:hAnsi="Book Antiqua"/>
          <w:sz w:val="24"/>
          <w:szCs w:val="24"/>
          <w:lang w:eastAsia="zh-CN"/>
        </w:rPr>
        <w:t>.</w:t>
      </w:r>
    </w:p>
    <w:p w:rsidR="004B62B9" w:rsidRPr="003619EE" w:rsidRDefault="004B62B9" w:rsidP="003619EE">
      <w:pPr>
        <w:spacing w:after="0" w:line="360" w:lineRule="auto"/>
        <w:jc w:val="both"/>
        <w:rPr>
          <w:rFonts w:ascii="Book Antiqua" w:hAnsi="Book Antiqua"/>
          <w:sz w:val="24"/>
          <w:szCs w:val="24"/>
          <w:lang w:eastAsia="zh-CN"/>
        </w:rPr>
      </w:pPr>
    </w:p>
    <w:p w:rsidR="004B62B9" w:rsidRPr="003619EE" w:rsidRDefault="004B62B9" w:rsidP="003619EE">
      <w:pPr>
        <w:spacing w:after="0" w:line="360" w:lineRule="auto"/>
        <w:jc w:val="both"/>
        <w:rPr>
          <w:rFonts w:ascii="Book Antiqua" w:hAnsi="Book Antiqua"/>
          <w:iCs/>
          <w:sz w:val="24"/>
          <w:szCs w:val="24"/>
        </w:rPr>
      </w:pPr>
      <w:r w:rsidRPr="003619EE">
        <w:rPr>
          <w:rFonts w:ascii="Book Antiqua" w:hAnsi="Book Antiqua"/>
          <w:b/>
          <w:iCs/>
          <w:sz w:val="24"/>
          <w:szCs w:val="24"/>
        </w:rPr>
        <w:t xml:space="preserve">Available from: </w:t>
      </w:r>
    </w:p>
    <w:p w:rsidR="004B62B9" w:rsidRPr="003619EE" w:rsidRDefault="004B62B9" w:rsidP="003619EE">
      <w:pPr>
        <w:spacing w:after="0" w:line="360" w:lineRule="auto"/>
        <w:jc w:val="both"/>
        <w:rPr>
          <w:rFonts w:ascii="Book Antiqua" w:hAnsi="Book Antiqua"/>
          <w:sz w:val="24"/>
          <w:szCs w:val="24"/>
        </w:rPr>
      </w:pPr>
      <w:r w:rsidRPr="003619EE">
        <w:rPr>
          <w:rFonts w:ascii="Book Antiqua" w:hAnsi="Book Antiqua"/>
          <w:b/>
          <w:iCs/>
          <w:sz w:val="24"/>
          <w:szCs w:val="24"/>
        </w:rPr>
        <w:t xml:space="preserve">DOI: </w:t>
      </w:r>
    </w:p>
    <w:p w:rsidR="004B62B9" w:rsidRPr="003619EE" w:rsidRDefault="004B62B9" w:rsidP="003619EE">
      <w:pPr>
        <w:spacing w:after="0" w:line="360" w:lineRule="auto"/>
        <w:jc w:val="both"/>
        <w:rPr>
          <w:rFonts w:ascii="Book Antiqua" w:hAnsi="Book Antiqua"/>
          <w:b/>
          <w:i/>
          <w:sz w:val="24"/>
          <w:szCs w:val="24"/>
          <w:lang w:val="en-GB" w:eastAsia="zh-CN"/>
        </w:rPr>
      </w:pP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b/>
          <w:sz w:val="24"/>
          <w:szCs w:val="24"/>
          <w:lang w:val="en-GB"/>
        </w:rPr>
        <w:t>INTRODUCTION</w:t>
      </w: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sz w:val="24"/>
          <w:szCs w:val="24"/>
          <w:lang w:val="en-GB"/>
        </w:rPr>
        <w:t>Subcapsular liver hematoma is a rare but severe complication of the hemolysis, elevated liver enzymes and low platelet syndrome</w:t>
      </w:r>
      <w:r>
        <w:rPr>
          <w:rFonts w:ascii="Book Antiqua" w:hAnsi="Book Antiqua"/>
          <w:sz w:val="24"/>
          <w:szCs w:val="24"/>
          <w:lang w:val="en-GB"/>
        </w:rPr>
        <w:t xml:space="preserve"> </w:t>
      </w:r>
      <w:r w:rsidRPr="003619EE">
        <w:rPr>
          <w:rFonts w:ascii="Book Antiqua" w:hAnsi="Book Antiqua"/>
          <w:sz w:val="24"/>
          <w:szCs w:val="24"/>
          <w:lang w:val="en-GB"/>
        </w:rPr>
        <w:t>(HELLP) in pregnancy, with a reported incidence of 0.9% in a series of 442 pregnancies complicated by HELLP syndrome</w:t>
      </w:r>
      <w:r w:rsidRPr="003619EE">
        <w:rPr>
          <w:rFonts w:ascii="Book Antiqua" w:hAnsi="Book Antiqua"/>
          <w:sz w:val="24"/>
          <w:szCs w:val="24"/>
          <w:vertAlign w:val="superscript"/>
          <w:lang w:val="en-GB"/>
        </w:rPr>
        <w:t>[1]</w:t>
      </w:r>
      <w:r w:rsidRPr="003619EE">
        <w:rPr>
          <w:rFonts w:ascii="Book Antiqua" w:hAnsi="Book Antiqua"/>
          <w:sz w:val="24"/>
          <w:szCs w:val="24"/>
          <w:lang w:val="en-GB"/>
        </w:rPr>
        <w:t>. To the best of our knowledge, there are no reports on long-term sequels of subcapsular liver hematoma after HELLP syndrome</w:t>
      </w:r>
      <w:r w:rsidRPr="003619EE">
        <w:rPr>
          <w:rFonts w:ascii="Book Antiqua" w:hAnsi="Book Antiqua"/>
          <w:sz w:val="24"/>
          <w:szCs w:val="24"/>
          <w:vertAlign w:val="superscript"/>
          <w:lang w:val="en-GB"/>
        </w:rPr>
        <w:t>[2]</w:t>
      </w:r>
      <w:r w:rsidRPr="003619EE">
        <w:rPr>
          <w:rFonts w:ascii="Book Antiqua" w:hAnsi="Book Antiqua"/>
          <w:sz w:val="24"/>
          <w:szCs w:val="24"/>
          <w:lang w:val="en-GB"/>
        </w:rPr>
        <w:t xml:space="preserve">. </w:t>
      </w:r>
    </w:p>
    <w:p w:rsidR="004B62B9" w:rsidRPr="003619EE" w:rsidRDefault="004B62B9" w:rsidP="003619EE">
      <w:pPr>
        <w:spacing w:after="0" w:line="360" w:lineRule="auto"/>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b/>
          <w:sz w:val="24"/>
          <w:szCs w:val="24"/>
          <w:lang w:val="en-GB"/>
        </w:rPr>
      </w:pPr>
      <w:r w:rsidRPr="003619EE">
        <w:rPr>
          <w:rFonts w:ascii="Book Antiqua" w:hAnsi="Book Antiqua"/>
          <w:b/>
          <w:sz w:val="24"/>
          <w:szCs w:val="24"/>
          <w:lang w:val="en-GB"/>
        </w:rPr>
        <w:t>CASE REPORT</w:t>
      </w: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sz w:val="24"/>
          <w:szCs w:val="24"/>
          <w:lang w:val="en-GB"/>
        </w:rPr>
        <w:t xml:space="preserve">A 29-year-old primipara presented with complaints of persistent, severe right -sided upper abdominal pain during deep inspiration, physical exercise and on local pressure. These complaints had developed gradually after giving birth one year earlier. This pregnancy had been complicated by HELLP syndrome with a subcapsular liver hematoma sized 20 cm x 5 cm, which had resolved spontaneously. </w:t>
      </w:r>
    </w:p>
    <w:p w:rsidR="004B62B9" w:rsidRPr="003619EE" w:rsidRDefault="004B62B9" w:rsidP="003619EE">
      <w:pPr>
        <w:spacing w:after="0" w:line="360" w:lineRule="auto"/>
        <w:ind w:firstLineChars="200" w:firstLine="480"/>
        <w:jc w:val="both"/>
        <w:rPr>
          <w:rFonts w:ascii="Book Antiqua" w:hAnsi="Book Antiqua"/>
          <w:sz w:val="24"/>
          <w:szCs w:val="24"/>
          <w:lang w:val="en-GB" w:eastAsia="zh-CN"/>
        </w:rPr>
      </w:pPr>
      <w:r w:rsidRPr="003619EE">
        <w:rPr>
          <w:rFonts w:ascii="Book Antiqua" w:hAnsi="Book Antiqua"/>
          <w:sz w:val="24"/>
          <w:szCs w:val="24"/>
          <w:lang w:val="en-GB"/>
        </w:rPr>
        <w:t xml:space="preserve">At current presentation, liver function tests were normal. She assured having never experienced signs suggestive of sexually transmitted diseases or pelvic inflammatory disease (PID). She had never undergone intra-abdominal interventions. An upper-abdominal magnetic resonance imaging revealed a density between liver and diaphragm at the site of the former subcapsular hematoma, suspect of perihepatic adhesions (Figure 1). She was referred to the hepatobiliary </w:t>
      </w:r>
      <w:r w:rsidRPr="003619EE">
        <w:rPr>
          <w:rFonts w:ascii="Book Antiqua" w:hAnsi="Book Antiqua"/>
          <w:sz w:val="24"/>
          <w:szCs w:val="24"/>
          <w:lang w:val="en-GB"/>
        </w:rPr>
        <w:lastRenderedPageBreak/>
        <w:t xml:space="preserve">surgeon, who performed a laparoscopy and confirmed the presence of a thick adhesion between liver segment V/VIII and the diaphragm (Figure 2). Adhesiolysis was performed in the same session by monopolar diathermia and sharp dissection, followed by the instillation of 1.5 L Adept (4% icodextrin solution) into the peritoneal cavity to prevent the formation of new adhesions. On follow-up until three years post-surgery, she was free of symptoms. </w:t>
      </w: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sz w:val="24"/>
          <w:szCs w:val="24"/>
          <w:lang w:val="en-GB"/>
        </w:rPr>
        <w:t xml:space="preserve"> </w:t>
      </w: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b/>
          <w:sz w:val="24"/>
          <w:szCs w:val="24"/>
          <w:lang w:val="en-GB"/>
        </w:rPr>
        <w:t>DISCUSSION</w:t>
      </w: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sz w:val="24"/>
          <w:szCs w:val="24"/>
          <w:lang w:val="en-GB"/>
        </w:rPr>
        <w:t>Clinical symptoms and imaging in our patient suggested the presence of perihepatic adhesions subsequently confirmed by laparoscopy. Adhesion formation is believed to be promoted by the inflammatory response to mesothelial injury, resulting from subcapsular liver parenchymal necrosis as part of the HELLP syndrome in our patient. Blood and other necrotic material are well-known triggers of inflammation</w:t>
      </w:r>
      <w:r w:rsidRPr="003619EE">
        <w:rPr>
          <w:rFonts w:ascii="Book Antiqua" w:hAnsi="Book Antiqua"/>
          <w:sz w:val="24"/>
          <w:szCs w:val="24"/>
          <w:vertAlign w:val="superscript"/>
          <w:lang w:val="en-GB"/>
        </w:rPr>
        <w:t>[3]</w:t>
      </w:r>
      <w:r w:rsidRPr="003619EE">
        <w:rPr>
          <w:rFonts w:ascii="Book Antiqua" w:hAnsi="Book Antiqua"/>
          <w:sz w:val="24"/>
          <w:szCs w:val="24"/>
          <w:lang w:val="en-GB"/>
        </w:rPr>
        <w:t>. Therefore, the formation of perihepatic adhesions in our patient may have been triggered by the degradation process of the resolving subcapsular liver hematoma. The aspect of the adhesion found in our patient differed clearly from that found in Fitz-Hugh-Curtis syndrome, occurring as a complication of PID.</w:t>
      </w:r>
    </w:p>
    <w:p w:rsidR="004B62B9" w:rsidRPr="003619EE" w:rsidRDefault="004B62B9" w:rsidP="003619EE">
      <w:pPr>
        <w:spacing w:after="0" w:line="360" w:lineRule="auto"/>
        <w:ind w:firstLineChars="200" w:firstLine="480"/>
        <w:jc w:val="both"/>
        <w:rPr>
          <w:rFonts w:ascii="Book Antiqua" w:hAnsi="Book Antiqua"/>
          <w:sz w:val="24"/>
          <w:szCs w:val="24"/>
          <w:lang w:val="en-GB" w:eastAsia="zh-CN"/>
        </w:rPr>
      </w:pPr>
      <w:r w:rsidRPr="003619EE">
        <w:rPr>
          <w:rFonts w:ascii="Book Antiqua" w:hAnsi="Book Antiqua"/>
          <w:sz w:val="24"/>
          <w:szCs w:val="24"/>
          <w:lang w:val="en-GB"/>
        </w:rPr>
        <w:t xml:space="preserve">This case may well be the first report of a long-term hepatic sequel of a subcapsular liver hematoma complicating HELLP syndrome. Perihepatic adhesions must be suspected in patients with complaints of persistent right-sided upper abdominal pain after conservative treatment of a liver hematoma. Biochemical markers such as liver function tests are expected to be normal in these patients and are therefore not of diagnostic value, however imaging studies can be suggestive of the presence of perihepatic adhesions. Key in confirming the diagnosis of perihepatic adhesions seems to be laparoscopy, which also enables immediate adhesiolysis as an effective therapeutic modality. </w:t>
      </w:r>
    </w:p>
    <w:p w:rsidR="004B62B9" w:rsidRPr="003619EE" w:rsidRDefault="004B62B9" w:rsidP="003619EE">
      <w:pPr>
        <w:spacing w:after="0" w:line="360" w:lineRule="auto"/>
        <w:ind w:firstLineChars="200" w:firstLine="480"/>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b/>
          <w:sz w:val="24"/>
          <w:szCs w:val="24"/>
        </w:rPr>
      </w:pPr>
      <w:r w:rsidRPr="003619EE">
        <w:rPr>
          <w:rFonts w:ascii="Book Antiqua" w:hAnsi="Book Antiqua"/>
          <w:b/>
          <w:sz w:val="24"/>
          <w:szCs w:val="24"/>
        </w:rPr>
        <w:t>COMMENTS</w:t>
      </w:r>
    </w:p>
    <w:p w:rsidR="004B62B9" w:rsidRPr="003619EE" w:rsidRDefault="004B62B9" w:rsidP="003619EE">
      <w:pPr>
        <w:spacing w:after="0" w:line="360" w:lineRule="auto"/>
        <w:jc w:val="both"/>
        <w:rPr>
          <w:rFonts w:ascii="Book Antiqua" w:hAnsi="Book Antiqua"/>
          <w:i/>
          <w:sz w:val="24"/>
          <w:szCs w:val="24"/>
        </w:rPr>
      </w:pPr>
      <w:r w:rsidRPr="003619EE">
        <w:rPr>
          <w:rFonts w:ascii="Book Antiqua" w:hAnsi="Book Antiqua"/>
          <w:b/>
          <w:i/>
          <w:sz w:val="24"/>
          <w:szCs w:val="24"/>
        </w:rPr>
        <w:t>Case characteristics</w:t>
      </w: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sz w:val="24"/>
          <w:szCs w:val="24"/>
          <w:lang w:val="en-GB" w:eastAsia="zh-CN"/>
        </w:rPr>
        <w:t xml:space="preserve">The authors </w:t>
      </w:r>
      <w:r w:rsidRPr="003619EE">
        <w:rPr>
          <w:rFonts w:ascii="Book Antiqua" w:hAnsi="Book Antiqua"/>
          <w:sz w:val="24"/>
          <w:szCs w:val="24"/>
          <w:lang w:val="en-GB"/>
        </w:rPr>
        <w:t xml:space="preserve"> present a case of symptomatic perihepatic adhesions, which developed after a pregnancy complicated by HELLP syndrome (hemolysis, elevated liver </w:t>
      </w:r>
      <w:r w:rsidRPr="003619EE">
        <w:rPr>
          <w:rFonts w:ascii="Book Antiqua" w:hAnsi="Book Antiqua"/>
          <w:sz w:val="24"/>
          <w:szCs w:val="24"/>
          <w:lang w:val="en-GB"/>
        </w:rPr>
        <w:lastRenderedPageBreak/>
        <w:t>enzymes and low platelet syndrome) in which a subcapsular liver hematoma occurred.</w:t>
      </w:r>
    </w:p>
    <w:p w:rsidR="004B62B9" w:rsidRPr="003619EE" w:rsidRDefault="004B62B9" w:rsidP="003619EE">
      <w:pPr>
        <w:spacing w:after="0" w:line="360" w:lineRule="auto"/>
        <w:jc w:val="both"/>
        <w:rPr>
          <w:rFonts w:ascii="Book Antiqua" w:hAnsi="Book Antiqua"/>
          <w:sz w:val="24"/>
          <w:szCs w:val="24"/>
          <w:lang w:eastAsia="zh-CN"/>
        </w:rPr>
      </w:pPr>
    </w:p>
    <w:p w:rsidR="004B62B9" w:rsidRPr="003619EE" w:rsidRDefault="004B62B9" w:rsidP="003619EE">
      <w:pPr>
        <w:spacing w:after="0" w:line="360" w:lineRule="auto"/>
        <w:jc w:val="both"/>
        <w:rPr>
          <w:rFonts w:ascii="Book Antiqua" w:hAnsi="Book Antiqua" w:cs="宋体"/>
          <w:b/>
          <w:i/>
          <w:sz w:val="24"/>
          <w:szCs w:val="24"/>
        </w:rPr>
      </w:pPr>
      <w:r w:rsidRPr="003619EE">
        <w:rPr>
          <w:rFonts w:ascii="Book Antiqua" w:hAnsi="Book Antiqua"/>
          <w:b/>
          <w:i/>
          <w:sz w:val="24"/>
          <w:szCs w:val="24"/>
        </w:rPr>
        <w:t>Clinical diagnosis</w:t>
      </w: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sz w:val="24"/>
          <w:szCs w:val="24"/>
          <w:lang w:val="en-GB" w:eastAsia="zh-CN"/>
        </w:rPr>
        <w:t xml:space="preserve">The </w:t>
      </w:r>
      <w:r w:rsidRPr="003619EE">
        <w:rPr>
          <w:rFonts w:ascii="Book Antiqua" w:hAnsi="Book Antiqua"/>
          <w:sz w:val="24"/>
          <w:szCs w:val="24"/>
          <w:lang w:val="en-GB"/>
        </w:rPr>
        <w:t>patient presented with complaints of persistent, severe right -sided upper abdominal pain.</w:t>
      </w:r>
    </w:p>
    <w:p w:rsidR="004B62B9" w:rsidRPr="003619EE" w:rsidRDefault="004B62B9" w:rsidP="003619EE">
      <w:pPr>
        <w:spacing w:after="0" w:line="360" w:lineRule="auto"/>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b/>
          <w:i/>
          <w:sz w:val="24"/>
          <w:szCs w:val="24"/>
        </w:rPr>
      </w:pPr>
      <w:r w:rsidRPr="003619EE">
        <w:rPr>
          <w:rFonts w:ascii="Book Antiqua" w:hAnsi="Book Antiqua"/>
          <w:b/>
          <w:i/>
          <w:sz w:val="24"/>
          <w:szCs w:val="24"/>
        </w:rPr>
        <w:t>Differential diagnosis</w:t>
      </w:r>
    </w:p>
    <w:p w:rsidR="004B62B9" w:rsidRDefault="004B62B9" w:rsidP="003619EE">
      <w:pPr>
        <w:spacing w:after="0" w:line="360" w:lineRule="auto"/>
        <w:jc w:val="both"/>
        <w:rPr>
          <w:rFonts w:ascii="Book Antiqua" w:hAnsi="Book Antiqua"/>
          <w:sz w:val="24"/>
          <w:szCs w:val="24"/>
          <w:lang w:val="en-GB"/>
        </w:rPr>
      </w:pPr>
      <w:r w:rsidRPr="003619EE">
        <w:rPr>
          <w:rFonts w:ascii="Book Antiqua" w:hAnsi="Book Antiqua"/>
          <w:sz w:val="24"/>
          <w:szCs w:val="24"/>
          <w:lang w:val="en-GB"/>
        </w:rPr>
        <w:t xml:space="preserve">The complaints developed gradually, one year after a pregnancy that had been complicated by HELLP syndrome with a subcapsular liver hematoma. </w:t>
      </w:r>
    </w:p>
    <w:p w:rsidR="004B62B9" w:rsidRPr="003619EE" w:rsidRDefault="004B62B9" w:rsidP="003619EE">
      <w:pPr>
        <w:spacing w:after="0" w:line="360" w:lineRule="auto"/>
        <w:jc w:val="both"/>
        <w:rPr>
          <w:rFonts w:ascii="Book Antiqua" w:hAnsi="Book Antiqua"/>
          <w:sz w:val="24"/>
          <w:szCs w:val="24"/>
        </w:rPr>
      </w:pPr>
    </w:p>
    <w:p w:rsidR="004B62B9" w:rsidRPr="003619EE" w:rsidRDefault="004B62B9" w:rsidP="003619EE">
      <w:pPr>
        <w:spacing w:after="0" w:line="360" w:lineRule="auto"/>
        <w:jc w:val="both"/>
        <w:rPr>
          <w:rFonts w:ascii="Book Antiqua" w:hAnsi="Book Antiqua"/>
          <w:b/>
          <w:i/>
          <w:sz w:val="24"/>
          <w:szCs w:val="24"/>
        </w:rPr>
      </w:pPr>
      <w:r w:rsidRPr="003619EE">
        <w:rPr>
          <w:rFonts w:ascii="Book Antiqua" w:hAnsi="Book Antiqua"/>
          <w:b/>
          <w:i/>
          <w:sz w:val="24"/>
          <w:szCs w:val="24"/>
        </w:rPr>
        <w:t xml:space="preserve"> Imaging diagnosis</w:t>
      </w:r>
    </w:p>
    <w:p w:rsidR="004B62B9" w:rsidRPr="003619EE" w:rsidRDefault="004B62B9" w:rsidP="003619EE">
      <w:pPr>
        <w:spacing w:after="0" w:line="360" w:lineRule="auto"/>
        <w:jc w:val="both"/>
        <w:rPr>
          <w:rFonts w:ascii="Book Antiqua" w:hAnsi="Book Antiqua"/>
          <w:b/>
          <w:sz w:val="24"/>
          <w:szCs w:val="24"/>
          <w:lang w:eastAsia="zh-CN"/>
        </w:rPr>
      </w:pPr>
      <w:r w:rsidRPr="003619EE">
        <w:rPr>
          <w:rFonts w:ascii="Book Antiqua" w:hAnsi="Book Antiqua"/>
          <w:sz w:val="24"/>
          <w:szCs w:val="24"/>
          <w:lang w:val="en-GB"/>
        </w:rPr>
        <w:t>An upper-abdominal magnetic resonance imaging revealed a density between liver and diaphragm at the site of the former subcapsular hematoma, suspect of perihepatic adhesions</w:t>
      </w:r>
    </w:p>
    <w:p w:rsidR="004B62B9" w:rsidRPr="003619EE" w:rsidRDefault="004B62B9" w:rsidP="003619EE">
      <w:pPr>
        <w:spacing w:after="0" w:line="360" w:lineRule="auto"/>
        <w:jc w:val="both"/>
        <w:rPr>
          <w:rFonts w:ascii="Book Antiqua" w:hAnsi="Book Antiqua"/>
          <w:b/>
          <w:sz w:val="24"/>
          <w:szCs w:val="24"/>
          <w:lang w:eastAsia="zh-CN"/>
        </w:rPr>
      </w:pPr>
    </w:p>
    <w:p w:rsidR="004B62B9" w:rsidRPr="003619EE" w:rsidRDefault="004B62B9" w:rsidP="003619EE">
      <w:pPr>
        <w:spacing w:after="0" w:line="360" w:lineRule="auto"/>
        <w:jc w:val="both"/>
        <w:rPr>
          <w:rFonts w:ascii="Book Antiqua" w:hAnsi="Book Antiqua"/>
          <w:b/>
          <w:i/>
          <w:sz w:val="24"/>
          <w:szCs w:val="24"/>
        </w:rPr>
      </w:pPr>
      <w:r w:rsidRPr="003619EE">
        <w:rPr>
          <w:rFonts w:ascii="Book Antiqua" w:hAnsi="Book Antiqua"/>
          <w:b/>
          <w:i/>
          <w:sz w:val="24"/>
          <w:szCs w:val="24"/>
        </w:rPr>
        <w:t>Treatment</w:t>
      </w:r>
    </w:p>
    <w:p w:rsidR="004B62B9"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sz w:val="24"/>
          <w:szCs w:val="24"/>
          <w:lang w:val="en-GB"/>
        </w:rPr>
        <w:t>Adhesiolysis was performed in the same session by monopolar diathermia and sharp dissection, followed by the instillation of 1.5 L Adept (4% icodextrin solution) into the peritoneal cavity to prevent the formation of new adhesions.</w:t>
      </w:r>
    </w:p>
    <w:p w:rsidR="004B62B9" w:rsidRPr="003619EE" w:rsidRDefault="004B62B9" w:rsidP="003619EE">
      <w:pPr>
        <w:spacing w:after="0" w:line="360" w:lineRule="auto"/>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b/>
          <w:sz w:val="24"/>
          <w:szCs w:val="24"/>
        </w:rPr>
      </w:pPr>
      <w:r w:rsidRPr="003619EE">
        <w:rPr>
          <w:rFonts w:ascii="Book Antiqua" w:hAnsi="Book Antiqua"/>
          <w:b/>
          <w:i/>
          <w:sz w:val="24"/>
          <w:szCs w:val="24"/>
        </w:rPr>
        <w:t>Experiences and lessons</w:t>
      </w: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sz w:val="24"/>
          <w:szCs w:val="24"/>
          <w:lang w:val="en-GB"/>
        </w:rPr>
        <w:t xml:space="preserve">Key in confirming the diagnosis of perihepatic adhesions seems to be laparoscopy, which also enables immediate adhesiolysis as an effective therapeutic modality. </w:t>
      </w:r>
    </w:p>
    <w:p w:rsidR="004B62B9" w:rsidRPr="003619EE" w:rsidRDefault="004B62B9" w:rsidP="003619EE">
      <w:pPr>
        <w:spacing w:after="0" w:line="360" w:lineRule="auto"/>
        <w:jc w:val="both"/>
        <w:rPr>
          <w:rFonts w:ascii="Book Antiqua" w:hAnsi="Book Antiqua"/>
          <w:sz w:val="24"/>
          <w:szCs w:val="24"/>
          <w:lang w:val="en-GB" w:eastAsia="zh-CN"/>
        </w:rPr>
      </w:pPr>
    </w:p>
    <w:p w:rsidR="004B62B9" w:rsidRPr="003619EE" w:rsidRDefault="004B62B9" w:rsidP="003619EE">
      <w:pPr>
        <w:spacing w:after="0" w:line="360" w:lineRule="auto"/>
        <w:jc w:val="both"/>
        <w:rPr>
          <w:rFonts w:ascii="Book Antiqua" w:hAnsi="Book Antiqua"/>
          <w:b/>
          <w:i/>
          <w:sz w:val="24"/>
          <w:szCs w:val="24"/>
        </w:rPr>
      </w:pPr>
      <w:r w:rsidRPr="003619EE">
        <w:rPr>
          <w:rFonts w:ascii="Book Antiqua" w:hAnsi="Book Antiqua"/>
          <w:b/>
          <w:i/>
          <w:sz w:val="24"/>
          <w:szCs w:val="24"/>
        </w:rPr>
        <w:t>Peer review</w:t>
      </w:r>
    </w:p>
    <w:p w:rsidR="004B62B9" w:rsidRDefault="004B62B9" w:rsidP="003619EE">
      <w:pPr>
        <w:spacing w:after="0" w:line="360" w:lineRule="auto"/>
        <w:jc w:val="both"/>
        <w:rPr>
          <w:rFonts w:ascii="Book Antiqua" w:hAnsi="Book Antiqua"/>
          <w:sz w:val="24"/>
          <w:szCs w:val="24"/>
          <w:lang w:eastAsia="zh-CN"/>
        </w:rPr>
      </w:pPr>
      <w:r w:rsidRPr="003619EE">
        <w:rPr>
          <w:rFonts w:ascii="Book Antiqua" w:hAnsi="Book Antiqua"/>
          <w:sz w:val="24"/>
          <w:szCs w:val="24"/>
          <w:lang w:eastAsia="zh-CN"/>
        </w:rPr>
        <w:t xml:space="preserve">The authors </w:t>
      </w:r>
      <w:r w:rsidRPr="003619EE">
        <w:rPr>
          <w:rFonts w:ascii="Book Antiqua" w:hAnsi="Book Antiqua"/>
          <w:sz w:val="24"/>
          <w:szCs w:val="24"/>
        </w:rPr>
        <w:t>describes for the first time a long-term hepatic sequel of a subcapsular liver hematoma complicating HELLP syndrome.</w:t>
      </w:r>
      <w:r w:rsidRPr="003619EE">
        <w:rPr>
          <w:rFonts w:ascii="Book Antiqua" w:hAnsi="Book Antiqua"/>
          <w:sz w:val="24"/>
          <w:szCs w:val="24"/>
          <w:lang w:eastAsia="zh-CN"/>
        </w:rPr>
        <w:t xml:space="preserve"> It is suitable for publication as a case report observation.</w:t>
      </w:r>
    </w:p>
    <w:p w:rsidR="004B62B9" w:rsidRPr="003619EE" w:rsidRDefault="004B62B9" w:rsidP="003619EE">
      <w:pPr>
        <w:spacing w:after="0" w:line="360" w:lineRule="auto"/>
        <w:jc w:val="both"/>
        <w:rPr>
          <w:rFonts w:ascii="Book Antiqua" w:hAnsi="Book Antiqua"/>
          <w:sz w:val="24"/>
          <w:szCs w:val="24"/>
          <w:lang w:eastAsia="zh-CN"/>
        </w:rPr>
      </w:pPr>
    </w:p>
    <w:p w:rsidR="004B62B9" w:rsidRPr="003619EE" w:rsidRDefault="004B62B9" w:rsidP="003619EE">
      <w:pPr>
        <w:spacing w:after="0" w:line="360" w:lineRule="auto"/>
        <w:jc w:val="both"/>
        <w:rPr>
          <w:rFonts w:ascii="Book Antiqua" w:hAnsi="Book Antiqua"/>
          <w:sz w:val="24"/>
          <w:szCs w:val="24"/>
          <w:lang w:val="en-GB" w:eastAsia="zh-CN"/>
        </w:rPr>
      </w:pPr>
      <w:r w:rsidRPr="003619EE">
        <w:rPr>
          <w:rFonts w:ascii="Book Antiqua" w:hAnsi="Book Antiqua"/>
          <w:b/>
          <w:sz w:val="24"/>
          <w:szCs w:val="24"/>
          <w:lang w:val="en-GB"/>
        </w:rPr>
        <w:t>REFERENCES</w:t>
      </w:r>
      <w:r w:rsidRPr="003619EE">
        <w:rPr>
          <w:rFonts w:ascii="Book Antiqua" w:hAnsi="Book Antiqua"/>
          <w:sz w:val="24"/>
          <w:szCs w:val="24"/>
          <w:lang w:val="en-GB"/>
        </w:rPr>
        <w:t xml:space="preserve"> </w:t>
      </w:r>
    </w:p>
    <w:p w:rsidR="004B62B9" w:rsidRPr="003619EE" w:rsidRDefault="004B62B9" w:rsidP="003619EE">
      <w:pPr>
        <w:spacing w:after="0" w:line="360" w:lineRule="auto"/>
        <w:jc w:val="both"/>
        <w:rPr>
          <w:rFonts w:ascii="Book Antiqua" w:hAnsi="Book Antiqua" w:cs="宋体"/>
          <w:sz w:val="24"/>
          <w:szCs w:val="24"/>
          <w:lang w:val="en-US" w:eastAsia="zh-CN"/>
        </w:rPr>
      </w:pPr>
      <w:r w:rsidRPr="003619EE">
        <w:rPr>
          <w:rFonts w:ascii="Book Antiqua" w:hAnsi="Book Antiqua" w:cs="宋体"/>
          <w:sz w:val="24"/>
          <w:szCs w:val="24"/>
          <w:lang w:val="en-US" w:eastAsia="zh-CN"/>
        </w:rPr>
        <w:lastRenderedPageBreak/>
        <w:t xml:space="preserve">1 </w:t>
      </w:r>
      <w:r w:rsidRPr="003619EE">
        <w:rPr>
          <w:rFonts w:ascii="Book Antiqua" w:hAnsi="Book Antiqua" w:cs="宋体"/>
          <w:b/>
          <w:bCs/>
          <w:sz w:val="24"/>
          <w:szCs w:val="24"/>
          <w:lang w:val="en-US" w:eastAsia="zh-CN"/>
        </w:rPr>
        <w:t>Sibai BM</w:t>
      </w:r>
      <w:r w:rsidRPr="003619EE">
        <w:rPr>
          <w:rFonts w:ascii="Book Antiqua" w:hAnsi="Book Antiqua" w:cs="宋体"/>
          <w:sz w:val="24"/>
          <w:szCs w:val="24"/>
          <w:lang w:val="en-US" w:eastAsia="zh-CN"/>
        </w:rPr>
        <w:t xml:space="preserve">, Ramadan MK, Usta I, Salama M, Mercer BM, Friedman SA. Maternal morbidity and mortality in 442 pregnancies with hemolysis, elevated liver enzymes, and low platelets (HELLP syndrome) </w:t>
      </w:r>
      <w:r w:rsidRPr="003619EE">
        <w:rPr>
          <w:rFonts w:ascii="Book Antiqua" w:hAnsi="Book Antiqua" w:cs="宋体"/>
          <w:i/>
          <w:iCs/>
          <w:sz w:val="24"/>
          <w:szCs w:val="24"/>
          <w:lang w:val="en-US" w:eastAsia="zh-CN"/>
        </w:rPr>
        <w:t>Am J Obstet Gynecol</w:t>
      </w:r>
      <w:r w:rsidRPr="003619EE">
        <w:rPr>
          <w:rFonts w:ascii="Book Antiqua" w:hAnsi="Book Antiqua" w:cs="宋体"/>
          <w:sz w:val="24"/>
          <w:szCs w:val="24"/>
          <w:lang w:val="en-US" w:eastAsia="zh-CN"/>
        </w:rPr>
        <w:t xml:space="preserve"> 1993; </w:t>
      </w:r>
      <w:r w:rsidRPr="003619EE">
        <w:rPr>
          <w:rFonts w:ascii="Book Antiqua" w:hAnsi="Book Antiqua" w:cs="宋体"/>
          <w:b/>
          <w:bCs/>
          <w:sz w:val="24"/>
          <w:szCs w:val="24"/>
          <w:lang w:val="en-US" w:eastAsia="zh-CN"/>
        </w:rPr>
        <w:t>169</w:t>
      </w:r>
      <w:r w:rsidRPr="003619EE">
        <w:rPr>
          <w:rFonts w:ascii="Book Antiqua" w:hAnsi="Book Antiqua" w:cs="宋体"/>
          <w:sz w:val="24"/>
          <w:szCs w:val="24"/>
          <w:lang w:val="en-US" w:eastAsia="zh-CN"/>
        </w:rPr>
        <w:t>: 1000-1006 [PMID: 8238109 DOI: 10.1016/0002-9378(93)90043-I]</w:t>
      </w:r>
    </w:p>
    <w:p w:rsidR="004B62B9" w:rsidRPr="003619EE" w:rsidRDefault="004B62B9" w:rsidP="003619EE">
      <w:pPr>
        <w:spacing w:after="0" w:line="360" w:lineRule="auto"/>
        <w:jc w:val="both"/>
        <w:rPr>
          <w:rFonts w:ascii="Book Antiqua" w:hAnsi="Book Antiqua" w:cs="宋体"/>
          <w:sz w:val="24"/>
          <w:szCs w:val="24"/>
          <w:lang w:val="en-US" w:eastAsia="zh-CN"/>
        </w:rPr>
      </w:pPr>
      <w:r w:rsidRPr="003619EE">
        <w:rPr>
          <w:rFonts w:ascii="Book Antiqua" w:hAnsi="Book Antiqua" w:cs="宋体"/>
          <w:sz w:val="24"/>
          <w:szCs w:val="24"/>
          <w:lang w:val="en-US" w:eastAsia="zh-CN"/>
        </w:rPr>
        <w:t xml:space="preserve">2 </w:t>
      </w:r>
      <w:r w:rsidRPr="003619EE">
        <w:rPr>
          <w:rFonts w:ascii="Book Antiqua" w:hAnsi="Book Antiqua" w:cs="宋体"/>
          <w:b/>
          <w:bCs/>
          <w:sz w:val="24"/>
          <w:szCs w:val="24"/>
          <w:lang w:val="en-US" w:eastAsia="zh-CN"/>
        </w:rPr>
        <w:t>van Pampus MG</w:t>
      </w:r>
      <w:r w:rsidRPr="003619EE">
        <w:rPr>
          <w:rFonts w:ascii="Book Antiqua" w:hAnsi="Book Antiqua" w:cs="宋体"/>
          <w:sz w:val="24"/>
          <w:szCs w:val="24"/>
          <w:lang w:val="en-US" w:eastAsia="zh-CN"/>
        </w:rPr>
        <w:t xml:space="preserve">, Aarnoudse JG. Long-term outcomes after preeclampsia. </w:t>
      </w:r>
      <w:r w:rsidRPr="003619EE">
        <w:rPr>
          <w:rFonts w:ascii="Book Antiqua" w:hAnsi="Book Antiqua" w:cs="宋体"/>
          <w:i/>
          <w:iCs/>
          <w:sz w:val="24"/>
          <w:szCs w:val="24"/>
          <w:lang w:val="en-US" w:eastAsia="zh-CN"/>
        </w:rPr>
        <w:t>Clin Obstet Gynecol</w:t>
      </w:r>
      <w:r w:rsidRPr="003619EE">
        <w:rPr>
          <w:rFonts w:ascii="Book Antiqua" w:hAnsi="Book Antiqua" w:cs="宋体"/>
          <w:sz w:val="24"/>
          <w:szCs w:val="24"/>
          <w:lang w:val="en-US" w:eastAsia="zh-CN"/>
        </w:rPr>
        <w:t xml:space="preserve"> 2005; </w:t>
      </w:r>
      <w:r w:rsidRPr="003619EE">
        <w:rPr>
          <w:rFonts w:ascii="Book Antiqua" w:hAnsi="Book Antiqua" w:cs="宋体"/>
          <w:b/>
          <w:bCs/>
          <w:sz w:val="24"/>
          <w:szCs w:val="24"/>
          <w:lang w:val="en-US" w:eastAsia="zh-CN"/>
        </w:rPr>
        <w:t>48</w:t>
      </w:r>
      <w:r w:rsidRPr="003619EE">
        <w:rPr>
          <w:rFonts w:ascii="Book Antiqua" w:hAnsi="Book Antiqua" w:cs="宋体"/>
          <w:sz w:val="24"/>
          <w:szCs w:val="24"/>
          <w:lang w:val="en-US" w:eastAsia="zh-CN"/>
        </w:rPr>
        <w:t>: 489-494 [PMID: 15805804 DOI: 10.1097/01.grf.0000160316.67359.3d]</w:t>
      </w:r>
    </w:p>
    <w:p w:rsidR="004B62B9" w:rsidRPr="003619EE" w:rsidRDefault="004B62B9" w:rsidP="003619EE">
      <w:pPr>
        <w:spacing w:after="0" w:line="360" w:lineRule="auto"/>
        <w:jc w:val="both"/>
        <w:rPr>
          <w:rFonts w:ascii="Book Antiqua" w:hAnsi="Book Antiqua" w:cs="宋体"/>
          <w:sz w:val="24"/>
          <w:szCs w:val="24"/>
          <w:lang w:val="en-US" w:eastAsia="zh-CN"/>
        </w:rPr>
      </w:pPr>
      <w:r w:rsidRPr="003619EE">
        <w:rPr>
          <w:rFonts w:ascii="Book Antiqua" w:hAnsi="Book Antiqua" w:cs="宋体"/>
          <w:sz w:val="24"/>
          <w:szCs w:val="24"/>
          <w:lang w:val="en-US" w:eastAsia="zh-CN"/>
        </w:rPr>
        <w:t xml:space="preserve">3 </w:t>
      </w:r>
      <w:r w:rsidRPr="003619EE">
        <w:rPr>
          <w:rFonts w:ascii="Book Antiqua" w:hAnsi="Book Antiqua" w:cs="宋体"/>
          <w:b/>
          <w:bCs/>
          <w:sz w:val="24"/>
          <w:szCs w:val="24"/>
          <w:lang w:val="en-US" w:eastAsia="zh-CN"/>
        </w:rPr>
        <w:t>Lauder CI</w:t>
      </w:r>
      <w:r w:rsidRPr="003619EE">
        <w:rPr>
          <w:rFonts w:ascii="Book Antiqua" w:hAnsi="Book Antiqua" w:cs="宋体"/>
          <w:sz w:val="24"/>
          <w:szCs w:val="24"/>
          <w:lang w:val="en-US" w:eastAsia="zh-CN"/>
        </w:rPr>
        <w:t xml:space="preserve">, Garcea G, Strickland A, Maddern GJ. Abdominal adhesion prevention: still a sticky subject? </w:t>
      </w:r>
      <w:r w:rsidRPr="003619EE">
        <w:rPr>
          <w:rFonts w:ascii="Book Antiqua" w:hAnsi="Book Antiqua" w:cs="宋体"/>
          <w:i/>
          <w:iCs/>
          <w:sz w:val="24"/>
          <w:szCs w:val="24"/>
          <w:lang w:val="en-US" w:eastAsia="zh-CN"/>
        </w:rPr>
        <w:t>Dig Surg</w:t>
      </w:r>
      <w:r w:rsidRPr="003619EE">
        <w:rPr>
          <w:rFonts w:ascii="Book Antiqua" w:hAnsi="Book Antiqua" w:cs="宋体"/>
          <w:sz w:val="24"/>
          <w:szCs w:val="24"/>
          <w:lang w:val="en-US" w:eastAsia="zh-CN"/>
        </w:rPr>
        <w:t xml:space="preserve"> 2010; </w:t>
      </w:r>
      <w:r w:rsidRPr="003619EE">
        <w:rPr>
          <w:rFonts w:ascii="Book Antiqua" w:hAnsi="Book Antiqua" w:cs="宋体"/>
          <w:b/>
          <w:bCs/>
          <w:sz w:val="24"/>
          <w:szCs w:val="24"/>
          <w:lang w:val="en-US" w:eastAsia="zh-CN"/>
        </w:rPr>
        <w:t>27</w:t>
      </w:r>
      <w:r w:rsidRPr="003619EE">
        <w:rPr>
          <w:rFonts w:ascii="Book Antiqua" w:hAnsi="Book Antiqua" w:cs="宋体"/>
          <w:sz w:val="24"/>
          <w:szCs w:val="24"/>
          <w:lang w:val="en-US" w:eastAsia="zh-CN"/>
        </w:rPr>
        <w:t>: 347-358 [PMID: 20847564 DOI: 10.1159/000314805]</w:t>
      </w:r>
    </w:p>
    <w:p w:rsidR="004B62B9" w:rsidRPr="003619EE" w:rsidRDefault="004B62B9" w:rsidP="003619EE">
      <w:pPr>
        <w:spacing w:after="0" w:line="360" w:lineRule="auto"/>
        <w:jc w:val="right"/>
        <w:rPr>
          <w:rFonts w:ascii="Book Antiqua" w:hAnsi="Book Antiqua" w:cs="宋体"/>
          <w:sz w:val="24"/>
          <w:szCs w:val="24"/>
        </w:rPr>
      </w:pPr>
      <w:bookmarkStart w:id="1" w:name="OLE_LINK32"/>
      <w:bookmarkStart w:id="2" w:name="OLE_LINK33"/>
      <w:bookmarkStart w:id="3" w:name="OLE_LINK13"/>
      <w:bookmarkStart w:id="4" w:name="OLE_LINK14"/>
      <w:bookmarkStart w:id="5" w:name="OLE_LINK43"/>
      <w:r w:rsidRPr="003619EE">
        <w:rPr>
          <w:rFonts w:ascii="Book Antiqua" w:hAnsi="Book Antiqua" w:cs="宋体"/>
          <w:b/>
          <w:sz w:val="24"/>
          <w:szCs w:val="24"/>
        </w:rPr>
        <w:t>P-Reviewers:</w:t>
      </w:r>
      <w:r w:rsidRPr="003619EE">
        <w:rPr>
          <w:rFonts w:ascii="Book Antiqua" w:hAnsi="Book Antiqua"/>
          <w:sz w:val="24"/>
          <w:szCs w:val="24"/>
        </w:rPr>
        <w:t xml:space="preserve"> </w:t>
      </w:r>
      <w:r w:rsidRPr="003619EE">
        <w:rPr>
          <w:rFonts w:ascii="Book Antiqua" w:hAnsi="Book Antiqua" w:cs="宋体"/>
          <w:sz w:val="24"/>
          <w:szCs w:val="24"/>
        </w:rPr>
        <w:t>Ni</w:t>
      </w:r>
      <w:r w:rsidRPr="003619EE">
        <w:rPr>
          <w:rFonts w:ascii="Book Antiqua" w:hAnsi="Book Antiqua" w:cs="宋体"/>
          <w:sz w:val="24"/>
          <w:szCs w:val="24"/>
          <w:lang w:eastAsia="zh-CN"/>
        </w:rPr>
        <w:t xml:space="preserve"> </w:t>
      </w:r>
      <w:r w:rsidRPr="003619EE">
        <w:rPr>
          <w:rFonts w:ascii="Book Antiqua" w:hAnsi="Book Antiqua" w:cs="宋体"/>
          <w:sz w:val="24"/>
          <w:szCs w:val="24"/>
        </w:rPr>
        <w:t>Y,  Resende</w:t>
      </w:r>
      <w:r w:rsidRPr="003619EE">
        <w:rPr>
          <w:rFonts w:ascii="Book Antiqua" w:hAnsi="Book Antiqua"/>
          <w:sz w:val="24"/>
          <w:szCs w:val="24"/>
        </w:rPr>
        <w:t xml:space="preserve"> </w:t>
      </w:r>
      <w:r w:rsidRPr="003619EE">
        <w:rPr>
          <w:rFonts w:ascii="Book Antiqua" w:hAnsi="Book Antiqua" w:cs="宋体"/>
          <w:sz w:val="24"/>
          <w:szCs w:val="24"/>
        </w:rPr>
        <w:t xml:space="preserve">R </w:t>
      </w:r>
    </w:p>
    <w:p w:rsidR="004B62B9" w:rsidRPr="003619EE" w:rsidRDefault="004B62B9" w:rsidP="003619EE">
      <w:pPr>
        <w:spacing w:after="0" w:line="360" w:lineRule="auto"/>
        <w:jc w:val="right"/>
        <w:rPr>
          <w:rFonts w:ascii="Book Antiqua" w:hAnsi="Book Antiqua" w:cs="宋体"/>
          <w:sz w:val="24"/>
          <w:szCs w:val="24"/>
        </w:rPr>
      </w:pPr>
      <w:r w:rsidRPr="003619EE">
        <w:rPr>
          <w:rFonts w:ascii="Book Antiqua" w:hAnsi="Book Antiqua" w:cs="宋体"/>
          <w:b/>
          <w:sz w:val="24"/>
          <w:szCs w:val="24"/>
        </w:rPr>
        <w:t>S-Editor:</w:t>
      </w:r>
      <w:r w:rsidRPr="003619EE">
        <w:rPr>
          <w:rFonts w:ascii="Book Antiqua" w:hAnsi="Book Antiqua" w:cs="宋体"/>
          <w:sz w:val="24"/>
          <w:szCs w:val="24"/>
        </w:rPr>
        <w:t xml:space="preserve"> Zhai HH</w:t>
      </w:r>
      <w:r w:rsidRPr="003619EE">
        <w:rPr>
          <w:rFonts w:ascii="Book Antiqua" w:hAnsi="Book Antiqua" w:cs="宋体"/>
          <w:b/>
          <w:sz w:val="24"/>
          <w:szCs w:val="24"/>
        </w:rPr>
        <w:t xml:space="preserve"> L-Editor: E-Editor:</w:t>
      </w:r>
      <w:bookmarkEnd w:id="1"/>
      <w:bookmarkEnd w:id="2"/>
    </w:p>
    <w:bookmarkEnd w:id="3"/>
    <w:bookmarkEnd w:id="4"/>
    <w:bookmarkEnd w:id="5"/>
    <w:p w:rsidR="004B62B9" w:rsidRPr="003619EE" w:rsidRDefault="004B62B9" w:rsidP="003619EE">
      <w:pPr>
        <w:spacing w:after="0" w:line="360" w:lineRule="auto"/>
        <w:jc w:val="both"/>
        <w:rPr>
          <w:rFonts w:ascii="Book Antiqua" w:hAnsi="Book Antiqua"/>
          <w:sz w:val="24"/>
          <w:szCs w:val="24"/>
          <w:lang w:eastAsia="zh-CN"/>
        </w:rPr>
      </w:pPr>
    </w:p>
    <w:p w:rsidR="004B62B9" w:rsidRPr="003619EE" w:rsidRDefault="004B62B9" w:rsidP="003619EE">
      <w:pPr>
        <w:spacing w:after="0" w:line="360" w:lineRule="auto"/>
        <w:jc w:val="both"/>
        <w:rPr>
          <w:rFonts w:ascii="Book Antiqua" w:hAnsi="Book Antiqua"/>
          <w:b/>
          <w:sz w:val="24"/>
          <w:szCs w:val="24"/>
          <w:lang w:val="en-GB"/>
        </w:rPr>
      </w:pPr>
    </w:p>
    <w:p w:rsidR="004B62B9" w:rsidRPr="003619EE" w:rsidRDefault="004B62B9" w:rsidP="003619EE">
      <w:pPr>
        <w:spacing w:after="0" w:line="360" w:lineRule="auto"/>
        <w:jc w:val="both"/>
        <w:rPr>
          <w:rFonts w:ascii="Book Antiqua" w:hAnsi="Book Antiqua"/>
          <w:sz w:val="24"/>
          <w:szCs w:val="24"/>
          <w:lang w:val="en-GB"/>
        </w:rPr>
      </w:pPr>
    </w:p>
    <w:p w:rsidR="004B62B9" w:rsidRPr="003619EE" w:rsidRDefault="00AD212A" w:rsidP="003619EE">
      <w:pPr>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extent cx="4594225" cy="55670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4225" cy="5567045"/>
                    </a:xfrm>
                    <a:prstGeom prst="rect">
                      <a:avLst/>
                    </a:prstGeom>
                    <a:noFill/>
                    <a:ln>
                      <a:noFill/>
                    </a:ln>
                  </pic:spPr>
                </pic:pic>
              </a:graphicData>
            </a:graphic>
          </wp:inline>
        </w:drawing>
      </w:r>
    </w:p>
    <w:p w:rsidR="004B62B9" w:rsidRPr="003619EE" w:rsidRDefault="004B62B9" w:rsidP="003619EE">
      <w:pPr>
        <w:spacing w:after="0" w:line="360" w:lineRule="auto"/>
        <w:jc w:val="both"/>
        <w:rPr>
          <w:rFonts w:ascii="Book Antiqua" w:hAnsi="Book Antiqua"/>
          <w:b/>
          <w:sz w:val="24"/>
          <w:szCs w:val="24"/>
          <w:lang w:val="en-GB" w:eastAsia="zh-CN"/>
        </w:rPr>
      </w:pPr>
      <w:r w:rsidRPr="003619EE">
        <w:rPr>
          <w:rFonts w:ascii="Book Antiqua" w:hAnsi="Book Antiqua"/>
          <w:b/>
          <w:sz w:val="24"/>
          <w:szCs w:val="24"/>
          <w:lang w:val="en-GB"/>
        </w:rPr>
        <w:t>Figure 1</w:t>
      </w:r>
      <w:r w:rsidRPr="003619EE">
        <w:rPr>
          <w:rFonts w:ascii="Book Antiqua" w:hAnsi="Book Antiqua"/>
          <w:b/>
          <w:sz w:val="24"/>
          <w:szCs w:val="24"/>
          <w:lang w:val="en-GB" w:eastAsia="zh-CN"/>
        </w:rPr>
        <w:t xml:space="preserve"> </w:t>
      </w:r>
      <w:r w:rsidRPr="003619EE">
        <w:rPr>
          <w:rFonts w:ascii="Book Antiqua" w:hAnsi="Book Antiqua"/>
          <w:b/>
          <w:sz w:val="24"/>
          <w:szCs w:val="24"/>
          <w:lang w:val="en-GB"/>
        </w:rPr>
        <w:t>T2 weighted coronal magnetic resonance imaging image of subcapsular liver hematoma</w:t>
      </w:r>
      <w:r w:rsidRPr="003619EE">
        <w:rPr>
          <w:rFonts w:ascii="Book Antiqua" w:hAnsi="Book Antiqua"/>
          <w:b/>
          <w:sz w:val="24"/>
          <w:szCs w:val="24"/>
          <w:lang w:val="en-GB" w:eastAsia="zh-CN"/>
        </w:rPr>
        <w:t xml:space="preserve">. </w:t>
      </w:r>
      <w:r w:rsidRPr="003619EE">
        <w:rPr>
          <w:rFonts w:ascii="Book Antiqua" w:hAnsi="Book Antiqua"/>
          <w:sz w:val="24"/>
          <w:szCs w:val="24"/>
          <w:lang w:val="en-GB"/>
        </w:rPr>
        <w:t>The arrows indicate a hyperdense area suggestive of the subcapsular liver hematoma.</w:t>
      </w:r>
    </w:p>
    <w:p w:rsidR="004B62B9" w:rsidRPr="003619EE" w:rsidRDefault="004B62B9" w:rsidP="003619EE">
      <w:pPr>
        <w:spacing w:after="0" w:line="360" w:lineRule="auto"/>
        <w:jc w:val="both"/>
        <w:rPr>
          <w:rFonts w:ascii="Book Antiqua" w:hAnsi="Book Antiqua"/>
          <w:sz w:val="24"/>
          <w:szCs w:val="24"/>
          <w:lang w:val="en-GB"/>
        </w:rPr>
      </w:pPr>
    </w:p>
    <w:p w:rsidR="004B62B9" w:rsidRPr="003619EE" w:rsidRDefault="004B62B9" w:rsidP="003619EE">
      <w:pPr>
        <w:spacing w:after="0" w:line="360" w:lineRule="auto"/>
        <w:jc w:val="both"/>
        <w:rPr>
          <w:rFonts w:ascii="Book Antiqua" w:hAnsi="Book Antiqua"/>
          <w:sz w:val="24"/>
          <w:szCs w:val="24"/>
          <w:lang w:val="en-GB"/>
        </w:rPr>
      </w:pPr>
      <w:r w:rsidRPr="003619EE">
        <w:rPr>
          <w:rFonts w:ascii="Book Antiqua" w:hAnsi="Book Antiqua"/>
          <w:b/>
          <w:sz w:val="24"/>
          <w:szCs w:val="24"/>
          <w:lang w:val="en-GB"/>
        </w:rPr>
        <w:br w:type="page"/>
      </w:r>
    </w:p>
    <w:p w:rsidR="004B62B9" w:rsidRPr="003619EE" w:rsidRDefault="00AD212A" w:rsidP="003619EE">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rPr>
        <w:drawing>
          <wp:inline distT="0" distB="0" distL="0" distR="0">
            <wp:extent cx="5640070" cy="5295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0070" cy="5295900"/>
                    </a:xfrm>
                    <a:prstGeom prst="rect">
                      <a:avLst/>
                    </a:prstGeom>
                    <a:noFill/>
                    <a:ln>
                      <a:noFill/>
                    </a:ln>
                  </pic:spPr>
                </pic:pic>
              </a:graphicData>
            </a:graphic>
          </wp:inline>
        </w:drawing>
      </w:r>
    </w:p>
    <w:p w:rsidR="004B62B9" w:rsidRPr="003619EE" w:rsidRDefault="004B62B9" w:rsidP="003619EE">
      <w:pPr>
        <w:spacing w:after="0" w:line="360" w:lineRule="auto"/>
        <w:jc w:val="both"/>
        <w:rPr>
          <w:rFonts w:ascii="Book Antiqua" w:hAnsi="Book Antiqua"/>
          <w:sz w:val="24"/>
          <w:szCs w:val="24"/>
          <w:lang w:eastAsia="zh-CN"/>
        </w:rPr>
      </w:pPr>
    </w:p>
    <w:p w:rsidR="004B62B9" w:rsidRPr="003619EE" w:rsidRDefault="004B62B9" w:rsidP="003619EE">
      <w:pPr>
        <w:spacing w:after="0" w:line="360" w:lineRule="auto"/>
        <w:jc w:val="both"/>
        <w:rPr>
          <w:rFonts w:ascii="Book Antiqua" w:hAnsi="Book Antiqua"/>
          <w:b/>
          <w:sz w:val="24"/>
          <w:szCs w:val="24"/>
          <w:lang w:val="en-GB" w:eastAsia="zh-CN"/>
        </w:rPr>
      </w:pPr>
      <w:r w:rsidRPr="003619EE">
        <w:rPr>
          <w:rFonts w:ascii="Book Antiqua" w:hAnsi="Book Antiqua"/>
          <w:b/>
          <w:sz w:val="24"/>
          <w:szCs w:val="24"/>
          <w:lang w:val="en-GB"/>
        </w:rPr>
        <w:t>Figure 2 Laparoscopy image of perihepatic adhesions</w:t>
      </w:r>
      <w:r w:rsidRPr="003619EE">
        <w:rPr>
          <w:rFonts w:ascii="Book Antiqua" w:hAnsi="Book Antiqua"/>
          <w:b/>
          <w:sz w:val="24"/>
          <w:szCs w:val="24"/>
          <w:lang w:val="en-GB" w:eastAsia="zh-CN"/>
        </w:rPr>
        <w:t xml:space="preserve">. </w:t>
      </w:r>
      <w:r w:rsidRPr="003619EE">
        <w:rPr>
          <w:rFonts w:ascii="Book Antiqua" w:hAnsi="Book Antiqua"/>
          <w:sz w:val="24"/>
          <w:szCs w:val="24"/>
          <w:lang w:val="en-GB"/>
        </w:rPr>
        <w:t>The arrow shows indicates the location of the perihepatic adhesions to the diaphragm that were found during laparoscopy.</w:t>
      </w:r>
    </w:p>
    <w:p w:rsidR="004B62B9" w:rsidRPr="003619EE" w:rsidRDefault="004B62B9" w:rsidP="003619EE">
      <w:pPr>
        <w:spacing w:after="0" w:line="360" w:lineRule="auto"/>
        <w:jc w:val="both"/>
        <w:rPr>
          <w:rFonts w:ascii="Book Antiqua" w:hAnsi="Book Antiqua"/>
          <w:sz w:val="24"/>
          <w:szCs w:val="24"/>
          <w:lang w:val="en-GB" w:eastAsia="zh-CN"/>
        </w:rPr>
      </w:pPr>
    </w:p>
    <w:sectPr w:rsidR="004B62B9" w:rsidRPr="003619EE" w:rsidSect="00FA5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8D3" w:rsidRDefault="00E338D3" w:rsidP="00A162A1">
      <w:pPr>
        <w:spacing w:after="0" w:line="240" w:lineRule="auto"/>
      </w:pPr>
      <w:r>
        <w:separator/>
      </w:r>
    </w:p>
  </w:endnote>
  <w:endnote w:type="continuationSeparator" w:id="0">
    <w:p w:rsidR="00E338D3" w:rsidRDefault="00E338D3" w:rsidP="00A16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8D3" w:rsidRDefault="00E338D3" w:rsidP="00A162A1">
      <w:pPr>
        <w:spacing w:after="0" w:line="240" w:lineRule="auto"/>
      </w:pPr>
      <w:r>
        <w:separator/>
      </w:r>
    </w:p>
  </w:footnote>
  <w:footnote w:type="continuationSeparator" w:id="0">
    <w:p w:rsidR="00E338D3" w:rsidRDefault="00E338D3" w:rsidP="00A162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08"/>
  <w:hyphenationZone w:val="425"/>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77E"/>
    <w:rsid w:val="00045B93"/>
    <w:rsid w:val="000829E4"/>
    <w:rsid w:val="000A2415"/>
    <w:rsid w:val="000E695F"/>
    <w:rsid w:val="0010024A"/>
    <w:rsid w:val="001159AF"/>
    <w:rsid w:val="00117A43"/>
    <w:rsid w:val="00132D09"/>
    <w:rsid w:val="00171A9A"/>
    <w:rsid w:val="00184E23"/>
    <w:rsid w:val="00191C18"/>
    <w:rsid w:val="0019373E"/>
    <w:rsid w:val="001A0394"/>
    <w:rsid w:val="001D3207"/>
    <w:rsid w:val="001E0987"/>
    <w:rsid w:val="001F7943"/>
    <w:rsid w:val="00217F82"/>
    <w:rsid w:val="0023101F"/>
    <w:rsid w:val="00250DE5"/>
    <w:rsid w:val="002571D9"/>
    <w:rsid w:val="0028149D"/>
    <w:rsid w:val="00285CD1"/>
    <w:rsid w:val="002933C0"/>
    <w:rsid w:val="00312D5A"/>
    <w:rsid w:val="00313640"/>
    <w:rsid w:val="003215D6"/>
    <w:rsid w:val="00325233"/>
    <w:rsid w:val="003262CB"/>
    <w:rsid w:val="003619EE"/>
    <w:rsid w:val="003905C2"/>
    <w:rsid w:val="003C7897"/>
    <w:rsid w:val="003F35AF"/>
    <w:rsid w:val="00403616"/>
    <w:rsid w:val="004149DA"/>
    <w:rsid w:val="00421EC3"/>
    <w:rsid w:val="00441A96"/>
    <w:rsid w:val="00457E28"/>
    <w:rsid w:val="004A4798"/>
    <w:rsid w:val="004B62B9"/>
    <w:rsid w:val="004C0506"/>
    <w:rsid w:val="00505FED"/>
    <w:rsid w:val="00511B89"/>
    <w:rsid w:val="00546C48"/>
    <w:rsid w:val="005757A5"/>
    <w:rsid w:val="00594A90"/>
    <w:rsid w:val="005B701D"/>
    <w:rsid w:val="005F019C"/>
    <w:rsid w:val="00620F91"/>
    <w:rsid w:val="00646EE5"/>
    <w:rsid w:val="00652F78"/>
    <w:rsid w:val="00686089"/>
    <w:rsid w:val="007001AA"/>
    <w:rsid w:val="00790D5A"/>
    <w:rsid w:val="007A226D"/>
    <w:rsid w:val="007C22FE"/>
    <w:rsid w:val="007C6375"/>
    <w:rsid w:val="008A277E"/>
    <w:rsid w:val="008B3915"/>
    <w:rsid w:val="008D0553"/>
    <w:rsid w:val="008D08A8"/>
    <w:rsid w:val="008E2884"/>
    <w:rsid w:val="00923C28"/>
    <w:rsid w:val="009B6212"/>
    <w:rsid w:val="009B6F4F"/>
    <w:rsid w:val="009D6F1A"/>
    <w:rsid w:val="00A162A1"/>
    <w:rsid w:val="00A3046F"/>
    <w:rsid w:val="00A524F1"/>
    <w:rsid w:val="00A52AEC"/>
    <w:rsid w:val="00A713B4"/>
    <w:rsid w:val="00A94B55"/>
    <w:rsid w:val="00AA0F8E"/>
    <w:rsid w:val="00AC7F63"/>
    <w:rsid w:val="00AD212A"/>
    <w:rsid w:val="00AD7BB4"/>
    <w:rsid w:val="00AF400E"/>
    <w:rsid w:val="00B04A09"/>
    <w:rsid w:val="00B169C0"/>
    <w:rsid w:val="00B16D66"/>
    <w:rsid w:val="00B20124"/>
    <w:rsid w:val="00B54AA1"/>
    <w:rsid w:val="00B6470C"/>
    <w:rsid w:val="00B864EB"/>
    <w:rsid w:val="00B95AFE"/>
    <w:rsid w:val="00B9639A"/>
    <w:rsid w:val="00BA2309"/>
    <w:rsid w:val="00C510A0"/>
    <w:rsid w:val="00C56F84"/>
    <w:rsid w:val="00C703C6"/>
    <w:rsid w:val="00CF2E8B"/>
    <w:rsid w:val="00D1193E"/>
    <w:rsid w:val="00D2310B"/>
    <w:rsid w:val="00D457CE"/>
    <w:rsid w:val="00D53867"/>
    <w:rsid w:val="00D56C25"/>
    <w:rsid w:val="00DA4BEA"/>
    <w:rsid w:val="00DF3FA8"/>
    <w:rsid w:val="00DF7FB8"/>
    <w:rsid w:val="00E06D24"/>
    <w:rsid w:val="00E12476"/>
    <w:rsid w:val="00E16094"/>
    <w:rsid w:val="00E338D3"/>
    <w:rsid w:val="00E45BCA"/>
    <w:rsid w:val="00E67EEA"/>
    <w:rsid w:val="00EA7AE1"/>
    <w:rsid w:val="00EC759E"/>
    <w:rsid w:val="00EC7836"/>
    <w:rsid w:val="00EE1C4E"/>
    <w:rsid w:val="00F359C1"/>
    <w:rsid w:val="00FA5D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D46"/>
    <w:pPr>
      <w:spacing w:after="160" w:line="259" w:lineRule="auto"/>
    </w:pPr>
    <w:rPr>
      <w:kern w:val="0"/>
      <w:sz w:val="22"/>
      <w:lang w:val="nl-N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A162A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locked/>
    <w:rsid w:val="00A162A1"/>
    <w:rPr>
      <w:rFonts w:cs="Times New Roman"/>
      <w:sz w:val="18"/>
      <w:szCs w:val="18"/>
    </w:rPr>
  </w:style>
  <w:style w:type="paragraph" w:styleId="a4">
    <w:name w:val="footer"/>
    <w:basedOn w:val="a"/>
    <w:link w:val="Char0"/>
    <w:uiPriority w:val="99"/>
    <w:rsid w:val="00A162A1"/>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locked/>
    <w:rsid w:val="00A162A1"/>
    <w:rPr>
      <w:rFonts w:cs="Times New Roman"/>
      <w:sz w:val="18"/>
      <w:szCs w:val="18"/>
    </w:rPr>
  </w:style>
  <w:style w:type="character" w:styleId="a5">
    <w:name w:val="annotation reference"/>
    <w:basedOn w:val="a0"/>
    <w:uiPriority w:val="99"/>
    <w:semiHidden/>
    <w:rsid w:val="00A162A1"/>
    <w:rPr>
      <w:rFonts w:cs="Times New Roman"/>
      <w:sz w:val="21"/>
      <w:szCs w:val="21"/>
    </w:rPr>
  </w:style>
  <w:style w:type="paragraph" w:styleId="a6">
    <w:name w:val="annotation text"/>
    <w:basedOn w:val="a"/>
    <w:link w:val="Char1"/>
    <w:uiPriority w:val="99"/>
    <w:rsid w:val="00A162A1"/>
  </w:style>
  <w:style w:type="character" w:customStyle="1" w:styleId="Char1">
    <w:name w:val="批注文字 Char"/>
    <w:basedOn w:val="a0"/>
    <w:link w:val="a6"/>
    <w:uiPriority w:val="99"/>
    <w:locked/>
    <w:rsid w:val="00A162A1"/>
    <w:rPr>
      <w:rFonts w:cs="Times New Roman"/>
    </w:rPr>
  </w:style>
  <w:style w:type="paragraph" w:styleId="a7">
    <w:name w:val="annotation subject"/>
    <w:basedOn w:val="a6"/>
    <w:next w:val="a6"/>
    <w:link w:val="Char2"/>
    <w:uiPriority w:val="99"/>
    <w:semiHidden/>
    <w:rsid w:val="00A162A1"/>
    <w:rPr>
      <w:b/>
      <w:bCs/>
    </w:rPr>
  </w:style>
  <w:style w:type="character" w:customStyle="1" w:styleId="Char2">
    <w:name w:val="批注主题 Char"/>
    <w:basedOn w:val="Char1"/>
    <w:link w:val="a7"/>
    <w:uiPriority w:val="99"/>
    <w:semiHidden/>
    <w:locked/>
    <w:rsid w:val="00A162A1"/>
    <w:rPr>
      <w:rFonts w:cs="Times New Roman"/>
      <w:b/>
      <w:bCs/>
    </w:rPr>
  </w:style>
  <w:style w:type="paragraph" w:styleId="a8">
    <w:name w:val="Balloon Text"/>
    <w:basedOn w:val="a"/>
    <w:link w:val="Char3"/>
    <w:uiPriority w:val="99"/>
    <w:semiHidden/>
    <w:rsid w:val="00A162A1"/>
    <w:pPr>
      <w:spacing w:after="0" w:line="240" w:lineRule="auto"/>
    </w:pPr>
    <w:rPr>
      <w:sz w:val="18"/>
      <w:szCs w:val="18"/>
    </w:rPr>
  </w:style>
  <w:style w:type="character" w:customStyle="1" w:styleId="Char3">
    <w:name w:val="批注框文本 Char"/>
    <w:basedOn w:val="a0"/>
    <w:link w:val="a8"/>
    <w:uiPriority w:val="99"/>
    <w:semiHidden/>
    <w:locked/>
    <w:rsid w:val="00A162A1"/>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D46"/>
    <w:pPr>
      <w:spacing w:after="160" w:line="259" w:lineRule="auto"/>
    </w:pPr>
    <w:rPr>
      <w:kern w:val="0"/>
      <w:sz w:val="22"/>
      <w:lang w:val="nl-N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A162A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locked/>
    <w:rsid w:val="00A162A1"/>
    <w:rPr>
      <w:rFonts w:cs="Times New Roman"/>
      <w:sz w:val="18"/>
      <w:szCs w:val="18"/>
    </w:rPr>
  </w:style>
  <w:style w:type="paragraph" w:styleId="a4">
    <w:name w:val="footer"/>
    <w:basedOn w:val="a"/>
    <w:link w:val="Char0"/>
    <w:uiPriority w:val="99"/>
    <w:rsid w:val="00A162A1"/>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locked/>
    <w:rsid w:val="00A162A1"/>
    <w:rPr>
      <w:rFonts w:cs="Times New Roman"/>
      <w:sz w:val="18"/>
      <w:szCs w:val="18"/>
    </w:rPr>
  </w:style>
  <w:style w:type="character" w:styleId="a5">
    <w:name w:val="annotation reference"/>
    <w:basedOn w:val="a0"/>
    <w:uiPriority w:val="99"/>
    <w:semiHidden/>
    <w:rsid w:val="00A162A1"/>
    <w:rPr>
      <w:rFonts w:cs="Times New Roman"/>
      <w:sz w:val="21"/>
      <w:szCs w:val="21"/>
    </w:rPr>
  </w:style>
  <w:style w:type="paragraph" w:styleId="a6">
    <w:name w:val="annotation text"/>
    <w:basedOn w:val="a"/>
    <w:link w:val="Char1"/>
    <w:uiPriority w:val="99"/>
    <w:rsid w:val="00A162A1"/>
  </w:style>
  <w:style w:type="character" w:customStyle="1" w:styleId="Char1">
    <w:name w:val="批注文字 Char"/>
    <w:basedOn w:val="a0"/>
    <w:link w:val="a6"/>
    <w:uiPriority w:val="99"/>
    <w:locked/>
    <w:rsid w:val="00A162A1"/>
    <w:rPr>
      <w:rFonts w:cs="Times New Roman"/>
    </w:rPr>
  </w:style>
  <w:style w:type="paragraph" w:styleId="a7">
    <w:name w:val="annotation subject"/>
    <w:basedOn w:val="a6"/>
    <w:next w:val="a6"/>
    <w:link w:val="Char2"/>
    <w:uiPriority w:val="99"/>
    <w:semiHidden/>
    <w:rsid w:val="00A162A1"/>
    <w:rPr>
      <w:b/>
      <w:bCs/>
    </w:rPr>
  </w:style>
  <w:style w:type="character" w:customStyle="1" w:styleId="Char2">
    <w:name w:val="批注主题 Char"/>
    <w:basedOn w:val="Char1"/>
    <w:link w:val="a7"/>
    <w:uiPriority w:val="99"/>
    <w:semiHidden/>
    <w:locked/>
    <w:rsid w:val="00A162A1"/>
    <w:rPr>
      <w:rFonts w:cs="Times New Roman"/>
      <w:b/>
      <w:bCs/>
    </w:rPr>
  </w:style>
  <w:style w:type="paragraph" w:styleId="a8">
    <w:name w:val="Balloon Text"/>
    <w:basedOn w:val="a"/>
    <w:link w:val="Char3"/>
    <w:uiPriority w:val="99"/>
    <w:semiHidden/>
    <w:rsid w:val="00A162A1"/>
    <w:pPr>
      <w:spacing w:after="0" w:line="240" w:lineRule="auto"/>
    </w:pPr>
    <w:rPr>
      <w:sz w:val="18"/>
      <w:szCs w:val="18"/>
    </w:rPr>
  </w:style>
  <w:style w:type="character" w:customStyle="1" w:styleId="Char3">
    <w:name w:val="批注框文本 Char"/>
    <w:basedOn w:val="a0"/>
    <w:link w:val="a8"/>
    <w:uiPriority w:val="99"/>
    <w:semiHidden/>
    <w:locked/>
    <w:rsid w:val="00A162A1"/>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093332">
      <w:marLeft w:val="0"/>
      <w:marRight w:val="0"/>
      <w:marTop w:val="0"/>
      <w:marBottom w:val="0"/>
      <w:divBdr>
        <w:top w:val="none" w:sz="0" w:space="0" w:color="auto"/>
        <w:left w:val="none" w:sz="0" w:space="0" w:color="auto"/>
        <w:bottom w:val="none" w:sz="0" w:space="0" w:color="auto"/>
        <w:right w:val="none" w:sz="0" w:space="0" w:color="auto"/>
      </w:divBdr>
      <w:divsChild>
        <w:div w:id="950093333">
          <w:marLeft w:val="0"/>
          <w:marRight w:val="0"/>
          <w:marTop w:val="0"/>
          <w:marBottom w:val="0"/>
          <w:divBdr>
            <w:top w:val="none" w:sz="0" w:space="0" w:color="auto"/>
            <w:left w:val="none" w:sz="0" w:space="0" w:color="auto"/>
            <w:bottom w:val="none" w:sz="0" w:space="0" w:color="auto"/>
            <w:right w:val="none" w:sz="0" w:space="0" w:color="auto"/>
          </w:divBdr>
          <w:divsChild>
            <w:div w:id="950093329">
              <w:marLeft w:val="0"/>
              <w:marRight w:val="0"/>
              <w:marTop w:val="0"/>
              <w:marBottom w:val="0"/>
              <w:divBdr>
                <w:top w:val="none" w:sz="0" w:space="0" w:color="auto"/>
                <w:left w:val="none" w:sz="0" w:space="0" w:color="auto"/>
                <w:bottom w:val="none" w:sz="0" w:space="0" w:color="auto"/>
                <w:right w:val="none" w:sz="0" w:space="0" w:color="auto"/>
              </w:divBdr>
            </w:div>
            <w:div w:id="950093330">
              <w:marLeft w:val="0"/>
              <w:marRight w:val="0"/>
              <w:marTop w:val="0"/>
              <w:marBottom w:val="0"/>
              <w:divBdr>
                <w:top w:val="none" w:sz="0" w:space="0" w:color="auto"/>
                <w:left w:val="none" w:sz="0" w:space="0" w:color="auto"/>
                <w:bottom w:val="none" w:sz="0" w:space="0" w:color="auto"/>
                <w:right w:val="none" w:sz="0" w:space="0" w:color="auto"/>
              </w:divBdr>
            </w:div>
            <w:div w:id="9500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1296</Words>
  <Characters>7389</Characters>
  <Application>Microsoft Office Word</Application>
  <DocSecurity>0</DocSecurity>
  <Lines>61</Lines>
  <Paragraphs>17</Paragraphs>
  <ScaleCrop>false</ScaleCrop>
  <Company>Hewlett-Packard Company</Company>
  <LinksUpToDate>false</LinksUpToDate>
  <CharactersWithSpaces>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Margot Koeneman</dc:creator>
  <cp:lastModifiedBy>LS Ma</cp:lastModifiedBy>
  <cp:revision>2</cp:revision>
  <dcterms:created xsi:type="dcterms:W3CDTF">2014-01-05T20:38:00Z</dcterms:created>
  <dcterms:modified xsi:type="dcterms:W3CDTF">2014-01-05T20:38:00Z</dcterms:modified>
</cp:coreProperties>
</file>