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6FCC" w:rsidRPr="00E22F6A" w:rsidRDefault="00866FCC">
      <w:pPr>
        <w:snapToGrid w:val="0"/>
        <w:spacing w:line="360" w:lineRule="auto"/>
        <w:ind w:rightChars="65" w:right="136"/>
        <w:rPr>
          <w:rFonts w:ascii="Book Antiqua" w:eastAsia="Book Antiqua" w:hAnsi="Book Antiqua"/>
          <w:b/>
          <w:bCs/>
          <w:i/>
          <w:kern w:val="0"/>
          <w:sz w:val="24"/>
          <w:szCs w:val="24"/>
        </w:rPr>
      </w:pPr>
      <w:bookmarkStart w:id="0" w:name="_Hlk6581159"/>
      <w:bookmarkStart w:id="1" w:name="_GoBack"/>
      <w:bookmarkEnd w:id="1"/>
      <w:r w:rsidRPr="00E22F6A">
        <w:rPr>
          <w:rFonts w:ascii="Book Antiqua" w:eastAsia="Book Antiqua" w:hAnsi="Book Antiqua"/>
          <w:b/>
          <w:kern w:val="0"/>
          <w:sz w:val="24"/>
          <w:szCs w:val="24"/>
        </w:rPr>
        <w:t xml:space="preserve">Name of Journal: </w:t>
      </w:r>
      <w:bookmarkStart w:id="2" w:name="OLE_LINK5"/>
      <w:bookmarkStart w:id="3" w:name="OLE_LINK6"/>
      <w:r w:rsidRPr="00E22F6A">
        <w:rPr>
          <w:rFonts w:ascii="Book Antiqua" w:eastAsia="Book Antiqua" w:hAnsi="Book Antiqua"/>
          <w:b/>
          <w:bCs/>
          <w:i/>
          <w:kern w:val="0"/>
          <w:sz w:val="24"/>
          <w:szCs w:val="24"/>
        </w:rPr>
        <w:t>World Journal of Meta-Analysis</w:t>
      </w:r>
      <w:bookmarkEnd w:id="2"/>
      <w:bookmarkEnd w:id="3"/>
    </w:p>
    <w:p w:rsidR="00866FCC" w:rsidRPr="00E22F6A" w:rsidRDefault="00866FCC">
      <w:pPr>
        <w:snapToGrid w:val="0"/>
        <w:spacing w:line="360" w:lineRule="auto"/>
        <w:ind w:rightChars="65" w:right="136"/>
        <w:rPr>
          <w:rFonts w:ascii="Book Antiqua" w:hAnsi="Book Antiqua"/>
          <w:b/>
          <w:bCs/>
          <w:kern w:val="0"/>
          <w:sz w:val="24"/>
          <w:szCs w:val="24"/>
        </w:rPr>
      </w:pPr>
      <w:bookmarkStart w:id="4" w:name="_Hlk15550774"/>
      <w:r w:rsidRPr="00E22F6A">
        <w:rPr>
          <w:rFonts w:ascii="Book Antiqua" w:eastAsia="Book Antiqua" w:hAnsi="Book Antiqua"/>
          <w:b/>
          <w:bCs/>
          <w:kern w:val="0"/>
          <w:sz w:val="24"/>
          <w:szCs w:val="24"/>
        </w:rPr>
        <w:t xml:space="preserve">Manuscript NO: </w:t>
      </w:r>
      <w:r w:rsidRPr="00E22F6A">
        <w:rPr>
          <w:rFonts w:ascii="Book Antiqua" w:hAnsi="Book Antiqua"/>
          <w:b/>
          <w:bCs/>
          <w:kern w:val="0"/>
          <w:sz w:val="24"/>
          <w:szCs w:val="24"/>
        </w:rPr>
        <w:t>49553</w:t>
      </w:r>
    </w:p>
    <w:bookmarkEnd w:id="4"/>
    <w:p w:rsidR="00866FCC" w:rsidRPr="00E22F6A" w:rsidRDefault="00866FCC">
      <w:pPr>
        <w:snapToGrid w:val="0"/>
        <w:spacing w:line="360" w:lineRule="auto"/>
        <w:ind w:rightChars="65" w:right="136"/>
        <w:rPr>
          <w:rFonts w:ascii="Book Antiqua" w:eastAsia="Book Antiqua" w:hAnsi="Book Antiqua"/>
          <w:b/>
          <w:bCs/>
          <w:iCs/>
          <w:kern w:val="0"/>
          <w:sz w:val="24"/>
          <w:szCs w:val="24"/>
        </w:rPr>
      </w:pPr>
      <w:r w:rsidRPr="00E22F6A">
        <w:rPr>
          <w:rFonts w:ascii="Book Antiqua" w:eastAsia="Book Antiqua" w:hAnsi="Book Antiqua"/>
          <w:b/>
          <w:bCs/>
          <w:kern w:val="0"/>
          <w:sz w:val="24"/>
          <w:szCs w:val="24"/>
        </w:rPr>
        <w:t xml:space="preserve">Manuscript Type: </w:t>
      </w:r>
      <w:r w:rsidRPr="00E22F6A">
        <w:rPr>
          <w:rFonts w:ascii="Book Antiqua" w:eastAsia="Book Antiqua" w:hAnsi="Book Antiqua"/>
          <w:b/>
          <w:bCs/>
          <w:iCs/>
          <w:kern w:val="0"/>
          <w:sz w:val="24"/>
          <w:szCs w:val="24"/>
        </w:rPr>
        <w:t>META-ANALYSIS</w:t>
      </w:r>
    </w:p>
    <w:p w:rsidR="00866FCC" w:rsidRPr="00E22F6A" w:rsidRDefault="00866FCC">
      <w:pPr>
        <w:snapToGrid w:val="0"/>
        <w:spacing w:line="360" w:lineRule="auto"/>
        <w:ind w:rightChars="65" w:right="136"/>
        <w:rPr>
          <w:rFonts w:ascii="Book Antiqua" w:hAnsi="Book Antiqua"/>
          <w:kern w:val="0"/>
          <w:sz w:val="24"/>
          <w:szCs w:val="24"/>
        </w:rPr>
      </w:pPr>
    </w:p>
    <w:p w:rsidR="00866FCC" w:rsidRPr="00E22F6A" w:rsidRDefault="00866FCC">
      <w:pPr>
        <w:snapToGrid w:val="0"/>
        <w:spacing w:line="360" w:lineRule="auto"/>
        <w:rPr>
          <w:rFonts w:ascii="Book Antiqua" w:hAnsi="Book Antiqua"/>
          <w:kern w:val="0"/>
          <w:sz w:val="24"/>
          <w:szCs w:val="24"/>
        </w:rPr>
      </w:pPr>
      <w:bookmarkStart w:id="5" w:name="OLE_LINK15"/>
      <w:bookmarkEnd w:id="0"/>
      <w:r w:rsidRPr="00E22F6A">
        <w:rPr>
          <w:rFonts w:ascii="Book Antiqua" w:hAnsi="Book Antiqua"/>
          <w:b/>
          <w:bCs/>
          <w:kern w:val="0"/>
          <w:sz w:val="24"/>
          <w:szCs w:val="24"/>
        </w:rPr>
        <w:t>L</w:t>
      </w:r>
      <w:r w:rsidRPr="00E22F6A">
        <w:rPr>
          <w:rFonts w:ascii="Book Antiqua" w:hAnsi="Book Antiqua" w:cs="Times New Roman"/>
          <w:b/>
          <w:bCs/>
          <w:kern w:val="0"/>
          <w:sz w:val="24"/>
          <w:szCs w:val="24"/>
        </w:rPr>
        <w:t xml:space="preserve">ong-term </w:t>
      </w:r>
      <w:r w:rsidRPr="00E22F6A">
        <w:rPr>
          <w:rFonts w:ascii="Book Antiqua" w:hAnsi="Book Antiqua"/>
          <w:b/>
          <w:bCs/>
          <w:kern w:val="0"/>
          <w:sz w:val="24"/>
          <w:szCs w:val="24"/>
        </w:rPr>
        <w:t>e</w:t>
      </w:r>
      <w:r w:rsidRPr="00E22F6A">
        <w:rPr>
          <w:rFonts w:ascii="Book Antiqua" w:hAnsi="Book Antiqua" w:cs="Times New Roman"/>
          <w:b/>
          <w:bCs/>
          <w:kern w:val="0"/>
          <w:sz w:val="24"/>
          <w:szCs w:val="24"/>
        </w:rPr>
        <w:t>fficacy of capecitabine plus oxaliplatin</w:t>
      </w:r>
      <w:r w:rsidRPr="00E22F6A">
        <w:rPr>
          <w:rFonts w:ascii="Book Antiqua" w:hAnsi="Book Antiqua"/>
          <w:b/>
          <w:bCs/>
          <w:kern w:val="0"/>
          <w:sz w:val="24"/>
          <w:szCs w:val="24"/>
        </w:rPr>
        <w:t xml:space="preserve"> c</w:t>
      </w:r>
      <w:r w:rsidRPr="00E22F6A">
        <w:rPr>
          <w:rFonts w:ascii="Book Antiqua" w:hAnsi="Book Antiqua" w:cs="Times New Roman"/>
          <w:b/>
          <w:bCs/>
          <w:kern w:val="0"/>
          <w:sz w:val="24"/>
          <w:szCs w:val="24"/>
        </w:rPr>
        <w:t xml:space="preserve">hemotherapy </w:t>
      </w:r>
      <w:r w:rsidRPr="00E22F6A">
        <w:rPr>
          <w:rFonts w:ascii="Book Antiqua" w:hAnsi="Book Antiqua"/>
          <w:b/>
          <w:bCs/>
          <w:kern w:val="0"/>
          <w:sz w:val="24"/>
          <w:szCs w:val="24"/>
        </w:rPr>
        <w:t>on</w:t>
      </w:r>
      <w:r w:rsidRPr="00E22F6A">
        <w:rPr>
          <w:rFonts w:ascii="Book Antiqua" w:hAnsi="Book Antiqua" w:cs="Times New Roman"/>
          <w:b/>
          <w:bCs/>
          <w:kern w:val="0"/>
          <w:sz w:val="24"/>
          <w:szCs w:val="24"/>
        </w:rPr>
        <w:t xml:space="preserve"> stage III </w:t>
      </w:r>
      <w:r w:rsidRPr="00E22F6A">
        <w:rPr>
          <w:rFonts w:ascii="Book Antiqua" w:hAnsi="Book Antiqua"/>
          <w:b/>
          <w:bCs/>
          <w:kern w:val="0"/>
          <w:sz w:val="24"/>
          <w:szCs w:val="24"/>
        </w:rPr>
        <w:t>c</w:t>
      </w:r>
      <w:r w:rsidRPr="00E22F6A">
        <w:rPr>
          <w:rFonts w:ascii="Book Antiqua" w:hAnsi="Book Antiqua" w:cs="Times New Roman"/>
          <w:b/>
          <w:bCs/>
          <w:kern w:val="0"/>
          <w:sz w:val="24"/>
          <w:szCs w:val="24"/>
        </w:rPr>
        <w:t xml:space="preserve">olon </w:t>
      </w:r>
      <w:r w:rsidRPr="00E22F6A">
        <w:rPr>
          <w:rFonts w:ascii="Book Antiqua" w:hAnsi="Book Antiqua"/>
          <w:b/>
          <w:bCs/>
          <w:kern w:val="0"/>
          <w:sz w:val="24"/>
          <w:szCs w:val="24"/>
        </w:rPr>
        <w:t>c</w:t>
      </w:r>
      <w:r w:rsidRPr="00E22F6A">
        <w:rPr>
          <w:rFonts w:ascii="Book Antiqua" w:hAnsi="Book Antiqua" w:cs="Times New Roman"/>
          <w:b/>
          <w:bCs/>
          <w:kern w:val="0"/>
          <w:sz w:val="24"/>
          <w:szCs w:val="24"/>
        </w:rPr>
        <w:t xml:space="preserve">ancer: A </w:t>
      </w:r>
      <w:r w:rsidRPr="00E22F6A">
        <w:rPr>
          <w:rFonts w:ascii="Book Antiqua" w:hAnsi="Book Antiqua"/>
          <w:b/>
          <w:bCs/>
          <w:kern w:val="0"/>
          <w:sz w:val="24"/>
          <w:szCs w:val="24"/>
        </w:rPr>
        <w:t>m</w:t>
      </w:r>
      <w:r w:rsidRPr="00E22F6A">
        <w:rPr>
          <w:rFonts w:ascii="Book Antiqua" w:hAnsi="Book Antiqua" w:cs="Times New Roman"/>
          <w:b/>
          <w:bCs/>
          <w:kern w:val="0"/>
          <w:sz w:val="24"/>
          <w:szCs w:val="24"/>
        </w:rPr>
        <w:t>eta-</w:t>
      </w:r>
      <w:r w:rsidRPr="00E22F6A">
        <w:rPr>
          <w:rFonts w:ascii="Book Antiqua" w:hAnsi="Book Antiqua"/>
          <w:b/>
          <w:bCs/>
          <w:kern w:val="0"/>
          <w:sz w:val="24"/>
          <w:szCs w:val="24"/>
        </w:rPr>
        <w:t>a</w:t>
      </w:r>
      <w:r w:rsidRPr="00E22F6A">
        <w:rPr>
          <w:rFonts w:ascii="Book Antiqua" w:hAnsi="Book Antiqua" w:cs="Times New Roman"/>
          <w:b/>
          <w:bCs/>
          <w:kern w:val="0"/>
          <w:sz w:val="24"/>
          <w:szCs w:val="24"/>
        </w:rPr>
        <w:t>nalysis</w:t>
      </w:r>
    </w:p>
    <w:bookmarkEnd w:id="5"/>
    <w:p w:rsidR="00866FCC" w:rsidRPr="00E22F6A" w:rsidRDefault="00866FCC">
      <w:pPr>
        <w:snapToGrid w:val="0"/>
        <w:spacing w:line="360" w:lineRule="auto"/>
        <w:rPr>
          <w:rFonts w:ascii="Book Antiqua" w:hAnsi="Book Antiqua"/>
          <w:kern w:val="0"/>
          <w:sz w:val="24"/>
          <w:szCs w:val="24"/>
        </w:rPr>
      </w:pPr>
    </w:p>
    <w:p w:rsidR="00866FCC" w:rsidRPr="00E22F6A" w:rsidRDefault="00866FCC">
      <w:pPr>
        <w:adjustRightInd w:val="0"/>
        <w:snapToGrid w:val="0"/>
        <w:spacing w:line="360" w:lineRule="auto"/>
        <w:rPr>
          <w:rFonts w:ascii="Book Antiqua" w:hAnsi="Book Antiqua"/>
          <w:kern w:val="0"/>
          <w:sz w:val="24"/>
          <w:szCs w:val="24"/>
        </w:rPr>
      </w:pPr>
      <w:bookmarkStart w:id="6" w:name="_Hlk15549485"/>
      <w:bookmarkStart w:id="7" w:name="_Hlk6583281"/>
      <w:r w:rsidRPr="00E22F6A">
        <w:rPr>
          <w:rFonts w:ascii="Book Antiqua" w:hAnsi="Book Antiqua" w:cs="Garamond-Bold"/>
          <w:kern w:val="0"/>
          <w:sz w:val="24"/>
          <w:szCs w:val="24"/>
        </w:rPr>
        <w:t xml:space="preserve">Fu HT </w:t>
      </w:r>
      <w:r w:rsidRPr="00E22F6A">
        <w:rPr>
          <w:rFonts w:ascii="Book Antiqua" w:hAnsi="Book Antiqua" w:cs="Garamond-Bold"/>
          <w:i/>
          <w:iCs/>
          <w:kern w:val="0"/>
          <w:sz w:val="24"/>
          <w:szCs w:val="24"/>
        </w:rPr>
        <w:t>et al</w:t>
      </w:r>
      <w:r w:rsidRPr="00E22F6A">
        <w:rPr>
          <w:rFonts w:ascii="Book Antiqua" w:hAnsi="Book Antiqua" w:cs="Garamond-Bold"/>
          <w:kern w:val="0"/>
          <w:sz w:val="24"/>
          <w:szCs w:val="24"/>
        </w:rPr>
        <w:t xml:space="preserve">. </w:t>
      </w:r>
      <w:bookmarkStart w:id="8" w:name="_Hlk15549493"/>
      <w:bookmarkEnd w:id="6"/>
      <w:r w:rsidRPr="00E22F6A">
        <w:rPr>
          <w:rFonts w:ascii="Book Antiqua" w:hAnsi="Book Antiqua" w:cs="Times New Roman"/>
          <w:kern w:val="0"/>
          <w:sz w:val="24"/>
          <w:szCs w:val="24"/>
        </w:rPr>
        <w:t xml:space="preserve">XELOX </w:t>
      </w:r>
      <w:r w:rsidRPr="00E22F6A">
        <w:rPr>
          <w:rFonts w:ascii="Book Antiqua" w:hAnsi="Book Antiqua"/>
          <w:kern w:val="0"/>
          <w:sz w:val="24"/>
          <w:szCs w:val="24"/>
        </w:rPr>
        <w:t>c</w:t>
      </w:r>
      <w:r w:rsidRPr="00E22F6A">
        <w:rPr>
          <w:rFonts w:ascii="Book Antiqua" w:hAnsi="Book Antiqua" w:cs="Times New Roman"/>
          <w:kern w:val="0"/>
          <w:sz w:val="24"/>
          <w:szCs w:val="24"/>
        </w:rPr>
        <w:t xml:space="preserve">hemotherapy for </w:t>
      </w:r>
      <w:r w:rsidRPr="00E22F6A">
        <w:rPr>
          <w:rFonts w:ascii="Book Antiqua" w:hAnsi="Book Antiqua"/>
          <w:kern w:val="0"/>
          <w:sz w:val="24"/>
          <w:szCs w:val="24"/>
        </w:rPr>
        <w:t>c</w:t>
      </w:r>
      <w:r w:rsidRPr="00E22F6A">
        <w:rPr>
          <w:rFonts w:ascii="Book Antiqua" w:hAnsi="Book Antiqua" w:cs="Times New Roman"/>
          <w:kern w:val="0"/>
          <w:sz w:val="24"/>
          <w:szCs w:val="24"/>
        </w:rPr>
        <w:t xml:space="preserve">olon </w:t>
      </w:r>
      <w:r w:rsidRPr="00E22F6A">
        <w:rPr>
          <w:rFonts w:ascii="Book Antiqua" w:hAnsi="Book Antiqua"/>
          <w:kern w:val="0"/>
          <w:sz w:val="24"/>
          <w:szCs w:val="24"/>
        </w:rPr>
        <w:t>c</w:t>
      </w:r>
      <w:r w:rsidRPr="00E22F6A">
        <w:rPr>
          <w:rFonts w:ascii="Book Antiqua" w:hAnsi="Book Antiqua" w:cs="Times New Roman"/>
          <w:kern w:val="0"/>
          <w:sz w:val="24"/>
          <w:szCs w:val="24"/>
        </w:rPr>
        <w:t>ancer</w:t>
      </w:r>
    </w:p>
    <w:bookmarkEnd w:id="7"/>
    <w:bookmarkEnd w:id="8"/>
    <w:p w:rsidR="00866FCC" w:rsidRPr="00E22F6A" w:rsidRDefault="00866FCC">
      <w:pPr>
        <w:snapToGrid w:val="0"/>
        <w:spacing w:line="360" w:lineRule="auto"/>
        <w:rPr>
          <w:rFonts w:ascii="Book Antiqua" w:hAnsi="Book Antiqua"/>
          <w:kern w:val="0"/>
          <w:sz w:val="24"/>
          <w:szCs w:val="24"/>
        </w:rPr>
      </w:pPr>
    </w:p>
    <w:p w:rsidR="00866FCC" w:rsidRPr="00E22F6A" w:rsidRDefault="00866FCC">
      <w:pPr>
        <w:snapToGrid w:val="0"/>
        <w:spacing w:line="360" w:lineRule="auto"/>
        <w:rPr>
          <w:rFonts w:ascii="Book Antiqua" w:hAnsi="Book Antiqua" w:cs="Times New Roman"/>
          <w:bCs/>
          <w:kern w:val="0"/>
          <w:sz w:val="24"/>
          <w:szCs w:val="24"/>
        </w:rPr>
      </w:pPr>
      <w:r w:rsidRPr="00E22F6A">
        <w:rPr>
          <w:rFonts w:ascii="Book Antiqua" w:hAnsi="Book Antiqua" w:cs="Times New Roman"/>
          <w:bCs/>
          <w:kern w:val="0"/>
          <w:sz w:val="24"/>
          <w:szCs w:val="24"/>
        </w:rPr>
        <w:t xml:space="preserve">Hong-Tao Fu, Ying-Ying Xu, Jing-Jing Tian, </w:t>
      </w:r>
      <w:r w:rsidRPr="00E22F6A">
        <w:rPr>
          <w:rFonts w:ascii="Book Antiqua" w:hAnsi="Book Antiqua"/>
          <w:bCs/>
          <w:kern w:val="0"/>
          <w:sz w:val="24"/>
          <w:szCs w:val="24"/>
        </w:rPr>
        <w:t>Jia-Xin Fu,</w:t>
      </w:r>
      <w:r w:rsidRPr="00E22F6A">
        <w:rPr>
          <w:rFonts w:ascii="Book Antiqua" w:hAnsi="Book Antiqua" w:cs="Times New Roman"/>
          <w:bCs/>
          <w:kern w:val="0"/>
          <w:sz w:val="24"/>
          <w:szCs w:val="24"/>
        </w:rPr>
        <w:t xml:space="preserve"> S</w:t>
      </w:r>
      <w:r w:rsidRPr="00E22F6A">
        <w:rPr>
          <w:rFonts w:ascii="Book Antiqua" w:hAnsi="Book Antiqua"/>
          <w:bCs/>
          <w:kern w:val="0"/>
          <w:sz w:val="24"/>
          <w:szCs w:val="24"/>
        </w:rPr>
        <w:t>h</w:t>
      </w:r>
      <w:r w:rsidRPr="00E22F6A">
        <w:rPr>
          <w:rFonts w:ascii="Book Antiqua" w:hAnsi="Book Antiqua" w:cs="Times New Roman"/>
          <w:bCs/>
          <w:kern w:val="0"/>
          <w:sz w:val="24"/>
          <w:szCs w:val="24"/>
        </w:rPr>
        <w:t xml:space="preserve">ao-Ling Nie, Yan-Yan Tang, </w:t>
      </w:r>
      <w:r w:rsidRPr="00E22F6A">
        <w:rPr>
          <w:rFonts w:ascii="Book Antiqua" w:hAnsi="Book Antiqua"/>
          <w:bCs/>
          <w:kern w:val="0"/>
          <w:sz w:val="24"/>
          <w:szCs w:val="24"/>
        </w:rPr>
        <w:t>Ping Chen</w:t>
      </w:r>
      <w:r w:rsidRPr="00E22F6A">
        <w:rPr>
          <w:rFonts w:ascii="Book Antiqua" w:hAnsi="Book Antiqua" w:cs="Times New Roman"/>
          <w:bCs/>
          <w:kern w:val="0"/>
          <w:sz w:val="24"/>
          <w:szCs w:val="24"/>
        </w:rPr>
        <w:t>,</w:t>
      </w:r>
      <w:r w:rsidRPr="00E22F6A">
        <w:rPr>
          <w:rFonts w:ascii="Book Antiqua" w:hAnsi="Book Antiqua"/>
          <w:bCs/>
          <w:kern w:val="0"/>
          <w:sz w:val="24"/>
          <w:szCs w:val="24"/>
        </w:rPr>
        <w:t xml:space="preserve"> </w:t>
      </w:r>
      <w:r w:rsidRPr="00E22F6A">
        <w:rPr>
          <w:rFonts w:ascii="Book Antiqua" w:hAnsi="Book Antiqua" w:cs="Times New Roman"/>
          <w:bCs/>
          <w:kern w:val="0"/>
          <w:sz w:val="24"/>
          <w:szCs w:val="24"/>
        </w:rPr>
        <w:t>Liang Zong</w:t>
      </w:r>
    </w:p>
    <w:p w:rsidR="00866FCC" w:rsidRPr="00E22F6A" w:rsidRDefault="00866FCC">
      <w:pPr>
        <w:snapToGrid w:val="0"/>
        <w:spacing w:line="360" w:lineRule="auto"/>
        <w:rPr>
          <w:rFonts w:ascii="Book Antiqua" w:hAnsi="Book Antiqua" w:cs="Times New Roman"/>
          <w:b/>
          <w:bCs/>
          <w:kern w:val="0"/>
          <w:sz w:val="24"/>
          <w:szCs w:val="24"/>
        </w:rPr>
      </w:pPr>
      <w:r w:rsidRPr="00E22F6A">
        <w:rPr>
          <w:rFonts w:ascii="Book Antiqua" w:hAnsi="Book Antiqua" w:cs="Times New Roman"/>
          <w:b/>
          <w:bCs/>
          <w:kern w:val="0"/>
          <w:sz w:val="24"/>
          <w:szCs w:val="24"/>
        </w:rPr>
        <w:t xml:space="preserve"> </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b/>
          <w:bCs/>
          <w:kern w:val="0"/>
          <w:sz w:val="24"/>
          <w:szCs w:val="24"/>
        </w:rPr>
        <w:t>Hong-Tao Fu,</w:t>
      </w:r>
      <w:r w:rsidRPr="00E22F6A">
        <w:rPr>
          <w:rFonts w:ascii="Book Antiqua" w:hAnsi="Book Antiqua" w:cs="Times New Roman"/>
          <w:kern w:val="0"/>
          <w:sz w:val="24"/>
          <w:szCs w:val="24"/>
        </w:rPr>
        <w:t xml:space="preserve"> Department of Clinical </w:t>
      </w:r>
      <w:r w:rsidRPr="00E22F6A">
        <w:rPr>
          <w:rFonts w:ascii="Book Antiqua" w:hAnsi="Book Antiqua"/>
          <w:kern w:val="0"/>
          <w:sz w:val="24"/>
          <w:szCs w:val="24"/>
        </w:rPr>
        <w:t>M</w:t>
      </w:r>
      <w:r w:rsidRPr="00E22F6A">
        <w:rPr>
          <w:rFonts w:ascii="Book Antiqua" w:hAnsi="Book Antiqua" w:cs="Times New Roman"/>
          <w:kern w:val="0"/>
          <w:sz w:val="24"/>
          <w:szCs w:val="24"/>
        </w:rPr>
        <w:t>edicine, University of South China, Hengyang</w:t>
      </w:r>
      <w:r w:rsidRPr="00E22F6A">
        <w:rPr>
          <w:rFonts w:ascii="Book Antiqua" w:hAnsi="Book Antiqua"/>
          <w:kern w:val="0"/>
          <w:sz w:val="24"/>
          <w:szCs w:val="24"/>
        </w:rPr>
        <w:t xml:space="preserve"> 421000</w:t>
      </w:r>
      <w:r w:rsidRPr="00E22F6A">
        <w:rPr>
          <w:rFonts w:ascii="Book Antiqua" w:hAnsi="Book Antiqua" w:cs="Times New Roman"/>
          <w:kern w:val="0"/>
          <w:sz w:val="24"/>
          <w:szCs w:val="24"/>
        </w:rPr>
        <w:t>, Hunan</w:t>
      </w:r>
      <w:r w:rsidRPr="00E22F6A">
        <w:rPr>
          <w:rFonts w:ascii="Book Antiqua" w:hAnsi="Book Antiqua"/>
          <w:kern w:val="0"/>
          <w:sz w:val="24"/>
          <w:szCs w:val="24"/>
        </w:rPr>
        <w:t xml:space="preserve"> Province</w:t>
      </w:r>
      <w:r w:rsidRPr="00E22F6A">
        <w:rPr>
          <w:rFonts w:ascii="Book Antiqua" w:hAnsi="Book Antiqua" w:cs="Times New Roman"/>
          <w:kern w:val="0"/>
          <w:sz w:val="24"/>
          <w:szCs w:val="24"/>
        </w:rPr>
        <w:t>, China</w:t>
      </w:r>
    </w:p>
    <w:p w:rsidR="00866FCC" w:rsidRPr="00E22F6A" w:rsidRDefault="00866FCC">
      <w:pPr>
        <w:snapToGrid w:val="0"/>
        <w:spacing w:line="360" w:lineRule="auto"/>
        <w:rPr>
          <w:rFonts w:ascii="Book Antiqua" w:hAnsi="Book Antiqua"/>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b/>
          <w:bCs/>
          <w:kern w:val="0"/>
          <w:sz w:val="24"/>
          <w:szCs w:val="24"/>
        </w:rPr>
        <w:t xml:space="preserve">Ying-Ying Xu, </w:t>
      </w:r>
      <w:r w:rsidRPr="00E22F6A">
        <w:rPr>
          <w:rFonts w:ascii="Book Antiqua" w:hAnsi="Book Antiqua" w:cs="Times New Roman"/>
          <w:kern w:val="0"/>
          <w:sz w:val="24"/>
          <w:szCs w:val="24"/>
        </w:rPr>
        <w:t>Department of General Surgery, Yizheng People’s Hospital, Yangzhou University, Yangzhou</w:t>
      </w:r>
      <w:r w:rsidRPr="00E22F6A">
        <w:rPr>
          <w:rFonts w:ascii="Book Antiqua" w:hAnsi="Book Antiqua"/>
          <w:kern w:val="0"/>
          <w:sz w:val="24"/>
          <w:szCs w:val="24"/>
        </w:rPr>
        <w:t xml:space="preserve"> 225000</w:t>
      </w:r>
      <w:r w:rsidRPr="00E22F6A">
        <w:rPr>
          <w:rFonts w:ascii="Book Antiqua" w:hAnsi="Book Antiqua" w:cs="Times New Roman"/>
          <w:kern w:val="0"/>
          <w:sz w:val="24"/>
          <w:szCs w:val="24"/>
        </w:rPr>
        <w:t>, Jiangsu</w:t>
      </w:r>
      <w:r w:rsidRPr="00E22F6A">
        <w:rPr>
          <w:rFonts w:ascii="Book Antiqua" w:hAnsi="Book Antiqua"/>
          <w:kern w:val="0"/>
          <w:sz w:val="24"/>
          <w:szCs w:val="24"/>
        </w:rPr>
        <w:t xml:space="preserve"> Province</w:t>
      </w:r>
      <w:r w:rsidRPr="00E22F6A">
        <w:rPr>
          <w:rFonts w:ascii="Book Antiqua" w:hAnsi="Book Antiqua" w:cs="Times New Roman"/>
          <w:kern w:val="0"/>
          <w:sz w:val="24"/>
          <w:szCs w:val="24"/>
        </w:rPr>
        <w:t>, China</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b/>
          <w:bCs/>
          <w:kern w:val="0"/>
          <w:sz w:val="24"/>
          <w:szCs w:val="24"/>
        </w:rPr>
        <w:t xml:space="preserve">Jing-Jing Tian, </w:t>
      </w:r>
      <w:r w:rsidRPr="00E22F6A">
        <w:rPr>
          <w:rFonts w:ascii="Book Antiqua" w:hAnsi="Book Antiqua"/>
          <w:kern w:val="0"/>
          <w:sz w:val="24"/>
          <w:szCs w:val="24"/>
        </w:rPr>
        <w:t xml:space="preserve">Department of Laboratory Medicine, </w:t>
      </w:r>
      <w:r w:rsidRPr="00E22F6A">
        <w:rPr>
          <w:rFonts w:ascii="Book Antiqua" w:hAnsi="Book Antiqua" w:cs="Times New Roman"/>
          <w:kern w:val="0"/>
          <w:sz w:val="24"/>
          <w:szCs w:val="24"/>
        </w:rPr>
        <w:t>The Second Xiangya Hospital</w:t>
      </w:r>
      <w:r w:rsidRPr="00E22F6A">
        <w:rPr>
          <w:rFonts w:ascii="Book Antiqua" w:hAnsi="Book Antiqua"/>
          <w:kern w:val="0"/>
          <w:sz w:val="24"/>
          <w:szCs w:val="24"/>
        </w:rPr>
        <w:t xml:space="preserve">, </w:t>
      </w:r>
      <w:r w:rsidRPr="00E22F6A">
        <w:rPr>
          <w:rFonts w:ascii="Book Antiqua" w:hAnsi="Book Antiqua" w:cs="Times New Roman"/>
          <w:kern w:val="0"/>
          <w:sz w:val="24"/>
          <w:szCs w:val="24"/>
        </w:rPr>
        <w:t>Central South University,</w:t>
      </w:r>
      <w:r w:rsidRPr="00E22F6A">
        <w:rPr>
          <w:rFonts w:ascii="Book Antiqua" w:hAnsi="Book Antiqua"/>
          <w:kern w:val="0"/>
          <w:sz w:val="24"/>
          <w:szCs w:val="24"/>
        </w:rPr>
        <w:t xml:space="preserve"> </w:t>
      </w:r>
      <w:r w:rsidRPr="00E22F6A">
        <w:rPr>
          <w:rFonts w:ascii="Book Antiqua" w:hAnsi="Book Antiqua" w:cs="Times New Roman"/>
          <w:kern w:val="0"/>
          <w:sz w:val="24"/>
          <w:szCs w:val="24"/>
        </w:rPr>
        <w:t>Changsha 410013</w:t>
      </w:r>
      <w:r w:rsidRPr="00E22F6A">
        <w:rPr>
          <w:rFonts w:ascii="Book Antiqua" w:hAnsi="Book Antiqua"/>
          <w:kern w:val="0"/>
          <w:sz w:val="24"/>
          <w:szCs w:val="24"/>
        </w:rPr>
        <w:t xml:space="preserve">, </w:t>
      </w:r>
      <w:r w:rsidRPr="00E22F6A">
        <w:rPr>
          <w:rFonts w:ascii="Book Antiqua" w:hAnsi="Book Antiqua" w:cs="Times New Roman"/>
          <w:kern w:val="0"/>
          <w:sz w:val="24"/>
          <w:szCs w:val="24"/>
        </w:rPr>
        <w:t>Hunan</w:t>
      </w:r>
      <w:r w:rsidRPr="00E22F6A">
        <w:rPr>
          <w:rFonts w:ascii="Book Antiqua" w:hAnsi="Book Antiqua"/>
          <w:kern w:val="0"/>
          <w:sz w:val="24"/>
          <w:szCs w:val="24"/>
        </w:rPr>
        <w:t xml:space="preserve"> Province</w:t>
      </w:r>
      <w:r w:rsidRPr="00E22F6A">
        <w:rPr>
          <w:rFonts w:ascii="Book Antiqua" w:hAnsi="Book Antiqua" w:cs="Times New Roman"/>
          <w:kern w:val="0"/>
          <w:sz w:val="24"/>
          <w:szCs w:val="24"/>
        </w:rPr>
        <w:t xml:space="preserve">, </w:t>
      </w:r>
      <w:r w:rsidRPr="00E22F6A">
        <w:rPr>
          <w:rFonts w:ascii="Book Antiqua" w:hAnsi="Book Antiqua"/>
          <w:kern w:val="0"/>
          <w:sz w:val="24"/>
          <w:szCs w:val="24"/>
        </w:rPr>
        <w:t>China</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b/>
          <w:bCs/>
          <w:kern w:val="0"/>
          <w:sz w:val="24"/>
          <w:szCs w:val="24"/>
        </w:rPr>
        <w:t xml:space="preserve">Jia-Xin Fu, </w:t>
      </w:r>
      <w:r w:rsidRPr="00E22F6A">
        <w:rPr>
          <w:rFonts w:ascii="Book Antiqua" w:hAnsi="Book Antiqua" w:cs="Times New Roman"/>
          <w:b/>
          <w:bCs/>
          <w:kern w:val="0"/>
          <w:sz w:val="24"/>
          <w:szCs w:val="24"/>
        </w:rPr>
        <w:t>Liang Zong,</w:t>
      </w:r>
      <w:r w:rsidRPr="00E22F6A">
        <w:rPr>
          <w:rFonts w:ascii="Book Antiqua" w:hAnsi="Book Antiqua" w:cs="Times New Roman"/>
          <w:kern w:val="0"/>
          <w:sz w:val="24"/>
          <w:szCs w:val="24"/>
        </w:rPr>
        <w:t xml:space="preserve"> Department of General Surgery, Northern Jiangsu People’s Hospital, Yangzhou University, Yangzhou</w:t>
      </w:r>
      <w:r w:rsidRPr="00E22F6A">
        <w:rPr>
          <w:rFonts w:ascii="Book Antiqua" w:hAnsi="Book Antiqua"/>
          <w:kern w:val="0"/>
          <w:sz w:val="24"/>
          <w:szCs w:val="24"/>
        </w:rPr>
        <w:t xml:space="preserve"> 225000</w:t>
      </w:r>
      <w:r w:rsidRPr="00E22F6A">
        <w:rPr>
          <w:rFonts w:ascii="Book Antiqua" w:hAnsi="Book Antiqua" w:cs="Times New Roman"/>
          <w:kern w:val="0"/>
          <w:sz w:val="24"/>
          <w:szCs w:val="24"/>
        </w:rPr>
        <w:t>, Jiangsu</w:t>
      </w:r>
      <w:r w:rsidRPr="00E22F6A">
        <w:rPr>
          <w:rFonts w:ascii="Book Antiqua" w:hAnsi="Book Antiqua"/>
          <w:kern w:val="0"/>
          <w:sz w:val="24"/>
          <w:szCs w:val="24"/>
        </w:rPr>
        <w:t xml:space="preserve"> Province</w:t>
      </w:r>
      <w:r w:rsidRPr="00E22F6A">
        <w:rPr>
          <w:rFonts w:ascii="Book Antiqua" w:hAnsi="Book Antiqua" w:cs="Times New Roman"/>
          <w:kern w:val="0"/>
          <w:sz w:val="24"/>
          <w:szCs w:val="24"/>
        </w:rPr>
        <w:t>, China</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b/>
          <w:bCs/>
          <w:kern w:val="0"/>
          <w:sz w:val="24"/>
          <w:szCs w:val="24"/>
        </w:rPr>
        <w:t>S</w:t>
      </w:r>
      <w:r w:rsidRPr="00E22F6A">
        <w:rPr>
          <w:rFonts w:ascii="Book Antiqua" w:hAnsi="Book Antiqua"/>
          <w:b/>
          <w:bCs/>
          <w:kern w:val="0"/>
          <w:sz w:val="24"/>
          <w:szCs w:val="24"/>
        </w:rPr>
        <w:t>h</w:t>
      </w:r>
      <w:r w:rsidRPr="00E22F6A">
        <w:rPr>
          <w:rFonts w:ascii="Book Antiqua" w:hAnsi="Book Antiqua" w:cs="Times New Roman"/>
          <w:b/>
          <w:bCs/>
          <w:kern w:val="0"/>
          <w:sz w:val="24"/>
          <w:szCs w:val="24"/>
        </w:rPr>
        <w:t>ao-Ling Nie, Yan-Yan Tang,</w:t>
      </w:r>
      <w:r w:rsidRPr="00E22F6A">
        <w:rPr>
          <w:rFonts w:ascii="Book Antiqua" w:hAnsi="Book Antiqua" w:cs="Times New Roman"/>
          <w:kern w:val="0"/>
          <w:sz w:val="24"/>
          <w:szCs w:val="24"/>
        </w:rPr>
        <w:t xml:space="preserve"> Department of Colorectal Surgery, Hunan Cancer Hospital, Central South University, Changsha</w:t>
      </w:r>
      <w:r w:rsidRPr="00E22F6A">
        <w:rPr>
          <w:rFonts w:ascii="Book Antiqua" w:hAnsi="Book Antiqua"/>
          <w:kern w:val="0"/>
          <w:sz w:val="24"/>
          <w:szCs w:val="24"/>
        </w:rPr>
        <w:t xml:space="preserve"> 410000</w:t>
      </w:r>
      <w:r w:rsidRPr="00E22F6A">
        <w:rPr>
          <w:rFonts w:ascii="Book Antiqua" w:hAnsi="Book Antiqua" w:cs="Times New Roman"/>
          <w:kern w:val="0"/>
          <w:sz w:val="24"/>
          <w:szCs w:val="24"/>
        </w:rPr>
        <w:t>, Hunan</w:t>
      </w:r>
      <w:r w:rsidRPr="00E22F6A">
        <w:rPr>
          <w:rFonts w:ascii="Book Antiqua" w:hAnsi="Book Antiqua"/>
          <w:kern w:val="0"/>
          <w:sz w:val="24"/>
          <w:szCs w:val="24"/>
        </w:rPr>
        <w:t xml:space="preserve"> Province</w:t>
      </w:r>
      <w:r w:rsidRPr="00E22F6A">
        <w:rPr>
          <w:rFonts w:ascii="Book Antiqua" w:hAnsi="Book Antiqua" w:cs="Times New Roman"/>
          <w:kern w:val="0"/>
          <w:sz w:val="24"/>
          <w:szCs w:val="24"/>
        </w:rPr>
        <w:t>, China</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b/>
          <w:bCs/>
          <w:kern w:val="0"/>
          <w:sz w:val="24"/>
          <w:szCs w:val="24"/>
        </w:rPr>
        <w:t>Ping Chen</w:t>
      </w:r>
      <w:r w:rsidRPr="00E22F6A">
        <w:rPr>
          <w:rFonts w:ascii="Book Antiqua" w:hAnsi="Book Antiqua" w:cs="Times New Roman"/>
          <w:b/>
          <w:bCs/>
          <w:kern w:val="0"/>
          <w:sz w:val="24"/>
          <w:szCs w:val="24"/>
        </w:rPr>
        <w:t>,</w:t>
      </w:r>
      <w:r w:rsidRPr="00E22F6A">
        <w:rPr>
          <w:rFonts w:ascii="Book Antiqua" w:hAnsi="Book Antiqua"/>
          <w:b/>
          <w:bCs/>
          <w:kern w:val="0"/>
          <w:sz w:val="24"/>
          <w:szCs w:val="24"/>
        </w:rPr>
        <w:t xml:space="preserve"> </w:t>
      </w:r>
      <w:r w:rsidRPr="00E22F6A">
        <w:rPr>
          <w:rFonts w:ascii="Book Antiqua" w:hAnsi="Book Antiqua" w:cs="Times New Roman"/>
          <w:b/>
          <w:bCs/>
          <w:kern w:val="0"/>
          <w:sz w:val="24"/>
          <w:szCs w:val="24"/>
        </w:rPr>
        <w:t xml:space="preserve">Liang Zong, </w:t>
      </w:r>
      <w:r w:rsidRPr="00E22F6A">
        <w:rPr>
          <w:rFonts w:ascii="Book Antiqua" w:hAnsi="Book Antiqua" w:cs="Times New Roman"/>
          <w:kern w:val="0"/>
          <w:sz w:val="24"/>
          <w:szCs w:val="24"/>
        </w:rPr>
        <w:t>Department of General Surgery, Northern Jiangsu People’s Hospital, Yangzhou University, Yangzhou</w:t>
      </w:r>
      <w:r w:rsidRPr="00E22F6A">
        <w:rPr>
          <w:rFonts w:ascii="Book Antiqua" w:hAnsi="Book Antiqua"/>
          <w:kern w:val="0"/>
          <w:sz w:val="24"/>
          <w:szCs w:val="24"/>
        </w:rPr>
        <w:t xml:space="preserve"> 225000</w:t>
      </w:r>
      <w:r w:rsidRPr="00E22F6A">
        <w:rPr>
          <w:rFonts w:ascii="Book Antiqua" w:hAnsi="Book Antiqua" w:cs="Times New Roman"/>
          <w:kern w:val="0"/>
          <w:sz w:val="24"/>
          <w:szCs w:val="24"/>
        </w:rPr>
        <w:t>, Jiangsu</w:t>
      </w:r>
      <w:r w:rsidRPr="00E22F6A">
        <w:rPr>
          <w:rFonts w:ascii="Book Antiqua" w:hAnsi="Book Antiqua"/>
          <w:kern w:val="0"/>
          <w:sz w:val="24"/>
          <w:szCs w:val="24"/>
        </w:rPr>
        <w:t xml:space="preserve"> Province</w:t>
      </w:r>
      <w:r w:rsidRPr="00E22F6A">
        <w:rPr>
          <w:rFonts w:ascii="Book Antiqua" w:hAnsi="Book Antiqua" w:cs="Times New Roman"/>
          <w:kern w:val="0"/>
          <w:sz w:val="24"/>
          <w:szCs w:val="24"/>
        </w:rPr>
        <w:t>, China</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cs="Times New Roman"/>
          <w:kern w:val="0"/>
          <w:sz w:val="24"/>
          <w:szCs w:val="24"/>
        </w:rPr>
      </w:pPr>
      <w:bookmarkStart w:id="9" w:name="_Hlk15549508"/>
      <w:bookmarkStart w:id="10" w:name="_Hlk11162777"/>
      <w:r w:rsidRPr="00E22F6A">
        <w:rPr>
          <w:rFonts w:ascii="Book Antiqua" w:hAnsi="Book Antiqua"/>
          <w:b/>
          <w:bCs/>
          <w:kern w:val="0"/>
          <w:sz w:val="24"/>
          <w:szCs w:val="24"/>
          <w:shd w:val="clear" w:color="auto" w:fill="FFFFFF"/>
        </w:rPr>
        <w:t>ORCID number</w:t>
      </w:r>
      <w:r w:rsidRPr="00E22F6A">
        <w:rPr>
          <w:rFonts w:ascii="Book Antiqua" w:hAnsi="Book Antiqua"/>
          <w:b/>
          <w:kern w:val="0"/>
          <w:sz w:val="24"/>
          <w:szCs w:val="24"/>
        </w:rPr>
        <w:t>:</w:t>
      </w:r>
      <w:bookmarkEnd w:id="9"/>
      <w:bookmarkEnd w:id="10"/>
      <w:r w:rsidRPr="00E22F6A">
        <w:rPr>
          <w:rStyle w:val="a9"/>
          <w:rFonts w:ascii="Book Antiqua" w:eastAsia="DengXian" w:hAnsi="Book Antiqua"/>
          <w:kern w:val="0"/>
          <w:sz w:val="24"/>
          <w:szCs w:val="24"/>
        </w:rPr>
        <w:t xml:space="preserve"> </w:t>
      </w:r>
      <w:r w:rsidRPr="00E22F6A">
        <w:rPr>
          <w:rFonts w:ascii="Book Antiqua" w:hAnsi="Book Antiqua" w:cs="Times New Roman"/>
          <w:kern w:val="0"/>
          <w:sz w:val="24"/>
          <w:szCs w:val="24"/>
        </w:rPr>
        <w:t>Hong-Tao Fu (0000-0003-0724-4406); Ying-Ying Xu (0000-0002-7575-4419); Jing-Jing Tian (0000-0001-7066-6279); Jia-Xin Fu (0000-0001-5475-8798); Shao-Ling Nie (0000-0001-6948-0186); Yan-Yan Tang (0000-0003-1985-6389); Ping Chen (0000-0001-9296-6512); Liang Zong (0000-0003-4139-4571).</w:t>
      </w:r>
    </w:p>
    <w:p w:rsidR="00866FCC" w:rsidRPr="00E22F6A" w:rsidRDefault="00866FCC">
      <w:pPr>
        <w:snapToGrid w:val="0"/>
        <w:spacing w:line="360" w:lineRule="auto"/>
        <w:rPr>
          <w:rFonts w:ascii="Book Antiqua" w:hAnsi="Book Antiqua"/>
          <w:b/>
          <w:kern w:val="0"/>
          <w:sz w:val="24"/>
          <w:szCs w:val="24"/>
        </w:rPr>
      </w:pPr>
    </w:p>
    <w:p w:rsidR="00866FCC" w:rsidRPr="00E22F6A" w:rsidRDefault="00866FCC">
      <w:pPr>
        <w:snapToGrid w:val="0"/>
        <w:spacing w:line="360" w:lineRule="auto"/>
        <w:rPr>
          <w:rFonts w:ascii="Book Antiqua" w:hAnsi="Book Antiqua" w:cs="Times New Roman"/>
          <w:kern w:val="0"/>
          <w:sz w:val="24"/>
          <w:szCs w:val="24"/>
        </w:rPr>
      </w:pPr>
      <w:bookmarkStart w:id="11" w:name="OLE_LINK20"/>
      <w:bookmarkStart w:id="12" w:name="OLE_LINK18"/>
      <w:bookmarkStart w:id="13" w:name="_Hlk6588641"/>
      <w:r w:rsidRPr="00E22F6A">
        <w:rPr>
          <w:rFonts w:ascii="Book Antiqua" w:hAnsi="Book Antiqua"/>
          <w:b/>
          <w:kern w:val="0"/>
          <w:sz w:val="24"/>
          <w:szCs w:val="24"/>
        </w:rPr>
        <w:t>Author contributions:</w:t>
      </w:r>
      <w:bookmarkEnd w:id="11"/>
      <w:bookmarkEnd w:id="12"/>
      <w:r w:rsidRPr="00E22F6A">
        <w:rPr>
          <w:rFonts w:ascii="Book Antiqua" w:hAnsi="Book Antiqua"/>
          <w:kern w:val="0"/>
          <w:sz w:val="24"/>
          <w:szCs w:val="24"/>
        </w:rPr>
        <w:t xml:space="preserve"> Fu HT, Xu YY, Tian JJ and Fu JX contributed equally to this work; </w:t>
      </w:r>
      <w:r w:rsidRPr="00E22F6A">
        <w:rPr>
          <w:rFonts w:ascii="Book Antiqua" w:hAnsi="Book Antiqua"/>
          <w:bCs/>
          <w:kern w:val="0"/>
          <w:sz w:val="24"/>
          <w:szCs w:val="24"/>
        </w:rPr>
        <w:t>Zong L and Nie SL were responsible for the conception and design of the study; Fu HT, Tian JJ, Xu YY and Fu JX collected the data and organized data extraction sheets; Fu HT and Tian JJ statistically analyzed the data; Fu HT drafted the manuscript, with critical revision being performed by Zong L and Nie SL.</w:t>
      </w:r>
    </w:p>
    <w:bookmarkEnd w:id="13"/>
    <w:p w:rsidR="00866FCC" w:rsidRPr="00E22F6A" w:rsidRDefault="00866FCC">
      <w:pPr>
        <w:snapToGrid w:val="0"/>
        <w:spacing w:line="360" w:lineRule="auto"/>
        <w:rPr>
          <w:rFonts w:ascii="Book Antiqua" w:hAnsi="Book Antiqua"/>
          <w:kern w:val="0"/>
          <w:sz w:val="24"/>
          <w:szCs w:val="24"/>
          <w:lang w:val="en-US" w:eastAsia="zh-CN"/>
        </w:rPr>
      </w:pPr>
    </w:p>
    <w:p w:rsidR="00866FCC" w:rsidRPr="00E22F6A" w:rsidRDefault="00866FCC">
      <w:pPr>
        <w:adjustRightInd w:val="0"/>
        <w:snapToGrid w:val="0"/>
        <w:spacing w:line="360" w:lineRule="auto"/>
        <w:rPr>
          <w:rFonts w:ascii="Book Antiqua" w:hAnsi="Book Antiqua"/>
          <w:b/>
          <w:kern w:val="0"/>
          <w:sz w:val="24"/>
          <w:szCs w:val="24"/>
        </w:rPr>
      </w:pPr>
      <w:bookmarkStart w:id="14" w:name="_Hlk6585775"/>
      <w:r w:rsidRPr="00E22F6A">
        <w:rPr>
          <w:rFonts w:ascii="Book Antiqua" w:hAnsi="Book Antiqua"/>
          <w:b/>
          <w:kern w:val="0"/>
          <w:sz w:val="24"/>
          <w:szCs w:val="24"/>
        </w:rPr>
        <w:t>Conflict-of-interest statement</w:t>
      </w:r>
      <w:r w:rsidRPr="00E22F6A">
        <w:rPr>
          <w:rFonts w:ascii="Book Antiqua" w:hAnsi="Book Antiqua" w:cs="TimesNewRomanPS-BoldItalicMT"/>
          <w:b/>
          <w:bCs/>
          <w:iCs/>
          <w:kern w:val="0"/>
          <w:sz w:val="24"/>
          <w:szCs w:val="24"/>
        </w:rPr>
        <w:t xml:space="preserve">: </w:t>
      </w:r>
      <w:r w:rsidRPr="00E22F6A">
        <w:rPr>
          <w:rFonts w:ascii="Book Antiqua" w:hAnsi="Book Antiqua"/>
          <w:bCs/>
          <w:kern w:val="0"/>
          <w:sz w:val="24"/>
          <w:szCs w:val="24"/>
        </w:rPr>
        <w:t>The authors have no conflicts of interest for this manuscript.</w:t>
      </w:r>
    </w:p>
    <w:bookmarkEnd w:id="14"/>
    <w:p w:rsidR="00866FCC" w:rsidRPr="00E22F6A" w:rsidRDefault="00866FCC">
      <w:pPr>
        <w:snapToGrid w:val="0"/>
        <w:spacing w:line="360" w:lineRule="auto"/>
        <w:rPr>
          <w:rFonts w:ascii="Book Antiqua" w:hAnsi="Book Antiqua"/>
          <w:kern w:val="0"/>
          <w:sz w:val="24"/>
          <w:szCs w:val="24"/>
          <w:lang w:val="en-US" w:eastAsia="zh-CN"/>
        </w:rPr>
      </w:pPr>
    </w:p>
    <w:p w:rsidR="00866FCC" w:rsidRPr="00E22F6A" w:rsidRDefault="00866FCC">
      <w:pPr>
        <w:snapToGrid w:val="0"/>
        <w:spacing w:line="360" w:lineRule="auto"/>
        <w:rPr>
          <w:rFonts w:ascii="Book Antiqua" w:hAnsi="Book Antiqua" w:cs="Arial"/>
          <w:b/>
          <w:kern w:val="0"/>
          <w:sz w:val="24"/>
          <w:szCs w:val="24"/>
        </w:rPr>
      </w:pPr>
      <w:bookmarkStart w:id="15" w:name="_Hlk6585783"/>
      <w:r w:rsidRPr="00E22F6A">
        <w:rPr>
          <w:rFonts w:ascii="Book Antiqua" w:hAnsi="Book Antiqua"/>
          <w:b/>
          <w:kern w:val="0"/>
          <w:sz w:val="24"/>
          <w:szCs w:val="24"/>
        </w:rPr>
        <w:t>PRISMA 2009 Checklist statement</w:t>
      </w:r>
      <w:r w:rsidRPr="00E22F6A">
        <w:rPr>
          <w:rFonts w:ascii="Book Antiqua" w:hAnsi="Book Antiqua" w:cs="TimesNewRomanPS-BoldItalicMT"/>
          <w:b/>
          <w:bCs/>
          <w:iCs/>
          <w:kern w:val="0"/>
          <w:sz w:val="24"/>
          <w:szCs w:val="24"/>
        </w:rPr>
        <w:t xml:space="preserve">: </w:t>
      </w:r>
      <w:r w:rsidRPr="00E22F6A">
        <w:rPr>
          <w:rFonts w:ascii="Book Antiqua" w:hAnsi="Book Antiqua" w:cs="Times New Roman"/>
          <w:kern w:val="0"/>
          <w:sz w:val="24"/>
          <w:szCs w:val="24"/>
        </w:rPr>
        <w:t>The authors have read the PRISMA 2009 Checklist, and the manuscript was prepared and revised according to the PRISMA 2009 Checklist.</w:t>
      </w:r>
    </w:p>
    <w:p w:rsidR="00866FCC" w:rsidRPr="00E22F6A" w:rsidRDefault="00866FCC">
      <w:pPr>
        <w:snapToGrid w:val="0"/>
        <w:spacing w:line="360" w:lineRule="auto"/>
        <w:rPr>
          <w:rFonts w:ascii="Book Antiqua" w:eastAsia="DengXian" w:hAnsi="Book Antiqua" w:cs="Times New Roman"/>
          <w:kern w:val="0"/>
          <w:sz w:val="24"/>
          <w:szCs w:val="24"/>
        </w:rPr>
      </w:pPr>
    </w:p>
    <w:p w:rsidR="00866FCC" w:rsidRPr="00E22F6A" w:rsidRDefault="00866FCC">
      <w:pPr>
        <w:snapToGrid w:val="0"/>
        <w:spacing w:line="360" w:lineRule="auto"/>
        <w:rPr>
          <w:rFonts w:ascii="Book Antiqua" w:hAnsi="Book Antiqua" w:cs="Arial"/>
          <w:b/>
          <w:kern w:val="0"/>
          <w:sz w:val="24"/>
          <w:szCs w:val="24"/>
          <w:lang w:eastAsia="en-US"/>
        </w:rPr>
      </w:pPr>
      <w:r w:rsidRPr="00E22F6A">
        <w:rPr>
          <w:rFonts w:ascii="Book Antiqua" w:hAnsi="Book Antiqua"/>
          <w:b/>
          <w:kern w:val="0"/>
          <w:sz w:val="24"/>
          <w:szCs w:val="24"/>
        </w:rPr>
        <w:t xml:space="preserve">Open-Access: </w:t>
      </w:r>
      <w:bookmarkStart w:id="16" w:name="OLE_LINK16"/>
      <w:r w:rsidRPr="00E22F6A">
        <w:rPr>
          <w:rFonts w:ascii="Book Antiqua" w:hAnsi="Book Antiqua"/>
          <w:kern w:val="0"/>
          <w:sz w:val="24"/>
          <w:szCs w:val="24"/>
        </w:rPr>
        <w:t>This article is an open-access article that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16"/>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autoSpaceDE w:val="0"/>
        <w:autoSpaceDN w:val="0"/>
        <w:adjustRightInd w:val="0"/>
        <w:snapToGrid w:val="0"/>
        <w:spacing w:line="360" w:lineRule="auto"/>
        <w:rPr>
          <w:rFonts w:ascii="Book Antiqua" w:hAnsi="Book Antiqua" w:cs="Arial Unicode MS"/>
          <w:kern w:val="0"/>
          <w:sz w:val="24"/>
          <w:szCs w:val="24"/>
        </w:rPr>
      </w:pPr>
      <w:bookmarkStart w:id="17" w:name="OLE_LINK918"/>
      <w:bookmarkStart w:id="18" w:name="OLE_LINK919"/>
      <w:bookmarkStart w:id="19" w:name="OLE_LINK1029"/>
      <w:bookmarkStart w:id="20" w:name="OLE_LINK571"/>
      <w:bookmarkStart w:id="21" w:name="OLE_LINK776"/>
      <w:bookmarkStart w:id="22" w:name="OLE_LINK927"/>
      <w:bookmarkStart w:id="23" w:name="OLE_LINK928"/>
      <w:bookmarkStart w:id="24" w:name="OLE_LINK1123"/>
      <w:bookmarkStart w:id="25" w:name="OLE_LINK709"/>
      <w:bookmarkStart w:id="26" w:name="OLE_LINK759"/>
      <w:r w:rsidRPr="00E22F6A">
        <w:rPr>
          <w:rFonts w:ascii="Book Antiqua" w:hAnsi="Book Antiqua" w:cs="Arial Unicode MS"/>
          <w:b/>
          <w:kern w:val="0"/>
          <w:sz w:val="24"/>
          <w:szCs w:val="24"/>
        </w:rPr>
        <w:t>Manuscript source:</w:t>
      </w:r>
      <w:r w:rsidRPr="00E22F6A">
        <w:rPr>
          <w:rFonts w:ascii="Book Antiqua" w:hAnsi="Book Antiqua" w:cs="Arial Unicode MS"/>
          <w:kern w:val="0"/>
          <w:sz w:val="24"/>
          <w:szCs w:val="24"/>
        </w:rPr>
        <w:t xml:space="preserve"> </w:t>
      </w:r>
      <w:bookmarkEnd w:id="17"/>
      <w:bookmarkEnd w:id="18"/>
      <w:bookmarkEnd w:id="19"/>
      <w:bookmarkEnd w:id="20"/>
      <w:bookmarkEnd w:id="21"/>
      <w:bookmarkEnd w:id="22"/>
      <w:bookmarkEnd w:id="23"/>
      <w:bookmarkEnd w:id="24"/>
      <w:bookmarkEnd w:id="25"/>
      <w:bookmarkEnd w:id="26"/>
      <w:r w:rsidRPr="00E22F6A">
        <w:rPr>
          <w:rFonts w:ascii="Book Antiqua" w:hAnsi="Book Antiqua" w:cs="Arial Unicode MS"/>
          <w:kern w:val="0"/>
          <w:sz w:val="24"/>
          <w:szCs w:val="24"/>
        </w:rPr>
        <w:t>Unsolicited manuscript</w:t>
      </w:r>
    </w:p>
    <w:p w:rsidR="00866FCC" w:rsidRPr="00E22F6A" w:rsidRDefault="00866FCC">
      <w:pPr>
        <w:snapToGrid w:val="0"/>
        <w:spacing w:line="360" w:lineRule="auto"/>
        <w:rPr>
          <w:rFonts w:ascii="Book Antiqua" w:eastAsia="DengXian" w:hAnsi="Book Antiqua" w:cs="Times New Roman"/>
          <w:kern w:val="0"/>
          <w:sz w:val="24"/>
          <w:szCs w:val="24"/>
        </w:rPr>
      </w:pPr>
    </w:p>
    <w:p w:rsidR="00866FCC" w:rsidRPr="00E22F6A" w:rsidRDefault="00866FCC">
      <w:pPr>
        <w:snapToGrid w:val="0"/>
        <w:spacing w:line="360" w:lineRule="auto"/>
        <w:rPr>
          <w:rFonts w:ascii="Book Antiqua" w:hAnsi="Book Antiqua"/>
          <w:bCs/>
          <w:kern w:val="0"/>
          <w:sz w:val="24"/>
          <w:szCs w:val="24"/>
        </w:rPr>
      </w:pPr>
      <w:bookmarkStart w:id="27" w:name="OLE_LINK535"/>
      <w:bookmarkStart w:id="28" w:name="OLE_LINK536"/>
      <w:r w:rsidRPr="00E22F6A">
        <w:rPr>
          <w:rFonts w:ascii="Book Antiqua" w:hAnsi="Book Antiqua"/>
          <w:b/>
          <w:kern w:val="0"/>
          <w:sz w:val="24"/>
          <w:szCs w:val="24"/>
        </w:rPr>
        <w:t>Corresponding author:</w:t>
      </w:r>
      <w:bookmarkEnd w:id="27"/>
      <w:bookmarkEnd w:id="28"/>
      <w:r w:rsidRPr="00E22F6A">
        <w:rPr>
          <w:rFonts w:ascii="Book Antiqua" w:hAnsi="Book Antiqua"/>
          <w:b/>
          <w:kern w:val="0"/>
          <w:sz w:val="24"/>
          <w:szCs w:val="24"/>
        </w:rPr>
        <w:t xml:space="preserve"> Liang Zong, PhD, Doctor, Professor, </w:t>
      </w:r>
      <w:r w:rsidRPr="00E22F6A">
        <w:rPr>
          <w:rFonts w:ascii="Book Antiqua" w:hAnsi="Book Antiqua" w:cs="Times New Roman"/>
          <w:kern w:val="0"/>
          <w:sz w:val="24"/>
          <w:szCs w:val="24"/>
        </w:rPr>
        <w:t>Department of General Surgery, Northern Jiangsu People’s Hospital, Yangzhou University, Yangzhou</w:t>
      </w:r>
      <w:r w:rsidRPr="00E22F6A">
        <w:rPr>
          <w:rFonts w:ascii="Book Antiqua" w:hAnsi="Book Antiqua"/>
          <w:kern w:val="0"/>
          <w:sz w:val="24"/>
          <w:szCs w:val="24"/>
        </w:rPr>
        <w:t xml:space="preserve"> 225000</w:t>
      </w:r>
      <w:r w:rsidRPr="00E22F6A">
        <w:rPr>
          <w:rFonts w:ascii="Book Antiqua" w:hAnsi="Book Antiqua" w:cs="Times New Roman"/>
          <w:kern w:val="0"/>
          <w:sz w:val="24"/>
          <w:szCs w:val="24"/>
        </w:rPr>
        <w:t>, Jiangsu</w:t>
      </w:r>
      <w:r w:rsidRPr="00E22F6A">
        <w:rPr>
          <w:rFonts w:ascii="Book Antiqua" w:hAnsi="Book Antiqua"/>
          <w:kern w:val="0"/>
          <w:sz w:val="24"/>
          <w:szCs w:val="24"/>
        </w:rPr>
        <w:t xml:space="preserve"> Province</w:t>
      </w:r>
      <w:r w:rsidRPr="00E22F6A">
        <w:rPr>
          <w:rFonts w:ascii="Book Antiqua" w:hAnsi="Book Antiqua" w:cs="Times New Roman"/>
          <w:kern w:val="0"/>
          <w:sz w:val="24"/>
          <w:szCs w:val="24"/>
        </w:rPr>
        <w:t>, China</w:t>
      </w:r>
      <w:r w:rsidRPr="00E22F6A">
        <w:rPr>
          <w:rFonts w:ascii="Book Antiqua" w:hAnsi="Book Antiqua"/>
          <w:bCs/>
          <w:kern w:val="0"/>
          <w:sz w:val="24"/>
          <w:szCs w:val="24"/>
        </w:rPr>
        <w:t>. 250537471@qq.com</w:t>
      </w:r>
    </w:p>
    <w:p w:rsidR="00866FCC" w:rsidRPr="00E22F6A" w:rsidRDefault="00866FCC">
      <w:pPr>
        <w:snapToGrid w:val="0"/>
        <w:spacing w:line="360" w:lineRule="auto"/>
        <w:rPr>
          <w:rFonts w:ascii="Book Antiqua" w:hAnsi="Book Antiqua"/>
          <w:bCs/>
          <w:kern w:val="0"/>
          <w:sz w:val="24"/>
          <w:szCs w:val="24"/>
        </w:rPr>
      </w:pPr>
      <w:r w:rsidRPr="00E22F6A">
        <w:rPr>
          <w:rFonts w:ascii="Book Antiqua" w:hAnsi="Book Antiqua"/>
          <w:b/>
          <w:kern w:val="0"/>
          <w:sz w:val="24"/>
          <w:szCs w:val="24"/>
        </w:rPr>
        <w:t>Telephone:</w:t>
      </w:r>
      <w:r w:rsidRPr="00E22F6A">
        <w:rPr>
          <w:rFonts w:ascii="Book Antiqua" w:hAnsi="Book Antiqua"/>
          <w:bCs/>
          <w:kern w:val="0"/>
          <w:sz w:val="24"/>
          <w:szCs w:val="24"/>
        </w:rPr>
        <w:t xml:space="preserve"> +86-514-87373395</w:t>
      </w:r>
    </w:p>
    <w:p w:rsidR="00866FCC" w:rsidRPr="00E22F6A" w:rsidRDefault="00866FCC">
      <w:pPr>
        <w:snapToGrid w:val="0"/>
        <w:spacing w:line="360" w:lineRule="auto"/>
        <w:rPr>
          <w:rFonts w:ascii="Book Antiqua" w:hAnsi="Book Antiqua"/>
          <w:bCs/>
          <w:kern w:val="0"/>
          <w:sz w:val="24"/>
          <w:szCs w:val="24"/>
        </w:rPr>
      </w:pPr>
    </w:p>
    <w:p w:rsidR="00866FCC" w:rsidRPr="00E22F6A" w:rsidRDefault="00866FCC">
      <w:pPr>
        <w:snapToGrid w:val="0"/>
        <w:spacing w:line="360" w:lineRule="auto"/>
        <w:rPr>
          <w:rFonts w:ascii="Book Antiqua" w:hAnsi="Book Antiqua" w:cs="Arial"/>
          <w:b/>
          <w:kern w:val="0"/>
          <w:sz w:val="24"/>
          <w:szCs w:val="24"/>
        </w:rPr>
      </w:pPr>
      <w:r w:rsidRPr="00E22F6A">
        <w:rPr>
          <w:rFonts w:ascii="Book Antiqua" w:hAnsi="Book Antiqua"/>
          <w:b/>
          <w:kern w:val="0"/>
          <w:sz w:val="24"/>
          <w:szCs w:val="24"/>
        </w:rPr>
        <w:t xml:space="preserve">Received: </w:t>
      </w:r>
      <w:r w:rsidRPr="00E22F6A">
        <w:rPr>
          <w:rFonts w:ascii="Book Antiqua" w:hAnsi="Book Antiqua"/>
          <w:kern w:val="0"/>
          <w:sz w:val="24"/>
          <w:szCs w:val="24"/>
        </w:rPr>
        <w:t>June 22, 2019</w:t>
      </w:r>
    </w:p>
    <w:p w:rsidR="00866FCC" w:rsidRPr="00E22F6A" w:rsidRDefault="00866FCC">
      <w:pPr>
        <w:snapToGrid w:val="0"/>
        <w:spacing w:line="360" w:lineRule="auto"/>
        <w:rPr>
          <w:rFonts w:ascii="Book Antiqua" w:hAnsi="Book Antiqua"/>
          <w:b/>
          <w:kern w:val="0"/>
          <w:sz w:val="24"/>
          <w:szCs w:val="24"/>
          <w:lang w:eastAsia="en-US"/>
        </w:rPr>
      </w:pPr>
      <w:r w:rsidRPr="00E22F6A">
        <w:rPr>
          <w:rFonts w:ascii="Book Antiqua" w:hAnsi="Book Antiqua"/>
          <w:b/>
          <w:kern w:val="0"/>
          <w:sz w:val="24"/>
          <w:szCs w:val="24"/>
        </w:rPr>
        <w:t xml:space="preserve">Peer-review started: </w:t>
      </w:r>
      <w:r w:rsidRPr="00E22F6A">
        <w:rPr>
          <w:rFonts w:ascii="Book Antiqua" w:hAnsi="Book Antiqua"/>
          <w:kern w:val="0"/>
          <w:sz w:val="24"/>
          <w:szCs w:val="24"/>
        </w:rPr>
        <w:t>June 24, 2019</w:t>
      </w:r>
    </w:p>
    <w:p w:rsidR="00866FCC" w:rsidRPr="00E22F6A" w:rsidRDefault="00866FCC">
      <w:pPr>
        <w:snapToGrid w:val="0"/>
        <w:spacing w:line="360" w:lineRule="auto"/>
        <w:rPr>
          <w:rFonts w:ascii="Book Antiqua" w:hAnsi="Book Antiqua"/>
          <w:b/>
          <w:kern w:val="0"/>
          <w:sz w:val="24"/>
          <w:szCs w:val="24"/>
        </w:rPr>
      </w:pPr>
      <w:r w:rsidRPr="00E22F6A">
        <w:rPr>
          <w:rFonts w:ascii="Book Antiqua" w:hAnsi="Book Antiqua"/>
          <w:b/>
          <w:kern w:val="0"/>
          <w:sz w:val="24"/>
          <w:szCs w:val="24"/>
        </w:rPr>
        <w:t xml:space="preserve">First decision: </w:t>
      </w:r>
      <w:r w:rsidRPr="00E22F6A">
        <w:rPr>
          <w:rFonts w:ascii="Book Antiqua" w:hAnsi="Book Antiqua"/>
          <w:kern w:val="0"/>
          <w:sz w:val="24"/>
          <w:szCs w:val="24"/>
        </w:rPr>
        <w:t>August 27, 2019</w:t>
      </w:r>
    </w:p>
    <w:p w:rsidR="00866FCC" w:rsidRPr="00E22F6A" w:rsidRDefault="00866FCC">
      <w:pPr>
        <w:snapToGrid w:val="0"/>
        <w:spacing w:line="360" w:lineRule="auto"/>
        <w:rPr>
          <w:rFonts w:ascii="Book Antiqua" w:hAnsi="Book Antiqua"/>
          <w:b/>
          <w:kern w:val="0"/>
          <w:sz w:val="24"/>
          <w:szCs w:val="24"/>
        </w:rPr>
      </w:pPr>
      <w:r w:rsidRPr="00E22F6A">
        <w:rPr>
          <w:rFonts w:ascii="Book Antiqua" w:hAnsi="Book Antiqua"/>
          <w:b/>
          <w:kern w:val="0"/>
          <w:sz w:val="24"/>
          <w:szCs w:val="24"/>
        </w:rPr>
        <w:t xml:space="preserve">Revised: </w:t>
      </w:r>
      <w:r w:rsidRPr="00E22F6A">
        <w:rPr>
          <w:rFonts w:ascii="Book Antiqua" w:hAnsi="Book Antiqua"/>
          <w:kern w:val="0"/>
          <w:sz w:val="24"/>
          <w:szCs w:val="24"/>
        </w:rPr>
        <w:t>September 26, 2019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b/>
          <w:kern w:val="0"/>
          <w:sz w:val="24"/>
          <w:szCs w:val="24"/>
        </w:rPr>
        <w:t>Accepted:</w:t>
      </w:r>
      <w:r w:rsidRPr="00E22F6A">
        <w:rPr>
          <w:rFonts w:ascii="Book Antiqua" w:hAnsi="Book Antiqua"/>
          <w:kern w:val="0"/>
          <w:sz w:val="24"/>
          <w:szCs w:val="24"/>
        </w:rPr>
        <w:t xml:space="preserve"> October 20, 2019</w:t>
      </w:r>
      <w:r w:rsidRPr="00E22F6A">
        <w:rPr>
          <w:rFonts w:ascii="Book Antiqua" w:hAnsi="Book Antiqua"/>
          <w:b/>
          <w:kern w:val="0"/>
          <w:sz w:val="24"/>
          <w:szCs w:val="24"/>
        </w:rPr>
        <w:t xml:space="preserve"> </w:t>
      </w:r>
    </w:p>
    <w:p w:rsidR="00866FCC" w:rsidRPr="00E22F6A" w:rsidRDefault="00866FCC">
      <w:pPr>
        <w:snapToGrid w:val="0"/>
        <w:spacing w:line="360" w:lineRule="auto"/>
        <w:rPr>
          <w:rFonts w:ascii="Book Antiqua" w:hAnsi="Book Antiqua"/>
          <w:b/>
          <w:kern w:val="0"/>
          <w:sz w:val="24"/>
          <w:szCs w:val="24"/>
        </w:rPr>
      </w:pPr>
      <w:r w:rsidRPr="00E22F6A">
        <w:rPr>
          <w:rFonts w:ascii="Book Antiqua" w:hAnsi="Book Antiqua"/>
          <w:b/>
          <w:kern w:val="0"/>
          <w:sz w:val="24"/>
          <w:szCs w:val="24"/>
        </w:rPr>
        <w:t>Article in press:</w:t>
      </w:r>
      <w:r w:rsidR="00271983" w:rsidRPr="00E22F6A">
        <w:rPr>
          <w:rFonts w:ascii="Book Antiqua" w:hAnsi="Book Antiqua"/>
          <w:kern w:val="0"/>
          <w:sz w:val="24"/>
          <w:szCs w:val="24"/>
        </w:rPr>
        <w:t xml:space="preserve"> October 20, 2019</w:t>
      </w:r>
    </w:p>
    <w:p w:rsidR="00866FCC" w:rsidRPr="00E22F6A" w:rsidRDefault="00866FCC">
      <w:pPr>
        <w:snapToGrid w:val="0"/>
        <w:spacing w:line="360" w:lineRule="auto"/>
        <w:rPr>
          <w:rFonts w:ascii="Book Antiqua" w:hAnsi="Book Antiqua"/>
          <w:b/>
          <w:kern w:val="0"/>
          <w:sz w:val="24"/>
          <w:szCs w:val="24"/>
        </w:rPr>
      </w:pPr>
      <w:r w:rsidRPr="00E22F6A">
        <w:rPr>
          <w:rFonts w:ascii="Book Antiqua" w:hAnsi="Book Antiqua"/>
          <w:b/>
          <w:kern w:val="0"/>
          <w:sz w:val="24"/>
          <w:szCs w:val="24"/>
        </w:rPr>
        <w:t>Published online:</w:t>
      </w:r>
      <w:r w:rsidR="00271983" w:rsidRPr="00E22F6A">
        <w:rPr>
          <w:rFonts w:ascii="Book Antiqua" w:hAnsi="Book Antiqua"/>
          <w:kern w:val="0"/>
          <w:sz w:val="24"/>
          <w:szCs w:val="24"/>
        </w:rPr>
        <w:t xml:space="preserve"> February</w:t>
      </w:r>
      <w:r w:rsidR="00271983" w:rsidRPr="00E22F6A">
        <w:rPr>
          <w:rFonts w:ascii="Book Antiqua" w:hAnsi="Book Antiqua" w:hint="eastAsia"/>
          <w:kern w:val="0"/>
          <w:sz w:val="24"/>
          <w:szCs w:val="24"/>
        </w:rPr>
        <w:t xml:space="preserve"> 28, 2020</w:t>
      </w:r>
    </w:p>
    <w:bookmarkEnd w:id="15"/>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br w:type="page"/>
      </w:r>
      <w:r w:rsidRPr="00E22F6A">
        <w:rPr>
          <w:rFonts w:ascii="Book Antiqua" w:hAnsi="Book Antiqua" w:cs="Times New Roman"/>
          <w:b/>
          <w:bCs/>
          <w:kern w:val="0"/>
          <w:sz w:val="24"/>
          <w:szCs w:val="24"/>
        </w:rPr>
        <w:t>Abstract</w:t>
      </w:r>
    </w:p>
    <w:p w:rsidR="00866FCC" w:rsidRPr="00E22F6A" w:rsidRDefault="00866FCC">
      <w:pPr>
        <w:snapToGrid w:val="0"/>
        <w:spacing w:line="360" w:lineRule="auto"/>
        <w:rPr>
          <w:rFonts w:ascii="Book Antiqua" w:hAnsi="Book Antiqua"/>
          <w:b/>
          <w:bCs/>
          <w:kern w:val="0"/>
          <w:sz w:val="24"/>
          <w:szCs w:val="24"/>
        </w:rPr>
      </w:pPr>
      <w:r w:rsidRPr="00E22F6A">
        <w:rPr>
          <w:rFonts w:ascii="Book Antiqua" w:hAnsi="Book Antiqua"/>
          <w:b/>
          <w:bCs/>
          <w:i/>
          <w:iCs/>
          <w:kern w:val="0"/>
          <w:sz w:val="24"/>
          <w:szCs w:val="24"/>
        </w:rPr>
        <w:t>BACKGROUND</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Many clinical studies for the long-term survival or efficacy of capecitabine plus oxaliplatin (XELOX) in colon cancer have already been studied</w:t>
      </w:r>
      <w:r w:rsidRPr="00E22F6A">
        <w:rPr>
          <w:rFonts w:ascii="Book Antiqua" w:hAnsi="Book Antiqua"/>
          <w:kern w:val="0"/>
          <w:sz w:val="24"/>
          <w:szCs w:val="24"/>
        </w:rPr>
        <w:t>,</w:t>
      </w:r>
      <w:r w:rsidRPr="00E22F6A">
        <w:rPr>
          <w:rFonts w:ascii="Book Antiqua" w:hAnsi="Book Antiqua" w:cs="Times New Roman"/>
          <w:kern w:val="0"/>
          <w:sz w:val="24"/>
          <w:szCs w:val="24"/>
        </w:rPr>
        <w:t xml:space="preserve"> </w:t>
      </w:r>
      <w:r w:rsidRPr="00E22F6A">
        <w:rPr>
          <w:rFonts w:ascii="Book Antiqua" w:hAnsi="Book Antiqua"/>
          <w:kern w:val="0"/>
          <w:sz w:val="24"/>
          <w:szCs w:val="24"/>
        </w:rPr>
        <w:t>b</w:t>
      </w:r>
      <w:r w:rsidRPr="00E22F6A">
        <w:rPr>
          <w:rFonts w:ascii="Book Antiqua" w:hAnsi="Book Antiqua" w:cs="Times New Roman"/>
          <w:kern w:val="0"/>
          <w:sz w:val="24"/>
          <w:szCs w:val="24"/>
        </w:rPr>
        <w:t>ut its clinical benefit is controversial.</w:t>
      </w:r>
    </w:p>
    <w:p w:rsidR="00866FCC" w:rsidRPr="00E22F6A" w:rsidRDefault="00866FCC">
      <w:pPr>
        <w:snapToGrid w:val="0"/>
        <w:spacing w:line="360" w:lineRule="auto"/>
        <w:rPr>
          <w:rFonts w:ascii="Book Antiqua" w:hAnsi="Book Antiqua"/>
          <w:kern w:val="0"/>
          <w:sz w:val="24"/>
          <w:szCs w:val="24"/>
        </w:rPr>
      </w:pPr>
    </w:p>
    <w:p w:rsidR="00866FCC" w:rsidRPr="00E22F6A" w:rsidRDefault="00866FCC">
      <w:pPr>
        <w:snapToGrid w:val="0"/>
        <w:spacing w:line="360" w:lineRule="auto"/>
        <w:rPr>
          <w:rFonts w:ascii="Book Antiqua" w:hAnsi="Book Antiqua"/>
          <w:b/>
          <w:bCs/>
          <w:kern w:val="0"/>
          <w:sz w:val="24"/>
          <w:szCs w:val="24"/>
        </w:rPr>
      </w:pPr>
      <w:r w:rsidRPr="00E22F6A">
        <w:rPr>
          <w:rFonts w:ascii="Book Antiqua" w:hAnsi="Book Antiqua"/>
          <w:b/>
          <w:bCs/>
          <w:i/>
          <w:iCs/>
          <w:kern w:val="0"/>
          <w:sz w:val="24"/>
          <w:szCs w:val="24"/>
        </w:rPr>
        <w:t>AIM</w:t>
      </w:r>
      <w:r w:rsidRPr="00E22F6A">
        <w:rPr>
          <w:rFonts w:ascii="Book Antiqua" w:hAnsi="Book Antiqua"/>
          <w:b/>
          <w:bCs/>
          <w:kern w:val="0"/>
          <w:sz w:val="24"/>
          <w:szCs w:val="24"/>
        </w:rPr>
        <w:t xml:space="preserve"> </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 xml:space="preserve">To evaluate the long-term efficacy of </w:t>
      </w:r>
      <w:r w:rsidRPr="00E22F6A">
        <w:rPr>
          <w:rFonts w:ascii="Book Antiqua" w:hAnsi="Book Antiqua"/>
          <w:kern w:val="0"/>
          <w:sz w:val="24"/>
          <w:szCs w:val="24"/>
        </w:rPr>
        <w:t>XELOX regimen in comparison with other adjuvant chemotherapy protocols in colon cancer.</w:t>
      </w:r>
    </w:p>
    <w:p w:rsidR="00866FCC" w:rsidRPr="00E22F6A" w:rsidRDefault="00866FCC">
      <w:pPr>
        <w:snapToGrid w:val="0"/>
        <w:spacing w:line="360" w:lineRule="auto"/>
        <w:rPr>
          <w:rFonts w:ascii="Book Antiqua" w:hAnsi="Book Antiqua"/>
          <w:kern w:val="0"/>
          <w:sz w:val="24"/>
          <w:szCs w:val="24"/>
        </w:rPr>
      </w:pPr>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METHODS</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 xml:space="preserve">By searching the PubMed, EMBASE and Cochrane databases, a total of 12 randomized controlled trials involving 6698 </w:t>
      </w:r>
      <w:r w:rsidRPr="00E22F6A">
        <w:rPr>
          <w:rFonts w:ascii="Book Antiqua" w:hAnsi="Book Antiqua"/>
          <w:kern w:val="0"/>
          <w:sz w:val="24"/>
          <w:szCs w:val="24"/>
        </w:rPr>
        <w:t xml:space="preserve">stage III colon cancer cases (XELOX protocol: </w:t>
      </w:r>
      <w:r w:rsidRPr="00E22F6A">
        <w:rPr>
          <w:rFonts w:ascii="Book Antiqua" w:hAnsi="Book Antiqua"/>
          <w:i/>
          <w:iCs/>
          <w:kern w:val="0"/>
          <w:sz w:val="24"/>
          <w:szCs w:val="24"/>
        </w:rPr>
        <w:t>n</w:t>
      </w:r>
      <w:r w:rsidRPr="00E22F6A">
        <w:rPr>
          <w:rFonts w:ascii="Book Antiqua" w:hAnsi="Book Antiqua"/>
          <w:kern w:val="0"/>
          <w:sz w:val="24"/>
          <w:szCs w:val="24"/>
        </w:rPr>
        <w:t xml:space="preserve"> = 3298 cases; other adjuvant chemotherapy protocol: </w:t>
      </w:r>
      <w:r w:rsidRPr="00E22F6A">
        <w:rPr>
          <w:rFonts w:ascii="Book Antiqua" w:hAnsi="Book Antiqua"/>
          <w:i/>
          <w:iCs/>
          <w:kern w:val="0"/>
          <w:sz w:val="24"/>
          <w:szCs w:val="24"/>
        </w:rPr>
        <w:t>n</w:t>
      </w:r>
      <w:r w:rsidRPr="00E22F6A">
        <w:rPr>
          <w:rFonts w:ascii="Book Antiqua" w:hAnsi="Book Antiqua"/>
          <w:kern w:val="0"/>
          <w:sz w:val="24"/>
          <w:szCs w:val="24"/>
        </w:rPr>
        <w:t xml:space="preserve"> = 3268 cases) were included. The parameter outcomes included the overall survival and the disease-free survival. The quality control of selected literature was based on the Jadad scale and the GRADE system.</w:t>
      </w:r>
    </w:p>
    <w:p w:rsidR="00866FCC" w:rsidRPr="00E22F6A" w:rsidRDefault="00866FCC">
      <w:pPr>
        <w:snapToGrid w:val="0"/>
        <w:spacing w:line="360" w:lineRule="auto"/>
        <w:rPr>
          <w:rFonts w:ascii="Book Antiqua" w:hAnsi="Book Antiqua"/>
          <w:kern w:val="0"/>
          <w:sz w:val="24"/>
          <w:szCs w:val="24"/>
        </w:rPr>
      </w:pPr>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RESULTS</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 xml:space="preserve">In comparison to other adjuvant chemotherapy regimen, XELOX regimen showed a better </w:t>
      </w:r>
      <w:r w:rsidRPr="00E22F6A">
        <w:rPr>
          <w:rFonts w:ascii="Book Antiqua" w:hAnsi="Book Antiqua"/>
          <w:kern w:val="0"/>
          <w:sz w:val="24"/>
          <w:szCs w:val="24"/>
        </w:rPr>
        <w:t xml:space="preserve">overall survival </w:t>
      </w:r>
      <w:r w:rsidRPr="00E22F6A">
        <w:rPr>
          <w:rFonts w:ascii="Book Antiqua" w:hAnsi="Book Antiqua" w:cs="Times New Roman"/>
          <w:kern w:val="0"/>
          <w:sz w:val="24"/>
          <w:szCs w:val="24"/>
        </w:rPr>
        <w:t xml:space="preserve">(odds ratio = 1.29, 95% confidence interval: 1.15-1.44,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&lt; 0.0001) and a better </w:t>
      </w:r>
      <w:r w:rsidRPr="00E22F6A">
        <w:rPr>
          <w:rFonts w:ascii="Book Antiqua" w:hAnsi="Book Antiqua"/>
          <w:kern w:val="0"/>
          <w:sz w:val="24"/>
          <w:szCs w:val="24"/>
        </w:rPr>
        <w:t xml:space="preserve">disease-free survival </w:t>
      </w:r>
      <w:r w:rsidRPr="00E22F6A">
        <w:rPr>
          <w:rFonts w:ascii="Book Antiqua" w:hAnsi="Book Antiqua" w:cs="Times New Roman"/>
          <w:kern w:val="0"/>
          <w:sz w:val="24"/>
          <w:szCs w:val="24"/>
        </w:rPr>
        <w:t xml:space="preserve">(odds ratio = 1.32, 95% confidence interval: 1.18-1.46,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&lt; 0.0001) for colon cancer patients, suggesting the XELOX regimen can be a good option for postoperative treatment of </w:t>
      </w:r>
      <w:r w:rsidRPr="00E22F6A">
        <w:rPr>
          <w:rFonts w:ascii="Book Antiqua" w:hAnsi="Book Antiqua"/>
          <w:kern w:val="0"/>
          <w:sz w:val="24"/>
          <w:szCs w:val="24"/>
        </w:rPr>
        <w:t>stage III</w:t>
      </w:r>
      <w:r w:rsidRPr="00E22F6A">
        <w:rPr>
          <w:rFonts w:ascii="Book Antiqua" w:hAnsi="Book Antiqua" w:cs="Times New Roman"/>
          <w:kern w:val="0"/>
          <w:sz w:val="24"/>
          <w:szCs w:val="24"/>
        </w:rPr>
        <w:t xml:space="preserve"> colon cancer.</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b/>
          <w:bCs/>
          <w:i/>
          <w:iCs/>
          <w:kern w:val="0"/>
          <w:sz w:val="24"/>
          <w:szCs w:val="24"/>
        </w:rPr>
        <w:t>CONCLUSION</w:t>
      </w:r>
    </w:p>
    <w:p w:rsidR="00866FCC" w:rsidRPr="00E22F6A" w:rsidRDefault="00866FCC">
      <w:pPr>
        <w:snapToGrid w:val="0"/>
        <w:spacing w:line="360" w:lineRule="auto"/>
        <w:rPr>
          <w:rFonts w:ascii="Book Antiqua" w:hAnsi="Book Antiqua"/>
          <w:kern w:val="0"/>
          <w:sz w:val="24"/>
          <w:szCs w:val="24"/>
        </w:rPr>
      </w:pPr>
      <w:bookmarkStart w:id="29" w:name="OLE_LINK4"/>
      <w:r w:rsidRPr="00E22F6A">
        <w:rPr>
          <w:rFonts w:ascii="Book Antiqua" w:hAnsi="Book Antiqua"/>
          <w:kern w:val="0"/>
          <w:sz w:val="24"/>
          <w:szCs w:val="24"/>
        </w:rPr>
        <w:t>T</w:t>
      </w:r>
      <w:r w:rsidRPr="00E22F6A">
        <w:rPr>
          <w:rFonts w:ascii="Book Antiqua" w:hAnsi="Book Antiqua" w:cs="Times New Roman"/>
          <w:kern w:val="0"/>
          <w:sz w:val="24"/>
          <w:szCs w:val="24"/>
        </w:rPr>
        <w:t>he XELOX regimen can be a preferred option for adjuvant treatment of stage III colon cancer after surgery.</w:t>
      </w:r>
      <w:bookmarkEnd w:id="29"/>
    </w:p>
    <w:p w:rsidR="00866FCC" w:rsidRPr="00E22F6A" w:rsidRDefault="00866FCC">
      <w:pPr>
        <w:snapToGrid w:val="0"/>
        <w:spacing w:line="360" w:lineRule="auto"/>
        <w:rPr>
          <w:rFonts w:ascii="Book Antiqua" w:hAnsi="Book Antiqua"/>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b/>
          <w:bCs/>
          <w:kern w:val="0"/>
          <w:sz w:val="24"/>
          <w:szCs w:val="24"/>
        </w:rPr>
        <w:t>Key</w:t>
      </w:r>
      <w:r w:rsidRPr="00E22F6A">
        <w:rPr>
          <w:rFonts w:ascii="Book Antiqua" w:hAnsi="Book Antiqua"/>
          <w:b/>
          <w:bCs/>
          <w:kern w:val="0"/>
          <w:sz w:val="24"/>
          <w:szCs w:val="24"/>
        </w:rPr>
        <w:t xml:space="preserve"> </w:t>
      </w:r>
      <w:r w:rsidRPr="00E22F6A">
        <w:rPr>
          <w:rFonts w:ascii="Book Antiqua" w:hAnsi="Book Antiqua" w:cs="Times New Roman"/>
          <w:b/>
          <w:bCs/>
          <w:kern w:val="0"/>
          <w:sz w:val="24"/>
          <w:szCs w:val="24"/>
        </w:rPr>
        <w:t>words:</w:t>
      </w:r>
      <w:r w:rsidRPr="00E22F6A">
        <w:rPr>
          <w:rFonts w:ascii="Book Antiqua" w:hAnsi="Book Antiqua"/>
          <w:b/>
          <w:bCs/>
          <w:kern w:val="0"/>
          <w:sz w:val="24"/>
          <w:szCs w:val="24"/>
        </w:rPr>
        <w:t xml:space="preserve"> </w:t>
      </w:r>
      <w:r w:rsidRPr="00E22F6A">
        <w:rPr>
          <w:rFonts w:ascii="Book Antiqua" w:hAnsi="Book Antiqua" w:cs="Times New Roman"/>
          <w:kern w:val="0"/>
          <w:sz w:val="24"/>
          <w:szCs w:val="24"/>
        </w:rPr>
        <w:t>Capecitabine plus oxaliplatin chemotherapy</w:t>
      </w:r>
      <w:r w:rsidRPr="00E22F6A">
        <w:rPr>
          <w:rFonts w:ascii="Book Antiqua" w:hAnsi="Book Antiqua"/>
          <w:kern w:val="0"/>
          <w:sz w:val="24"/>
          <w:szCs w:val="24"/>
        </w:rPr>
        <w:t xml:space="preserve">; </w:t>
      </w:r>
      <w:r w:rsidRPr="00E22F6A">
        <w:rPr>
          <w:rFonts w:ascii="Book Antiqua" w:hAnsi="Book Antiqua" w:cs="Times New Roman"/>
          <w:kern w:val="0"/>
          <w:sz w:val="24"/>
          <w:szCs w:val="24"/>
        </w:rPr>
        <w:t>Colon cancer</w:t>
      </w:r>
      <w:r w:rsidRPr="00E22F6A">
        <w:rPr>
          <w:rFonts w:ascii="Book Antiqua" w:hAnsi="Book Antiqua"/>
          <w:kern w:val="0"/>
          <w:sz w:val="24"/>
          <w:szCs w:val="24"/>
        </w:rPr>
        <w:t xml:space="preserve">; </w:t>
      </w:r>
      <w:r w:rsidRPr="00E22F6A">
        <w:rPr>
          <w:rFonts w:ascii="Book Antiqua" w:hAnsi="Book Antiqua" w:cs="Times New Roman"/>
          <w:kern w:val="0"/>
          <w:sz w:val="24"/>
          <w:szCs w:val="24"/>
        </w:rPr>
        <w:t>Meta-analysis</w:t>
      </w:r>
      <w:r w:rsidRPr="00E22F6A">
        <w:rPr>
          <w:rFonts w:ascii="Book Antiqua" w:hAnsi="Book Antiqua"/>
          <w:kern w:val="0"/>
          <w:sz w:val="24"/>
          <w:szCs w:val="24"/>
        </w:rPr>
        <w:t xml:space="preserve">; </w:t>
      </w:r>
      <w:r w:rsidRPr="00E22F6A">
        <w:rPr>
          <w:rFonts w:ascii="Book Antiqua" w:hAnsi="Book Antiqua" w:cs="Times New Roman"/>
          <w:kern w:val="0"/>
          <w:sz w:val="24"/>
          <w:szCs w:val="24"/>
        </w:rPr>
        <w:t>Long-term effect</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cs="Arial"/>
          <w:kern w:val="0"/>
          <w:sz w:val="24"/>
          <w:szCs w:val="24"/>
        </w:rPr>
      </w:pPr>
      <w:bookmarkStart w:id="30" w:name="OLE_LINK55"/>
      <w:bookmarkStart w:id="31" w:name="OLE_LINK56"/>
      <w:bookmarkStart w:id="32" w:name="OLE_LINK779"/>
      <w:bookmarkStart w:id="33" w:name="OLE_LINK780"/>
      <w:bookmarkStart w:id="34" w:name="OLE_LINK935"/>
      <w:bookmarkStart w:id="35" w:name="OLE_LINK936"/>
      <w:bookmarkStart w:id="36" w:name="OLE_LINK255"/>
      <w:bookmarkStart w:id="37" w:name="OLE_LINK940"/>
      <w:bookmarkStart w:id="38" w:name="OLE_LINK941"/>
      <w:bookmarkStart w:id="39" w:name="OLE_LINK942"/>
      <w:bookmarkStart w:id="40" w:name="OLE_LINK1112"/>
      <w:bookmarkStart w:id="41" w:name="OLE_LINK1113"/>
      <w:bookmarkStart w:id="42" w:name="OLE_LINK1114"/>
      <w:bookmarkStart w:id="43" w:name="OLE_LINK1115"/>
      <w:bookmarkStart w:id="44" w:name="OLE_LINK929"/>
      <w:bookmarkStart w:id="45" w:name="OLE_LINK930"/>
      <w:bookmarkStart w:id="46" w:name="OLE_LINK931"/>
      <w:bookmarkStart w:id="47" w:name="OLE_LINK932"/>
      <w:bookmarkStart w:id="48" w:name="OLE_LINK1125"/>
      <w:bookmarkStart w:id="49" w:name="OLE_LINK1150"/>
      <w:bookmarkStart w:id="50" w:name="OLE_LINK1151"/>
      <w:bookmarkStart w:id="51" w:name="OLE_LINK1164"/>
      <w:bookmarkStart w:id="52" w:name="OLE_LINK1166"/>
      <w:bookmarkStart w:id="53" w:name="OLE_LINK1167"/>
      <w:bookmarkStart w:id="54" w:name="OLE_LINK1226"/>
      <w:bookmarkStart w:id="55" w:name="OLE_LINK1227"/>
      <w:bookmarkStart w:id="56" w:name="OLE_LINK1228"/>
      <w:bookmarkStart w:id="57" w:name="OLE_LINK1229"/>
      <w:bookmarkStart w:id="58" w:name="OLE_LINK1230"/>
      <w:bookmarkStart w:id="59" w:name="OLE_LINK1231"/>
      <w:bookmarkStart w:id="60" w:name="OLE_LINK1364"/>
      <w:bookmarkStart w:id="61" w:name="OLE_LINK1714"/>
      <w:bookmarkStart w:id="62" w:name="OLE_LINK1715"/>
      <w:bookmarkStart w:id="63" w:name="OLE_LINK1831"/>
      <w:bookmarkStart w:id="64" w:name="OLE_LINK1603"/>
      <w:bookmarkStart w:id="65" w:name="OLE_LINK1604"/>
      <w:bookmarkStart w:id="66" w:name="OLE_LINK1633"/>
      <w:bookmarkStart w:id="67" w:name="OLE_LINK1634"/>
      <w:bookmarkStart w:id="68" w:name="OLE_LINK1635"/>
      <w:bookmarkStart w:id="69" w:name="OLE_LINK1637"/>
      <w:bookmarkStart w:id="70" w:name="OLE_LINK1640"/>
      <w:bookmarkStart w:id="71" w:name="OLE_LINK1641"/>
      <w:bookmarkStart w:id="72" w:name="OLE_LINK1687"/>
      <w:bookmarkStart w:id="73" w:name="OLE_LINK1688"/>
      <w:bookmarkStart w:id="74" w:name="OLE_LINK1794"/>
      <w:bookmarkStart w:id="75" w:name="OLE_LINK1795"/>
      <w:bookmarkStart w:id="76" w:name="OLE_LINK1796"/>
      <w:bookmarkStart w:id="77" w:name="OLE_LINK1690"/>
      <w:bookmarkStart w:id="78" w:name="OLE_LINK1691"/>
      <w:bookmarkStart w:id="79" w:name="OLE_LINK1983"/>
      <w:bookmarkStart w:id="80" w:name="OLE_LINK1985"/>
      <w:bookmarkStart w:id="81" w:name="OLE_LINK1986"/>
      <w:bookmarkStart w:id="82" w:name="OLE_LINK1987"/>
      <w:bookmarkStart w:id="83" w:name="OLE_LINK2093"/>
      <w:bookmarkStart w:id="84" w:name="OLE_LINK2156"/>
      <w:bookmarkStart w:id="85" w:name="OLE_LINK2157"/>
      <w:bookmarkStart w:id="86" w:name="OLE_LINK2158"/>
      <w:bookmarkStart w:id="87" w:name="_Hlk15548538"/>
      <w:bookmarkStart w:id="88" w:name="OLE_LINK17"/>
      <w:r w:rsidRPr="00E22F6A">
        <w:rPr>
          <w:rFonts w:ascii="Book Antiqua" w:hAnsi="Book Antiqua"/>
          <w:b/>
          <w:kern w:val="0"/>
          <w:sz w:val="24"/>
          <w:szCs w:val="24"/>
        </w:rPr>
        <w:t>©</w:t>
      </w:r>
      <w:bookmarkEnd w:id="30"/>
      <w:bookmarkEnd w:id="31"/>
      <w:r w:rsidRPr="00E22F6A">
        <w:rPr>
          <w:rFonts w:ascii="Book Antiqua" w:hAnsi="Book Antiqua"/>
          <w:b/>
          <w:kern w:val="0"/>
          <w:sz w:val="24"/>
          <w:szCs w:val="24"/>
        </w:rPr>
        <w:t xml:space="preserve"> The Author(s) 2019. </w:t>
      </w:r>
      <w:r w:rsidRPr="00E22F6A">
        <w:rPr>
          <w:rFonts w:ascii="Book Antiqua" w:hAnsi="Book Antiqua"/>
          <w:kern w:val="0"/>
          <w:sz w:val="24"/>
          <w:szCs w:val="24"/>
        </w:rPr>
        <w:t>Published by Baishideng Publishing Group Inc. All rights reserved</w:t>
      </w:r>
      <w:bookmarkStart w:id="89" w:name="OLE_LINK969"/>
      <w:bookmarkStart w:id="90" w:name="OLE_LINK973"/>
      <w:bookmarkStart w:id="91" w:name="OLE_LINK972"/>
      <w:bookmarkStart w:id="92" w:name="OLE_LINK975"/>
      <w:bookmarkStart w:id="93" w:name="OLE_LINK974"/>
      <w:bookmarkStart w:id="94" w:name="OLE_LINK970"/>
      <w:bookmarkStart w:id="95" w:name="OLE_LINK976"/>
      <w:r w:rsidRPr="00E22F6A">
        <w:rPr>
          <w:rFonts w:ascii="Book Antiqua" w:hAnsi="Book Antiqua"/>
          <w:kern w:val="0"/>
          <w:sz w:val="24"/>
          <w:szCs w:val="24"/>
        </w:rPr>
        <w:t>.</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9"/>
      <w:bookmarkEnd w:id="90"/>
      <w:bookmarkEnd w:id="91"/>
      <w:bookmarkEnd w:id="92"/>
      <w:bookmarkEnd w:id="93"/>
      <w:bookmarkEnd w:id="94"/>
      <w:bookmarkEnd w:id="95"/>
    </w:p>
    <w:bookmarkEnd w:id="88"/>
    <w:p w:rsidR="00866FCC" w:rsidRPr="00E22F6A" w:rsidRDefault="00866FCC">
      <w:pPr>
        <w:snapToGrid w:val="0"/>
        <w:spacing w:line="360" w:lineRule="auto"/>
        <w:rPr>
          <w:rFonts w:ascii="Book Antiqua" w:eastAsia="DengXian" w:hAnsi="Book Antiqua" w:cs="Times New Roman"/>
          <w:b/>
          <w:kern w:val="0"/>
          <w:sz w:val="24"/>
          <w:szCs w:val="24"/>
        </w:rPr>
      </w:pP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b/>
          <w:kern w:val="0"/>
          <w:sz w:val="24"/>
          <w:szCs w:val="24"/>
        </w:rPr>
        <w:t xml:space="preserve">Core tip: </w:t>
      </w:r>
      <w:bookmarkStart w:id="96" w:name="OLE_LINK19"/>
      <w:r w:rsidRPr="00E22F6A">
        <w:rPr>
          <w:rFonts w:ascii="Book Antiqua" w:hAnsi="Book Antiqua" w:cs="Times New Roman"/>
          <w:kern w:val="0"/>
          <w:sz w:val="24"/>
          <w:szCs w:val="24"/>
        </w:rPr>
        <w:t>Many clinical studies for the long-term survival of patients or the efficacy of capecitabine plus oxaliplatin (XELOX) in colon cancer have already been studied</w:t>
      </w:r>
      <w:r w:rsidRPr="00E22F6A">
        <w:rPr>
          <w:rFonts w:ascii="Book Antiqua" w:hAnsi="Book Antiqua"/>
          <w:kern w:val="0"/>
          <w:sz w:val="24"/>
          <w:szCs w:val="24"/>
        </w:rPr>
        <w:t>,</w:t>
      </w:r>
      <w:r w:rsidRPr="00E22F6A">
        <w:rPr>
          <w:rFonts w:ascii="Book Antiqua" w:hAnsi="Book Antiqua" w:cs="Times New Roman"/>
          <w:kern w:val="0"/>
          <w:sz w:val="24"/>
          <w:szCs w:val="24"/>
        </w:rPr>
        <w:t xml:space="preserve"> </w:t>
      </w:r>
      <w:r w:rsidRPr="00E22F6A">
        <w:rPr>
          <w:rFonts w:ascii="Book Antiqua" w:hAnsi="Book Antiqua"/>
          <w:kern w:val="0"/>
          <w:sz w:val="24"/>
          <w:szCs w:val="24"/>
        </w:rPr>
        <w:t>b</w:t>
      </w:r>
      <w:r w:rsidRPr="00E22F6A">
        <w:rPr>
          <w:rFonts w:ascii="Book Antiqua" w:hAnsi="Book Antiqua" w:cs="Times New Roman"/>
          <w:kern w:val="0"/>
          <w:sz w:val="24"/>
          <w:szCs w:val="24"/>
        </w:rPr>
        <w:t xml:space="preserve">ut its clinical benefit is controversial. The long-term efficacy of the </w:t>
      </w:r>
      <w:r w:rsidRPr="00E22F6A">
        <w:rPr>
          <w:rFonts w:ascii="Book Antiqua" w:hAnsi="Book Antiqua"/>
          <w:kern w:val="0"/>
          <w:sz w:val="24"/>
          <w:szCs w:val="24"/>
        </w:rPr>
        <w:t xml:space="preserve">XELOX regimen in comparison with other adjuvant chemotherapy protocols in colon cancer was evaluated. </w:t>
      </w:r>
      <w:r w:rsidRPr="00E22F6A">
        <w:rPr>
          <w:rFonts w:ascii="Book Antiqua" w:hAnsi="Book Antiqua" w:cs="Times New Roman"/>
          <w:kern w:val="0"/>
          <w:sz w:val="24"/>
          <w:szCs w:val="24"/>
        </w:rPr>
        <w:t xml:space="preserve">By searching the PubMed, EMBASE and Cochrane databases, a total of 12 randomized controlled trials involving 6698 </w:t>
      </w:r>
      <w:r w:rsidRPr="00E22F6A">
        <w:rPr>
          <w:rFonts w:ascii="Book Antiqua" w:hAnsi="Book Antiqua"/>
          <w:kern w:val="0"/>
          <w:sz w:val="24"/>
          <w:szCs w:val="24"/>
        </w:rPr>
        <w:t xml:space="preserve">stage III colon cancer cases were included. Our findings showed that </w:t>
      </w:r>
      <w:r w:rsidRPr="00E22F6A">
        <w:rPr>
          <w:rFonts w:ascii="Book Antiqua" w:hAnsi="Book Antiqua" w:cs="Times New Roman"/>
          <w:kern w:val="0"/>
          <w:sz w:val="24"/>
          <w:szCs w:val="24"/>
        </w:rPr>
        <w:t xml:space="preserve">XELOX regimen had a better </w:t>
      </w:r>
      <w:r w:rsidRPr="00E22F6A">
        <w:rPr>
          <w:rFonts w:ascii="Book Antiqua" w:hAnsi="Book Antiqua"/>
          <w:kern w:val="0"/>
          <w:sz w:val="24"/>
          <w:szCs w:val="24"/>
        </w:rPr>
        <w:t>overall survival</w:t>
      </w:r>
      <w:r w:rsidRPr="00E22F6A">
        <w:rPr>
          <w:rFonts w:ascii="Book Antiqua" w:hAnsi="Book Antiqua" w:cs="Times New Roman"/>
          <w:kern w:val="0"/>
          <w:sz w:val="24"/>
          <w:szCs w:val="24"/>
        </w:rPr>
        <w:t xml:space="preserve"> and a better </w:t>
      </w:r>
      <w:r w:rsidRPr="00E22F6A">
        <w:rPr>
          <w:rFonts w:ascii="Book Antiqua" w:hAnsi="Book Antiqua"/>
          <w:kern w:val="0"/>
          <w:sz w:val="24"/>
          <w:szCs w:val="24"/>
        </w:rPr>
        <w:t>disease-free survival. T</w:t>
      </w:r>
      <w:r w:rsidRPr="00E22F6A">
        <w:rPr>
          <w:rFonts w:ascii="Book Antiqua" w:hAnsi="Book Antiqua" w:cs="Times New Roman"/>
          <w:kern w:val="0"/>
          <w:sz w:val="24"/>
          <w:szCs w:val="24"/>
        </w:rPr>
        <w:t>he XELOX regimen can be a preferred option for adjuvant treatment of stage III colon cancer after surgery.</w:t>
      </w:r>
    </w:p>
    <w:bookmarkEnd w:id="87"/>
    <w:bookmarkEnd w:id="96"/>
    <w:p w:rsidR="00866FCC" w:rsidRPr="00E22F6A" w:rsidRDefault="00866FCC">
      <w:pPr>
        <w:widowControl/>
        <w:snapToGrid w:val="0"/>
        <w:spacing w:line="360" w:lineRule="auto"/>
        <w:rPr>
          <w:rFonts w:ascii="Book Antiqua" w:hAnsi="Book Antiqua"/>
          <w:bCs/>
          <w:kern w:val="0"/>
          <w:sz w:val="24"/>
          <w:szCs w:val="24"/>
        </w:rPr>
      </w:pPr>
    </w:p>
    <w:p w:rsidR="001868A4" w:rsidRPr="00E22F6A" w:rsidRDefault="001868A4">
      <w:pPr>
        <w:snapToGrid w:val="0"/>
        <w:spacing w:line="360" w:lineRule="auto"/>
        <w:rPr>
          <w:rFonts w:ascii="Book Antiqua" w:hAnsi="Book Antiqua" w:hint="eastAsia"/>
          <w:iCs/>
          <w:sz w:val="24"/>
        </w:rPr>
      </w:pPr>
      <w:bookmarkStart w:id="97" w:name="OLE_LINK21"/>
      <w:r w:rsidRPr="00E22F6A">
        <w:rPr>
          <w:rFonts w:ascii="Book Antiqua" w:hAnsi="Book Antiqua" w:cs="Times New Roman" w:hint="eastAsia"/>
          <w:b/>
          <w:kern w:val="0"/>
          <w:sz w:val="24"/>
          <w:szCs w:val="24"/>
        </w:rPr>
        <w:t>Citation:</w:t>
      </w:r>
      <w:r w:rsidRPr="00E22F6A">
        <w:rPr>
          <w:rFonts w:ascii="Book Antiqua" w:hAnsi="Book Antiqua" w:cs="Times New Roman" w:hint="eastAsia"/>
          <w:kern w:val="0"/>
          <w:sz w:val="24"/>
          <w:szCs w:val="24"/>
        </w:rPr>
        <w:t xml:space="preserve"> </w:t>
      </w:r>
      <w:r w:rsidR="00866FCC" w:rsidRPr="00E22F6A">
        <w:rPr>
          <w:rFonts w:ascii="Book Antiqua" w:hAnsi="Book Antiqua" w:cs="Times New Roman"/>
          <w:kern w:val="0"/>
          <w:sz w:val="24"/>
          <w:szCs w:val="24"/>
        </w:rPr>
        <w:t xml:space="preserve">Fu HT, </w:t>
      </w:r>
      <w:r w:rsidR="00834796" w:rsidRPr="00E22F6A">
        <w:rPr>
          <w:rFonts w:ascii="Book Antiqua" w:hAnsi="Book Antiqua" w:cs="Times New Roman"/>
          <w:kern w:val="0"/>
          <w:sz w:val="24"/>
          <w:szCs w:val="24"/>
        </w:rPr>
        <w:t xml:space="preserve">Xu YY, </w:t>
      </w:r>
      <w:r w:rsidR="00866FCC" w:rsidRPr="00E22F6A">
        <w:rPr>
          <w:rFonts w:ascii="Book Antiqua" w:hAnsi="Book Antiqua" w:cs="Times New Roman"/>
          <w:kern w:val="0"/>
          <w:sz w:val="24"/>
          <w:szCs w:val="24"/>
        </w:rPr>
        <w:t xml:space="preserve">Tian JJ, </w:t>
      </w:r>
      <w:r w:rsidR="00866FCC" w:rsidRPr="00E22F6A">
        <w:rPr>
          <w:rFonts w:ascii="Book Antiqua" w:hAnsi="Book Antiqua"/>
          <w:kern w:val="0"/>
          <w:sz w:val="24"/>
          <w:szCs w:val="24"/>
        </w:rPr>
        <w:t>Fu JX,</w:t>
      </w:r>
      <w:r w:rsidR="00866FCC" w:rsidRPr="00E22F6A">
        <w:rPr>
          <w:rFonts w:ascii="Book Antiqua" w:hAnsi="Book Antiqua" w:cs="Times New Roman"/>
          <w:kern w:val="0"/>
          <w:sz w:val="24"/>
          <w:szCs w:val="24"/>
        </w:rPr>
        <w:t xml:space="preserve"> Nie SL, Tang YY, </w:t>
      </w:r>
      <w:r w:rsidR="00866FCC" w:rsidRPr="00E22F6A">
        <w:rPr>
          <w:rFonts w:ascii="Book Antiqua" w:hAnsi="Book Antiqua"/>
          <w:kern w:val="0"/>
          <w:sz w:val="24"/>
          <w:szCs w:val="24"/>
        </w:rPr>
        <w:t>Chen P</w:t>
      </w:r>
      <w:r w:rsidR="00866FCC" w:rsidRPr="00E22F6A">
        <w:rPr>
          <w:rFonts w:ascii="Book Antiqua" w:hAnsi="Book Antiqua" w:cs="Times New Roman"/>
          <w:kern w:val="0"/>
          <w:sz w:val="24"/>
          <w:szCs w:val="24"/>
        </w:rPr>
        <w:t>,</w:t>
      </w:r>
      <w:r w:rsidR="00866FCC" w:rsidRPr="00E22F6A">
        <w:rPr>
          <w:rFonts w:ascii="Book Antiqua" w:hAnsi="Book Antiqua"/>
          <w:kern w:val="0"/>
          <w:sz w:val="24"/>
          <w:szCs w:val="24"/>
        </w:rPr>
        <w:t xml:space="preserve"> </w:t>
      </w:r>
      <w:r w:rsidR="00866FCC" w:rsidRPr="00E22F6A">
        <w:rPr>
          <w:rFonts w:ascii="Book Antiqua" w:hAnsi="Book Antiqua" w:cs="Times New Roman"/>
          <w:kern w:val="0"/>
          <w:sz w:val="24"/>
          <w:szCs w:val="24"/>
        </w:rPr>
        <w:t xml:space="preserve">Zong L. </w:t>
      </w:r>
      <w:r w:rsidR="00866FCC" w:rsidRPr="00E22F6A">
        <w:rPr>
          <w:rFonts w:ascii="Book Antiqua" w:hAnsi="Book Antiqua"/>
          <w:kern w:val="0"/>
          <w:sz w:val="24"/>
          <w:szCs w:val="24"/>
        </w:rPr>
        <w:t>L</w:t>
      </w:r>
      <w:r w:rsidR="00866FCC" w:rsidRPr="00E22F6A">
        <w:rPr>
          <w:rFonts w:ascii="Book Antiqua" w:hAnsi="Book Antiqua" w:cs="Times New Roman"/>
          <w:kern w:val="0"/>
          <w:sz w:val="24"/>
          <w:szCs w:val="24"/>
        </w:rPr>
        <w:t xml:space="preserve">ong-term </w:t>
      </w:r>
      <w:r w:rsidR="00866FCC" w:rsidRPr="00E22F6A">
        <w:rPr>
          <w:rFonts w:ascii="Book Antiqua" w:hAnsi="Book Antiqua"/>
          <w:kern w:val="0"/>
          <w:sz w:val="24"/>
          <w:szCs w:val="24"/>
        </w:rPr>
        <w:t>e</w:t>
      </w:r>
      <w:r w:rsidR="00866FCC" w:rsidRPr="00E22F6A">
        <w:rPr>
          <w:rFonts w:ascii="Book Antiqua" w:hAnsi="Book Antiqua" w:cs="Times New Roman"/>
          <w:kern w:val="0"/>
          <w:sz w:val="24"/>
          <w:szCs w:val="24"/>
        </w:rPr>
        <w:t>fficacy of capecitabine plus oxaliplatin</w:t>
      </w:r>
      <w:r w:rsidR="00866FCC" w:rsidRPr="00E22F6A">
        <w:rPr>
          <w:rFonts w:ascii="Book Antiqua" w:hAnsi="Book Antiqua"/>
          <w:kern w:val="0"/>
          <w:sz w:val="24"/>
          <w:szCs w:val="24"/>
        </w:rPr>
        <w:t xml:space="preserve"> c</w:t>
      </w:r>
      <w:r w:rsidR="00866FCC" w:rsidRPr="00E22F6A">
        <w:rPr>
          <w:rFonts w:ascii="Book Antiqua" w:hAnsi="Book Antiqua" w:cs="Times New Roman"/>
          <w:kern w:val="0"/>
          <w:sz w:val="24"/>
          <w:szCs w:val="24"/>
        </w:rPr>
        <w:t xml:space="preserve">hemotherapy </w:t>
      </w:r>
      <w:r w:rsidR="00866FCC" w:rsidRPr="00E22F6A">
        <w:rPr>
          <w:rFonts w:ascii="Book Antiqua" w:hAnsi="Book Antiqua"/>
          <w:kern w:val="0"/>
          <w:sz w:val="24"/>
          <w:szCs w:val="24"/>
        </w:rPr>
        <w:t>on</w:t>
      </w:r>
      <w:r w:rsidR="00866FCC" w:rsidRPr="00E22F6A">
        <w:rPr>
          <w:rFonts w:ascii="Book Antiqua" w:hAnsi="Book Antiqua" w:cs="Times New Roman"/>
          <w:kern w:val="0"/>
          <w:sz w:val="24"/>
          <w:szCs w:val="24"/>
        </w:rPr>
        <w:t xml:space="preserve"> stage III </w:t>
      </w:r>
      <w:r w:rsidR="00866FCC" w:rsidRPr="00E22F6A">
        <w:rPr>
          <w:rFonts w:ascii="Book Antiqua" w:hAnsi="Book Antiqua"/>
          <w:kern w:val="0"/>
          <w:sz w:val="24"/>
          <w:szCs w:val="24"/>
        </w:rPr>
        <w:t>c</w:t>
      </w:r>
      <w:r w:rsidR="00866FCC" w:rsidRPr="00E22F6A">
        <w:rPr>
          <w:rFonts w:ascii="Book Antiqua" w:hAnsi="Book Antiqua" w:cs="Times New Roman"/>
          <w:kern w:val="0"/>
          <w:sz w:val="24"/>
          <w:szCs w:val="24"/>
        </w:rPr>
        <w:t xml:space="preserve">olon </w:t>
      </w:r>
      <w:r w:rsidR="00866FCC" w:rsidRPr="00E22F6A">
        <w:rPr>
          <w:rFonts w:ascii="Book Antiqua" w:hAnsi="Book Antiqua"/>
          <w:kern w:val="0"/>
          <w:sz w:val="24"/>
          <w:szCs w:val="24"/>
        </w:rPr>
        <w:t>c</w:t>
      </w:r>
      <w:r w:rsidR="00866FCC" w:rsidRPr="00E22F6A">
        <w:rPr>
          <w:rFonts w:ascii="Book Antiqua" w:hAnsi="Book Antiqua" w:cs="Times New Roman"/>
          <w:kern w:val="0"/>
          <w:sz w:val="24"/>
          <w:szCs w:val="24"/>
        </w:rPr>
        <w:t xml:space="preserve">ancer: A </w:t>
      </w:r>
      <w:r w:rsidR="00866FCC" w:rsidRPr="00E22F6A">
        <w:rPr>
          <w:rFonts w:ascii="Book Antiqua" w:hAnsi="Book Antiqua"/>
          <w:kern w:val="0"/>
          <w:sz w:val="24"/>
          <w:szCs w:val="24"/>
        </w:rPr>
        <w:t>m</w:t>
      </w:r>
      <w:r w:rsidR="00866FCC" w:rsidRPr="00E22F6A">
        <w:rPr>
          <w:rFonts w:ascii="Book Antiqua" w:hAnsi="Book Antiqua" w:cs="Times New Roman"/>
          <w:kern w:val="0"/>
          <w:sz w:val="24"/>
          <w:szCs w:val="24"/>
        </w:rPr>
        <w:t>eta-</w:t>
      </w:r>
      <w:r w:rsidR="00866FCC" w:rsidRPr="00E22F6A">
        <w:rPr>
          <w:rFonts w:ascii="Book Antiqua" w:hAnsi="Book Antiqua"/>
          <w:kern w:val="0"/>
          <w:sz w:val="24"/>
          <w:szCs w:val="24"/>
        </w:rPr>
        <w:t>a</w:t>
      </w:r>
      <w:r w:rsidR="00866FCC" w:rsidRPr="00E22F6A">
        <w:rPr>
          <w:rFonts w:ascii="Book Antiqua" w:hAnsi="Book Antiqua" w:cs="Times New Roman"/>
          <w:kern w:val="0"/>
          <w:sz w:val="24"/>
          <w:szCs w:val="24"/>
        </w:rPr>
        <w:t>nalysis</w:t>
      </w:r>
      <w:r w:rsidR="00866FCC" w:rsidRPr="00E22F6A">
        <w:rPr>
          <w:rFonts w:ascii="Book Antiqua" w:hAnsi="Book Antiqua"/>
          <w:kern w:val="0"/>
          <w:sz w:val="24"/>
          <w:szCs w:val="24"/>
        </w:rPr>
        <w:t xml:space="preserve">. </w:t>
      </w:r>
      <w:r w:rsidR="00866FCC" w:rsidRPr="00E22F6A">
        <w:rPr>
          <w:rFonts w:ascii="Book Antiqua" w:hAnsi="Book Antiqua"/>
          <w:i/>
          <w:iCs/>
          <w:kern w:val="0"/>
          <w:sz w:val="24"/>
          <w:szCs w:val="24"/>
        </w:rPr>
        <w:t xml:space="preserve">World J Meta-anal </w:t>
      </w:r>
      <w:r w:rsidR="00155FE0">
        <w:rPr>
          <w:rFonts w:ascii="Book Antiqua" w:hAnsi="Book Antiqua" w:hint="eastAsia"/>
          <w:i/>
          <w:iCs/>
          <w:kern w:val="0"/>
          <w:sz w:val="24"/>
          <w:szCs w:val="24"/>
        </w:rPr>
        <w:t>2</w:t>
      </w:r>
      <w:r w:rsidR="00271983" w:rsidRPr="00E22F6A">
        <w:rPr>
          <w:rFonts w:ascii="Book Antiqua" w:hAnsi="Book Antiqua"/>
          <w:iCs/>
          <w:sz w:val="24"/>
        </w:rPr>
        <w:t>0</w:t>
      </w:r>
      <w:r w:rsidR="00271983" w:rsidRPr="00E22F6A">
        <w:rPr>
          <w:rFonts w:ascii="Book Antiqua" w:hAnsi="Book Antiqua" w:hint="eastAsia"/>
          <w:iCs/>
          <w:sz w:val="24"/>
        </w:rPr>
        <w:t>20</w:t>
      </w:r>
      <w:r w:rsidR="00271983" w:rsidRPr="00E22F6A">
        <w:rPr>
          <w:rFonts w:ascii="Book Antiqua" w:hAnsi="Book Antiqua"/>
          <w:iCs/>
          <w:sz w:val="24"/>
        </w:rPr>
        <w:t xml:space="preserve">; </w:t>
      </w:r>
      <w:r w:rsidR="00271983" w:rsidRPr="00E22F6A">
        <w:rPr>
          <w:rFonts w:ascii="Book Antiqua" w:hAnsi="Book Antiqua" w:hint="eastAsia"/>
          <w:iCs/>
          <w:sz w:val="24"/>
        </w:rPr>
        <w:t>8</w:t>
      </w:r>
      <w:r w:rsidR="00271983" w:rsidRPr="00E22F6A">
        <w:rPr>
          <w:rFonts w:ascii="Book Antiqua" w:hAnsi="Book Antiqua"/>
          <w:iCs/>
          <w:sz w:val="24"/>
        </w:rPr>
        <w:t>(</w:t>
      </w:r>
      <w:r w:rsidR="00271983" w:rsidRPr="00E22F6A">
        <w:rPr>
          <w:rFonts w:ascii="Book Antiqua" w:hAnsi="Book Antiqua" w:hint="eastAsia"/>
          <w:iCs/>
          <w:sz w:val="24"/>
        </w:rPr>
        <w:t>1</w:t>
      </w:r>
      <w:r w:rsidR="00271983" w:rsidRPr="00E22F6A">
        <w:rPr>
          <w:rFonts w:ascii="Book Antiqua" w:hAnsi="Book Antiqua"/>
          <w:iCs/>
          <w:sz w:val="24"/>
        </w:rPr>
        <w:t xml:space="preserve">): </w:t>
      </w:r>
      <w:r w:rsidR="00E22F6A">
        <w:rPr>
          <w:rFonts w:ascii="Book Antiqua" w:eastAsia="等线" w:hAnsi="Book Antiqua" w:hint="eastAsia"/>
          <w:iCs/>
          <w:sz w:val="24"/>
        </w:rPr>
        <w:t>27</w:t>
      </w:r>
      <w:r w:rsidR="00271983" w:rsidRPr="00E22F6A">
        <w:rPr>
          <w:rFonts w:ascii="Book Antiqua" w:hAnsi="Book Antiqua"/>
          <w:iCs/>
          <w:sz w:val="24"/>
        </w:rPr>
        <w:t>-</w:t>
      </w:r>
      <w:r w:rsidR="00E22F6A">
        <w:rPr>
          <w:rFonts w:ascii="Book Antiqua" w:eastAsia="等线" w:hAnsi="Book Antiqua" w:hint="eastAsia"/>
          <w:iCs/>
          <w:sz w:val="24"/>
        </w:rPr>
        <w:t>40</w:t>
      </w:r>
    </w:p>
    <w:p w:rsidR="001868A4" w:rsidRPr="00E22F6A" w:rsidRDefault="00271983">
      <w:pPr>
        <w:snapToGrid w:val="0"/>
        <w:spacing w:line="360" w:lineRule="auto"/>
        <w:rPr>
          <w:rFonts w:ascii="Book Antiqua" w:hAnsi="Book Antiqua" w:hint="eastAsia"/>
          <w:iCs/>
          <w:sz w:val="24"/>
        </w:rPr>
      </w:pPr>
      <w:r w:rsidRPr="00E22F6A">
        <w:rPr>
          <w:rFonts w:ascii="Book Antiqua" w:hAnsi="Book Antiqua"/>
          <w:iCs/>
          <w:sz w:val="24"/>
        </w:rPr>
        <w:t xml:space="preserve">URL: </w:t>
      </w:r>
      <w:hyperlink r:id="rId7" w:history="1">
        <w:r w:rsidR="00E22F6A" w:rsidRPr="00003ECB">
          <w:rPr>
            <w:rStyle w:val="aa"/>
            <w:rFonts w:ascii="Book Antiqua" w:hAnsi="Book Antiqua"/>
            <w:iCs/>
            <w:sz w:val="24"/>
          </w:rPr>
          <w:t>https://www.wjgnet.com/</w:t>
        </w:r>
        <w:r w:rsidR="00E22F6A" w:rsidRPr="00003ECB">
          <w:rPr>
            <w:rStyle w:val="aa"/>
            <w:rFonts w:ascii="Book Antiqua" w:hAnsi="Book Antiqua" w:cs="宋体"/>
            <w:kern w:val="0"/>
            <w:sz w:val="24"/>
            <w:szCs w:val="24"/>
          </w:rPr>
          <w:t>2308-3840</w:t>
        </w:r>
        <w:r w:rsidR="00E22F6A" w:rsidRPr="00003ECB">
          <w:rPr>
            <w:rStyle w:val="aa"/>
            <w:rFonts w:ascii="Book Antiqua" w:hAnsi="Book Antiqua"/>
            <w:iCs/>
            <w:sz w:val="24"/>
          </w:rPr>
          <w:t>/full/v</w:t>
        </w:r>
        <w:r w:rsidR="00E22F6A" w:rsidRPr="00003ECB">
          <w:rPr>
            <w:rStyle w:val="aa"/>
            <w:rFonts w:ascii="Book Antiqua" w:hAnsi="Book Antiqua" w:hint="eastAsia"/>
            <w:iCs/>
            <w:sz w:val="24"/>
          </w:rPr>
          <w:t>8</w:t>
        </w:r>
        <w:r w:rsidR="00E22F6A" w:rsidRPr="00003ECB">
          <w:rPr>
            <w:rStyle w:val="aa"/>
            <w:rFonts w:ascii="Book Antiqua" w:hAnsi="Book Antiqua"/>
            <w:iCs/>
            <w:sz w:val="24"/>
          </w:rPr>
          <w:t>/i</w:t>
        </w:r>
        <w:r w:rsidR="00E22F6A" w:rsidRPr="00003ECB">
          <w:rPr>
            <w:rStyle w:val="aa"/>
            <w:rFonts w:ascii="Book Antiqua" w:hAnsi="Book Antiqua" w:hint="eastAsia"/>
            <w:iCs/>
            <w:sz w:val="24"/>
          </w:rPr>
          <w:t>1</w:t>
        </w:r>
        <w:r w:rsidR="00E22F6A" w:rsidRPr="00003ECB">
          <w:rPr>
            <w:rStyle w:val="aa"/>
            <w:rFonts w:ascii="Book Antiqua" w:hAnsi="Book Antiqua"/>
            <w:iCs/>
            <w:sz w:val="24"/>
          </w:rPr>
          <w:t>/</w:t>
        </w:r>
        <w:r w:rsidR="00E22F6A" w:rsidRPr="00003ECB">
          <w:rPr>
            <w:rStyle w:val="aa"/>
            <w:rFonts w:ascii="Book Antiqua" w:eastAsia="等线" w:hAnsi="Book Antiqua" w:hint="eastAsia"/>
            <w:iCs/>
            <w:sz w:val="24"/>
          </w:rPr>
          <w:t>27</w:t>
        </w:r>
        <w:r w:rsidR="00E22F6A" w:rsidRPr="00003ECB">
          <w:rPr>
            <w:rStyle w:val="aa"/>
            <w:rFonts w:ascii="Book Antiqua" w:hAnsi="Book Antiqua"/>
            <w:iCs/>
            <w:sz w:val="24"/>
          </w:rPr>
          <w:t>.htm</w:t>
        </w:r>
      </w:hyperlink>
    </w:p>
    <w:p w:rsidR="00866FCC" w:rsidRPr="00E22F6A" w:rsidRDefault="00271983">
      <w:pPr>
        <w:snapToGrid w:val="0"/>
        <w:spacing w:line="360" w:lineRule="auto"/>
        <w:rPr>
          <w:rFonts w:ascii="Book Antiqua" w:hAnsi="Book Antiqua"/>
          <w:kern w:val="0"/>
          <w:sz w:val="24"/>
          <w:szCs w:val="24"/>
        </w:rPr>
      </w:pPr>
      <w:r w:rsidRPr="00E22F6A">
        <w:rPr>
          <w:rFonts w:ascii="Book Antiqua" w:hAnsi="Book Antiqua"/>
          <w:iCs/>
          <w:sz w:val="24"/>
        </w:rPr>
        <w:t xml:space="preserve">DOI: </w:t>
      </w:r>
      <w:hyperlink r:id="rId8" w:history="1">
        <w:r w:rsidR="007A1973" w:rsidRPr="00003ECB">
          <w:rPr>
            <w:rStyle w:val="aa"/>
            <w:rFonts w:ascii="Book Antiqua" w:hAnsi="Book Antiqua"/>
            <w:iCs/>
            <w:sz w:val="24"/>
          </w:rPr>
          <w:t>https://dx.doi.org/</w:t>
        </w:r>
        <w:r w:rsidR="007A1973" w:rsidRPr="00003ECB">
          <w:rPr>
            <w:rStyle w:val="aa"/>
            <w:rFonts w:ascii="Book Antiqua" w:hAnsi="Book Antiqua"/>
            <w:sz w:val="24"/>
            <w:szCs w:val="24"/>
            <w:shd w:val="clear" w:color="auto" w:fill="FFFFFF"/>
          </w:rPr>
          <w:t>10.13105</w:t>
        </w:r>
        <w:r w:rsidR="007A1973" w:rsidRPr="00003ECB">
          <w:rPr>
            <w:rStyle w:val="aa"/>
            <w:rFonts w:ascii="Book Antiqua" w:hAnsi="Book Antiqua"/>
            <w:iCs/>
            <w:sz w:val="24"/>
          </w:rPr>
          <w:t>/wj</w:t>
        </w:r>
        <w:r w:rsidR="007A1973" w:rsidRPr="00003ECB">
          <w:rPr>
            <w:rStyle w:val="aa"/>
            <w:rFonts w:ascii="Book Antiqua" w:hAnsi="Book Antiqua" w:hint="eastAsia"/>
            <w:iCs/>
            <w:sz w:val="24"/>
          </w:rPr>
          <w:t>ma</w:t>
        </w:r>
        <w:r w:rsidR="007A1973" w:rsidRPr="00003ECB">
          <w:rPr>
            <w:rStyle w:val="aa"/>
            <w:rFonts w:ascii="Book Antiqua" w:hAnsi="Book Antiqua"/>
            <w:iCs/>
            <w:sz w:val="24"/>
          </w:rPr>
          <w:t>.v</w:t>
        </w:r>
        <w:r w:rsidR="007A1973" w:rsidRPr="00003ECB">
          <w:rPr>
            <w:rStyle w:val="aa"/>
            <w:rFonts w:ascii="Book Antiqua" w:hAnsi="Book Antiqua" w:hint="eastAsia"/>
            <w:iCs/>
            <w:sz w:val="24"/>
          </w:rPr>
          <w:t>8</w:t>
        </w:r>
        <w:r w:rsidR="007A1973" w:rsidRPr="00003ECB">
          <w:rPr>
            <w:rStyle w:val="aa"/>
            <w:rFonts w:ascii="Book Antiqua" w:hAnsi="Book Antiqua"/>
            <w:iCs/>
            <w:sz w:val="24"/>
          </w:rPr>
          <w:t>.i</w:t>
        </w:r>
        <w:r w:rsidR="007A1973" w:rsidRPr="00003ECB">
          <w:rPr>
            <w:rStyle w:val="aa"/>
            <w:rFonts w:ascii="Book Antiqua" w:hAnsi="Book Antiqua" w:hint="eastAsia"/>
            <w:iCs/>
            <w:sz w:val="24"/>
          </w:rPr>
          <w:t>1</w:t>
        </w:r>
        <w:r w:rsidR="007A1973" w:rsidRPr="00003ECB">
          <w:rPr>
            <w:rStyle w:val="aa"/>
            <w:rFonts w:ascii="Book Antiqua" w:hAnsi="Book Antiqua"/>
            <w:iCs/>
            <w:sz w:val="24"/>
          </w:rPr>
          <w:t>.</w:t>
        </w:r>
        <w:r w:rsidR="007A1973" w:rsidRPr="00003ECB">
          <w:rPr>
            <w:rStyle w:val="aa"/>
            <w:rFonts w:ascii="Book Antiqua" w:eastAsia="等线" w:hAnsi="Book Antiqua" w:hint="eastAsia"/>
            <w:iCs/>
            <w:sz w:val="24"/>
          </w:rPr>
          <w:t>27</w:t>
        </w:r>
      </w:hyperlink>
    </w:p>
    <w:bookmarkEnd w:id="97"/>
    <w:p w:rsidR="00866FCC" w:rsidRPr="00E22F6A" w:rsidRDefault="00866FCC">
      <w:pPr>
        <w:widowControl/>
        <w:snapToGrid w:val="0"/>
        <w:spacing w:line="360" w:lineRule="auto"/>
        <w:rPr>
          <w:rFonts w:ascii="Book Antiqua" w:hAnsi="Book Antiqua"/>
          <w:b/>
          <w:bCs/>
          <w:kern w:val="0"/>
          <w:sz w:val="24"/>
          <w:szCs w:val="24"/>
        </w:rPr>
      </w:pPr>
      <w:r w:rsidRPr="00E22F6A">
        <w:rPr>
          <w:rFonts w:ascii="Book Antiqua" w:hAnsi="Book Antiqua"/>
          <w:bCs/>
          <w:kern w:val="0"/>
          <w:sz w:val="24"/>
          <w:szCs w:val="24"/>
        </w:rPr>
        <w:br w:type="page"/>
      </w:r>
      <w:r w:rsidRPr="00E22F6A">
        <w:rPr>
          <w:rFonts w:ascii="Book Antiqua" w:hAnsi="Book Antiqua" w:cs="Times New Roman"/>
          <w:b/>
          <w:bCs/>
          <w:kern w:val="0"/>
          <w:sz w:val="24"/>
          <w:szCs w:val="24"/>
        </w:rPr>
        <w:t>I</w:t>
      </w:r>
      <w:r w:rsidRPr="00E22F6A">
        <w:rPr>
          <w:rFonts w:ascii="Book Antiqua" w:hAnsi="Book Antiqua"/>
          <w:b/>
          <w:bCs/>
          <w:kern w:val="0"/>
          <w:sz w:val="24"/>
          <w:szCs w:val="24"/>
        </w:rPr>
        <w:t>NTRODUCTION</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Colorectal cancer (CRC) accounts for 9% of all cancers worldwide. It is the second most common cancer in women and the third most frequent cancer in men. More than 70% of the deaths associated with CRC are caused by metastasis to the liver. Although surgery may be potentially curable, less than 25% of cases can be managed with a recurrence rate of up to 70%</w:t>
      </w:r>
      <w:r w:rsidRPr="00E22F6A">
        <w:rPr>
          <w:rFonts w:ascii="Book Antiqua" w:hAnsi="Book Antiqua" w:cs="Times New Roman"/>
          <w:kern w:val="0"/>
          <w:sz w:val="24"/>
          <w:szCs w:val="24"/>
          <w:vertAlign w:val="superscript"/>
        </w:rPr>
        <w:t>[</w:t>
      </w:r>
      <w:r w:rsidRPr="00E22F6A">
        <w:rPr>
          <w:rFonts w:ascii="Book Antiqua" w:hAnsi="Book Antiqua"/>
          <w:kern w:val="0"/>
          <w:sz w:val="24"/>
          <w:szCs w:val="24"/>
          <w:vertAlign w:val="superscript"/>
        </w:rPr>
        <w:t>1</w:t>
      </w:r>
      <w:r w:rsidRPr="00E22F6A">
        <w:rPr>
          <w:rFonts w:ascii="Book Antiqua" w:hAnsi="Book Antiqua" w:cs="Times New Roman"/>
          <w:kern w:val="0"/>
          <w:sz w:val="24"/>
          <w:szCs w:val="24"/>
          <w:vertAlign w:val="superscript"/>
        </w:rPr>
        <w:t>]</w:t>
      </w:r>
      <w:r w:rsidRPr="00E22F6A">
        <w:rPr>
          <w:rFonts w:ascii="Book Antiqua" w:hAnsi="Book Antiqua" w:cs="Times New Roman"/>
          <w:kern w:val="0"/>
          <w:sz w:val="24"/>
          <w:szCs w:val="24"/>
        </w:rPr>
        <w:t>. The purpose of colon cancer treatment is to cure locally and to prevent metastasis and recurrence. Therefore, in the local excision of colon cancer at the same time, the treatment should be according to individual condition, and chemotherapy is an important method that is based on the patient’s condition, surgical situation and clinical stage of appropriate postoperative adjuvant chemotherapy.</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Many clinical studies for the long-term survival benefit or efficacy of capecitabine plus oxaliplatin (XELOX) in colon cancer have already been studied</w:t>
      </w:r>
      <w:r w:rsidRPr="00E22F6A">
        <w:rPr>
          <w:rFonts w:ascii="Book Antiqua" w:hAnsi="Book Antiqua"/>
          <w:kern w:val="0"/>
          <w:sz w:val="24"/>
          <w:szCs w:val="24"/>
          <w:vertAlign w:val="superscript"/>
        </w:rPr>
        <w:t>[2-4]</w:t>
      </w:r>
      <w:r w:rsidRPr="00E22F6A">
        <w:rPr>
          <w:rFonts w:ascii="Book Antiqua" w:hAnsi="Book Antiqua"/>
          <w:kern w:val="0"/>
          <w:sz w:val="24"/>
          <w:szCs w:val="24"/>
        </w:rPr>
        <w:t>,</w:t>
      </w:r>
      <w:r w:rsidRPr="00E22F6A">
        <w:rPr>
          <w:rFonts w:ascii="Book Antiqua" w:hAnsi="Book Antiqua" w:cs="Times New Roman"/>
          <w:kern w:val="0"/>
          <w:sz w:val="24"/>
          <w:szCs w:val="24"/>
        </w:rPr>
        <w:t xml:space="preserve"> </w:t>
      </w:r>
      <w:r w:rsidRPr="00E22F6A">
        <w:rPr>
          <w:rFonts w:ascii="Book Antiqua" w:hAnsi="Book Antiqua"/>
          <w:kern w:val="0"/>
          <w:sz w:val="24"/>
          <w:szCs w:val="24"/>
        </w:rPr>
        <w:t>b</w:t>
      </w:r>
      <w:r w:rsidRPr="00E22F6A">
        <w:rPr>
          <w:rFonts w:ascii="Book Antiqua" w:hAnsi="Book Antiqua" w:cs="Times New Roman"/>
          <w:kern w:val="0"/>
          <w:sz w:val="24"/>
          <w:szCs w:val="24"/>
        </w:rPr>
        <w:t>ut its clinical benefit is controversial</w:t>
      </w:r>
      <w:r w:rsidRPr="00E22F6A">
        <w:rPr>
          <w:rFonts w:ascii="Book Antiqua" w:hAnsi="Book Antiqua" w:cs="Times New Roman"/>
          <w:kern w:val="0"/>
          <w:sz w:val="24"/>
          <w:szCs w:val="24"/>
          <w:vertAlign w:val="superscript"/>
        </w:rPr>
        <w:t>[5]</w:t>
      </w:r>
      <w:r w:rsidRPr="00E22F6A">
        <w:rPr>
          <w:rFonts w:ascii="Book Antiqua" w:hAnsi="Book Antiqua" w:cs="Times New Roman"/>
          <w:kern w:val="0"/>
          <w:sz w:val="24"/>
          <w:szCs w:val="24"/>
        </w:rPr>
        <w:t>.</w:t>
      </w:r>
      <w:r w:rsidRPr="00E22F6A">
        <w:rPr>
          <w:rFonts w:ascii="Book Antiqua" w:hAnsi="Book Antiqua"/>
          <w:kern w:val="0"/>
          <w:sz w:val="24"/>
          <w:szCs w:val="24"/>
        </w:rPr>
        <w:t xml:space="preserve"> </w:t>
      </w:r>
      <w:r w:rsidRPr="00E22F6A">
        <w:rPr>
          <w:rFonts w:ascii="Book Antiqua" w:hAnsi="Book Antiqua" w:cs="Times New Roman"/>
          <w:kern w:val="0"/>
          <w:sz w:val="24"/>
          <w:szCs w:val="24"/>
        </w:rPr>
        <w:t>Since the 1990s, the introduction of irinotecan or oxaliplatin has extended the spectrum of therapeutic options. The combination of oxaliplatin or irinotecan with 5-fluorouracil (5-FU) plus leucovorin</w:t>
      </w:r>
      <w:r w:rsidRPr="00E22F6A">
        <w:rPr>
          <w:rFonts w:ascii="Book Antiqua" w:hAnsi="Book Antiqua"/>
          <w:kern w:val="0"/>
          <w:sz w:val="24"/>
          <w:szCs w:val="24"/>
        </w:rPr>
        <w:t xml:space="preserve"> (</w:t>
      </w:r>
      <w:r w:rsidRPr="00E22F6A">
        <w:rPr>
          <w:rFonts w:ascii="Book Antiqua" w:hAnsi="Book Antiqua" w:cs="Times New Roman"/>
          <w:kern w:val="0"/>
          <w:sz w:val="24"/>
          <w:szCs w:val="24"/>
        </w:rPr>
        <w:t xml:space="preserve">LV or FA) has been considered the standard regimen for first-line treatment of metastatic CRC. However, this is an inconvenient therapeutic option due to the requirement for continuous vascular infusion of 5-FU. A retrospective study on XELOX plus bevacizumab </w:t>
      </w:r>
      <w:r w:rsidRPr="00E22F6A">
        <w:rPr>
          <w:rFonts w:ascii="Book Antiqua" w:hAnsi="Book Antiqua" w:cs="Times New Roman"/>
          <w:i/>
          <w:iCs/>
          <w:kern w:val="0"/>
          <w:sz w:val="24"/>
          <w:szCs w:val="24"/>
        </w:rPr>
        <w:t>vs</w:t>
      </w:r>
      <w:r w:rsidRPr="00E22F6A">
        <w:rPr>
          <w:rFonts w:ascii="Book Antiqua" w:hAnsi="Book Antiqua" w:cs="Times New Roman"/>
          <w:kern w:val="0"/>
          <w:sz w:val="24"/>
          <w:szCs w:val="24"/>
        </w:rPr>
        <w:t xml:space="preserve"> LV plus 5-FU plus irinotecan (also known as FOLFIRI) plus bevacizumab treatment for metastatic colon cancer reported that XELOX plus bevacizumab was more effective in response rate and overall survival (OS) compared with LV plus 5-FU plus irinotecan plus bevacizumab</w:t>
      </w:r>
      <w:r w:rsidRPr="00E22F6A">
        <w:rPr>
          <w:rFonts w:ascii="Book Antiqua" w:hAnsi="Book Antiqua" w:cs="Times New Roman"/>
          <w:kern w:val="0"/>
          <w:sz w:val="24"/>
          <w:szCs w:val="24"/>
          <w:vertAlign w:val="superscript"/>
        </w:rPr>
        <w:t>[6]</w:t>
      </w:r>
      <w:r w:rsidRPr="00E22F6A">
        <w:rPr>
          <w:rFonts w:ascii="Book Antiqua" w:hAnsi="Book Antiqua" w:cs="Times New Roman"/>
          <w:kern w:val="0"/>
          <w:sz w:val="24"/>
          <w:szCs w:val="24"/>
        </w:rPr>
        <w:t>.</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 xml:space="preserve">Capecitabine is an orally administered fluoropyrimidine that was rationally designed to generate 5-FU preferentially at the tumor site. Capecitabine demonstrated a safety profile superior to that of 5-FU/LV, with a significantly lower incidence of diarrhea, stomatitis, nausea, alopecia and grade 3/4 neutropenia. Also, oral administration of capecitabine simplifies chemotherapy and provides convenient outpatient therapy. Because capecitabine has been adopted as a substitute for infused 5-FU/LV to overcome the inconvenience of 5-FU, subsequent data have found XELOX (also known as CAPOX) to be a comparable therapeutic regimen to infused 5-FU/LV plus oxaliplatin (known as FOLFOX-4 or FUOX). In the Loree </w:t>
      </w:r>
      <w:r w:rsidRPr="00E22F6A">
        <w:rPr>
          <w:rFonts w:ascii="Book Antiqua" w:hAnsi="Book Antiqua" w:cs="Times New Roman"/>
          <w:i/>
          <w:iCs/>
          <w:kern w:val="0"/>
          <w:sz w:val="24"/>
          <w:szCs w:val="24"/>
        </w:rPr>
        <w:t>et al</w:t>
      </w:r>
      <w:r w:rsidRPr="00E22F6A">
        <w:rPr>
          <w:rFonts w:ascii="Book Antiqua" w:hAnsi="Book Antiqua" w:cs="Times New Roman"/>
          <w:kern w:val="0"/>
          <w:sz w:val="24"/>
          <w:szCs w:val="24"/>
          <w:vertAlign w:val="superscript"/>
        </w:rPr>
        <w:t>[7]</w:t>
      </w:r>
      <w:r w:rsidRPr="00E22F6A">
        <w:rPr>
          <w:rFonts w:ascii="Book Antiqua" w:hAnsi="Book Antiqua" w:cs="Times New Roman"/>
          <w:kern w:val="0"/>
          <w:sz w:val="24"/>
          <w:szCs w:val="24"/>
        </w:rPr>
        <w:t xml:space="preserve"> study, XELOX and FOLFOX were compared in the treatment of colon cancer. The results showed that XELOX may be associated with improved disease-free survival (DFS) despite greater toxicities and reduced adjuvant chemotherapy duration to 3 mo. In a safety analysis of adjuvant chemotherapy for stage III colon cancer after radical resection of stage III colon cancer, mFOLFOX6/XELOX regimens are acceptable</w:t>
      </w:r>
      <w:r w:rsidRPr="00E22F6A">
        <w:rPr>
          <w:rFonts w:ascii="Book Antiqua" w:hAnsi="Book Antiqua" w:cs="Times New Roman"/>
          <w:kern w:val="0"/>
          <w:sz w:val="24"/>
          <w:szCs w:val="24"/>
          <w:vertAlign w:val="superscript"/>
        </w:rPr>
        <w:t>[8]</w:t>
      </w:r>
      <w:r w:rsidRPr="00E22F6A">
        <w:rPr>
          <w:rFonts w:ascii="Book Antiqua" w:hAnsi="Book Antiqua" w:cs="Times New Roman"/>
          <w:kern w:val="0"/>
          <w:sz w:val="24"/>
          <w:szCs w:val="24"/>
        </w:rPr>
        <w:t>.</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Randomized phase III trials demonstrated that outcomes using first-line XELOX are comparable with those achieved using continuous infusion of 5-FU and FOLFOX. There are many chemotherapy options for advanced CRC, and the long-term benefit is uncertain. Combining XELOX is advantageo</w:t>
      </w:r>
      <w:r w:rsidR="003F2970" w:rsidRPr="00E22F6A">
        <w:rPr>
          <w:rFonts w:ascii="Book Antiqua" w:hAnsi="Book Antiqua" w:cs="Times New Roman"/>
          <w:kern w:val="0"/>
          <w:sz w:val="24"/>
          <w:szCs w:val="24"/>
        </w:rPr>
        <w:t xml:space="preserve">us for the reasons as follows: </w:t>
      </w:r>
      <w:r w:rsidR="003F2970" w:rsidRPr="00E22F6A">
        <w:rPr>
          <w:rFonts w:ascii="Book Antiqua" w:hAnsi="Book Antiqua" w:cs="Times New Roman" w:hint="eastAsia"/>
          <w:kern w:val="0"/>
          <w:sz w:val="24"/>
          <w:szCs w:val="24"/>
        </w:rPr>
        <w:t>S</w:t>
      </w:r>
      <w:r w:rsidRPr="00E22F6A">
        <w:rPr>
          <w:rFonts w:ascii="Book Antiqua" w:hAnsi="Book Antiqua" w:cs="Times New Roman"/>
          <w:kern w:val="0"/>
          <w:sz w:val="24"/>
          <w:szCs w:val="24"/>
        </w:rPr>
        <w:t>ynergistic effects, no overlapping toxicities, easy to administer and outpatient management</w:t>
      </w:r>
      <w:r w:rsidRPr="00E22F6A">
        <w:rPr>
          <w:rFonts w:ascii="Book Antiqua" w:hAnsi="Book Antiqua" w:cs="Times New Roman"/>
          <w:kern w:val="0"/>
          <w:sz w:val="24"/>
          <w:szCs w:val="24"/>
          <w:vertAlign w:val="superscript"/>
        </w:rPr>
        <w:t>[9-12]</w:t>
      </w:r>
      <w:r w:rsidRPr="00E22F6A">
        <w:rPr>
          <w:rFonts w:ascii="Book Antiqua" w:hAnsi="Book Antiqua" w:cs="Times New Roman"/>
          <w:kern w:val="0"/>
          <w:sz w:val="24"/>
          <w:szCs w:val="24"/>
        </w:rPr>
        <w:t>. XELOX has been studied extensively in rectal cancer where the standard therapy is XELOX plus radiation therapy. To determine the efficacy of XELOX in colon cancer, the long-term efficacy of capecitabine combined with oxaliplatin (XELOX regimen) in comparison with other adjuvant chemotherapy protocols was evaluated.</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b/>
          <w:kern w:val="0"/>
          <w:sz w:val="24"/>
          <w:szCs w:val="24"/>
        </w:rPr>
      </w:pPr>
      <w:r w:rsidRPr="00E22F6A">
        <w:rPr>
          <w:rFonts w:ascii="Book Antiqua" w:hAnsi="Book Antiqua"/>
          <w:b/>
          <w:kern w:val="0"/>
          <w:sz w:val="24"/>
          <w:szCs w:val="24"/>
        </w:rPr>
        <w:t>MATERIALS AND METHODS</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This meta-analysis is in terms of the Preferred Reporting Items for Systematic Reviews and Meta-Analyses (PRISMA) 2009 declaration.</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Search strategy</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Two researchers independently retrieved randomized controlled trials (RCT) articles involved in oxaliplatin combined with capecitabine in CRC published in PubMed, EMBASE, Cochrane, web of science, clinical trial and China National Knowledge Infrastructure databases from 1991 to August 2017. The retrieval languages were Chinese and English. The retrieval was performed using the following keywords. English search terms for: (PubMed): Search (((Colonic Neoplasms [MeSH Terms]) OR ((((((((((Colonic Neoplasm [Title/Abstract]) OR Colon Neoplasm* [Title/Abstract]) OR Neoplasm*, Colonic) OR Neoplasm*, Colon [Title/Abstract]) OR Cancer of Colon [Title/Abstract]) OR Cancer of the Colon [Title/Abstract]) OR Colonic Cancer* [Title/Abstract]) OR Cancer*, Colonic [Title/Abstract]) OR Colon Cancer* [Title/Abstract]) OR Cancer*, Colon [Title/Abstract]))) AND (((((((((((ECX) [Title/Abstract] OR XELOX) [Title/Abstract] OR Xeloda) [Title/Abstract] OR Capecitabine [Title/Abstract])) ORN (4) - pentyloxycarbonyl – 5’ - deoxy- 5- fluorocytidine [Title/Abstract]) OR Capecitabine)) OR Capecitabine [MeSH Terms]) AND (((oxaliplatin [MeSH Terms]) OR oxaliplatin [Title/Abstract]) OR ((((((((((((((((1, 2 - diamminocyclohexane (trans-1) oxolatoplatinum (II) [Title/Abstract]) OR oxalato- (1,2-cyclohexanediamine) platinum II [Title/Abstract]) OR L-OHPcpd [Title/Abstract]) OR oxaliplatine [Title/Abstract]) OR1,2-diaminocyclohexane platinum oxalate [Title/Abstract]) OR platinum (II)-1,2-cyclohexanediamine oxalate [Title/Abstract]) OR cis-oxalato-(trans-l)-1,2-diaminocyclohexane - platinum (II) [Title/Abstract]) ORoxaliplatin, (SP-4-3-(cis))-isomer [Title/Abstract]) OR oxaliplatin, (SP-4-2-(1R-trans)) - isomer [Title/Abstract]) OR oxaliplatin, (SP - 4 - 2 - (1S-trans)) -isomer [Title/Abstract]) OR ACT-078 [Title/Abstract]) OR ACT-078 [Title/Abstract]) OR Eloxatine [Title/Abstract]) OR Sanofi Synthelabo brand of oxaliplatin [Title/Abstract]) OR Sanofi brand of oxaliplatin [Title/Abstract]) OR Eloxatin [Title/Abstract])))). Chinese search terms for: Capecitabine, oxaliplatin, XELOX, colon cancer.</w:t>
      </w:r>
    </w:p>
    <w:p w:rsidR="00866FCC" w:rsidRPr="00E22F6A" w:rsidRDefault="00866FCC">
      <w:pPr>
        <w:snapToGrid w:val="0"/>
        <w:spacing w:line="360" w:lineRule="auto"/>
        <w:rPr>
          <w:rFonts w:ascii="Book Antiqua" w:hAnsi="Book Antiqua"/>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b/>
          <w:bCs/>
          <w:i/>
          <w:iCs/>
          <w:kern w:val="0"/>
          <w:sz w:val="24"/>
          <w:szCs w:val="24"/>
        </w:rPr>
        <w:t>Selection criteria</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Literature was retrieved and screened in accordance with the PRISMA guidelines. Two reviewers independently screened literature and abstracts based on predefined inclusion and exclusion criteria and screened the full text if necessary. In the literature that met the inclusion criteria, two reviewers used a unified data extraction table to independently extract data. Disagreements were resolved through consultation or by a third researcher.</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 xml:space="preserve"> </w:t>
      </w:r>
    </w:p>
    <w:p w:rsidR="00866FCC" w:rsidRPr="00E22F6A" w:rsidRDefault="00866FCC">
      <w:pPr>
        <w:snapToGrid w:val="0"/>
        <w:spacing w:line="360" w:lineRule="auto"/>
        <w:rPr>
          <w:rFonts w:ascii="Book Antiqua" w:hAnsi="Book Antiqua" w:cs="Times New Roman"/>
          <w:b/>
          <w:bCs/>
          <w:i/>
          <w:iCs/>
          <w:kern w:val="0"/>
          <w:sz w:val="24"/>
          <w:szCs w:val="24"/>
        </w:rPr>
      </w:pPr>
      <w:r w:rsidRPr="00E22F6A">
        <w:rPr>
          <w:rFonts w:ascii="Book Antiqua" w:hAnsi="Book Antiqua" w:cs="Times New Roman"/>
          <w:b/>
          <w:bCs/>
          <w:i/>
          <w:iCs/>
          <w:kern w:val="0"/>
          <w:sz w:val="24"/>
          <w:szCs w:val="24"/>
        </w:rPr>
        <w:t>Inclusion criteria</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 xml:space="preserve">The inclusion criteria was: (1) </w:t>
      </w:r>
      <w:r w:rsidR="0077201C" w:rsidRPr="00E22F6A">
        <w:rPr>
          <w:rFonts w:ascii="Book Antiqua" w:hAnsi="Book Antiqua" w:cs="Times New Roman" w:hint="eastAsia"/>
          <w:kern w:val="0"/>
          <w:sz w:val="24"/>
          <w:szCs w:val="24"/>
        </w:rPr>
        <w:t>E</w:t>
      </w:r>
      <w:r w:rsidRPr="00E22F6A">
        <w:rPr>
          <w:rFonts w:ascii="Book Antiqua" w:hAnsi="Book Antiqua" w:cs="Times New Roman"/>
          <w:kern w:val="0"/>
          <w:sz w:val="24"/>
          <w:szCs w:val="24"/>
        </w:rPr>
        <w:t xml:space="preserve">xperimental design for RCT; (2) </w:t>
      </w:r>
      <w:r w:rsidR="0077201C" w:rsidRPr="00E22F6A">
        <w:rPr>
          <w:rFonts w:ascii="Book Antiqua" w:hAnsi="Book Antiqua" w:cs="Times New Roman" w:hint="eastAsia"/>
          <w:kern w:val="0"/>
          <w:sz w:val="24"/>
          <w:szCs w:val="24"/>
        </w:rPr>
        <w:t>T</w:t>
      </w:r>
      <w:r w:rsidRPr="00E22F6A">
        <w:rPr>
          <w:rFonts w:ascii="Book Antiqua" w:hAnsi="Book Antiqua" w:cs="Times New Roman"/>
          <w:kern w:val="0"/>
          <w:sz w:val="24"/>
          <w:szCs w:val="24"/>
        </w:rPr>
        <w:t xml:space="preserve">he research object for the pathological diagnosis of patients with CRC; (3) </w:t>
      </w:r>
      <w:r w:rsidR="0077201C" w:rsidRPr="00E22F6A">
        <w:rPr>
          <w:rFonts w:ascii="Book Antiqua" w:hAnsi="Book Antiqua" w:cs="Times New Roman" w:hint="eastAsia"/>
          <w:kern w:val="0"/>
          <w:sz w:val="24"/>
          <w:szCs w:val="24"/>
        </w:rPr>
        <w:t>T</w:t>
      </w:r>
      <w:r w:rsidRPr="00E22F6A">
        <w:rPr>
          <w:rFonts w:ascii="Book Antiqua" w:hAnsi="Book Antiqua" w:cs="Times New Roman"/>
          <w:kern w:val="0"/>
          <w:sz w:val="24"/>
          <w:szCs w:val="24"/>
        </w:rPr>
        <w:t xml:space="preserve">he experimental group intervention for capecitabine combined with oxaliplatin, the control group for other chemotherapeutic drugs; (4) </w:t>
      </w:r>
      <w:r w:rsidR="0077201C" w:rsidRPr="00E22F6A">
        <w:rPr>
          <w:rFonts w:ascii="Book Antiqua" w:hAnsi="Book Antiqua" w:cs="Times New Roman" w:hint="eastAsia"/>
          <w:kern w:val="0"/>
          <w:sz w:val="24"/>
          <w:szCs w:val="24"/>
        </w:rPr>
        <w:t>O</w:t>
      </w:r>
      <w:r w:rsidRPr="00E22F6A">
        <w:rPr>
          <w:rFonts w:ascii="Book Antiqua" w:hAnsi="Book Antiqua" w:cs="Times New Roman"/>
          <w:kern w:val="0"/>
          <w:sz w:val="24"/>
          <w:szCs w:val="24"/>
        </w:rPr>
        <w:t xml:space="preserve">bservation results for patients with long-term efficacy: OS and DFS; (5) </w:t>
      </w:r>
      <w:r w:rsidR="0077201C" w:rsidRPr="00E22F6A">
        <w:rPr>
          <w:rFonts w:ascii="Book Antiqua" w:hAnsi="Book Antiqua" w:cs="Times New Roman" w:hint="eastAsia"/>
          <w:kern w:val="0"/>
          <w:sz w:val="24"/>
          <w:szCs w:val="24"/>
        </w:rPr>
        <w:t>I</w:t>
      </w:r>
      <w:r w:rsidRPr="00E22F6A">
        <w:rPr>
          <w:rFonts w:ascii="Book Antiqua" w:hAnsi="Book Antiqua" w:cs="Times New Roman"/>
          <w:kern w:val="0"/>
          <w:sz w:val="24"/>
          <w:szCs w:val="24"/>
        </w:rPr>
        <w:t xml:space="preserve">f the study included many cases, then only select the required part; and (6) </w:t>
      </w:r>
      <w:r w:rsidR="0077201C" w:rsidRPr="00E22F6A">
        <w:rPr>
          <w:rFonts w:ascii="Book Antiqua" w:hAnsi="Book Antiqua" w:cs="Times New Roman" w:hint="eastAsia"/>
          <w:kern w:val="0"/>
          <w:sz w:val="24"/>
          <w:szCs w:val="24"/>
        </w:rPr>
        <w:t>T</w:t>
      </w:r>
      <w:r w:rsidRPr="00E22F6A">
        <w:rPr>
          <w:rFonts w:ascii="Book Antiqua" w:hAnsi="Book Antiqua" w:cs="Times New Roman"/>
          <w:kern w:val="0"/>
          <w:sz w:val="24"/>
          <w:szCs w:val="24"/>
        </w:rPr>
        <w:t>he selected patients were stage III colon cancer patients and had undergone surgery without neoadjuvant chemotherapy.</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Exclusion criteria</w:t>
      </w:r>
    </w:p>
    <w:p w:rsidR="00866FCC" w:rsidRPr="00E22F6A" w:rsidRDefault="00866FCC">
      <w:pPr>
        <w:pStyle w:val="ColorfulList-Accent11"/>
        <w:snapToGrid w:val="0"/>
        <w:spacing w:line="360" w:lineRule="auto"/>
        <w:ind w:firstLineChars="0" w:firstLine="0"/>
        <w:rPr>
          <w:rFonts w:ascii="Book Antiqua" w:hAnsi="Book Antiqua" w:cs="Times New Roman"/>
          <w:kern w:val="0"/>
          <w:sz w:val="24"/>
          <w:szCs w:val="24"/>
        </w:rPr>
      </w:pPr>
      <w:r w:rsidRPr="00E22F6A">
        <w:rPr>
          <w:rFonts w:ascii="Book Antiqua" w:hAnsi="Book Antiqua" w:cs="Times New Roman"/>
          <w:kern w:val="0"/>
          <w:sz w:val="24"/>
          <w:szCs w:val="24"/>
        </w:rPr>
        <w:t xml:space="preserve">Studies were excluded if: (1) </w:t>
      </w:r>
      <w:r w:rsidR="00A639F0" w:rsidRPr="00E22F6A">
        <w:rPr>
          <w:rFonts w:ascii="Book Antiqua" w:hAnsi="Book Antiqua" w:cs="Times New Roman" w:hint="eastAsia"/>
          <w:kern w:val="0"/>
          <w:sz w:val="24"/>
          <w:szCs w:val="24"/>
        </w:rPr>
        <w:t>N</w:t>
      </w:r>
      <w:r w:rsidRPr="00E22F6A">
        <w:rPr>
          <w:rFonts w:ascii="Book Antiqua" w:hAnsi="Book Antiqua" w:cs="Times New Roman"/>
          <w:kern w:val="0"/>
          <w:sz w:val="24"/>
          <w:szCs w:val="24"/>
        </w:rPr>
        <w:t xml:space="preserve">on-RCT; (2) </w:t>
      </w:r>
      <w:r w:rsidR="00A639F0" w:rsidRPr="00E22F6A">
        <w:rPr>
          <w:rFonts w:ascii="Book Antiqua" w:hAnsi="Book Antiqua" w:cs="Times New Roman" w:hint="eastAsia"/>
          <w:kern w:val="0"/>
          <w:sz w:val="24"/>
          <w:szCs w:val="24"/>
        </w:rPr>
        <w:t>S</w:t>
      </w:r>
      <w:r w:rsidRPr="00E22F6A">
        <w:rPr>
          <w:rFonts w:ascii="Book Antiqua" w:hAnsi="Book Antiqua" w:cs="Times New Roman"/>
          <w:kern w:val="0"/>
          <w:sz w:val="24"/>
          <w:szCs w:val="24"/>
        </w:rPr>
        <w:t xml:space="preserve">ubjects included rectal cancer; (3) DFS or OS was not compared with two chemotherapy regimens in the same trial; (4) </w:t>
      </w:r>
      <w:r w:rsidR="00A639F0" w:rsidRPr="00E22F6A">
        <w:rPr>
          <w:rFonts w:ascii="Book Antiqua" w:hAnsi="Book Antiqua" w:cs="Times New Roman" w:hint="eastAsia"/>
          <w:kern w:val="0"/>
          <w:sz w:val="24"/>
          <w:szCs w:val="24"/>
        </w:rPr>
        <w:t>N</w:t>
      </w:r>
      <w:r w:rsidRPr="00E22F6A">
        <w:rPr>
          <w:rFonts w:ascii="Book Antiqua" w:hAnsi="Book Antiqua" w:cs="Times New Roman"/>
          <w:kern w:val="0"/>
          <w:sz w:val="24"/>
          <w:szCs w:val="24"/>
        </w:rPr>
        <w:t xml:space="preserve">o specific data were provided; and/or (5) </w:t>
      </w:r>
      <w:r w:rsidR="00A639F0" w:rsidRPr="00E22F6A">
        <w:rPr>
          <w:rFonts w:ascii="Book Antiqua" w:hAnsi="Book Antiqua" w:cs="Times New Roman" w:hint="eastAsia"/>
          <w:kern w:val="0"/>
          <w:sz w:val="24"/>
          <w:szCs w:val="24"/>
        </w:rPr>
        <w:t>R</w:t>
      </w:r>
      <w:r w:rsidRPr="00E22F6A">
        <w:rPr>
          <w:rFonts w:ascii="Book Antiqua" w:hAnsi="Book Antiqua" w:cs="Times New Roman"/>
          <w:kern w:val="0"/>
          <w:sz w:val="24"/>
          <w:szCs w:val="24"/>
        </w:rPr>
        <w:t>epeated publication.</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cs="Times New Roman"/>
          <w:b/>
          <w:bCs/>
          <w:kern w:val="0"/>
          <w:sz w:val="24"/>
          <w:szCs w:val="24"/>
        </w:rPr>
      </w:pPr>
      <w:r w:rsidRPr="00E22F6A">
        <w:rPr>
          <w:rFonts w:ascii="Book Antiqua" w:hAnsi="Book Antiqua"/>
          <w:b/>
          <w:bCs/>
          <w:i/>
          <w:iCs/>
          <w:kern w:val="0"/>
          <w:sz w:val="24"/>
          <w:szCs w:val="24"/>
        </w:rPr>
        <w:t>Data extraction</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Data for each article was extracted, including the first author and title of the RCT, sample size, follow-up time, publication time, medication regimen, DFS and OS.</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 xml:space="preserve">Methodological quality and statistical analysis of the RCTs were evaluated with the following criteria. The offset assessment of a single study was evaluated by two independent researchers. Any disagreements were evaluated by a third researcher. Quality evaluation mainly included random sequence generation, randomization concealment, blindness, withdrawal and withdrawal, and the Jadad scale was used to evaluate the score. We defined 1-3 points as low quality and 4-7 points as high quality. At the same time, the meta-analysis software Review Manager Version 5.3 recommended by the Cochrane library was used to test the heterogeneity and calculate the combination of odds ratio (OR) value and 95% confidence interval (CI). </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 xml:space="preserve">Statistical detection of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values less than 0.05 were considered statistically significant. The heterogeneity of the study was determined by the</w:t>
      </w:r>
      <w:r w:rsidRPr="00E22F6A">
        <w:rPr>
          <w:rFonts w:ascii="Book Antiqua" w:hAnsi="Book Antiqua" w:cs="Times New Roman"/>
          <w:i/>
          <w:iCs/>
          <w:kern w:val="0"/>
          <w:sz w:val="24"/>
          <w:szCs w:val="24"/>
        </w:rPr>
        <w:t xml:space="preserve"> t</w:t>
      </w:r>
      <w:r w:rsidRPr="00E22F6A">
        <w:rPr>
          <w:rFonts w:ascii="Book Antiqua" w:hAnsi="Book Antiqua" w:cs="Times New Roman"/>
          <w:kern w:val="0"/>
          <w:sz w:val="24"/>
          <w:szCs w:val="24"/>
        </w:rPr>
        <w:t xml:space="preserve"> test and the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test. The unified random effect model was used for consolidation.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&lt; 50% were considered as no statistical heterogeneity among the studies, and a random effect model was used to merge effects. Conversely, the random effect model was used to combine the effects. The output combined the OR value and the 95%CI and tests the merging statistic. The </w:t>
      </w:r>
      <w:r w:rsidRPr="00E22F6A">
        <w:rPr>
          <w:rFonts w:ascii="Book Antiqua" w:hAnsi="Book Antiqua" w:cs="Times New Roman"/>
          <w:i/>
          <w:kern w:val="0"/>
          <w:sz w:val="24"/>
          <w:szCs w:val="24"/>
        </w:rPr>
        <w:t>Z</w:t>
      </w:r>
      <w:r w:rsidRPr="00E22F6A">
        <w:rPr>
          <w:rFonts w:ascii="Book Antiqua" w:hAnsi="Book Antiqua" w:cs="Times New Roman"/>
          <w:kern w:val="0"/>
          <w:sz w:val="24"/>
          <w:szCs w:val="24"/>
        </w:rPr>
        <w:t xml:space="preserve"> test was used. The test level was α = 0.05. </w:t>
      </w:r>
    </w:p>
    <w:p w:rsidR="00866FCC" w:rsidRPr="00E22F6A" w:rsidRDefault="00866FCC">
      <w:pPr>
        <w:snapToGrid w:val="0"/>
        <w:spacing w:line="360" w:lineRule="auto"/>
        <w:ind w:firstLineChars="200" w:firstLine="480"/>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Sensitivity analysis</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Sensitivity analysis included a sensitivity analysis performed in subgroup analyses. If a document was excluded and the impact on the overall outcome was greater, then the literature was reread and the quality was evaluated. Then it was determined whether it was eventually incorporated.</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Methodological quality</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The literature was included and the GRADE system was used to assess methodological quality. In order to thoroughly reveal the source of heterogeneity, we also conducted meta regression and subgroup analysis. In addition, the funnel plot and application of shear reinforcing method (if the funnel plot was asymmetric or incomplete, then there was publication bias, and shear reinforcing method was applied; symmetry indicates that the publication bias is less likely without using the shear reinforcing method). Begg’s funnel plots and Egger’s tests were conducted to assess potential publication bias. Data analysis was performed using Stata 12.0 edition.</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b/>
          <w:bCs/>
          <w:kern w:val="0"/>
          <w:sz w:val="24"/>
          <w:szCs w:val="24"/>
        </w:rPr>
      </w:pPr>
      <w:r w:rsidRPr="00E22F6A">
        <w:rPr>
          <w:rFonts w:ascii="Book Antiqua" w:hAnsi="Book Antiqua"/>
          <w:b/>
          <w:bCs/>
          <w:kern w:val="0"/>
          <w:sz w:val="24"/>
          <w:szCs w:val="24"/>
        </w:rPr>
        <w:t>RESULTS</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After searching the database, 360 documents were selected. Eighteen repetitive documents were excluded. After reading the title and abstract, 285 papers were excluded from the study of capecitabine combined with oxaliplatin compared with other drugs that affect colon cancer. After reading the full text, 41 articles were excluded because they did not involve relevant outcome indicators. Two articles were excluded because there were no relevant data, and two articles in the control group did not meet the inclusion criteria. Finally, 12 articles met the requirements</w:t>
      </w:r>
      <w:r w:rsidRPr="00E22F6A">
        <w:rPr>
          <w:rFonts w:ascii="Book Antiqua" w:hAnsi="Book Antiqua" w:cs="Times New Roman"/>
          <w:kern w:val="0"/>
          <w:sz w:val="24"/>
          <w:szCs w:val="24"/>
          <w:vertAlign w:val="superscript"/>
        </w:rPr>
        <w:t>[13-24]</w:t>
      </w:r>
      <w:r w:rsidRPr="00E22F6A">
        <w:rPr>
          <w:rFonts w:ascii="Book Antiqua" w:hAnsi="Book Antiqua" w:cs="Times New Roman"/>
          <w:kern w:val="0"/>
          <w:sz w:val="24"/>
          <w:szCs w:val="24"/>
        </w:rPr>
        <w:t xml:space="preserve"> (Figure 1).</w:t>
      </w:r>
    </w:p>
    <w:p w:rsidR="00866FCC" w:rsidRPr="00E22F6A" w:rsidRDefault="00866FCC">
      <w:pPr>
        <w:snapToGrid w:val="0"/>
        <w:spacing w:line="360" w:lineRule="auto"/>
        <w:ind w:firstLineChars="100" w:firstLine="240"/>
        <w:rPr>
          <w:rFonts w:ascii="Book Antiqua" w:hAnsi="Book Antiqua"/>
          <w:kern w:val="0"/>
          <w:sz w:val="24"/>
          <w:szCs w:val="24"/>
        </w:rPr>
      </w:pPr>
      <w:r w:rsidRPr="00E22F6A">
        <w:rPr>
          <w:rFonts w:ascii="Book Antiqua" w:hAnsi="Book Antiqua"/>
          <w:kern w:val="0"/>
          <w:sz w:val="24"/>
          <w:szCs w:val="24"/>
        </w:rPr>
        <w:t>Data and quality evaluation were included in a clinical controlled trial (Table 1).</w:t>
      </w:r>
    </w:p>
    <w:p w:rsidR="00866FCC" w:rsidRPr="00E22F6A" w:rsidRDefault="00866FCC">
      <w:pPr>
        <w:snapToGrid w:val="0"/>
        <w:spacing w:line="360" w:lineRule="auto"/>
        <w:ind w:firstLine="720"/>
        <w:rPr>
          <w:rFonts w:ascii="Book Antiqua" w:hAnsi="Book Antiqua"/>
          <w:b/>
          <w:bCs/>
          <w:kern w:val="0"/>
          <w:sz w:val="24"/>
          <w:szCs w:val="24"/>
        </w:rPr>
      </w:pPr>
      <w:r w:rsidRPr="00E22F6A">
        <w:rPr>
          <w:rFonts w:ascii="Book Antiqua" w:hAnsi="Book Antiqua"/>
          <w:b/>
          <w:bCs/>
          <w:kern w:val="0"/>
          <w:sz w:val="24"/>
          <w:szCs w:val="24"/>
        </w:rPr>
        <w:t xml:space="preserve"> </w:t>
      </w:r>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Statistical analysis</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b/>
          <w:bCs/>
          <w:kern w:val="0"/>
          <w:sz w:val="24"/>
          <w:szCs w:val="24"/>
        </w:rPr>
        <w:t xml:space="preserve">OS: </w:t>
      </w:r>
      <w:r w:rsidRPr="00E22F6A">
        <w:rPr>
          <w:rFonts w:ascii="Book Antiqua" w:hAnsi="Book Antiqua" w:cs="Times New Roman"/>
          <w:kern w:val="0"/>
          <w:sz w:val="24"/>
          <w:szCs w:val="24"/>
        </w:rPr>
        <w:t xml:space="preserve">The meta-analysis obtained OS data from 11 articles. Finally, ten papers were included. The combined analysis showed that the XELOX group had longer OS compared with other chemotherapy groups (Figure 2A). The study has statistical significance (OR = 1.29, 95%CI: 1.15-1.44,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&lt; 0.0001). There was no heterogeneity among the study sites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0.46,</w:t>
      </w:r>
      <w:r w:rsidRPr="00E22F6A">
        <w:rPr>
          <w:rFonts w:ascii="Book Antiqua" w:hAnsi="Book Antiqua" w:cs="Times New Roman"/>
          <w:i/>
          <w:kern w:val="0"/>
          <w:sz w:val="24"/>
          <w:szCs w:val="24"/>
        </w:rPr>
        <w:t xml:space="preserve"> 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i/>
          <w:iCs/>
          <w:kern w:val="0"/>
          <w:sz w:val="24"/>
          <w:szCs w:val="24"/>
        </w:rPr>
        <w:t>Results of the OS subgroup analysis</w:t>
      </w:r>
      <w:r w:rsidRPr="00E22F6A">
        <w:rPr>
          <w:rFonts w:ascii="Book Antiqua" w:hAnsi="Book Antiqua"/>
          <w:kern w:val="0"/>
          <w:sz w:val="24"/>
          <w:szCs w:val="24"/>
        </w:rPr>
        <w:t xml:space="preserve"> (subgroup analysis of different follow-up visits) (Figure 3): </w:t>
      </w:r>
      <w:r w:rsidRPr="00E22F6A">
        <w:rPr>
          <w:rFonts w:ascii="Book Antiqua" w:hAnsi="Book Antiqua" w:cs="Times New Roman"/>
          <w:kern w:val="0"/>
          <w:sz w:val="24"/>
          <w:szCs w:val="24"/>
        </w:rPr>
        <w:t xml:space="preserve">Annual survival was statistically significant: (OR = 1.70, 95%CI: 1.13-2.56,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0.01). There was no heterogeneity in the study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0.66,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 The 2-year survival rate was statistically significant: (OR = 3.30, 95%CI: 1.37-7.97,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0.01). There was no heterogeneity in the study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0.99,</w:t>
      </w:r>
      <w:r w:rsidRPr="00E22F6A">
        <w:rPr>
          <w:rFonts w:ascii="Book Antiqua" w:hAnsi="Book Antiqua" w:cs="Times New Roman"/>
          <w:i/>
          <w:kern w:val="0"/>
          <w:sz w:val="24"/>
          <w:szCs w:val="24"/>
        </w:rPr>
        <w:t xml:space="preserve"> 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 The 3-year survival rate was not statistically significant: (OR = 0.97, 95%CI: 0.56-1.69,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0.93). There was no heterogeneity in the study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0.93,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 The 7-year survival rate was statistically significant (OR = 1.30, 95%CI: 1.13-1.50,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0.0003). There was no heterogeneity in the study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0.75,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 </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i/>
          <w:iCs/>
          <w:kern w:val="0"/>
          <w:sz w:val="24"/>
          <w:szCs w:val="24"/>
        </w:rPr>
        <w:t>Results of the OS subgroup analysis</w:t>
      </w:r>
      <w:r w:rsidRPr="00E22F6A">
        <w:rPr>
          <w:rFonts w:ascii="Book Antiqua" w:hAnsi="Book Antiqua"/>
          <w:kern w:val="0"/>
          <w:sz w:val="24"/>
          <w:szCs w:val="24"/>
        </w:rPr>
        <w:t xml:space="preserve"> (XELOX </w:t>
      </w:r>
      <w:r w:rsidRPr="00E22F6A">
        <w:rPr>
          <w:rFonts w:ascii="Book Antiqua" w:hAnsi="Book Antiqua"/>
          <w:i/>
          <w:iCs/>
          <w:kern w:val="0"/>
          <w:sz w:val="24"/>
          <w:szCs w:val="24"/>
        </w:rPr>
        <w:t>vs</w:t>
      </w:r>
      <w:r w:rsidRPr="00E22F6A">
        <w:rPr>
          <w:rFonts w:ascii="Book Antiqua" w:hAnsi="Book Antiqua"/>
          <w:kern w:val="0"/>
          <w:sz w:val="24"/>
          <w:szCs w:val="24"/>
        </w:rPr>
        <w:t xml:space="preserve"> other chemotherapy groups) (Figure 4A): </w:t>
      </w:r>
      <w:r w:rsidRPr="00E22F6A">
        <w:rPr>
          <w:rFonts w:ascii="Book Antiqua" w:hAnsi="Book Antiqua" w:cs="Times New Roman"/>
          <w:kern w:val="0"/>
          <w:sz w:val="24"/>
          <w:szCs w:val="24"/>
        </w:rPr>
        <w:t xml:space="preserve">XELOX </w:t>
      </w:r>
      <w:r w:rsidRPr="00E22F6A">
        <w:rPr>
          <w:rFonts w:ascii="Book Antiqua" w:hAnsi="Book Antiqua" w:cs="Times New Roman"/>
          <w:i/>
          <w:iCs/>
          <w:kern w:val="0"/>
          <w:sz w:val="24"/>
          <w:szCs w:val="24"/>
        </w:rPr>
        <w:t>vs</w:t>
      </w:r>
      <w:r w:rsidRPr="00E22F6A">
        <w:rPr>
          <w:rFonts w:ascii="Book Antiqua" w:hAnsi="Book Antiqua" w:cs="Times New Roman"/>
          <w:kern w:val="0"/>
          <w:sz w:val="24"/>
          <w:szCs w:val="24"/>
        </w:rPr>
        <w:t xml:space="preserve"> FU/FA: The study was statistically significant: (OR = 1.24, 95%CI: 1.07-1.44,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0.005). There was no heterogeneity in the study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0.73,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 XELOX </w:t>
      </w:r>
      <w:r w:rsidRPr="00E22F6A">
        <w:rPr>
          <w:rFonts w:ascii="Book Antiqua" w:hAnsi="Book Antiqua" w:cs="Times New Roman"/>
          <w:i/>
          <w:iCs/>
          <w:kern w:val="0"/>
          <w:sz w:val="24"/>
          <w:szCs w:val="24"/>
        </w:rPr>
        <w:t>vs</w:t>
      </w:r>
      <w:r w:rsidRPr="00E22F6A">
        <w:rPr>
          <w:rFonts w:ascii="Book Antiqua" w:hAnsi="Book Antiqua" w:cs="Times New Roman"/>
          <w:kern w:val="0"/>
          <w:sz w:val="24"/>
          <w:szCs w:val="24"/>
        </w:rPr>
        <w:t xml:space="preserve"> FOLFOX: The study was statistically significant: (OR = 1.29, 95%CI: 1.07-1.55,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0.008). There was no heterogeneity in the study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0.32,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 XELOX </w:t>
      </w:r>
      <w:r w:rsidRPr="00E22F6A">
        <w:rPr>
          <w:rFonts w:ascii="Book Antiqua" w:hAnsi="Book Antiqua" w:cs="Times New Roman"/>
          <w:i/>
          <w:iCs/>
          <w:kern w:val="0"/>
          <w:sz w:val="24"/>
          <w:szCs w:val="24"/>
        </w:rPr>
        <w:t>vs</w:t>
      </w:r>
      <w:r w:rsidRPr="00E22F6A">
        <w:rPr>
          <w:rFonts w:ascii="Book Antiqua" w:hAnsi="Book Antiqua" w:cs="Times New Roman"/>
          <w:kern w:val="0"/>
          <w:sz w:val="24"/>
          <w:szCs w:val="24"/>
        </w:rPr>
        <w:t xml:space="preserve"> capecitabine: The study was statistically significant: (OR = 1.28, 95%CI: 1.14-1.44,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0.008). There was no heterogeneity in the study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0.99,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b/>
          <w:bCs/>
          <w:kern w:val="0"/>
          <w:sz w:val="24"/>
          <w:szCs w:val="24"/>
        </w:rPr>
        <w:t xml:space="preserve">DFS: </w:t>
      </w:r>
      <w:r w:rsidRPr="00E22F6A">
        <w:rPr>
          <w:rFonts w:ascii="Book Antiqua" w:hAnsi="Book Antiqua" w:cs="Times New Roman"/>
          <w:kern w:val="0"/>
          <w:sz w:val="24"/>
          <w:szCs w:val="24"/>
        </w:rPr>
        <w:t xml:space="preserve">In this meta-analysis, DFS data were obtained in five articles, and four articles were finally included. The combined analysis showed that the XELOX group had longer DFS compared with other chemotherapy groups (Figure 2B). The study had significant statistical significance (OR = 1.32, 95%CI: 1.18-1.46,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&lt; 0.0001). There was no heterogeneity in the study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0.68,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iCs/>
          <w:kern w:val="0"/>
          <w:sz w:val="24"/>
          <w:szCs w:val="24"/>
        </w:rPr>
        <w:t>Results of the DFS subgroup analysis</w:t>
      </w:r>
      <w:r w:rsidRPr="00E22F6A">
        <w:rPr>
          <w:rFonts w:ascii="Book Antiqua" w:hAnsi="Book Antiqua"/>
          <w:kern w:val="0"/>
          <w:sz w:val="24"/>
          <w:szCs w:val="24"/>
        </w:rPr>
        <w:t xml:space="preserve"> (XELOX and other chemotherapy drug groups (Figure 4B): </w:t>
      </w:r>
      <w:r w:rsidRPr="00E22F6A">
        <w:rPr>
          <w:rFonts w:ascii="Book Antiqua" w:hAnsi="Book Antiqua" w:cs="Times New Roman"/>
          <w:kern w:val="0"/>
          <w:sz w:val="24"/>
          <w:szCs w:val="24"/>
        </w:rPr>
        <w:t xml:space="preserve">XELOX </w:t>
      </w:r>
      <w:r w:rsidRPr="00E22F6A">
        <w:rPr>
          <w:rFonts w:ascii="Book Antiqua" w:hAnsi="Book Antiqua" w:cs="Times New Roman"/>
          <w:i/>
          <w:iCs/>
          <w:kern w:val="0"/>
          <w:sz w:val="24"/>
          <w:szCs w:val="24"/>
        </w:rPr>
        <w:t>vs</w:t>
      </w:r>
      <w:r w:rsidRPr="00E22F6A">
        <w:rPr>
          <w:rFonts w:ascii="Book Antiqua" w:hAnsi="Book Antiqua" w:cs="Times New Roman"/>
          <w:kern w:val="0"/>
          <w:sz w:val="24"/>
          <w:szCs w:val="24"/>
        </w:rPr>
        <w:t xml:space="preserve"> FU/FA: DFS had significant statistical significance: (OR = 1.34, 95%CI: 1.17-1.53,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&lt; 0.0001). There was no heterogeneity among the study sites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0.94,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 XELOX </w:t>
      </w:r>
      <w:r w:rsidRPr="00E22F6A">
        <w:rPr>
          <w:rFonts w:ascii="Book Antiqua" w:hAnsi="Book Antiqua" w:cs="Times New Roman"/>
          <w:i/>
          <w:iCs/>
          <w:kern w:val="0"/>
          <w:sz w:val="24"/>
          <w:szCs w:val="24"/>
        </w:rPr>
        <w:t>vs</w:t>
      </w:r>
      <w:r w:rsidRPr="00E22F6A">
        <w:rPr>
          <w:rFonts w:ascii="Book Antiqua" w:hAnsi="Book Antiqua" w:cs="Times New Roman"/>
          <w:kern w:val="0"/>
          <w:sz w:val="24"/>
          <w:szCs w:val="24"/>
        </w:rPr>
        <w:t xml:space="preserve"> FOLFOX: DFS had statistical significance: (OR = 1.28, 95%CI: 1.08-1.53,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0.004). There was low heterogeneity among the studies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0.24,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27%).</w:t>
      </w:r>
    </w:p>
    <w:p w:rsidR="00866FCC" w:rsidRPr="00E22F6A" w:rsidRDefault="00866FCC">
      <w:pPr>
        <w:snapToGrid w:val="0"/>
        <w:spacing w:line="360" w:lineRule="auto"/>
        <w:rPr>
          <w:rFonts w:ascii="Book Antiqua" w:hAnsi="Book Antiqua" w:cs="Times New Roman"/>
          <w:b/>
          <w:bCs/>
          <w:kern w:val="0"/>
          <w:sz w:val="24"/>
          <w:szCs w:val="24"/>
        </w:rPr>
      </w:pPr>
      <w:bookmarkStart w:id="98" w:name="OLE_LINK1"/>
      <w:bookmarkEnd w:id="98"/>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Process of deflection analysis</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b/>
          <w:bCs/>
          <w:kern w:val="0"/>
          <w:sz w:val="24"/>
          <w:szCs w:val="24"/>
        </w:rPr>
        <w:t>Included 11 articles from OS meta-analysis:</w:t>
      </w:r>
      <w:r w:rsidRPr="00E22F6A">
        <w:rPr>
          <w:rFonts w:ascii="Book Antiqua" w:hAnsi="Book Antiqua" w:cs="Times New Roman"/>
          <w:kern w:val="0"/>
          <w:sz w:val="24"/>
          <w:szCs w:val="24"/>
        </w:rPr>
        <w:t xml:space="preserve"> There was statistical significance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0.004) with moderate heterogeneity in this meta-analysis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0.007,</w:t>
      </w:r>
      <w:r w:rsidRPr="00E22F6A">
        <w:rPr>
          <w:rFonts w:ascii="Book Antiqua" w:hAnsi="Book Antiqua" w:cs="Times New Roman"/>
          <w:i/>
          <w:kern w:val="0"/>
          <w:sz w:val="24"/>
          <w:szCs w:val="24"/>
        </w:rPr>
        <w:t xml:space="preserve"> 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59%) </w:t>
      </w:r>
      <w:r w:rsidRPr="00E22F6A">
        <w:rPr>
          <w:rFonts w:ascii="Book Antiqua" w:hAnsi="Book Antiqua"/>
          <w:b/>
          <w:bCs/>
          <w:kern w:val="0"/>
          <w:sz w:val="24"/>
          <w:szCs w:val="24"/>
        </w:rPr>
        <w:t>(</w:t>
      </w:r>
      <w:r w:rsidRPr="00E22F6A">
        <w:rPr>
          <w:rFonts w:ascii="Book Antiqua" w:hAnsi="Book Antiqua" w:cs="Times New Roman"/>
          <w:kern w:val="0"/>
          <w:sz w:val="24"/>
          <w:szCs w:val="24"/>
        </w:rPr>
        <w:t xml:space="preserve">Figure </w:t>
      </w:r>
      <w:r w:rsidRPr="00E22F6A">
        <w:rPr>
          <w:rFonts w:ascii="Book Antiqua" w:hAnsi="Book Antiqua"/>
          <w:kern w:val="0"/>
          <w:sz w:val="24"/>
          <w:szCs w:val="24"/>
        </w:rPr>
        <w:t>5A</w:t>
      </w:r>
      <w:r w:rsidRPr="00E22F6A">
        <w:rPr>
          <w:rFonts w:ascii="Book Antiqua" w:hAnsi="Book Antiqua"/>
          <w:b/>
          <w:bCs/>
          <w:kern w:val="0"/>
          <w:sz w:val="24"/>
          <w:szCs w:val="24"/>
        </w:rPr>
        <w:t>)</w:t>
      </w:r>
      <w:r w:rsidRPr="00E22F6A">
        <w:rPr>
          <w:rFonts w:ascii="Book Antiqua" w:hAnsi="Book Antiqua" w:cs="Times New Roman"/>
          <w:kern w:val="0"/>
          <w:sz w:val="24"/>
          <w:szCs w:val="24"/>
        </w:rPr>
        <w:t>.</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b/>
          <w:bCs/>
          <w:kern w:val="0"/>
          <w:sz w:val="24"/>
          <w:szCs w:val="24"/>
        </w:rPr>
        <w:t xml:space="preserve">Articles were included in the DFS meta-analysis: </w:t>
      </w:r>
      <w:r w:rsidRPr="00E22F6A">
        <w:rPr>
          <w:rFonts w:ascii="Book Antiqua" w:hAnsi="Book Antiqua" w:cs="Times New Roman"/>
          <w:kern w:val="0"/>
          <w:sz w:val="24"/>
          <w:szCs w:val="24"/>
        </w:rPr>
        <w:t xml:space="preserve">There was statistical significance (OR = 1.24, 95%CI: 1.04-1.46,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0.01)</w:t>
      </w:r>
      <w:r w:rsidRPr="00E22F6A">
        <w:rPr>
          <w:rFonts w:ascii="Book Antiqua" w:hAnsi="Book Antiqua"/>
          <w:b/>
          <w:bCs/>
          <w:kern w:val="0"/>
          <w:sz w:val="24"/>
          <w:szCs w:val="24"/>
        </w:rPr>
        <w:t xml:space="preserve"> </w:t>
      </w:r>
      <w:r w:rsidRPr="00E22F6A">
        <w:rPr>
          <w:rFonts w:ascii="Book Antiqua" w:hAnsi="Book Antiqua" w:cs="Times New Roman"/>
          <w:kern w:val="0"/>
          <w:sz w:val="24"/>
          <w:szCs w:val="24"/>
        </w:rPr>
        <w:t>with moderate heterogeneity in this meta-analysis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0.09,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51%) </w:t>
      </w:r>
      <w:r w:rsidRPr="00E22F6A">
        <w:rPr>
          <w:rFonts w:ascii="Book Antiqua" w:hAnsi="Book Antiqua"/>
          <w:b/>
          <w:bCs/>
          <w:kern w:val="0"/>
          <w:sz w:val="24"/>
          <w:szCs w:val="24"/>
        </w:rPr>
        <w:t>(</w:t>
      </w:r>
      <w:r w:rsidRPr="00E22F6A">
        <w:rPr>
          <w:rFonts w:ascii="Book Antiqua" w:hAnsi="Book Antiqua" w:cs="Times New Roman"/>
          <w:kern w:val="0"/>
          <w:sz w:val="24"/>
          <w:szCs w:val="24"/>
        </w:rPr>
        <w:t xml:space="preserve">Figure </w:t>
      </w:r>
      <w:r w:rsidRPr="00E22F6A">
        <w:rPr>
          <w:rFonts w:ascii="Book Antiqua" w:hAnsi="Book Antiqua"/>
          <w:kern w:val="0"/>
          <w:sz w:val="24"/>
          <w:szCs w:val="24"/>
        </w:rPr>
        <w:t>5B</w:t>
      </w:r>
      <w:r w:rsidRPr="00E22F6A">
        <w:rPr>
          <w:rFonts w:ascii="Book Antiqua" w:hAnsi="Book Antiqua"/>
          <w:b/>
          <w:bCs/>
          <w:kern w:val="0"/>
          <w:sz w:val="24"/>
          <w:szCs w:val="24"/>
        </w:rPr>
        <w:t>)</w:t>
      </w:r>
      <w:r w:rsidRPr="00E22F6A">
        <w:rPr>
          <w:rFonts w:ascii="Book Antiqua" w:hAnsi="Book Antiqua" w:cs="Times New Roman"/>
          <w:kern w:val="0"/>
          <w:sz w:val="24"/>
          <w:szCs w:val="24"/>
        </w:rPr>
        <w:t>. In its subgroup analysis, there was statistical significance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0.02) with high heterogeneity in this meta-analysis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0.02,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73%) (Figure 5C).</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 </w:t>
      </w:r>
    </w:p>
    <w:p w:rsidR="00866FCC" w:rsidRPr="00E22F6A" w:rsidRDefault="00866FCC">
      <w:pPr>
        <w:snapToGrid w:val="0"/>
        <w:spacing w:line="360" w:lineRule="auto"/>
        <w:rPr>
          <w:rFonts w:ascii="Book Antiqua" w:hAnsi="Book Antiqua"/>
          <w:b/>
          <w:bCs/>
          <w:i/>
          <w:iCs/>
          <w:kern w:val="0"/>
          <w:sz w:val="24"/>
          <w:szCs w:val="24"/>
        </w:rPr>
      </w:pPr>
      <w:r w:rsidRPr="00E22F6A">
        <w:rPr>
          <w:rFonts w:ascii="Book Antiqua" w:hAnsi="Book Antiqua"/>
          <w:b/>
          <w:bCs/>
          <w:i/>
          <w:iCs/>
          <w:kern w:val="0"/>
          <w:sz w:val="24"/>
          <w:szCs w:val="24"/>
        </w:rPr>
        <w:t>The sources of heterogeneity</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b/>
          <w:bCs/>
          <w:kern w:val="0"/>
          <w:sz w:val="24"/>
          <w:szCs w:val="24"/>
        </w:rPr>
        <w:t>Sensibility analysis</w:t>
      </w:r>
      <w:r w:rsidRPr="00E22F6A">
        <w:rPr>
          <w:rFonts w:ascii="Book Antiqua" w:hAnsi="Book Antiqua"/>
          <w:b/>
          <w:bCs/>
          <w:kern w:val="0"/>
          <w:sz w:val="24"/>
          <w:szCs w:val="24"/>
        </w:rPr>
        <w:t xml:space="preserve"> 1:</w:t>
      </w:r>
      <w:r w:rsidRPr="00E22F6A">
        <w:rPr>
          <w:rFonts w:ascii="Book Antiqua" w:hAnsi="Book Antiqua"/>
          <w:kern w:val="0"/>
          <w:sz w:val="24"/>
          <w:szCs w:val="24"/>
        </w:rPr>
        <w:t xml:space="preserve"> </w:t>
      </w:r>
      <w:r w:rsidRPr="00E22F6A">
        <w:rPr>
          <w:rFonts w:ascii="Book Antiqua" w:hAnsi="Book Antiqua" w:cs="Times New Roman"/>
          <w:kern w:val="0"/>
          <w:sz w:val="24"/>
          <w:szCs w:val="24"/>
        </w:rPr>
        <w:t xml:space="preserve">There was heterogeneity in the article published by Zhang </w:t>
      </w:r>
      <w:r w:rsidRPr="00E22F6A">
        <w:rPr>
          <w:rFonts w:ascii="Book Antiqua" w:hAnsi="Book Antiqua" w:cs="Times New Roman"/>
          <w:i/>
          <w:iCs/>
          <w:kern w:val="0"/>
          <w:sz w:val="24"/>
          <w:szCs w:val="24"/>
        </w:rPr>
        <w:t>et al</w:t>
      </w:r>
      <w:r w:rsidRPr="00E22F6A">
        <w:rPr>
          <w:rFonts w:ascii="Book Antiqua" w:hAnsi="Book Antiqua" w:cs="Times New Roman"/>
          <w:kern w:val="0"/>
          <w:sz w:val="24"/>
          <w:szCs w:val="24"/>
          <w:vertAlign w:val="superscript"/>
        </w:rPr>
        <w:t>[15]</w:t>
      </w:r>
      <w:r w:rsidRPr="00E22F6A">
        <w:rPr>
          <w:rFonts w:ascii="Book Antiqua" w:hAnsi="Book Antiqua" w:cs="Times New Roman"/>
          <w:kern w:val="0"/>
          <w:sz w:val="24"/>
          <w:szCs w:val="24"/>
        </w:rPr>
        <w:t xml:space="preserve"> </w:t>
      </w:r>
      <w:r w:rsidRPr="00E22F6A">
        <w:rPr>
          <w:rFonts w:ascii="Book Antiqua" w:hAnsi="Book Antiqua"/>
          <w:kern w:val="0"/>
          <w:sz w:val="24"/>
          <w:szCs w:val="24"/>
        </w:rPr>
        <w:t>(Figure 2A)</w:t>
      </w:r>
      <w:r w:rsidRPr="00E22F6A">
        <w:rPr>
          <w:rFonts w:ascii="Book Antiqua" w:hAnsi="Book Antiqua" w:cs="Times New Roman"/>
          <w:kern w:val="0"/>
          <w:sz w:val="24"/>
          <w:szCs w:val="24"/>
        </w:rPr>
        <w:t xml:space="preserve">. After evaluating the article, the quality was low and samples were excluded. After exclusion (OR = 1.29, 95%CI: 1.15-1.44,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&lt; 0.0001), there was no heterogeneity among the studies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0.46,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w:t>
      </w:r>
    </w:p>
    <w:p w:rsidR="00866FCC" w:rsidRPr="00E22F6A" w:rsidRDefault="00866FCC">
      <w:pPr>
        <w:snapToGrid w:val="0"/>
        <w:spacing w:line="360" w:lineRule="auto"/>
        <w:rPr>
          <w:rFonts w:ascii="Book Antiqua" w:hAnsi="Book Antiqua"/>
          <w:b/>
          <w:bCs/>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b/>
          <w:bCs/>
          <w:kern w:val="0"/>
          <w:sz w:val="24"/>
          <w:szCs w:val="24"/>
        </w:rPr>
        <w:t xml:space="preserve">Sensibility analysis 2: </w:t>
      </w:r>
      <w:r w:rsidRPr="00E22F6A">
        <w:rPr>
          <w:rFonts w:ascii="Book Antiqua" w:hAnsi="Book Antiqua"/>
          <w:kern w:val="0"/>
          <w:sz w:val="24"/>
          <w:szCs w:val="24"/>
        </w:rPr>
        <w:t>T</w:t>
      </w:r>
      <w:r w:rsidRPr="00E22F6A">
        <w:rPr>
          <w:rFonts w:ascii="Book Antiqua" w:hAnsi="Book Antiqua" w:cs="Times New Roman"/>
          <w:kern w:val="0"/>
          <w:sz w:val="24"/>
          <w:szCs w:val="24"/>
        </w:rPr>
        <w:t xml:space="preserve">he sensitivity analysis (Figure 2B) showed heterogeneity in the article from Diao </w:t>
      </w:r>
      <w:r w:rsidRPr="00E22F6A">
        <w:rPr>
          <w:rFonts w:ascii="Book Antiqua" w:hAnsi="Book Antiqua" w:cs="Times New Roman"/>
          <w:i/>
          <w:iCs/>
          <w:kern w:val="0"/>
          <w:sz w:val="24"/>
          <w:szCs w:val="24"/>
        </w:rPr>
        <w:t>et al</w:t>
      </w:r>
      <w:r w:rsidRPr="00E22F6A">
        <w:rPr>
          <w:rFonts w:ascii="Book Antiqua" w:hAnsi="Book Antiqua" w:cs="Times New Roman"/>
          <w:kern w:val="0"/>
          <w:sz w:val="24"/>
          <w:szCs w:val="24"/>
          <w:vertAlign w:val="superscript"/>
        </w:rPr>
        <w:t>[13]</w:t>
      </w:r>
      <w:r w:rsidRPr="00E22F6A">
        <w:rPr>
          <w:rFonts w:ascii="Book Antiqua" w:hAnsi="Book Antiqua" w:cs="Times New Roman"/>
          <w:kern w:val="0"/>
          <w:sz w:val="24"/>
          <w:szCs w:val="24"/>
        </w:rPr>
        <w:t xml:space="preserve">. After evaluating the article, the quality was low and samples were excluded. After exclusion (OR = 1.32, 95%CI: 1.18-1.46,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&lt; 0.0001), there was no heterogeneity among the studies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0.68,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0%). After completely excluding Diao </w:t>
      </w:r>
      <w:r w:rsidRPr="00E22F6A">
        <w:rPr>
          <w:rFonts w:ascii="Book Antiqua" w:hAnsi="Book Antiqua" w:cs="Times New Roman"/>
          <w:i/>
          <w:iCs/>
          <w:kern w:val="0"/>
          <w:sz w:val="24"/>
          <w:szCs w:val="24"/>
        </w:rPr>
        <w:t>et al</w:t>
      </w:r>
      <w:r w:rsidRPr="00E22F6A">
        <w:rPr>
          <w:rFonts w:ascii="Book Antiqua" w:hAnsi="Book Antiqua" w:cs="Times New Roman"/>
          <w:kern w:val="0"/>
          <w:sz w:val="24"/>
          <w:szCs w:val="24"/>
          <w:vertAlign w:val="superscript"/>
        </w:rPr>
        <w:t>[13]</w:t>
      </w:r>
      <w:r w:rsidRPr="00E22F6A">
        <w:rPr>
          <w:rFonts w:ascii="Book Antiqua" w:hAnsi="Book Antiqua" w:cs="Times New Roman"/>
          <w:kern w:val="0"/>
          <w:sz w:val="24"/>
          <w:szCs w:val="24"/>
        </w:rPr>
        <w:t>, the study remained statistically significant (</w:t>
      </w:r>
      <w:r w:rsidRPr="00E22F6A">
        <w:rPr>
          <w:rFonts w:ascii="Book Antiqua" w:hAnsi="Book Antiqua" w:cs="Times New Roman"/>
          <w:i/>
          <w:iCs/>
          <w:kern w:val="0"/>
          <w:sz w:val="24"/>
          <w:szCs w:val="24"/>
        </w:rPr>
        <w:t>P</w:t>
      </w:r>
      <w:r w:rsidRPr="00E22F6A">
        <w:rPr>
          <w:rFonts w:ascii="Book Antiqua" w:hAnsi="Book Antiqua" w:cs="Times New Roman"/>
          <w:kern w:val="0"/>
          <w:sz w:val="24"/>
          <w:szCs w:val="24"/>
        </w:rPr>
        <w:t xml:space="preserve"> = 0.004), and the heterogeneity of the study was greatly reduced (</w:t>
      </w:r>
      <w:r w:rsidRPr="00E22F6A">
        <w:rPr>
          <w:rFonts w:ascii="Book Antiqua" w:hAnsi="Book Antiqua" w:cs="Times New Roman"/>
          <w:i/>
          <w:iCs/>
          <w:kern w:val="0"/>
          <w:sz w:val="24"/>
          <w:szCs w:val="24"/>
        </w:rPr>
        <w:t xml:space="preserve">P </w:t>
      </w:r>
      <w:r w:rsidRPr="00E22F6A">
        <w:rPr>
          <w:rFonts w:ascii="Book Antiqua" w:hAnsi="Book Antiqua" w:cs="Times New Roman"/>
          <w:kern w:val="0"/>
          <w:sz w:val="24"/>
          <w:szCs w:val="24"/>
        </w:rPr>
        <w:t xml:space="preserve">= 0.24, </w:t>
      </w:r>
      <w:r w:rsidRPr="00E22F6A">
        <w:rPr>
          <w:rFonts w:ascii="Book Antiqua" w:hAnsi="Book Antiqua" w:cs="Times New Roman"/>
          <w:i/>
          <w:kern w:val="0"/>
          <w:sz w:val="24"/>
          <w:szCs w:val="24"/>
        </w:rPr>
        <w:t>I</w:t>
      </w:r>
      <w:r w:rsidRPr="00E22F6A">
        <w:rPr>
          <w:rFonts w:ascii="Book Antiqua" w:hAnsi="Book Antiqua" w:cs="Times New Roman"/>
          <w:kern w:val="0"/>
          <w:sz w:val="24"/>
          <w:szCs w:val="24"/>
          <w:vertAlign w:val="superscript"/>
        </w:rPr>
        <w:t>2</w:t>
      </w:r>
      <w:r w:rsidRPr="00E22F6A">
        <w:rPr>
          <w:rFonts w:ascii="Book Antiqua" w:hAnsi="Book Antiqua" w:cs="Times New Roman"/>
          <w:kern w:val="0"/>
          <w:sz w:val="24"/>
          <w:szCs w:val="24"/>
        </w:rPr>
        <w:t xml:space="preserve"> = 27%) (Figure 4B).</w:t>
      </w:r>
    </w:p>
    <w:p w:rsidR="00866FCC" w:rsidRPr="00E22F6A" w:rsidRDefault="00866FCC">
      <w:pPr>
        <w:snapToGrid w:val="0"/>
        <w:spacing w:line="360" w:lineRule="auto"/>
        <w:rPr>
          <w:rFonts w:ascii="Book Antiqua" w:hAnsi="Book Antiqua" w:cs="Times New Roman"/>
          <w:kern w:val="0"/>
          <w:sz w:val="24"/>
          <w:szCs w:val="24"/>
        </w:rPr>
      </w:pP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b/>
          <w:bCs/>
          <w:kern w:val="0"/>
          <w:sz w:val="24"/>
          <w:szCs w:val="24"/>
        </w:rPr>
        <w:t>Bias detection of OS:</w:t>
      </w:r>
      <w:r w:rsidRPr="00E22F6A">
        <w:rPr>
          <w:rFonts w:ascii="Book Antiqua" w:hAnsi="Book Antiqua"/>
          <w:kern w:val="0"/>
          <w:sz w:val="24"/>
          <w:szCs w:val="24"/>
        </w:rPr>
        <w:t xml:space="preserve"> </w:t>
      </w:r>
      <w:r w:rsidRPr="00E22F6A">
        <w:rPr>
          <w:rFonts w:ascii="Book Antiqua" w:hAnsi="Book Antiqua" w:cs="Times New Roman"/>
          <w:kern w:val="0"/>
          <w:sz w:val="24"/>
          <w:szCs w:val="24"/>
        </w:rPr>
        <w:t xml:space="preserve">The funnel plot was conducted to evaluate the publication bias. However, we did not observe clear asymmetry suggesting the results from this study are reliable (data not shown). </w:t>
      </w:r>
    </w:p>
    <w:p w:rsidR="00866FCC" w:rsidRPr="00E22F6A" w:rsidRDefault="00866FCC">
      <w:pPr>
        <w:snapToGrid w:val="0"/>
        <w:spacing w:line="360" w:lineRule="auto"/>
        <w:rPr>
          <w:rFonts w:ascii="Book Antiqua" w:hAnsi="Book Antiqua"/>
          <w:b/>
          <w:bCs/>
          <w:kern w:val="0"/>
          <w:sz w:val="24"/>
          <w:szCs w:val="24"/>
        </w:rPr>
      </w:pPr>
    </w:p>
    <w:p w:rsidR="00866FCC" w:rsidRPr="00E22F6A" w:rsidRDefault="00866FCC">
      <w:pPr>
        <w:snapToGrid w:val="0"/>
        <w:spacing w:line="360" w:lineRule="auto"/>
        <w:rPr>
          <w:rFonts w:ascii="Book Antiqua" w:hAnsi="Book Antiqua"/>
          <w:kern w:val="0"/>
          <w:sz w:val="24"/>
          <w:szCs w:val="24"/>
        </w:rPr>
      </w:pP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b/>
          <w:bCs/>
          <w:kern w:val="0"/>
          <w:sz w:val="24"/>
          <w:szCs w:val="24"/>
        </w:rPr>
        <w:t>DISCUSSION</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L</w:t>
      </w:r>
      <w:r w:rsidR="006C3372" w:rsidRPr="00E22F6A">
        <w:rPr>
          <w:rFonts w:ascii="Book Antiqua" w:hAnsi="Book Antiqua" w:cs="Times New Roman" w:hint="eastAsia"/>
          <w:kern w:val="0"/>
          <w:sz w:val="24"/>
          <w:szCs w:val="24"/>
        </w:rPr>
        <w:t>i</w:t>
      </w:r>
      <w:r w:rsidRPr="00E22F6A">
        <w:rPr>
          <w:rFonts w:ascii="Book Antiqua" w:hAnsi="Book Antiqua" w:cs="Times New Roman"/>
          <w:kern w:val="0"/>
          <w:sz w:val="24"/>
          <w:szCs w:val="24"/>
        </w:rPr>
        <w:t xml:space="preserve"> </w:t>
      </w:r>
      <w:r w:rsidRPr="00E22F6A">
        <w:rPr>
          <w:rFonts w:ascii="Book Antiqua" w:hAnsi="Book Antiqua" w:cs="Times New Roman"/>
          <w:i/>
          <w:iCs/>
          <w:kern w:val="0"/>
          <w:sz w:val="24"/>
          <w:szCs w:val="24"/>
        </w:rPr>
        <w:t>et al</w:t>
      </w:r>
      <w:r w:rsidRPr="00E22F6A">
        <w:rPr>
          <w:rFonts w:ascii="Book Antiqua" w:hAnsi="Book Antiqua" w:cs="Times New Roman"/>
          <w:kern w:val="0"/>
          <w:sz w:val="24"/>
          <w:szCs w:val="24"/>
          <w:vertAlign w:val="superscript"/>
        </w:rPr>
        <w:t>[</w:t>
      </w:r>
      <w:hyperlink w:anchor="_ENREF_18" w:tooltip="Lund, 2016 #695" w:history="1">
        <w:r w:rsidRPr="00E22F6A">
          <w:rPr>
            <w:rFonts w:ascii="Book Antiqua" w:hAnsi="Book Antiqua"/>
            <w:kern w:val="0"/>
            <w:sz w:val="24"/>
            <w:szCs w:val="24"/>
            <w:vertAlign w:val="superscript"/>
          </w:rPr>
          <w:t>18</w:t>
        </w:r>
      </w:hyperlink>
      <w:r w:rsidRPr="00E22F6A">
        <w:rPr>
          <w:rFonts w:ascii="Book Antiqua" w:hAnsi="Book Antiqua" w:cs="Times New Roman"/>
          <w:kern w:val="0"/>
          <w:sz w:val="24"/>
          <w:szCs w:val="24"/>
          <w:vertAlign w:val="superscript"/>
        </w:rPr>
        <w:t xml:space="preserve">] </w:t>
      </w:r>
      <w:r w:rsidRPr="00E22F6A">
        <w:rPr>
          <w:rFonts w:ascii="Book Antiqua" w:hAnsi="Book Antiqua" w:cs="Times New Roman"/>
          <w:kern w:val="0"/>
          <w:sz w:val="24"/>
          <w:szCs w:val="24"/>
        </w:rPr>
        <w:t>reported that in elderly CRC patients (age above 70-years-old), a reduction in chemotherapy dose did not decrease the DFS with a benefit of less mortality. But, elderly patients receiving 50% of planned cycles had shorter DFS and higher CRC mortality than elderly patients receiving the full planned cycles</w:t>
      </w:r>
      <w:r w:rsidRPr="00E22F6A">
        <w:rPr>
          <w:rFonts w:ascii="Book Antiqua" w:hAnsi="Book Antiqua" w:cs="Times New Roman"/>
          <w:kern w:val="0"/>
          <w:sz w:val="24"/>
          <w:szCs w:val="24"/>
          <w:vertAlign w:val="superscript"/>
        </w:rPr>
        <w:t>[25]</w:t>
      </w:r>
      <w:r w:rsidRPr="00E22F6A">
        <w:rPr>
          <w:rFonts w:ascii="Book Antiqua" w:hAnsi="Book Antiqua" w:cs="Times New Roman"/>
          <w:kern w:val="0"/>
          <w:sz w:val="24"/>
          <w:szCs w:val="24"/>
        </w:rPr>
        <w:t xml:space="preserve">. Therefore, a reduced dose but full cycles should be considered for elderly CRC patients. Our results are consistent with Kim </w:t>
      </w:r>
      <w:r w:rsidRPr="00E22F6A">
        <w:rPr>
          <w:rFonts w:ascii="Book Antiqua" w:hAnsi="Book Antiqua" w:cs="Times New Roman"/>
          <w:i/>
          <w:iCs/>
          <w:kern w:val="0"/>
          <w:sz w:val="24"/>
          <w:szCs w:val="24"/>
        </w:rPr>
        <w:t>et al</w:t>
      </w:r>
      <w:r w:rsidRPr="00E22F6A">
        <w:rPr>
          <w:rFonts w:ascii="Book Antiqua" w:hAnsi="Book Antiqua" w:cs="Times New Roman"/>
          <w:kern w:val="0"/>
          <w:sz w:val="24"/>
          <w:szCs w:val="24"/>
          <w:vertAlign w:val="superscript"/>
        </w:rPr>
        <w:t xml:space="preserve">[26] </w:t>
      </w:r>
      <w:r w:rsidRPr="00E22F6A">
        <w:rPr>
          <w:rFonts w:ascii="Book Antiqua" w:hAnsi="Book Antiqua" w:cs="Times New Roman"/>
          <w:kern w:val="0"/>
          <w:sz w:val="24"/>
          <w:szCs w:val="24"/>
        </w:rPr>
        <w:t>who found that OS was better in patients receiving at least 75% of expected cycles, but a dose reduction did not affect OS. These results suggest that a primary dose reduction in elderly patients may reduce the side effects of chemotherapeutics and help them finish the full planned cycles. The choice between mFOLFOX6 and XELOX should be discussed based on the gene subtypes of colon cancer</w:t>
      </w:r>
      <w:r w:rsidRPr="00E22F6A">
        <w:rPr>
          <w:rFonts w:ascii="Book Antiqua" w:hAnsi="Book Antiqua" w:cs="Times New Roman"/>
          <w:kern w:val="0"/>
          <w:sz w:val="24"/>
          <w:szCs w:val="24"/>
          <w:vertAlign w:val="superscript"/>
        </w:rPr>
        <w:t>[27-36]</w:t>
      </w:r>
      <w:r w:rsidRPr="00E22F6A">
        <w:rPr>
          <w:rFonts w:ascii="Book Antiqua" w:hAnsi="Book Antiqua" w:cs="Times New Roman"/>
          <w:kern w:val="0"/>
          <w:sz w:val="24"/>
          <w:szCs w:val="24"/>
        </w:rPr>
        <w:t xml:space="preserve">. </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It is well known that the prognosis of CRC patients has significant association with gene mutations. It is generally accepted that dMMR confers favorable prognosis in patients with resected colon cancer</w:t>
      </w:r>
      <w:r w:rsidRPr="00E22F6A">
        <w:rPr>
          <w:rFonts w:ascii="Book Antiqua" w:hAnsi="Book Antiqua" w:cs="Times New Roman"/>
          <w:kern w:val="0"/>
          <w:sz w:val="24"/>
          <w:szCs w:val="24"/>
          <w:vertAlign w:val="superscript"/>
        </w:rPr>
        <w:t>[10,11]</w:t>
      </w:r>
      <w:r w:rsidRPr="00E22F6A">
        <w:rPr>
          <w:rFonts w:ascii="Book Antiqua" w:hAnsi="Book Antiqua" w:cs="Times New Roman"/>
          <w:kern w:val="0"/>
          <w:sz w:val="24"/>
          <w:szCs w:val="24"/>
        </w:rPr>
        <w:t xml:space="preserve">. Sinicrope </w:t>
      </w:r>
      <w:r w:rsidRPr="00E22F6A">
        <w:rPr>
          <w:rFonts w:ascii="Book Antiqua" w:hAnsi="Book Antiqua" w:cs="Times New Roman"/>
          <w:i/>
          <w:iCs/>
          <w:kern w:val="0"/>
          <w:sz w:val="24"/>
          <w:szCs w:val="24"/>
        </w:rPr>
        <w:t>et al</w:t>
      </w:r>
      <w:r w:rsidRPr="00E22F6A">
        <w:rPr>
          <w:rFonts w:ascii="Book Antiqua" w:hAnsi="Book Antiqua" w:cs="Times New Roman"/>
          <w:kern w:val="0"/>
          <w:sz w:val="24"/>
          <w:szCs w:val="24"/>
          <w:vertAlign w:val="superscript"/>
        </w:rPr>
        <w:t xml:space="preserve">[12,37] </w:t>
      </w:r>
      <w:r w:rsidRPr="00E22F6A">
        <w:rPr>
          <w:rFonts w:ascii="Book Antiqua" w:hAnsi="Book Antiqua" w:cs="Times New Roman"/>
          <w:kern w:val="0"/>
          <w:sz w:val="24"/>
          <w:szCs w:val="24"/>
        </w:rPr>
        <w:t xml:space="preserve">found that </w:t>
      </w:r>
      <w:r w:rsidRPr="00E22F6A">
        <w:rPr>
          <w:rFonts w:ascii="Book Antiqua" w:hAnsi="Book Antiqua" w:cs="Times New Roman"/>
          <w:i/>
          <w:iCs/>
          <w:kern w:val="0"/>
          <w:sz w:val="24"/>
          <w:szCs w:val="24"/>
        </w:rPr>
        <w:t>KRAS</w:t>
      </w:r>
      <w:r w:rsidRPr="00E22F6A">
        <w:rPr>
          <w:rFonts w:ascii="Book Antiqua" w:hAnsi="Book Antiqua" w:cs="Times New Roman"/>
          <w:kern w:val="0"/>
          <w:sz w:val="24"/>
          <w:szCs w:val="24"/>
        </w:rPr>
        <w:t xml:space="preserve"> mutations were associated with adverse prognosis specifically in pMMR tumors, while Blons </w:t>
      </w:r>
      <w:r w:rsidRPr="00E22F6A">
        <w:rPr>
          <w:rFonts w:ascii="Book Antiqua" w:hAnsi="Book Antiqua" w:cs="Times New Roman"/>
          <w:i/>
          <w:iCs/>
          <w:kern w:val="0"/>
          <w:sz w:val="24"/>
          <w:szCs w:val="24"/>
        </w:rPr>
        <w:t>et al</w:t>
      </w:r>
      <w:r w:rsidRPr="00E22F6A">
        <w:rPr>
          <w:rFonts w:ascii="Book Antiqua" w:hAnsi="Book Antiqua" w:cs="Times New Roman"/>
          <w:kern w:val="0"/>
          <w:sz w:val="24"/>
          <w:szCs w:val="24"/>
          <w:vertAlign w:val="superscript"/>
        </w:rPr>
        <w:t>[38]</w:t>
      </w:r>
      <w:r w:rsidRPr="00E22F6A">
        <w:rPr>
          <w:rFonts w:ascii="Book Antiqua" w:hAnsi="Book Antiqua" w:cs="Times New Roman"/>
          <w:kern w:val="0"/>
          <w:sz w:val="24"/>
          <w:szCs w:val="24"/>
        </w:rPr>
        <w:t xml:space="preserve"> showed that </w:t>
      </w:r>
      <w:r w:rsidRPr="00E22F6A">
        <w:rPr>
          <w:rFonts w:ascii="Book Antiqua" w:hAnsi="Book Antiqua" w:cs="Times New Roman"/>
          <w:i/>
          <w:iCs/>
          <w:kern w:val="0"/>
          <w:sz w:val="24"/>
          <w:szCs w:val="24"/>
        </w:rPr>
        <w:t>KRAS</w:t>
      </w:r>
      <w:r w:rsidRPr="00E22F6A">
        <w:rPr>
          <w:rFonts w:ascii="Book Antiqua" w:hAnsi="Book Antiqua" w:cs="Times New Roman"/>
          <w:kern w:val="0"/>
          <w:sz w:val="24"/>
          <w:szCs w:val="24"/>
        </w:rPr>
        <w:t xml:space="preserve"> mutations conferred shorter DFS in patients with left colon primaries.</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Patients with poor compliance may affect the accuracy of the results</w:t>
      </w:r>
      <w:r w:rsidRPr="00E22F6A">
        <w:rPr>
          <w:rFonts w:ascii="Book Antiqua" w:hAnsi="Book Antiqua" w:cs="Times New Roman"/>
          <w:kern w:val="0"/>
          <w:sz w:val="24"/>
          <w:szCs w:val="24"/>
          <w:vertAlign w:val="superscript"/>
        </w:rPr>
        <w:t>[39]</w:t>
      </w:r>
      <w:r w:rsidRPr="00E22F6A">
        <w:rPr>
          <w:rFonts w:ascii="Book Antiqua" w:hAnsi="Book Antiqua" w:cs="Times New Roman"/>
          <w:kern w:val="0"/>
          <w:sz w:val="24"/>
          <w:szCs w:val="24"/>
        </w:rPr>
        <w:t>. Cancer patients are generally expected to have higher adherence to treatment than other patients because they are highly motivated by the gravity of their disease</w:t>
      </w:r>
      <w:r w:rsidRPr="00E22F6A">
        <w:rPr>
          <w:rFonts w:ascii="Book Antiqua" w:hAnsi="Book Antiqua" w:cs="Times New Roman"/>
          <w:kern w:val="0"/>
          <w:sz w:val="24"/>
          <w:szCs w:val="24"/>
          <w:vertAlign w:val="superscript"/>
        </w:rPr>
        <w:t>[40,41]</w:t>
      </w:r>
      <w:r w:rsidRPr="00E22F6A">
        <w:rPr>
          <w:rFonts w:ascii="Book Antiqua" w:hAnsi="Book Antiqua" w:cs="Times New Roman"/>
          <w:kern w:val="0"/>
          <w:sz w:val="24"/>
          <w:szCs w:val="24"/>
        </w:rPr>
        <w:t>. However, studies have shown cancer patients to have similar adherence rates to patients with other diseases</w:t>
      </w:r>
      <w:r w:rsidRPr="00E22F6A">
        <w:rPr>
          <w:rFonts w:ascii="Book Antiqua" w:hAnsi="Book Antiqua" w:cs="Times New Roman"/>
          <w:kern w:val="0"/>
          <w:sz w:val="24"/>
          <w:szCs w:val="24"/>
          <w:vertAlign w:val="superscript"/>
        </w:rPr>
        <w:t>[42-45]</w:t>
      </w:r>
      <w:r w:rsidRPr="00E22F6A">
        <w:rPr>
          <w:rFonts w:ascii="Book Antiqua" w:hAnsi="Book Antiqua" w:cs="Times New Roman"/>
          <w:kern w:val="0"/>
          <w:sz w:val="24"/>
          <w:szCs w:val="24"/>
        </w:rPr>
        <w:t>. Treatment duration plays a rol</w:t>
      </w:r>
      <w:r w:rsidR="00615EE9" w:rsidRPr="00E22F6A">
        <w:rPr>
          <w:rFonts w:ascii="Book Antiqua" w:hAnsi="Book Antiqua" w:cs="Times New Roman"/>
          <w:kern w:val="0"/>
          <w:sz w:val="24"/>
          <w:szCs w:val="24"/>
        </w:rPr>
        <w:t xml:space="preserve">e in adherence to the regimen: </w:t>
      </w:r>
      <w:r w:rsidR="00615EE9" w:rsidRPr="00E22F6A">
        <w:rPr>
          <w:rFonts w:ascii="Book Antiqua" w:hAnsi="Book Antiqua" w:cs="Times New Roman" w:hint="eastAsia"/>
          <w:kern w:val="0"/>
          <w:sz w:val="24"/>
          <w:szCs w:val="24"/>
        </w:rPr>
        <w:t>W</w:t>
      </w:r>
      <w:r w:rsidRPr="00E22F6A">
        <w:rPr>
          <w:rFonts w:ascii="Book Antiqua" w:hAnsi="Book Antiqua" w:cs="Times New Roman"/>
          <w:kern w:val="0"/>
          <w:sz w:val="24"/>
          <w:szCs w:val="24"/>
        </w:rPr>
        <w:t>hen medication is continued over a longer period of time, patients become less adherent</w:t>
      </w:r>
      <w:r w:rsidRPr="00E22F6A">
        <w:rPr>
          <w:rFonts w:ascii="Book Antiqua" w:hAnsi="Book Antiqua" w:cs="Times New Roman"/>
          <w:kern w:val="0"/>
          <w:sz w:val="24"/>
          <w:szCs w:val="24"/>
          <w:vertAlign w:val="superscript"/>
        </w:rPr>
        <w:t>[46]</w:t>
      </w:r>
      <w:r w:rsidRPr="00E22F6A">
        <w:rPr>
          <w:rFonts w:ascii="Book Antiqua" w:hAnsi="Book Antiqua" w:cs="Times New Roman"/>
          <w:kern w:val="0"/>
          <w:sz w:val="24"/>
          <w:szCs w:val="24"/>
        </w:rPr>
        <w:t>.</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For oral cytotoxic agents, which require close monitoring of side effects and regular patient visits. There is no gold-standard measurement, and all methods have limitations</w:t>
      </w:r>
      <w:r w:rsidRPr="00E22F6A">
        <w:rPr>
          <w:rFonts w:ascii="Book Antiqua" w:hAnsi="Book Antiqua" w:cs="Times New Roman"/>
          <w:kern w:val="0"/>
          <w:sz w:val="24"/>
          <w:szCs w:val="24"/>
          <w:vertAlign w:val="superscript"/>
        </w:rPr>
        <w:t>[42,47]</w:t>
      </w:r>
      <w:r w:rsidRPr="00E22F6A">
        <w:rPr>
          <w:rFonts w:ascii="Book Antiqua" w:hAnsi="Book Antiqua" w:cs="Times New Roman"/>
          <w:kern w:val="0"/>
          <w:sz w:val="24"/>
          <w:szCs w:val="24"/>
        </w:rPr>
        <w:t>. Previous studies of oral cytotoxic chemotherapeutic drugs have mainly used self-reported questionnaires</w:t>
      </w:r>
      <w:r w:rsidRPr="00E22F6A">
        <w:rPr>
          <w:rFonts w:ascii="Book Antiqua" w:hAnsi="Book Antiqua" w:cs="Times New Roman"/>
          <w:kern w:val="0"/>
          <w:sz w:val="24"/>
          <w:szCs w:val="24"/>
          <w:vertAlign w:val="superscript"/>
        </w:rPr>
        <w:t>[48]</w:t>
      </w:r>
      <w:r w:rsidRPr="00E22F6A">
        <w:rPr>
          <w:rFonts w:ascii="Book Antiqua" w:hAnsi="Book Antiqua" w:cs="Times New Roman"/>
          <w:kern w:val="0"/>
          <w:sz w:val="24"/>
          <w:szCs w:val="24"/>
        </w:rPr>
        <w:t>, which tend to overestimate adherence because patients are inclined to over-report to please their doctors.</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The side effects of commonly used adjuvant chemotherapy regimens FOLFOX is more serious</w:t>
      </w:r>
      <w:r w:rsidRPr="00E22F6A">
        <w:rPr>
          <w:rFonts w:ascii="Book Antiqua" w:hAnsi="Book Antiqua" w:cs="Times New Roman"/>
          <w:kern w:val="0"/>
          <w:sz w:val="24"/>
          <w:szCs w:val="24"/>
          <w:vertAlign w:val="superscript"/>
        </w:rPr>
        <w:t>[49]</w:t>
      </w:r>
      <w:r w:rsidRPr="00E22F6A">
        <w:rPr>
          <w:rFonts w:ascii="Book Antiqua" w:hAnsi="Book Antiqua" w:cs="Times New Roman"/>
          <w:kern w:val="0"/>
          <w:sz w:val="24"/>
          <w:szCs w:val="24"/>
        </w:rPr>
        <w:t>. The annoying neurotoxicity side effect of FOLFOX appears at the 8-10</w:t>
      </w:r>
      <w:r w:rsidRPr="00E22F6A">
        <w:rPr>
          <w:rFonts w:ascii="Book Antiqua" w:hAnsi="Book Antiqua" w:cs="Times New Roman"/>
          <w:kern w:val="0"/>
          <w:sz w:val="24"/>
          <w:szCs w:val="24"/>
          <w:vertAlign w:val="superscript"/>
        </w:rPr>
        <w:t>th</w:t>
      </w:r>
      <w:r w:rsidRPr="00E22F6A">
        <w:rPr>
          <w:rFonts w:ascii="Book Antiqua" w:hAnsi="Book Antiqua" w:cs="Times New Roman"/>
          <w:kern w:val="0"/>
          <w:sz w:val="24"/>
          <w:szCs w:val="24"/>
        </w:rPr>
        <w:t xml:space="preserve"> cycle of administration. This time period is the critical time to gain or lose survival benefits. Although treatment series of fewer cycles showed some potential to ameliorate this neurotoxicity</w:t>
      </w:r>
      <w:r w:rsidRPr="00E22F6A">
        <w:rPr>
          <w:rFonts w:ascii="Book Antiqua" w:hAnsi="Book Antiqua" w:cs="Times New Roman"/>
          <w:kern w:val="0"/>
          <w:sz w:val="24"/>
          <w:szCs w:val="24"/>
          <w:vertAlign w:val="superscript"/>
        </w:rPr>
        <w:t>[50,51]</w:t>
      </w:r>
      <w:r w:rsidRPr="00E22F6A">
        <w:rPr>
          <w:rFonts w:ascii="Book Antiqua" w:hAnsi="Book Antiqua" w:cs="Times New Roman"/>
          <w:kern w:val="0"/>
          <w:sz w:val="24"/>
          <w:szCs w:val="24"/>
        </w:rPr>
        <w:t>, recent studies failed to show any convincing benefit</w:t>
      </w:r>
      <w:r w:rsidRPr="00E22F6A">
        <w:rPr>
          <w:rFonts w:ascii="Book Antiqua" w:hAnsi="Book Antiqua" w:cs="Times New Roman"/>
          <w:kern w:val="0"/>
          <w:sz w:val="24"/>
          <w:szCs w:val="24"/>
          <w:vertAlign w:val="superscript"/>
        </w:rPr>
        <w:t>[52-55]</w:t>
      </w:r>
      <w:r w:rsidRPr="00E22F6A">
        <w:rPr>
          <w:rFonts w:ascii="Book Antiqua" w:hAnsi="Book Antiqua" w:cs="Times New Roman"/>
          <w:kern w:val="0"/>
          <w:sz w:val="24"/>
          <w:szCs w:val="24"/>
        </w:rPr>
        <w:t>, even on a molecular basis</w:t>
      </w:r>
      <w:r w:rsidRPr="00E22F6A">
        <w:rPr>
          <w:rFonts w:ascii="Book Antiqua" w:hAnsi="Book Antiqua" w:cs="Times New Roman"/>
          <w:kern w:val="0"/>
          <w:sz w:val="24"/>
          <w:szCs w:val="24"/>
          <w:vertAlign w:val="superscript"/>
        </w:rPr>
        <w:t>[56]</w:t>
      </w:r>
      <w:r w:rsidRPr="00E22F6A">
        <w:rPr>
          <w:rFonts w:ascii="Book Antiqua" w:hAnsi="Book Antiqua" w:cs="Times New Roman"/>
          <w:kern w:val="0"/>
          <w:sz w:val="24"/>
          <w:szCs w:val="24"/>
        </w:rPr>
        <w:t>. It is still a challenge to be solved. Any “wait and go” policy to reduce side effects needs to be evaluated in a larger cohort of patients</w:t>
      </w:r>
      <w:r w:rsidRPr="00E22F6A">
        <w:rPr>
          <w:rFonts w:ascii="Book Antiqua" w:hAnsi="Book Antiqua" w:cs="Times New Roman"/>
          <w:kern w:val="0"/>
          <w:sz w:val="24"/>
          <w:szCs w:val="24"/>
          <w:vertAlign w:val="superscript"/>
        </w:rPr>
        <w:t>[57]</w:t>
      </w:r>
      <w:r w:rsidRPr="00E22F6A">
        <w:rPr>
          <w:rFonts w:ascii="Book Antiqua" w:hAnsi="Book Antiqua" w:cs="Times New Roman"/>
          <w:kern w:val="0"/>
          <w:sz w:val="24"/>
          <w:szCs w:val="24"/>
        </w:rPr>
        <w:t>.</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To our knowledge, many studies have indicated that monocyte count is associated with poor survival in patients with many types of cancer, but the potential mechanisms remain unknown</w:t>
      </w:r>
      <w:r w:rsidRPr="00E22F6A">
        <w:rPr>
          <w:rFonts w:ascii="Book Antiqua" w:hAnsi="Book Antiqua" w:cs="Times New Roman"/>
          <w:kern w:val="0"/>
          <w:sz w:val="24"/>
          <w:szCs w:val="24"/>
          <w:vertAlign w:val="superscript"/>
        </w:rPr>
        <w:t>[58]</w:t>
      </w:r>
      <w:r w:rsidRPr="00E22F6A">
        <w:rPr>
          <w:rFonts w:ascii="Book Antiqua" w:hAnsi="Book Antiqua" w:cs="Times New Roman"/>
          <w:kern w:val="0"/>
          <w:sz w:val="24"/>
          <w:szCs w:val="24"/>
        </w:rPr>
        <w:t>. Low monocyte to lymphocyte ratio (MLR) level may help improve the demographic and clinicopathological characteristics</w:t>
      </w:r>
      <w:r w:rsidRPr="00E22F6A">
        <w:rPr>
          <w:rFonts w:ascii="Book Antiqua" w:hAnsi="Book Antiqua" w:cs="Times New Roman"/>
          <w:kern w:val="0"/>
          <w:sz w:val="24"/>
          <w:szCs w:val="24"/>
          <w:vertAlign w:val="superscript"/>
        </w:rPr>
        <w:t>[59]</w:t>
      </w:r>
      <w:r w:rsidRPr="00E22F6A">
        <w:rPr>
          <w:rFonts w:ascii="Book Antiqua" w:hAnsi="Book Antiqua" w:cs="Times New Roman"/>
          <w:kern w:val="0"/>
          <w:sz w:val="24"/>
          <w:szCs w:val="24"/>
        </w:rPr>
        <w:t>. We found that low MLR, low monocyte and high lymphocyte were all associated with better prognosis in advanced gastric cancer patients. Meanwhile, our study indicated that low level MLR and low level neutrophil or high level lymphocyte correlated with better median DFS and OS for all patients. The 5-year DFS and OS rates of patients with low level MLR were higher than those with high level MLR</w:t>
      </w:r>
      <w:r w:rsidRPr="00E22F6A">
        <w:rPr>
          <w:rFonts w:ascii="Book Antiqua" w:hAnsi="Book Antiqua" w:cs="Times New Roman"/>
          <w:kern w:val="0"/>
          <w:sz w:val="24"/>
          <w:szCs w:val="24"/>
          <w:vertAlign w:val="superscript"/>
        </w:rPr>
        <w:t>[58,60-67]</w:t>
      </w:r>
      <w:r w:rsidRPr="00E22F6A">
        <w:rPr>
          <w:rFonts w:ascii="Book Antiqua" w:hAnsi="Book Antiqua" w:cs="Times New Roman"/>
          <w:kern w:val="0"/>
          <w:sz w:val="24"/>
          <w:szCs w:val="24"/>
        </w:rPr>
        <w:t>. We speculate that there may be similar mechanisms in CRC.</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Nowadays, tumor molecular pathology assessment serves as a regular part of clinical practice. Treatment effect is unlikely uniform across different molecular subtypes. Molecular pathological epidemiology is an integrative science to determine the molecular pathology in relation to clinical features and outcome in patients and populations. Molecular pathological epidemiology will be a future direction for personal treatment</w:t>
      </w:r>
      <w:r w:rsidRPr="00E22F6A">
        <w:rPr>
          <w:rFonts w:ascii="Book Antiqua" w:hAnsi="Book Antiqua" w:cs="Times New Roman"/>
          <w:kern w:val="0"/>
          <w:sz w:val="24"/>
          <w:szCs w:val="24"/>
          <w:vertAlign w:val="superscript"/>
        </w:rPr>
        <w:t>[68,69]</w:t>
      </w:r>
      <w:r w:rsidRPr="00E22F6A">
        <w:rPr>
          <w:rFonts w:ascii="Book Antiqua" w:hAnsi="Book Antiqua" w:cs="Times New Roman"/>
          <w:kern w:val="0"/>
          <w:sz w:val="24"/>
          <w:szCs w:val="24"/>
        </w:rPr>
        <w:t>.</w:t>
      </w:r>
    </w:p>
    <w:p w:rsidR="00866FCC" w:rsidRPr="00E22F6A" w:rsidRDefault="00866FCC">
      <w:pPr>
        <w:snapToGrid w:val="0"/>
        <w:spacing w:line="360" w:lineRule="auto"/>
        <w:ind w:firstLineChars="100" w:firstLine="240"/>
        <w:rPr>
          <w:rFonts w:ascii="Book Antiqua" w:hAnsi="Book Antiqua" w:cs="Times New Roman"/>
          <w:kern w:val="0"/>
          <w:sz w:val="24"/>
          <w:szCs w:val="24"/>
        </w:rPr>
      </w:pPr>
      <w:r w:rsidRPr="00E22F6A">
        <w:rPr>
          <w:rFonts w:ascii="Book Antiqua" w:hAnsi="Book Antiqua" w:cs="Times New Roman"/>
          <w:kern w:val="0"/>
          <w:sz w:val="24"/>
          <w:szCs w:val="24"/>
        </w:rPr>
        <w:t>In this study, some of the non-English articles were not included because of the low assessed quality. Secondly, a limited number of RCT trials and small number of included patients may limit the conclusion of this study. Finally, a diversity in genetics, tumor staging and XELOX dose may also influence the results. Therefore, our conclusion needs to be further validated by a large RCT trial in the future.</w:t>
      </w:r>
    </w:p>
    <w:p w:rsidR="00866FCC" w:rsidRPr="00E22F6A" w:rsidRDefault="00866FCC">
      <w:pPr>
        <w:snapToGrid w:val="0"/>
        <w:spacing w:line="360" w:lineRule="auto"/>
        <w:ind w:firstLineChars="100" w:firstLine="240"/>
        <w:rPr>
          <w:rFonts w:ascii="Book Antiqua" w:hAnsi="Book Antiqua"/>
          <w:kern w:val="0"/>
          <w:sz w:val="24"/>
          <w:szCs w:val="24"/>
        </w:rPr>
      </w:pPr>
      <w:r w:rsidRPr="00E22F6A">
        <w:rPr>
          <w:rFonts w:ascii="Book Antiqua" w:hAnsi="Book Antiqua"/>
          <w:kern w:val="0"/>
          <w:sz w:val="24"/>
          <w:szCs w:val="24"/>
        </w:rPr>
        <w:t xml:space="preserve">In conclusion, </w:t>
      </w:r>
      <w:r w:rsidRPr="00E22F6A">
        <w:rPr>
          <w:rFonts w:ascii="Book Antiqua" w:hAnsi="Book Antiqua" w:cs="Times New Roman"/>
          <w:kern w:val="0"/>
          <w:sz w:val="24"/>
          <w:szCs w:val="24"/>
        </w:rPr>
        <w:t>the XELOX regimen is recommended for stage III colon cancer after surgery.</w:t>
      </w:r>
    </w:p>
    <w:p w:rsidR="00866FCC" w:rsidRPr="00E22F6A" w:rsidRDefault="00866FCC">
      <w:pPr>
        <w:snapToGrid w:val="0"/>
        <w:spacing w:line="360" w:lineRule="auto"/>
        <w:rPr>
          <w:rFonts w:ascii="Book Antiqua" w:hAnsi="Book Antiqua"/>
          <w:b/>
          <w:bCs/>
          <w:kern w:val="0"/>
          <w:sz w:val="24"/>
          <w:szCs w:val="24"/>
        </w:rPr>
      </w:pPr>
    </w:p>
    <w:p w:rsidR="00866FCC" w:rsidRPr="00E22F6A" w:rsidRDefault="00866FCC">
      <w:pPr>
        <w:snapToGrid w:val="0"/>
        <w:spacing w:line="360" w:lineRule="auto"/>
        <w:rPr>
          <w:rFonts w:ascii="Book Antiqua" w:hAnsi="Book Antiqua"/>
          <w:b/>
          <w:caps/>
          <w:kern w:val="0"/>
          <w:sz w:val="24"/>
          <w:szCs w:val="24"/>
        </w:rPr>
      </w:pPr>
      <w:bookmarkStart w:id="99" w:name="OLE_LINK151"/>
      <w:bookmarkStart w:id="100" w:name="OLE_LINK259"/>
      <w:bookmarkStart w:id="101" w:name="_Hlk6581879"/>
      <w:bookmarkStart w:id="102" w:name="OLE_LINK244"/>
      <w:bookmarkStart w:id="103" w:name="OLE_LINK245"/>
      <w:bookmarkStart w:id="104" w:name="OLE_LINK158"/>
      <w:bookmarkStart w:id="105" w:name="OLE_LINK159"/>
      <w:bookmarkStart w:id="106" w:name="OLE_LINK205"/>
      <w:bookmarkStart w:id="107" w:name="OLE_LINK206"/>
      <w:bookmarkStart w:id="108" w:name="OLE_LINK332"/>
      <w:bookmarkStart w:id="109" w:name="OLE_LINK521"/>
      <w:r w:rsidRPr="00E22F6A">
        <w:rPr>
          <w:rFonts w:ascii="Book Antiqua" w:hAnsi="Book Antiqua" w:cs="Segoe UI"/>
          <w:b/>
          <w:caps/>
          <w:kern w:val="0"/>
          <w:sz w:val="24"/>
          <w:szCs w:val="24"/>
          <w:shd w:val="clear" w:color="auto" w:fill="FFFFFF"/>
        </w:rPr>
        <w:t>Article Highlights</w:t>
      </w:r>
    </w:p>
    <w:p w:rsidR="00866FCC" w:rsidRPr="00E22F6A" w:rsidRDefault="00866FCC">
      <w:pPr>
        <w:snapToGrid w:val="0"/>
        <w:spacing w:line="360" w:lineRule="auto"/>
        <w:rPr>
          <w:rFonts w:ascii="Book Antiqua" w:hAnsi="Book Antiqua"/>
          <w:b/>
          <w:i/>
          <w:kern w:val="0"/>
          <w:sz w:val="24"/>
          <w:szCs w:val="24"/>
        </w:rPr>
      </w:pPr>
      <w:r w:rsidRPr="00E22F6A">
        <w:rPr>
          <w:rFonts w:ascii="Book Antiqua" w:hAnsi="Book Antiqua"/>
          <w:b/>
          <w:i/>
          <w:kern w:val="0"/>
          <w:sz w:val="24"/>
          <w:szCs w:val="24"/>
        </w:rPr>
        <w:t>Research background</w:t>
      </w:r>
    </w:p>
    <w:p w:rsidR="00866FCC" w:rsidRPr="00E22F6A" w:rsidRDefault="00866FCC">
      <w:pPr>
        <w:snapToGrid w:val="0"/>
        <w:spacing w:line="360" w:lineRule="auto"/>
        <w:rPr>
          <w:rFonts w:ascii="Book Antiqua" w:eastAsia="DengXian" w:hAnsi="Book Antiqua" w:cs="Book Antiqua"/>
          <w:kern w:val="0"/>
          <w:sz w:val="24"/>
          <w:szCs w:val="24"/>
        </w:rPr>
      </w:pPr>
      <w:r w:rsidRPr="00E22F6A">
        <w:rPr>
          <w:rFonts w:ascii="Book Antiqua" w:eastAsia="DengXian" w:hAnsi="Book Antiqua" w:cs="Book Antiqua"/>
          <w:kern w:val="0"/>
          <w:sz w:val="24"/>
          <w:szCs w:val="24"/>
          <w:lang w:bidi="ar"/>
        </w:rPr>
        <w:t>Colorectal cancer (CRC) accounts for 9% of all cancers in the world. In the last decade, it is the third most common malignant tumor in Europe and the United States. There is an urgent need to establish an effective standard treatment for CRC. In addition, more than 70% of CRC-related deaths are associated with the liver metastasis. A recurrence rate and poor overall survival make CRC a serious public health problem</w:t>
      </w:r>
      <w:r w:rsidRPr="00E22F6A">
        <w:rPr>
          <w:rFonts w:ascii="Book Antiqua" w:eastAsia="DengXian" w:hAnsi="Book Antiqua" w:cs="Book Antiqua"/>
          <w:kern w:val="0"/>
          <w:sz w:val="24"/>
          <w:szCs w:val="24"/>
        </w:rPr>
        <w:t>.</w:t>
      </w:r>
    </w:p>
    <w:p w:rsidR="00866FCC" w:rsidRPr="00E22F6A" w:rsidRDefault="00866FCC">
      <w:pPr>
        <w:snapToGrid w:val="0"/>
        <w:spacing w:line="360" w:lineRule="auto"/>
        <w:rPr>
          <w:rFonts w:ascii="Book Antiqua" w:eastAsia="DengXian" w:hAnsi="Book Antiqua"/>
          <w:kern w:val="0"/>
          <w:sz w:val="24"/>
          <w:szCs w:val="24"/>
        </w:rPr>
      </w:pPr>
    </w:p>
    <w:p w:rsidR="00866FCC" w:rsidRPr="00E22F6A" w:rsidRDefault="00866FCC">
      <w:pPr>
        <w:snapToGrid w:val="0"/>
        <w:spacing w:line="360" w:lineRule="auto"/>
        <w:rPr>
          <w:rFonts w:ascii="Book Antiqua" w:hAnsi="Book Antiqua"/>
          <w:b/>
          <w:i/>
          <w:kern w:val="0"/>
          <w:sz w:val="24"/>
          <w:szCs w:val="24"/>
        </w:rPr>
      </w:pPr>
      <w:bookmarkStart w:id="110" w:name="_Hlk17810966"/>
      <w:r w:rsidRPr="00E22F6A">
        <w:rPr>
          <w:rFonts w:ascii="Book Antiqua" w:hAnsi="Book Antiqua"/>
          <w:b/>
          <w:i/>
          <w:kern w:val="0"/>
          <w:sz w:val="24"/>
          <w:szCs w:val="24"/>
        </w:rPr>
        <w:t>Research motivation</w:t>
      </w:r>
    </w:p>
    <w:bookmarkEnd w:id="110"/>
    <w:p w:rsidR="00866FCC" w:rsidRPr="00E22F6A" w:rsidRDefault="00866FCC">
      <w:pPr>
        <w:snapToGrid w:val="0"/>
        <w:spacing w:line="360" w:lineRule="auto"/>
        <w:rPr>
          <w:rFonts w:ascii="Book Antiqua" w:eastAsia="DengXian" w:hAnsi="Book Antiqua" w:cs="Book Antiqua"/>
          <w:kern w:val="0"/>
          <w:sz w:val="24"/>
          <w:szCs w:val="24"/>
          <w:lang w:bidi="ar"/>
        </w:rPr>
      </w:pPr>
      <w:r w:rsidRPr="00E22F6A">
        <w:rPr>
          <w:rFonts w:ascii="Book Antiqua" w:eastAsia="DengXian" w:hAnsi="Book Antiqua" w:cs="Book Antiqua"/>
          <w:kern w:val="0"/>
          <w:sz w:val="24"/>
          <w:szCs w:val="24"/>
          <w:lang w:bidi="ar"/>
        </w:rPr>
        <w:t xml:space="preserve">The aim of treatment for CRC is to cure locally and prevent metastasis and recurrence. Generally, comprehensive treatment is the focus of CRC, and chemotherapy is one of the important treatment methods. Reasonable and effective chemotherapy can prolong the life span and improve the quality of life of patients. Therefore, local resection of colon cancer should be combined with individual treatment. For patients with CRC, the choice of chemotherapy is very important for their prognosis. In patients with CRC, the purpose of adjuvant chemotherapy is to eliminate the occult micrometastasis during surgery, so as to improve the overall survival. </w:t>
      </w:r>
    </w:p>
    <w:p w:rsidR="00866FCC" w:rsidRPr="00E22F6A" w:rsidRDefault="00866FCC">
      <w:pPr>
        <w:snapToGrid w:val="0"/>
        <w:spacing w:line="360" w:lineRule="auto"/>
        <w:rPr>
          <w:rFonts w:ascii="Book Antiqua" w:eastAsia="DengXian" w:hAnsi="Book Antiqua"/>
          <w:b/>
          <w:kern w:val="0"/>
          <w:sz w:val="24"/>
          <w:szCs w:val="24"/>
        </w:rPr>
      </w:pPr>
    </w:p>
    <w:p w:rsidR="00866FCC" w:rsidRPr="00E22F6A" w:rsidRDefault="00866FCC">
      <w:pPr>
        <w:snapToGrid w:val="0"/>
        <w:spacing w:line="360" w:lineRule="auto"/>
        <w:rPr>
          <w:rFonts w:ascii="Book Antiqua" w:hAnsi="Book Antiqua"/>
          <w:b/>
          <w:i/>
          <w:kern w:val="0"/>
          <w:sz w:val="24"/>
          <w:szCs w:val="24"/>
        </w:rPr>
      </w:pPr>
      <w:r w:rsidRPr="00E22F6A">
        <w:rPr>
          <w:rFonts w:ascii="Book Antiqua" w:hAnsi="Book Antiqua"/>
          <w:b/>
          <w:i/>
          <w:kern w:val="0"/>
          <w:sz w:val="24"/>
          <w:szCs w:val="24"/>
        </w:rPr>
        <w:t>Research objectives</w:t>
      </w:r>
    </w:p>
    <w:p w:rsidR="00866FCC" w:rsidRPr="00E22F6A" w:rsidRDefault="00866FCC">
      <w:pPr>
        <w:snapToGrid w:val="0"/>
        <w:spacing w:line="360" w:lineRule="auto"/>
        <w:rPr>
          <w:rFonts w:ascii="Book Antiqua" w:eastAsia="DengXian" w:hAnsi="Book Antiqua" w:cs="Book Antiqua"/>
          <w:kern w:val="0"/>
          <w:sz w:val="24"/>
          <w:szCs w:val="24"/>
          <w:lang w:bidi="ar"/>
        </w:rPr>
      </w:pPr>
      <w:r w:rsidRPr="00E22F6A">
        <w:rPr>
          <w:rFonts w:ascii="Book Antiqua" w:eastAsia="DengXian" w:hAnsi="Book Antiqua" w:cs="Book Antiqua"/>
          <w:kern w:val="0"/>
          <w:sz w:val="24"/>
          <w:szCs w:val="24"/>
          <w:lang w:bidi="ar"/>
        </w:rPr>
        <w:t xml:space="preserve">The purpose of this study was to explore the efficacy of </w:t>
      </w:r>
      <w:r w:rsidRPr="00E22F6A">
        <w:rPr>
          <w:rFonts w:ascii="Book Antiqua" w:hAnsi="Book Antiqua" w:cs="Times New Roman"/>
          <w:kern w:val="0"/>
          <w:sz w:val="24"/>
          <w:szCs w:val="24"/>
        </w:rPr>
        <w:t>capecitabine plus oxaliplatin</w:t>
      </w:r>
      <w:r w:rsidRPr="00E22F6A">
        <w:rPr>
          <w:rFonts w:ascii="Book Antiqua" w:eastAsia="DengXian" w:hAnsi="Book Antiqua" w:cs="Book Antiqua"/>
          <w:kern w:val="0"/>
          <w:sz w:val="24"/>
          <w:szCs w:val="24"/>
          <w:lang w:bidi="ar"/>
        </w:rPr>
        <w:t xml:space="preserve"> (XELOX) regimen over other chemotherapy regimens, specifically XELOX </w:t>
      </w:r>
      <w:r w:rsidRPr="00E22F6A">
        <w:rPr>
          <w:rFonts w:ascii="Book Antiqua" w:eastAsia="DengXian" w:hAnsi="Book Antiqua" w:cs="Book Antiqua"/>
          <w:i/>
          <w:iCs/>
          <w:kern w:val="0"/>
          <w:sz w:val="24"/>
          <w:szCs w:val="24"/>
          <w:lang w:bidi="ar"/>
        </w:rPr>
        <w:t>vs</w:t>
      </w:r>
      <w:r w:rsidRPr="00E22F6A">
        <w:rPr>
          <w:rFonts w:ascii="Book Antiqua" w:eastAsia="DengXian" w:hAnsi="Book Antiqua" w:cs="Book Antiqua"/>
          <w:kern w:val="0"/>
          <w:sz w:val="24"/>
          <w:szCs w:val="24"/>
          <w:lang w:bidi="ar"/>
        </w:rPr>
        <w:t xml:space="preserve"> </w:t>
      </w:r>
      <w:r w:rsidRPr="00E22F6A">
        <w:rPr>
          <w:rFonts w:ascii="Book Antiqua" w:hAnsi="Book Antiqua" w:cs="Times New Roman"/>
          <w:kern w:val="0"/>
          <w:sz w:val="24"/>
          <w:szCs w:val="24"/>
        </w:rPr>
        <w:t>5-fluorouracil plus leucovorin</w:t>
      </w:r>
      <w:r w:rsidRPr="00E22F6A">
        <w:rPr>
          <w:rFonts w:ascii="Book Antiqua" w:eastAsia="DengXian" w:hAnsi="Book Antiqua" w:cs="Book Antiqua"/>
          <w:kern w:val="0"/>
          <w:sz w:val="24"/>
          <w:szCs w:val="24"/>
          <w:lang w:bidi="ar"/>
        </w:rPr>
        <w:t xml:space="preserve">, XELOX </w:t>
      </w:r>
      <w:r w:rsidRPr="00E22F6A">
        <w:rPr>
          <w:rFonts w:ascii="Book Antiqua" w:eastAsia="DengXian" w:hAnsi="Book Antiqua" w:cs="Book Antiqua"/>
          <w:i/>
          <w:iCs/>
          <w:kern w:val="0"/>
          <w:sz w:val="24"/>
          <w:szCs w:val="24"/>
          <w:lang w:bidi="ar"/>
        </w:rPr>
        <w:t>vs</w:t>
      </w:r>
      <w:r w:rsidRPr="00E22F6A">
        <w:rPr>
          <w:rFonts w:ascii="Book Antiqua" w:eastAsia="DengXian" w:hAnsi="Book Antiqua" w:cs="Book Antiqua"/>
          <w:kern w:val="0"/>
          <w:sz w:val="24"/>
          <w:szCs w:val="24"/>
          <w:lang w:bidi="ar"/>
        </w:rPr>
        <w:t xml:space="preserve"> </w:t>
      </w:r>
      <w:r w:rsidRPr="00E22F6A">
        <w:rPr>
          <w:rFonts w:ascii="Book Antiqua" w:hAnsi="Book Antiqua" w:cs="Times New Roman"/>
          <w:kern w:val="0"/>
          <w:sz w:val="24"/>
          <w:szCs w:val="24"/>
        </w:rPr>
        <w:t>5-fluorouracil plus leucovorin</w:t>
      </w:r>
      <w:r w:rsidRPr="00E22F6A">
        <w:rPr>
          <w:rFonts w:ascii="Book Antiqua" w:eastAsia="DengXian" w:hAnsi="Book Antiqua" w:cs="Book Antiqua"/>
          <w:kern w:val="0"/>
          <w:sz w:val="24"/>
          <w:szCs w:val="24"/>
          <w:lang w:bidi="ar"/>
        </w:rPr>
        <w:t xml:space="preserve"> plus oxaliplatin, XELOX </w:t>
      </w:r>
      <w:r w:rsidRPr="00E22F6A">
        <w:rPr>
          <w:rFonts w:ascii="Book Antiqua" w:eastAsia="DengXian" w:hAnsi="Book Antiqua" w:cs="Book Antiqua"/>
          <w:i/>
          <w:iCs/>
          <w:kern w:val="0"/>
          <w:sz w:val="24"/>
          <w:szCs w:val="24"/>
          <w:lang w:bidi="ar"/>
        </w:rPr>
        <w:t>vs</w:t>
      </w:r>
      <w:r w:rsidRPr="00E22F6A">
        <w:rPr>
          <w:rFonts w:ascii="Book Antiqua" w:eastAsia="DengXian" w:hAnsi="Book Antiqua" w:cs="Book Antiqua"/>
          <w:kern w:val="0"/>
          <w:sz w:val="24"/>
          <w:szCs w:val="24"/>
          <w:lang w:bidi="ar"/>
        </w:rPr>
        <w:t xml:space="preserve"> capecitabine and XELOX </w:t>
      </w:r>
      <w:r w:rsidRPr="00E22F6A">
        <w:rPr>
          <w:rFonts w:ascii="Book Antiqua" w:eastAsia="DengXian" w:hAnsi="Book Antiqua" w:cs="Book Antiqua"/>
          <w:i/>
          <w:iCs/>
          <w:kern w:val="0"/>
          <w:sz w:val="24"/>
          <w:szCs w:val="24"/>
          <w:lang w:bidi="ar"/>
        </w:rPr>
        <w:t>vs</w:t>
      </w:r>
      <w:r w:rsidRPr="00E22F6A">
        <w:rPr>
          <w:rFonts w:ascii="Book Antiqua" w:eastAsia="DengXian" w:hAnsi="Book Antiqua" w:cs="Book Antiqua"/>
          <w:kern w:val="0"/>
          <w:sz w:val="24"/>
          <w:szCs w:val="24"/>
          <w:lang w:bidi="ar"/>
        </w:rPr>
        <w:t xml:space="preserve"> oxaliplatin plus 5-fluorouracil.</w:t>
      </w:r>
    </w:p>
    <w:p w:rsidR="00866FCC" w:rsidRPr="00E22F6A" w:rsidRDefault="00866FCC">
      <w:pPr>
        <w:snapToGrid w:val="0"/>
        <w:spacing w:line="360" w:lineRule="auto"/>
        <w:rPr>
          <w:rFonts w:ascii="Book Antiqua" w:eastAsia="DengXian" w:hAnsi="Book Antiqua"/>
          <w:b/>
          <w:kern w:val="0"/>
          <w:sz w:val="24"/>
          <w:szCs w:val="24"/>
        </w:rPr>
      </w:pPr>
    </w:p>
    <w:p w:rsidR="00866FCC" w:rsidRPr="00E22F6A" w:rsidRDefault="00866FCC">
      <w:pPr>
        <w:snapToGrid w:val="0"/>
        <w:spacing w:line="360" w:lineRule="auto"/>
        <w:rPr>
          <w:rFonts w:ascii="Book Antiqua" w:hAnsi="Book Antiqua"/>
          <w:b/>
          <w:i/>
          <w:kern w:val="0"/>
          <w:sz w:val="24"/>
          <w:szCs w:val="24"/>
        </w:rPr>
      </w:pPr>
      <w:r w:rsidRPr="00E22F6A">
        <w:rPr>
          <w:rFonts w:ascii="Book Antiqua" w:hAnsi="Book Antiqua"/>
          <w:b/>
          <w:i/>
          <w:kern w:val="0"/>
          <w:sz w:val="24"/>
          <w:szCs w:val="24"/>
        </w:rPr>
        <w:t>Research methods</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kern w:val="0"/>
          <w:sz w:val="24"/>
          <w:szCs w:val="24"/>
        </w:rPr>
        <w:t xml:space="preserve">By searching the PubMed, EMBASE and Cochrane databases, a total of 12 randomized controlled trials involving 6698 </w:t>
      </w:r>
      <w:r w:rsidRPr="00E22F6A">
        <w:rPr>
          <w:rFonts w:ascii="Book Antiqua" w:hAnsi="Book Antiqua"/>
          <w:kern w:val="0"/>
          <w:sz w:val="24"/>
          <w:szCs w:val="24"/>
        </w:rPr>
        <w:t xml:space="preserve">stage III colon cancer cases (XELOX protocol: </w:t>
      </w:r>
      <w:r w:rsidRPr="00E22F6A">
        <w:rPr>
          <w:rFonts w:ascii="Book Antiqua" w:hAnsi="Book Antiqua"/>
          <w:i/>
          <w:iCs/>
          <w:kern w:val="0"/>
          <w:sz w:val="24"/>
          <w:szCs w:val="24"/>
        </w:rPr>
        <w:t>n</w:t>
      </w:r>
      <w:r w:rsidRPr="00E22F6A">
        <w:rPr>
          <w:rFonts w:ascii="Book Antiqua" w:hAnsi="Book Antiqua"/>
          <w:kern w:val="0"/>
          <w:sz w:val="24"/>
          <w:szCs w:val="24"/>
        </w:rPr>
        <w:t xml:space="preserve"> = 3298 cases; other adjuvant chemotherapy protocol: </w:t>
      </w:r>
      <w:r w:rsidRPr="00E22F6A">
        <w:rPr>
          <w:rFonts w:ascii="Book Antiqua" w:hAnsi="Book Antiqua"/>
          <w:i/>
          <w:iCs/>
          <w:kern w:val="0"/>
          <w:sz w:val="24"/>
          <w:szCs w:val="24"/>
        </w:rPr>
        <w:t>n</w:t>
      </w:r>
      <w:r w:rsidRPr="00E22F6A">
        <w:rPr>
          <w:rFonts w:ascii="Book Antiqua" w:hAnsi="Book Antiqua"/>
          <w:kern w:val="0"/>
          <w:sz w:val="24"/>
          <w:szCs w:val="24"/>
        </w:rPr>
        <w:t xml:space="preserve"> = 3268 cases) were included. The parameter outcomes included the overall survival and the disease-free survival. The quality control of selected literature was based on the Jadad scale and the GRADE system.</w:t>
      </w:r>
    </w:p>
    <w:p w:rsidR="00866FCC" w:rsidRPr="00E22F6A" w:rsidRDefault="00866FCC">
      <w:pPr>
        <w:snapToGrid w:val="0"/>
        <w:spacing w:line="360" w:lineRule="auto"/>
        <w:rPr>
          <w:rFonts w:ascii="Book Antiqua" w:eastAsia="DengXian" w:hAnsi="Book Antiqua"/>
          <w:b/>
          <w:kern w:val="0"/>
          <w:sz w:val="24"/>
          <w:szCs w:val="24"/>
        </w:rPr>
      </w:pPr>
    </w:p>
    <w:p w:rsidR="00866FCC" w:rsidRPr="00E22F6A" w:rsidRDefault="00866FCC">
      <w:pPr>
        <w:snapToGrid w:val="0"/>
        <w:spacing w:line="360" w:lineRule="auto"/>
        <w:rPr>
          <w:rFonts w:ascii="Book Antiqua" w:hAnsi="Book Antiqua"/>
          <w:b/>
          <w:i/>
          <w:kern w:val="0"/>
          <w:sz w:val="24"/>
          <w:szCs w:val="24"/>
        </w:rPr>
      </w:pPr>
      <w:r w:rsidRPr="00E22F6A">
        <w:rPr>
          <w:rFonts w:ascii="Book Antiqua" w:hAnsi="Book Antiqua"/>
          <w:b/>
          <w:i/>
          <w:kern w:val="0"/>
          <w:sz w:val="24"/>
          <w:szCs w:val="24"/>
        </w:rPr>
        <w:t>Research results</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 xml:space="preserve">In comparison to other adjuvant chemotherapy regimen, the XELOX regimen showed a better </w:t>
      </w:r>
      <w:r w:rsidRPr="00E22F6A">
        <w:rPr>
          <w:rFonts w:ascii="Book Antiqua" w:hAnsi="Book Antiqua"/>
          <w:kern w:val="0"/>
          <w:sz w:val="24"/>
          <w:szCs w:val="24"/>
        </w:rPr>
        <w:t>overall survival</w:t>
      </w:r>
      <w:r w:rsidRPr="00E22F6A">
        <w:rPr>
          <w:rFonts w:ascii="Book Antiqua" w:hAnsi="Book Antiqua" w:cs="Times New Roman"/>
          <w:kern w:val="0"/>
          <w:sz w:val="24"/>
          <w:szCs w:val="24"/>
        </w:rPr>
        <w:t xml:space="preserve"> and a better </w:t>
      </w:r>
      <w:r w:rsidRPr="00E22F6A">
        <w:rPr>
          <w:rFonts w:ascii="Book Antiqua" w:hAnsi="Book Antiqua"/>
          <w:kern w:val="0"/>
          <w:sz w:val="24"/>
          <w:szCs w:val="24"/>
        </w:rPr>
        <w:t>disease-free survival</w:t>
      </w:r>
      <w:r w:rsidRPr="00E22F6A">
        <w:rPr>
          <w:rFonts w:ascii="Book Antiqua" w:hAnsi="Book Antiqua" w:cs="Times New Roman"/>
          <w:kern w:val="0"/>
          <w:sz w:val="24"/>
          <w:szCs w:val="24"/>
        </w:rPr>
        <w:t xml:space="preserve"> for colon cancer patients.</w:t>
      </w:r>
    </w:p>
    <w:p w:rsidR="00866FCC" w:rsidRPr="00E22F6A" w:rsidRDefault="00866FCC">
      <w:pPr>
        <w:snapToGrid w:val="0"/>
        <w:spacing w:line="360" w:lineRule="auto"/>
        <w:ind w:left="1"/>
        <w:rPr>
          <w:rFonts w:ascii="Book Antiqua" w:eastAsia="DengXian" w:hAnsi="Book Antiqua" w:cs="Segoe UI"/>
          <w:kern w:val="0"/>
          <w:sz w:val="24"/>
          <w:szCs w:val="24"/>
          <w:shd w:val="clear" w:color="auto" w:fill="FFFFFF"/>
        </w:rPr>
      </w:pPr>
    </w:p>
    <w:p w:rsidR="00866FCC" w:rsidRPr="00E22F6A" w:rsidRDefault="00866FCC">
      <w:pPr>
        <w:snapToGrid w:val="0"/>
        <w:spacing w:line="360" w:lineRule="auto"/>
        <w:rPr>
          <w:rFonts w:ascii="Book Antiqua" w:hAnsi="Book Antiqua" w:cs="Segoe UI"/>
          <w:b/>
          <w:i/>
          <w:kern w:val="0"/>
          <w:sz w:val="24"/>
          <w:szCs w:val="24"/>
          <w:shd w:val="clear" w:color="auto" w:fill="FFFFFF"/>
        </w:rPr>
      </w:pPr>
      <w:r w:rsidRPr="00E22F6A">
        <w:rPr>
          <w:rFonts w:ascii="Book Antiqua" w:hAnsi="Book Antiqua"/>
          <w:b/>
          <w:i/>
          <w:kern w:val="0"/>
          <w:sz w:val="24"/>
          <w:szCs w:val="24"/>
        </w:rPr>
        <w:t>Research conclusions</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eastAsia="Book Antiqua" w:hAnsi="Book Antiqua" w:cs="Book Antiqua"/>
          <w:kern w:val="0"/>
          <w:sz w:val="24"/>
          <w:szCs w:val="24"/>
          <w:lang w:bidi="ar"/>
        </w:rPr>
        <w:t xml:space="preserve">In clinical application, XELOX and </w:t>
      </w:r>
      <w:r w:rsidRPr="00E22F6A">
        <w:rPr>
          <w:rFonts w:ascii="Book Antiqua" w:hAnsi="Book Antiqua" w:cs="Times New Roman"/>
          <w:kern w:val="0"/>
          <w:sz w:val="24"/>
          <w:szCs w:val="24"/>
        </w:rPr>
        <w:t>5-fluorouracil plus leucovorin</w:t>
      </w:r>
      <w:r w:rsidRPr="00E22F6A">
        <w:rPr>
          <w:rFonts w:ascii="Book Antiqua" w:eastAsia="DengXian" w:hAnsi="Book Antiqua" w:cs="Book Antiqua"/>
          <w:kern w:val="0"/>
          <w:sz w:val="24"/>
          <w:szCs w:val="24"/>
          <w:lang w:bidi="ar"/>
        </w:rPr>
        <w:t xml:space="preserve"> plus oxaliplatin</w:t>
      </w:r>
      <w:r w:rsidRPr="00E22F6A">
        <w:rPr>
          <w:rFonts w:ascii="Book Antiqua" w:eastAsia="Book Antiqua" w:hAnsi="Book Antiqua" w:cs="Book Antiqua"/>
          <w:kern w:val="0"/>
          <w:sz w:val="24"/>
          <w:szCs w:val="24"/>
          <w:lang w:bidi="ar"/>
        </w:rPr>
        <w:t xml:space="preserve"> showed similar efficacy, but different types of patients may have different benefits from treatment. According to our data, i</w:t>
      </w:r>
      <w:r w:rsidRPr="00E22F6A">
        <w:rPr>
          <w:rFonts w:ascii="Book Antiqua" w:hAnsi="Book Antiqua" w:cs="Times New Roman"/>
          <w:kern w:val="0"/>
          <w:sz w:val="24"/>
          <w:szCs w:val="24"/>
        </w:rPr>
        <w:t xml:space="preserve">n comparison to other adjuvant chemotherapy regimen, XELOX regimen showed a better </w:t>
      </w:r>
      <w:r w:rsidRPr="00E22F6A">
        <w:rPr>
          <w:rFonts w:ascii="Book Antiqua" w:hAnsi="Book Antiqua"/>
          <w:kern w:val="0"/>
          <w:sz w:val="24"/>
          <w:szCs w:val="24"/>
        </w:rPr>
        <w:t>overall survival</w:t>
      </w:r>
      <w:r w:rsidRPr="00E22F6A">
        <w:rPr>
          <w:rFonts w:ascii="Book Antiqua" w:hAnsi="Book Antiqua" w:cs="Times New Roman"/>
          <w:kern w:val="0"/>
          <w:sz w:val="24"/>
          <w:szCs w:val="24"/>
        </w:rPr>
        <w:t xml:space="preserve"> and a better </w:t>
      </w:r>
      <w:r w:rsidRPr="00E22F6A">
        <w:rPr>
          <w:rFonts w:ascii="Book Antiqua" w:hAnsi="Book Antiqua"/>
          <w:kern w:val="0"/>
          <w:sz w:val="24"/>
          <w:szCs w:val="24"/>
        </w:rPr>
        <w:t>disease-free survival</w:t>
      </w:r>
      <w:r w:rsidRPr="00E22F6A">
        <w:rPr>
          <w:rFonts w:ascii="Book Antiqua" w:hAnsi="Book Antiqua" w:cs="Times New Roman"/>
          <w:kern w:val="0"/>
          <w:sz w:val="24"/>
          <w:szCs w:val="24"/>
        </w:rPr>
        <w:t xml:space="preserve"> for colon cancer patients, suggesting the XELOX regimen can be a good option for postoperative treatment of </w:t>
      </w:r>
      <w:r w:rsidRPr="00E22F6A">
        <w:rPr>
          <w:rFonts w:ascii="Book Antiqua" w:hAnsi="Book Antiqua"/>
          <w:kern w:val="0"/>
          <w:sz w:val="24"/>
          <w:szCs w:val="24"/>
        </w:rPr>
        <w:t>stage III</w:t>
      </w:r>
      <w:r w:rsidRPr="00E22F6A">
        <w:rPr>
          <w:rFonts w:ascii="Book Antiqua" w:hAnsi="Book Antiqua" w:cs="Times New Roman"/>
          <w:kern w:val="0"/>
          <w:sz w:val="24"/>
          <w:szCs w:val="24"/>
        </w:rPr>
        <w:t xml:space="preserve"> colon cancer.</w:t>
      </w:r>
    </w:p>
    <w:p w:rsidR="00866FCC" w:rsidRPr="00E22F6A" w:rsidRDefault="00866FCC">
      <w:pPr>
        <w:snapToGrid w:val="0"/>
        <w:spacing w:line="360" w:lineRule="auto"/>
        <w:rPr>
          <w:rFonts w:ascii="Book Antiqua" w:eastAsia="DengXian" w:hAnsi="Book Antiqua" w:cs="Segoe UI"/>
          <w:kern w:val="0"/>
          <w:sz w:val="24"/>
          <w:szCs w:val="24"/>
          <w:shd w:val="clear" w:color="auto" w:fill="FFFFFF"/>
        </w:rPr>
      </w:pPr>
    </w:p>
    <w:p w:rsidR="00866FCC" w:rsidRPr="00E22F6A" w:rsidRDefault="00866FCC">
      <w:pPr>
        <w:snapToGrid w:val="0"/>
        <w:spacing w:line="360" w:lineRule="auto"/>
        <w:rPr>
          <w:rFonts w:ascii="Book Antiqua" w:hAnsi="Book Antiqua" w:cs="Segoe UI"/>
          <w:b/>
          <w:i/>
          <w:kern w:val="0"/>
          <w:sz w:val="24"/>
          <w:szCs w:val="24"/>
          <w:shd w:val="clear" w:color="auto" w:fill="FFFFFF"/>
        </w:rPr>
      </w:pPr>
      <w:bookmarkStart w:id="111" w:name="_Hlk17811014"/>
      <w:r w:rsidRPr="00E22F6A">
        <w:rPr>
          <w:rFonts w:ascii="Book Antiqua" w:hAnsi="Book Antiqua" w:cs="Segoe UI"/>
          <w:b/>
          <w:i/>
          <w:kern w:val="0"/>
          <w:sz w:val="24"/>
          <w:szCs w:val="24"/>
          <w:shd w:val="clear" w:color="auto" w:fill="FFFFFF"/>
        </w:rPr>
        <w:t>Research perspectives</w:t>
      </w:r>
    </w:p>
    <w:bookmarkEnd w:id="99"/>
    <w:bookmarkEnd w:id="100"/>
    <w:bookmarkEnd w:id="111"/>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kern w:val="0"/>
          <w:sz w:val="24"/>
          <w:szCs w:val="24"/>
        </w:rPr>
        <w:t>The XELOX regimen is recommended for stage III colon cancer after surgery. In addition, our conclusion needs to be further validated by a large RCT trial in future.</w:t>
      </w:r>
    </w:p>
    <w:p w:rsidR="00866FCC" w:rsidRPr="00E22F6A" w:rsidRDefault="00866FCC">
      <w:pPr>
        <w:snapToGrid w:val="0"/>
        <w:spacing w:line="360" w:lineRule="auto"/>
        <w:rPr>
          <w:rFonts w:ascii="Book Antiqua" w:hAnsi="Book Antiqua"/>
          <w:kern w:val="0"/>
          <w:sz w:val="24"/>
          <w:szCs w:val="24"/>
        </w:rPr>
      </w:pPr>
      <w:bookmarkStart w:id="112" w:name="OLE_LINK3"/>
      <w:bookmarkEnd w:id="101"/>
      <w:bookmarkEnd w:id="102"/>
      <w:bookmarkEnd w:id="103"/>
      <w:bookmarkEnd w:id="104"/>
      <w:bookmarkEnd w:id="105"/>
      <w:bookmarkEnd w:id="106"/>
      <w:bookmarkEnd w:id="107"/>
      <w:bookmarkEnd w:id="108"/>
      <w:bookmarkEnd w:id="109"/>
      <w:bookmarkEnd w:id="112"/>
      <w:r w:rsidRPr="00E22F6A">
        <w:rPr>
          <w:rFonts w:ascii="Book Antiqua" w:hAnsi="Book Antiqua"/>
          <w:b/>
          <w:bCs/>
          <w:kern w:val="0"/>
          <w:sz w:val="24"/>
          <w:szCs w:val="24"/>
        </w:rPr>
        <w:br w:type="page"/>
        <w:t>REFERENCES</w:t>
      </w:r>
    </w:p>
    <w:p w:rsidR="00866FCC" w:rsidRPr="00E22F6A" w:rsidRDefault="00866FCC">
      <w:pPr>
        <w:snapToGrid w:val="0"/>
        <w:spacing w:line="360" w:lineRule="auto"/>
        <w:rPr>
          <w:rFonts w:ascii="Book Antiqua" w:hAnsi="Book Antiqua" w:cs="Times New Roman"/>
          <w:kern w:val="0"/>
          <w:sz w:val="24"/>
          <w:szCs w:val="24"/>
        </w:rPr>
      </w:pPr>
      <w:bookmarkStart w:id="113" w:name="OLE_LINK14"/>
      <w:r w:rsidRPr="00E22F6A">
        <w:rPr>
          <w:rFonts w:ascii="Book Antiqua" w:hAnsi="Book Antiqua"/>
          <w:kern w:val="0"/>
          <w:sz w:val="24"/>
          <w:szCs w:val="24"/>
        </w:rPr>
        <w:t xml:space="preserve">1 </w:t>
      </w:r>
      <w:r w:rsidRPr="00E22F6A">
        <w:rPr>
          <w:rFonts w:ascii="Book Antiqua" w:hAnsi="Book Antiqua"/>
          <w:b/>
          <w:kern w:val="0"/>
          <w:sz w:val="24"/>
          <w:szCs w:val="24"/>
        </w:rPr>
        <w:t>Munro MJ</w:t>
      </w:r>
      <w:r w:rsidRPr="00E22F6A">
        <w:rPr>
          <w:rFonts w:ascii="Book Antiqua" w:hAnsi="Book Antiqua"/>
          <w:kern w:val="0"/>
          <w:sz w:val="24"/>
          <w:szCs w:val="24"/>
        </w:rPr>
        <w:t xml:space="preserve">, Wickremesekera SK, Peng L, Tan ST, Itinteang T. Cancer stem cells in colorectal cancer: a review. </w:t>
      </w:r>
      <w:r w:rsidRPr="00E22F6A">
        <w:rPr>
          <w:rFonts w:ascii="Book Antiqua" w:hAnsi="Book Antiqua"/>
          <w:i/>
          <w:kern w:val="0"/>
          <w:sz w:val="24"/>
          <w:szCs w:val="24"/>
        </w:rPr>
        <w:t>J Clin Pathol</w:t>
      </w:r>
      <w:r w:rsidRPr="00E22F6A">
        <w:rPr>
          <w:rFonts w:ascii="Book Antiqua" w:hAnsi="Book Antiqua"/>
          <w:kern w:val="0"/>
          <w:sz w:val="24"/>
          <w:szCs w:val="24"/>
        </w:rPr>
        <w:t xml:space="preserve"> 2018; </w:t>
      </w:r>
      <w:r w:rsidRPr="00E22F6A">
        <w:rPr>
          <w:rFonts w:ascii="Book Antiqua" w:hAnsi="Book Antiqua"/>
          <w:b/>
          <w:kern w:val="0"/>
          <w:sz w:val="24"/>
          <w:szCs w:val="24"/>
        </w:rPr>
        <w:t>71</w:t>
      </w:r>
      <w:r w:rsidRPr="00E22F6A">
        <w:rPr>
          <w:rFonts w:ascii="Book Antiqua" w:hAnsi="Book Antiqua"/>
          <w:kern w:val="0"/>
          <w:sz w:val="24"/>
          <w:szCs w:val="24"/>
        </w:rPr>
        <w:t>: 110-116 [PMID: 28942428 DOI: 10.1136/jclinpath-2017-204739]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 </w:t>
      </w:r>
      <w:r w:rsidRPr="00E22F6A">
        <w:rPr>
          <w:rFonts w:ascii="Book Antiqua" w:hAnsi="Book Antiqua"/>
          <w:b/>
          <w:kern w:val="0"/>
          <w:sz w:val="24"/>
          <w:szCs w:val="24"/>
        </w:rPr>
        <w:t>Tataryn BB,</w:t>
      </w:r>
      <w:r w:rsidRPr="00E22F6A">
        <w:rPr>
          <w:rFonts w:ascii="Book Antiqua" w:hAnsi="Book Antiqua"/>
          <w:kern w:val="0"/>
          <w:sz w:val="24"/>
          <w:szCs w:val="24"/>
        </w:rPr>
        <w:t xml:space="preserve"> Kryzhanivska AY, Golotyuk VV, Partykevych YD. Chemotherapy in colon cancer. </w:t>
      </w:r>
      <w:r w:rsidRPr="00E22F6A">
        <w:rPr>
          <w:rFonts w:ascii="Book Antiqua" w:hAnsi="Book Antiqua"/>
          <w:i/>
          <w:iCs/>
          <w:kern w:val="0"/>
          <w:sz w:val="24"/>
          <w:szCs w:val="24"/>
        </w:rPr>
        <w:t>Wiad Lek</w:t>
      </w:r>
      <w:r w:rsidRPr="00E22F6A">
        <w:rPr>
          <w:rFonts w:ascii="Book Antiqua" w:hAnsi="Book Antiqua"/>
          <w:kern w:val="0"/>
          <w:sz w:val="24"/>
          <w:szCs w:val="24"/>
        </w:rPr>
        <w:t xml:space="preserve"> 2018; </w:t>
      </w:r>
      <w:r w:rsidRPr="00E22F6A">
        <w:rPr>
          <w:rFonts w:ascii="Book Antiqua" w:hAnsi="Book Antiqua"/>
          <w:b/>
          <w:bCs/>
          <w:kern w:val="0"/>
          <w:sz w:val="24"/>
          <w:szCs w:val="24"/>
        </w:rPr>
        <w:t>71</w:t>
      </w:r>
      <w:r w:rsidRPr="00E22F6A">
        <w:rPr>
          <w:rFonts w:ascii="Book Antiqua" w:hAnsi="Book Antiqua"/>
          <w:kern w:val="0"/>
          <w:sz w:val="24"/>
          <w:szCs w:val="24"/>
        </w:rPr>
        <w:t>: 1674-1680 [PMID: 30737921]</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 </w:t>
      </w:r>
      <w:r w:rsidRPr="00E22F6A">
        <w:rPr>
          <w:rFonts w:ascii="Book Antiqua" w:hAnsi="Book Antiqua"/>
          <w:b/>
          <w:kern w:val="0"/>
          <w:sz w:val="24"/>
          <w:szCs w:val="24"/>
        </w:rPr>
        <w:t>Baretti M,</w:t>
      </w:r>
      <w:r w:rsidRPr="00E22F6A">
        <w:rPr>
          <w:rFonts w:ascii="Book Antiqua" w:hAnsi="Book Antiqua"/>
          <w:kern w:val="0"/>
          <w:sz w:val="24"/>
          <w:szCs w:val="24"/>
        </w:rPr>
        <w:t xml:space="preserve"> Rimassa L, Personeni N, Giordano L, Tronconi MC, Pressiani T, Bozzarelli S, Santoro A. Effect of Comorbidities in Stage II/III Colorectal Cancer Patients Treated With Surgery and Neoadjuvant/Adjuvant Chemotherapy: A Single-Center, Observational Study.</w:t>
      </w:r>
      <w:r w:rsidRPr="00E22F6A">
        <w:rPr>
          <w:rFonts w:ascii="Book Antiqua" w:hAnsi="Book Antiqua"/>
          <w:i/>
          <w:iCs/>
          <w:kern w:val="0"/>
          <w:sz w:val="24"/>
          <w:szCs w:val="24"/>
        </w:rPr>
        <w:t xml:space="preserve"> Clin Colorectal Cancer </w:t>
      </w:r>
      <w:r w:rsidRPr="00E22F6A">
        <w:rPr>
          <w:rFonts w:ascii="Book Antiqua" w:hAnsi="Book Antiqua"/>
          <w:kern w:val="0"/>
          <w:sz w:val="24"/>
          <w:szCs w:val="24"/>
        </w:rPr>
        <w:t xml:space="preserve">2018; </w:t>
      </w:r>
      <w:r w:rsidRPr="00E22F6A">
        <w:rPr>
          <w:rFonts w:ascii="Book Antiqua" w:hAnsi="Book Antiqua"/>
          <w:b/>
          <w:bCs/>
          <w:kern w:val="0"/>
          <w:sz w:val="24"/>
          <w:szCs w:val="24"/>
        </w:rPr>
        <w:t>17</w:t>
      </w:r>
      <w:r w:rsidRPr="00E22F6A">
        <w:rPr>
          <w:rFonts w:ascii="Book Antiqua" w:hAnsi="Book Antiqua"/>
          <w:kern w:val="0"/>
          <w:sz w:val="24"/>
          <w:szCs w:val="24"/>
        </w:rPr>
        <w:t>: e489-e498 [PMID: 29650416 DOI: 10.1016/j.clcc.2018.03.010]</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 </w:t>
      </w:r>
      <w:r w:rsidRPr="00E22F6A">
        <w:rPr>
          <w:rFonts w:ascii="Book Antiqua" w:hAnsi="Book Antiqua"/>
          <w:b/>
          <w:kern w:val="0"/>
          <w:sz w:val="24"/>
          <w:szCs w:val="24"/>
        </w:rPr>
        <w:t>Chiu J</w:t>
      </w:r>
      <w:r w:rsidRPr="00E22F6A">
        <w:rPr>
          <w:rFonts w:ascii="Book Antiqua" w:hAnsi="Book Antiqua"/>
          <w:kern w:val="0"/>
          <w:sz w:val="24"/>
          <w:szCs w:val="24"/>
        </w:rPr>
        <w:t xml:space="preserve">, Tang V, Leung R, Wong H, Chu KW, Poon J, Epstein RJ, Yau T. Efficacy and tolerability of adjuvant oral capecitabine plus intravenous oxaliplatin (XELOX) in Asian patients with colorectal cancer: 4-year analysis. </w:t>
      </w:r>
      <w:r w:rsidRPr="00E22F6A">
        <w:rPr>
          <w:rFonts w:ascii="Book Antiqua" w:hAnsi="Book Antiqua"/>
          <w:i/>
          <w:kern w:val="0"/>
          <w:sz w:val="24"/>
          <w:szCs w:val="24"/>
        </w:rPr>
        <w:t>Asian Pac J Cancer Prev</w:t>
      </w:r>
      <w:r w:rsidRPr="00E22F6A">
        <w:rPr>
          <w:rFonts w:ascii="Book Antiqua" w:hAnsi="Book Antiqua"/>
          <w:kern w:val="0"/>
          <w:sz w:val="24"/>
          <w:szCs w:val="24"/>
        </w:rPr>
        <w:t xml:space="preserve"> 2014; </w:t>
      </w:r>
      <w:r w:rsidRPr="00E22F6A">
        <w:rPr>
          <w:rFonts w:ascii="Book Antiqua" w:hAnsi="Book Antiqua"/>
          <w:b/>
          <w:kern w:val="0"/>
          <w:sz w:val="24"/>
          <w:szCs w:val="24"/>
        </w:rPr>
        <w:t>14</w:t>
      </w:r>
      <w:r w:rsidRPr="00E22F6A">
        <w:rPr>
          <w:rFonts w:ascii="Book Antiqua" w:hAnsi="Book Antiqua"/>
          <w:kern w:val="0"/>
          <w:sz w:val="24"/>
          <w:szCs w:val="24"/>
        </w:rPr>
        <w:t>: 6585-6590 [PMID: 24377572 DOI: 10.7314/apjcp.2013.14.11.6585]</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 </w:t>
      </w:r>
      <w:r w:rsidRPr="00E22F6A">
        <w:rPr>
          <w:rFonts w:ascii="Book Antiqua" w:hAnsi="Book Antiqua"/>
          <w:b/>
          <w:kern w:val="0"/>
          <w:sz w:val="24"/>
          <w:szCs w:val="24"/>
        </w:rPr>
        <w:t>Tang J,</w:t>
      </w:r>
      <w:r w:rsidRPr="00E22F6A">
        <w:rPr>
          <w:rFonts w:ascii="Book Antiqua" w:hAnsi="Book Antiqua"/>
          <w:kern w:val="0"/>
          <w:sz w:val="24"/>
          <w:szCs w:val="24"/>
        </w:rPr>
        <w:t xml:space="preserve"> Wu X, Gao Y, Jiang W, Kong L, Lin J, Wan D, Pan Z, Ding P. Long-Term Outcome of Oxaliplatin and Capecitabine (XELOX) Concomitant with Neoadjuvant Radiotherapy and Extended to the Resting Period in High Risk Locally Advanced Rectal Cancer. </w:t>
      </w:r>
      <w:r w:rsidRPr="00E22F6A">
        <w:rPr>
          <w:rFonts w:ascii="Book Antiqua" w:hAnsi="Book Antiqua"/>
          <w:i/>
          <w:iCs/>
          <w:kern w:val="0"/>
          <w:sz w:val="24"/>
          <w:szCs w:val="24"/>
        </w:rPr>
        <w:t>J Cancer</w:t>
      </w:r>
      <w:r w:rsidRPr="00E22F6A">
        <w:rPr>
          <w:rFonts w:ascii="Book Antiqua" w:hAnsi="Book Antiqua"/>
          <w:kern w:val="0"/>
          <w:sz w:val="24"/>
          <w:szCs w:val="24"/>
        </w:rPr>
        <w:t xml:space="preserve"> 2018; </w:t>
      </w:r>
      <w:r w:rsidRPr="00E22F6A">
        <w:rPr>
          <w:rFonts w:ascii="Book Antiqua" w:hAnsi="Book Antiqua"/>
          <w:b/>
          <w:kern w:val="0"/>
          <w:sz w:val="24"/>
          <w:szCs w:val="24"/>
        </w:rPr>
        <w:t>9</w:t>
      </w:r>
      <w:r w:rsidRPr="00E22F6A">
        <w:rPr>
          <w:rFonts w:ascii="Book Antiqua" w:hAnsi="Book Antiqua"/>
          <w:kern w:val="0"/>
          <w:sz w:val="24"/>
          <w:szCs w:val="24"/>
        </w:rPr>
        <w:t>: 1365-1370 [PMID: 29721045 DOI: 10.7150/jca.23874]</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 </w:t>
      </w:r>
      <w:r w:rsidRPr="00E22F6A">
        <w:rPr>
          <w:rFonts w:ascii="Book Antiqua" w:hAnsi="Book Antiqua"/>
          <w:b/>
          <w:kern w:val="0"/>
          <w:sz w:val="24"/>
          <w:szCs w:val="24"/>
        </w:rPr>
        <w:t>Duran AO,</w:t>
      </w:r>
      <w:r w:rsidRPr="00E22F6A">
        <w:rPr>
          <w:rFonts w:ascii="Book Antiqua" w:hAnsi="Book Antiqua"/>
          <w:kern w:val="0"/>
          <w:sz w:val="24"/>
          <w:szCs w:val="24"/>
        </w:rPr>
        <w:t xml:space="preserve"> Karaca H, Besiroglu M, Bayoglu IV, Menekse S, Yapici HS, Yazilitas D, Bahceci A, Uysal M, Sevinc A, Hacibekiroglu I, Aksoy A, Tanriverdi O, Arpaci E, Inanc M, Dane F, Ozkan M. XELOX plus bevacizumab vs. FOLFIRI plus bevacizumab treatment for first-line chemotherapy in metastatic colon cancer: a retrospective study of the Anatolian Society of Medical Oncology. </w:t>
      </w:r>
      <w:r w:rsidRPr="00E22F6A">
        <w:rPr>
          <w:rFonts w:ascii="Book Antiqua" w:hAnsi="Book Antiqua"/>
          <w:i/>
          <w:iCs/>
          <w:kern w:val="0"/>
          <w:sz w:val="24"/>
          <w:szCs w:val="24"/>
        </w:rPr>
        <w:t>Asian Pac J Cancer Prev</w:t>
      </w:r>
      <w:r w:rsidRPr="00E22F6A">
        <w:rPr>
          <w:rFonts w:ascii="Book Antiqua" w:hAnsi="Book Antiqua"/>
          <w:kern w:val="0"/>
          <w:sz w:val="24"/>
          <w:szCs w:val="24"/>
        </w:rPr>
        <w:t xml:space="preserve"> 2014; </w:t>
      </w:r>
      <w:r w:rsidRPr="00E22F6A">
        <w:rPr>
          <w:rFonts w:ascii="Book Antiqua" w:hAnsi="Book Antiqua"/>
          <w:b/>
          <w:bCs/>
          <w:kern w:val="0"/>
          <w:sz w:val="24"/>
          <w:szCs w:val="24"/>
        </w:rPr>
        <w:t>15</w:t>
      </w:r>
      <w:r w:rsidRPr="00E22F6A">
        <w:rPr>
          <w:rFonts w:ascii="Book Antiqua" w:hAnsi="Book Antiqua"/>
          <w:kern w:val="0"/>
          <w:sz w:val="24"/>
          <w:szCs w:val="24"/>
        </w:rPr>
        <w:t>: 10375-10379 [PMID: 25556478 DOI: 10.7314/apjcp.2014.15.23.10375]</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7 </w:t>
      </w:r>
      <w:r w:rsidRPr="00E22F6A">
        <w:rPr>
          <w:rFonts w:ascii="Book Antiqua" w:hAnsi="Book Antiqua"/>
          <w:b/>
          <w:kern w:val="0"/>
          <w:sz w:val="24"/>
          <w:szCs w:val="24"/>
        </w:rPr>
        <w:t>Loree JM</w:t>
      </w:r>
      <w:r w:rsidRPr="00E22F6A">
        <w:rPr>
          <w:rFonts w:ascii="Book Antiqua" w:hAnsi="Book Antiqua"/>
          <w:kern w:val="0"/>
          <w:sz w:val="24"/>
          <w:szCs w:val="24"/>
        </w:rPr>
        <w:t xml:space="preserve">, Sha A, Soleimani M, Kennecke HF, Ho MY, Cheung WY, Mulder KE, Abadi S, Spratlin JL, Gill S. Survival Impact of CAPOX Versus FOLFOX in the Adjuvant Treatment of Stage III Colon Cancer. </w:t>
      </w:r>
      <w:r w:rsidRPr="00E22F6A">
        <w:rPr>
          <w:rFonts w:ascii="Book Antiqua" w:hAnsi="Book Antiqua"/>
          <w:i/>
          <w:kern w:val="0"/>
          <w:sz w:val="24"/>
          <w:szCs w:val="24"/>
        </w:rPr>
        <w:t>Clin Colorectal Cancer</w:t>
      </w:r>
      <w:r w:rsidRPr="00E22F6A">
        <w:rPr>
          <w:rFonts w:ascii="Book Antiqua" w:hAnsi="Book Antiqua"/>
          <w:kern w:val="0"/>
          <w:sz w:val="24"/>
          <w:szCs w:val="24"/>
        </w:rPr>
        <w:t xml:space="preserve"> 2018; </w:t>
      </w:r>
      <w:r w:rsidRPr="00E22F6A">
        <w:rPr>
          <w:rFonts w:ascii="Book Antiqua" w:hAnsi="Book Antiqua"/>
          <w:b/>
          <w:kern w:val="0"/>
          <w:sz w:val="24"/>
          <w:szCs w:val="24"/>
        </w:rPr>
        <w:t>17</w:t>
      </w:r>
      <w:r w:rsidRPr="00E22F6A">
        <w:rPr>
          <w:rFonts w:ascii="Book Antiqua" w:hAnsi="Book Antiqua"/>
          <w:kern w:val="0"/>
          <w:sz w:val="24"/>
          <w:szCs w:val="24"/>
        </w:rPr>
        <w:t>: 156-163 [PMID: 29486916 DOI: 10.1016/j.clcc.2018.01.010]</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8 </w:t>
      </w:r>
      <w:r w:rsidRPr="00E22F6A">
        <w:rPr>
          <w:rFonts w:ascii="Book Antiqua" w:hAnsi="Book Antiqua"/>
          <w:b/>
          <w:kern w:val="0"/>
          <w:sz w:val="24"/>
          <w:szCs w:val="24"/>
        </w:rPr>
        <w:t>Kosugi C</w:t>
      </w:r>
      <w:r w:rsidRPr="00E22F6A">
        <w:rPr>
          <w:rFonts w:ascii="Book Antiqua" w:hAnsi="Book Antiqua"/>
          <w:kern w:val="0"/>
          <w:sz w:val="24"/>
          <w:szCs w:val="24"/>
        </w:rPr>
        <w:t xml:space="preserve">, Koda K, Ishibashi K, Yoshimatsu K, Tanaka S, Kato R, Kato H, Oya M, Narushima K, Mori M, Shuto K, Ishida H. Safety of mFOLFOX6/XELOX as adjuvant chemotherapy after curative resection of stage III colon cancer: phase II clinical study (The FACOS study). </w:t>
      </w:r>
      <w:r w:rsidRPr="00E22F6A">
        <w:rPr>
          <w:rFonts w:ascii="Book Antiqua" w:hAnsi="Book Antiqua"/>
          <w:i/>
          <w:kern w:val="0"/>
          <w:sz w:val="24"/>
          <w:szCs w:val="24"/>
        </w:rPr>
        <w:t>Int J Colorectal Dis</w:t>
      </w:r>
      <w:r w:rsidRPr="00E22F6A">
        <w:rPr>
          <w:rFonts w:ascii="Book Antiqua" w:hAnsi="Book Antiqua"/>
          <w:kern w:val="0"/>
          <w:sz w:val="24"/>
          <w:szCs w:val="24"/>
        </w:rPr>
        <w:t xml:space="preserve"> 2018; </w:t>
      </w:r>
      <w:r w:rsidRPr="00E22F6A">
        <w:rPr>
          <w:rFonts w:ascii="Book Antiqua" w:hAnsi="Book Antiqua"/>
          <w:b/>
          <w:kern w:val="0"/>
          <w:sz w:val="24"/>
          <w:szCs w:val="24"/>
        </w:rPr>
        <w:t>33</w:t>
      </w:r>
      <w:r w:rsidRPr="00E22F6A">
        <w:rPr>
          <w:rFonts w:ascii="Book Antiqua" w:hAnsi="Book Antiqua"/>
          <w:kern w:val="0"/>
          <w:sz w:val="24"/>
          <w:szCs w:val="24"/>
        </w:rPr>
        <w:t>: 809-817 [PMID: 29484450 DOI: 10.1007/s00384-018-2979-9]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9 </w:t>
      </w:r>
      <w:r w:rsidRPr="00E22F6A">
        <w:rPr>
          <w:rFonts w:ascii="Book Antiqua" w:hAnsi="Book Antiqua"/>
          <w:b/>
          <w:kern w:val="0"/>
          <w:sz w:val="24"/>
          <w:szCs w:val="24"/>
        </w:rPr>
        <w:t>Munemoto Y</w:t>
      </w:r>
      <w:r w:rsidRPr="00E22F6A">
        <w:rPr>
          <w:rFonts w:ascii="Book Antiqua" w:hAnsi="Book Antiqua"/>
          <w:kern w:val="0"/>
          <w:sz w:val="24"/>
          <w:szCs w:val="24"/>
        </w:rPr>
        <w:t xml:space="preserve">, Kanda M, Ishibashi K, Hata T, Kobayashi M, Hasegawa J, Fukunaga M, Takagane A, Otsuji T, Miyake Y, Nagase M, Sakamoto J, Matsuoka M, Oba K, Mishima H. Capecitabine and oxaliplatin combined with bevacizumab are feasible for treating selected Japanese patients at least 75 years of age with metastatic colorectal cancer. </w:t>
      </w:r>
      <w:r w:rsidRPr="00E22F6A">
        <w:rPr>
          <w:rFonts w:ascii="Book Antiqua" w:hAnsi="Book Antiqua"/>
          <w:i/>
          <w:kern w:val="0"/>
          <w:sz w:val="24"/>
          <w:szCs w:val="24"/>
        </w:rPr>
        <w:t>BMC Cancer</w:t>
      </w:r>
      <w:r w:rsidRPr="00E22F6A">
        <w:rPr>
          <w:rFonts w:ascii="Book Antiqua" w:hAnsi="Book Antiqua"/>
          <w:kern w:val="0"/>
          <w:sz w:val="24"/>
          <w:szCs w:val="24"/>
        </w:rPr>
        <w:t xml:space="preserve"> 2015; </w:t>
      </w:r>
      <w:r w:rsidRPr="00E22F6A">
        <w:rPr>
          <w:rFonts w:ascii="Book Antiqua" w:hAnsi="Book Antiqua"/>
          <w:b/>
          <w:kern w:val="0"/>
          <w:sz w:val="24"/>
          <w:szCs w:val="24"/>
        </w:rPr>
        <w:t>15</w:t>
      </w:r>
      <w:r w:rsidRPr="00E22F6A">
        <w:rPr>
          <w:rFonts w:ascii="Book Antiqua" w:hAnsi="Book Antiqua"/>
          <w:kern w:val="0"/>
          <w:sz w:val="24"/>
          <w:szCs w:val="24"/>
        </w:rPr>
        <w:t>: 786 [PMID: 26497654 DOI: 10.1186/s12885-015-1712-0]</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10 </w:t>
      </w:r>
      <w:r w:rsidRPr="00E22F6A">
        <w:rPr>
          <w:rFonts w:ascii="Book Antiqua" w:hAnsi="Book Antiqua"/>
          <w:b/>
          <w:kern w:val="0"/>
          <w:sz w:val="24"/>
          <w:szCs w:val="24"/>
        </w:rPr>
        <w:t>Mouradov D</w:t>
      </w:r>
      <w:r w:rsidRPr="00E22F6A">
        <w:rPr>
          <w:rFonts w:ascii="Book Antiqua" w:hAnsi="Book Antiqua"/>
          <w:kern w:val="0"/>
          <w:sz w:val="24"/>
          <w:szCs w:val="24"/>
        </w:rPr>
        <w:t xml:space="preserve">, Domingo E, Gibbs P, Jorissen RN, Li S, Soo PY, Lipton L, Desai J, Danielsen HE, Oukrif D, Novelli M, Yau C, Holmes CC, Jones IT, McLaughlin S, Molloy P, Hawkins NJ, Ward R, Midgely R, Kerr D, Tomlinson IP, Sieber OM. Survival in stage II/III colorectal cancer is independently predicted by chromosomal and microsatellite instability, but not by specific driver mutations. </w:t>
      </w:r>
      <w:r w:rsidRPr="00E22F6A">
        <w:rPr>
          <w:rFonts w:ascii="Book Antiqua" w:hAnsi="Book Antiqua"/>
          <w:i/>
          <w:kern w:val="0"/>
          <w:sz w:val="24"/>
          <w:szCs w:val="24"/>
        </w:rPr>
        <w:t>Am J Gastroenterol</w:t>
      </w:r>
      <w:r w:rsidRPr="00E22F6A">
        <w:rPr>
          <w:rFonts w:ascii="Book Antiqua" w:hAnsi="Book Antiqua"/>
          <w:kern w:val="0"/>
          <w:sz w:val="24"/>
          <w:szCs w:val="24"/>
        </w:rPr>
        <w:t xml:space="preserve"> 2013; </w:t>
      </w:r>
      <w:r w:rsidRPr="00E22F6A">
        <w:rPr>
          <w:rFonts w:ascii="Book Antiqua" w:hAnsi="Book Antiqua"/>
          <w:b/>
          <w:kern w:val="0"/>
          <w:sz w:val="24"/>
          <w:szCs w:val="24"/>
        </w:rPr>
        <w:t>108</w:t>
      </w:r>
      <w:r w:rsidRPr="00E22F6A">
        <w:rPr>
          <w:rFonts w:ascii="Book Antiqua" w:hAnsi="Book Antiqua"/>
          <w:kern w:val="0"/>
          <w:sz w:val="24"/>
          <w:szCs w:val="24"/>
        </w:rPr>
        <w:t>: 1785-1793 [PMID: 24042191 DOI: 10.1038/ajg.2013.292]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11 </w:t>
      </w:r>
      <w:r w:rsidRPr="00E22F6A">
        <w:rPr>
          <w:rFonts w:ascii="Book Antiqua" w:hAnsi="Book Antiqua"/>
          <w:b/>
          <w:kern w:val="0"/>
          <w:sz w:val="24"/>
          <w:szCs w:val="24"/>
        </w:rPr>
        <w:t>Lochhead P</w:t>
      </w:r>
      <w:r w:rsidRPr="00E22F6A">
        <w:rPr>
          <w:rFonts w:ascii="Book Antiqua" w:hAnsi="Book Antiqua"/>
          <w:kern w:val="0"/>
          <w:sz w:val="24"/>
          <w:szCs w:val="24"/>
        </w:rPr>
        <w:t xml:space="preserve">, Kuchiba A, Imamura Y, Liao X, Yamauchi M, Nishihara R, Qian ZR, Morikawa T, Shen J, Meyerhardt JA, Fuchs CS, Ogino S. Microsatellite instability and BRAF mutation testing in colorectal cancer prognostication. </w:t>
      </w:r>
      <w:r w:rsidRPr="00E22F6A">
        <w:rPr>
          <w:rFonts w:ascii="Book Antiqua" w:hAnsi="Book Antiqua"/>
          <w:i/>
          <w:kern w:val="0"/>
          <w:sz w:val="24"/>
          <w:szCs w:val="24"/>
        </w:rPr>
        <w:t>J Natl Cancer Inst</w:t>
      </w:r>
      <w:r w:rsidRPr="00E22F6A">
        <w:rPr>
          <w:rFonts w:ascii="Book Antiqua" w:hAnsi="Book Antiqua"/>
          <w:kern w:val="0"/>
          <w:sz w:val="24"/>
          <w:szCs w:val="24"/>
        </w:rPr>
        <w:t xml:space="preserve"> 2013; </w:t>
      </w:r>
      <w:r w:rsidRPr="00E22F6A">
        <w:rPr>
          <w:rFonts w:ascii="Book Antiqua" w:hAnsi="Book Antiqua"/>
          <w:b/>
          <w:kern w:val="0"/>
          <w:sz w:val="24"/>
          <w:szCs w:val="24"/>
        </w:rPr>
        <w:t>105</w:t>
      </w:r>
      <w:r w:rsidRPr="00E22F6A">
        <w:rPr>
          <w:rFonts w:ascii="Book Antiqua" w:hAnsi="Book Antiqua"/>
          <w:kern w:val="0"/>
          <w:sz w:val="24"/>
          <w:szCs w:val="24"/>
        </w:rPr>
        <w:t>: 1151-1156 [PMID: 23878352 DOI: 10.1093/jnci/djt173]</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12 </w:t>
      </w:r>
      <w:r w:rsidRPr="00E22F6A">
        <w:rPr>
          <w:rFonts w:ascii="Book Antiqua" w:hAnsi="Book Antiqua"/>
          <w:b/>
          <w:kern w:val="0"/>
          <w:sz w:val="24"/>
          <w:szCs w:val="24"/>
        </w:rPr>
        <w:t>Sinicrope FA</w:t>
      </w:r>
      <w:r w:rsidRPr="00E22F6A">
        <w:rPr>
          <w:rFonts w:ascii="Book Antiqua" w:hAnsi="Book Antiqua"/>
          <w:kern w:val="0"/>
          <w:sz w:val="24"/>
          <w:szCs w:val="24"/>
        </w:rPr>
        <w:t xml:space="preserve">, Mahoney MR, Smyrk TC, Thibodeau SN, Warren RS, Bertagnolli MM, Nelson GD, Goldberg RM, Sargent DJ, Alberts SR. Prognostic impact of deficient DNA mismatch repair in patients with stage III colon cancer from a randomized trial of FOLFOX-based adjuvant chemotherapy. </w:t>
      </w:r>
      <w:r w:rsidRPr="00E22F6A">
        <w:rPr>
          <w:rFonts w:ascii="Book Antiqua" w:hAnsi="Book Antiqua"/>
          <w:i/>
          <w:kern w:val="0"/>
          <w:sz w:val="24"/>
          <w:szCs w:val="24"/>
        </w:rPr>
        <w:t>J Clin Oncol</w:t>
      </w:r>
      <w:r w:rsidRPr="00E22F6A">
        <w:rPr>
          <w:rFonts w:ascii="Book Antiqua" w:hAnsi="Book Antiqua"/>
          <w:kern w:val="0"/>
          <w:sz w:val="24"/>
          <w:szCs w:val="24"/>
        </w:rPr>
        <w:t xml:space="preserve"> 2013; </w:t>
      </w:r>
      <w:r w:rsidRPr="00E22F6A">
        <w:rPr>
          <w:rFonts w:ascii="Book Antiqua" w:hAnsi="Book Antiqua"/>
          <w:b/>
          <w:kern w:val="0"/>
          <w:sz w:val="24"/>
          <w:szCs w:val="24"/>
        </w:rPr>
        <w:t>31</w:t>
      </w:r>
      <w:r w:rsidRPr="00E22F6A">
        <w:rPr>
          <w:rFonts w:ascii="Book Antiqua" w:hAnsi="Book Antiqua"/>
          <w:kern w:val="0"/>
          <w:sz w:val="24"/>
          <w:szCs w:val="24"/>
        </w:rPr>
        <w:t>: 3664-3672 [PMID: 24019539 DOI: 10.1200/JCO.2013.48.9591]</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13 </w:t>
      </w:r>
      <w:r w:rsidRPr="00E22F6A">
        <w:rPr>
          <w:rFonts w:ascii="Book Antiqua" w:hAnsi="Book Antiqua"/>
          <w:b/>
          <w:kern w:val="0"/>
          <w:sz w:val="24"/>
          <w:szCs w:val="24"/>
        </w:rPr>
        <w:t>Diao C</w:t>
      </w:r>
      <w:r w:rsidRPr="00E22F6A">
        <w:rPr>
          <w:rFonts w:ascii="Book Antiqua" w:hAnsi="Book Antiqua"/>
          <w:kern w:val="0"/>
          <w:sz w:val="24"/>
          <w:szCs w:val="24"/>
        </w:rPr>
        <w:t xml:space="preserve">, Cheng RC, Zhang JM, Wei XP, Su YJ, Liu QY, Xu JB. [Clinical observation of XELOX (Capecitabine puls Oxaliplatin): an adjuvant chemotherapy regimen used in stage III colorectal cancer]. </w:t>
      </w:r>
      <w:r w:rsidRPr="00E22F6A">
        <w:rPr>
          <w:rFonts w:ascii="Book Antiqua" w:hAnsi="Book Antiqua"/>
          <w:i/>
          <w:kern w:val="0"/>
          <w:sz w:val="24"/>
          <w:szCs w:val="24"/>
        </w:rPr>
        <w:t>Zhonghua Zhong Liu Za Zhi</w:t>
      </w:r>
      <w:r w:rsidRPr="00E22F6A">
        <w:rPr>
          <w:rFonts w:ascii="Book Antiqua" w:hAnsi="Book Antiqua"/>
          <w:kern w:val="0"/>
          <w:sz w:val="24"/>
          <w:szCs w:val="24"/>
        </w:rPr>
        <w:t xml:space="preserve"> 2008; </w:t>
      </w:r>
      <w:r w:rsidRPr="00E22F6A">
        <w:rPr>
          <w:rFonts w:ascii="Book Antiqua" w:hAnsi="Book Antiqua"/>
          <w:b/>
          <w:kern w:val="0"/>
          <w:sz w:val="24"/>
          <w:szCs w:val="24"/>
        </w:rPr>
        <w:t>30</w:t>
      </w:r>
      <w:r w:rsidRPr="00E22F6A">
        <w:rPr>
          <w:rFonts w:ascii="Book Antiqua" w:hAnsi="Book Antiqua"/>
          <w:kern w:val="0"/>
          <w:sz w:val="24"/>
          <w:szCs w:val="24"/>
        </w:rPr>
        <w:t>: 147-150 [PMID: 18646702]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14 </w:t>
      </w:r>
      <w:r w:rsidRPr="00E22F6A">
        <w:rPr>
          <w:rFonts w:ascii="Book Antiqua" w:hAnsi="Book Antiqua"/>
          <w:b/>
          <w:kern w:val="0"/>
          <w:sz w:val="24"/>
          <w:szCs w:val="24"/>
        </w:rPr>
        <w:t>Haller DG</w:t>
      </w:r>
      <w:r w:rsidRPr="00E22F6A">
        <w:rPr>
          <w:rFonts w:ascii="Book Antiqua" w:hAnsi="Book Antiqua"/>
          <w:kern w:val="0"/>
          <w:sz w:val="24"/>
          <w:szCs w:val="24"/>
        </w:rPr>
        <w:t xml:space="preserve">, Tabernero J, Maroun J, de Braud F, Price T, Van Cutsem E, Hill M, Gilberg F, Rittweger K, Schmoll HJ. Capecitabine plus oxaliplatin compared with fluorouracil and folinic acid as adjuvant therapy for stage III colon cancer. </w:t>
      </w:r>
      <w:r w:rsidRPr="00E22F6A">
        <w:rPr>
          <w:rFonts w:ascii="Book Antiqua" w:hAnsi="Book Antiqua"/>
          <w:i/>
          <w:kern w:val="0"/>
          <w:sz w:val="24"/>
          <w:szCs w:val="24"/>
        </w:rPr>
        <w:t>J Clin Oncol</w:t>
      </w:r>
      <w:r w:rsidRPr="00E22F6A">
        <w:rPr>
          <w:rFonts w:ascii="Book Antiqua" w:hAnsi="Book Antiqua"/>
          <w:kern w:val="0"/>
          <w:sz w:val="24"/>
          <w:szCs w:val="24"/>
        </w:rPr>
        <w:t xml:space="preserve"> 2011; </w:t>
      </w:r>
      <w:r w:rsidRPr="00E22F6A">
        <w:rPr>
          <w:rFonts w:ascii="Book Antiqua" w:hAnsi="Book Antiqua"/>
          <w:b/>
          <w:kern w:val="0"/>
          <w:sz w:val="24"/>
          <w:szCs w:val="24"/>
        </w:rPr>
        <w:t>29</w:t>
      </w:r>
      <w:r w:rsidRPr="00E22F6A">
        <w:rPr>
          <w:rFonts w:ascii="Book Antiqua" w:hAnsi="Book Antiqua"/>
          <w:kern w:val="0"/>
          <w:sz w:val="24"/>
          <w:szCs w:val="24"/>
        </w:rPr>
        <w:t>: 1465-1471 [PMID: 21383294 DOI: 10.1200/JCO.2010.33.6297]</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15 </w:t>
      </w:r>
      <w:r w:rsidRPr="00E22F6A">
        <w:rPr>
          <w:rFonts w:ascii="Book Antiqua" w:hAnsi="Book Antiqua"/>
          <w:b/>
          <w:bCs/>
          <w:kern w:val="0"/>
          <w:sz w:val="24"/>
          <w:szCs w:val="24"/>
        </w:rPr>
        <w:t>Zhang J</w:t>
      </w:r>
      <w:r w:rsidRPr="00E22F6A">
        <w:rPr>
          <w:rFonts w:ascii="Book Antiqua" w:hAnsi="Book Antiqua"/>
          <w:kern w:val="0"/>
          <w:sz w:val="24"/>
          <w:szCs w:val="24"/>
        </w:rPr>
        <w:t xml:space="preserve">. Analysis and evaluation of the curative effect of hiroda and oxaliplatin in the treatment of advanced colon cancer. </w:t>
      </w:r>
      <w:r w:rsidRPr="00E22F6A">
        <w:rPr>
          <w:rFonts w:ascii="Book Antiqua" w:hAnsi="Book Antiqua"/>
          <w:i/>
          <w:iCs/>
          <w:kern w:val="0"/>
          <w:sz w:val="24"/>
          <w:szCs w:val="24"/>
        </w:rPr>
        <w:t xml:space="preserve">Linchuang Heli Yongyao Zazhi </w:t>
      </w:r>
      <w:r w:rsidRPr="00E22F6A">
        <w:rPr>
          <w:rFonts w:ascii="Book Antiqua" w:hAnsi="Book Antiqua"/>
          <w:kern w:val="0"/>
          <w:sz w:val="24"/>
          <w:szCs w:val="24"/>
        </w:rPr>
        <w:t xml:space="preserve">2011: </w:t>
      </w:r>
      <w:r w:rsidRPr="00E22F6A">
        <w:rPr>
          <w:rFonts w:ascii="Book Antiqua" w:hAnsi="Book Antiqua"/>
          <w:b/>
          <w:bCs/>
          <w:kern w:val="0"/>
          <w:sz w:val="24"/>
          <w:szCs w:val="24"/>
        </w:rPr>
        <w:t>36</w:t>
      </w:r>
      <w:r w:rsidRPr="00E22F6A">
        <w:rPr>
          <w:rFonts w:ascii="Book Antiqua" w:hAnsi="Book Antiqua"/>
          <w:kern w:val="0"/>
          <w:sz w:val="24"/>
          <w:szCs w:val="24"/>
        </w:rPr>
        <w:t xml:space="preserve"> [DOI: 10.3969/j.issn.1674-3296.2011.36.035]</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16 </w:t>
      </w:r>
      <w:r w:rsidRPr="00E22F6A">
        <w:rPr>
          <w:rFonts w:ascii="Book Antiqua" w:hAnsi="Book Antiqua"/>
          <w:b/>
          <w:bCs/>
          <w:kern w:val="0"/>
          <w:sz w:val="24"/>
          <w:szCs w:val="24"/>
        </w:rPr>
        <w:t>Kubicka S</w:t>
      </w:r>
      <w:r w:rsidRPr="00E22F6A">
        <w:rPr>
          <w:rFonts w:ascii="Book Antiqua" w:hAnsi="Book Antiqua"/>
          <w:kern w:val="0"/>
          <w:sz w:val="24"/>
          <w:szCs w:val="24"/>
        </w:rPr>
        <w:t xml:space="preserve">. Capecitabine plus oxaliplatin compared with fluorouracil/folinic acid as adjuvant therapy for stage III colon cancer: final results of the NO16968 randomized controlled phase III trial[German]. </w:t>
      </w:r>
      <w:r w:rsidRPr="00E22F6A">
        <w:rPr>
          <w:rFonts w:ascii="Book Antiqua" w:hAnsi="Book Antiqua"/>
          <w:i/>
          <w:iCs/>
          <w:kern w:val="0"/>
          <w:sz w:val="24"/>
          <w:szCs w:val="24"/>
        </w:rPr>
        <w:t>Strahlenther Onkol</w:t>
      </w:r>
      <w:r w:rsidRPr="00E22F6A">
        <w:rPr>
          <w:rFonts w:ascii="Book Antiqua" w:hAnsi="Book Antiqua"/>
          <w:kern w:val="0"/>
          <w:sz w:val="24"/>
          <w:szCs w:val="24"/>
        </w:rPr>
        <w:t xml:space="preserve"> 2016; </w:t>
      </w:r>
      <w:r w:rsidRPr="00E22F6A">
        <w:rPr>
          <w:rFonts w:ascii="Book Antiqua" w:hAnsi="Book Antiqua"/>
          <w:b/>
          <w:bCs/>
          <w:kern w:val="0"/>
          <w:sz w:val="24"/>
          <w:szCs w:val="24"/>
        </w:rPr>
        <w:t>192</w:t>
      </w:r>
      <w:r w:rsidRPr="00E22F6A">
        <w:rPr>
          <w:rFonts w:ascii="Book Antiqua" w:hAnsi="Book Antiqua"/>
          <w:kern w:val="0"/>
          <w:sz w:val="24"/>
          <w:szCs w:val="24"/>
        </w:rPr>
        <w:t>: 505-506</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17 </w:t>
      </w:r>
      <w:r w:rsidRPr="00E22F6A">
        <w:rPr>
          <w:rFonts w:ascii="Book Antiqua" w:hAnsi="Book Antiqua"/>
          <w:b/>
          <w:kern w:val="0"/>
          <w:sz w:val="24"/>
          <w:szCs w:val="24"/>
        </w:rPr>
        <w:t>Lei XJ,</w:t>
      </w:r>
      <w:r w:rsidRPr="00E22F6A">
        <w:rPr>
          <w:rFonts w:ascii="Book Antiqua" w:hAnsi="Book Antiqua"/>
          <w:kern w:val="0"/>
          <w:sz w:val="24"/>
          <w:szCs w:val="24"/>
        </w:rPr>
        <w:t xml:space="preserve"> Zheng KH, Li F, Li J. </w:t>
      </w:r>
      <w:bookmarkStart w:id="114" w:name="OLE_LINK8"/>
      <w:r w:rsidRPr="00E22F6A">
        <w:rPr>
          <w:rFonts w:ascii="Book Antiqua" w:hAnsi="Book Antiqua"/>
          <w:kern w:val="0"/>
          <w:sz w:val="24"/>
          <w:szCs w:val="24"/>
        </w:rPr>
        <w:t xml:space="preserve">To observe the curative effect of capecitabine combined with oxaliplatin in the treatment of advanced colorectal cancer. </w:t>
      </w:r>
      <w:bookmarkStart w:id="115" w:name="OLE_LINK7"/>
      <w:bookmarkEnd w:id="114"/>
      <w:r w:rsidRPr="00E22F6A">
        <w:rPr>
          <w:rFonts w:ascii="Book Antiqua" w:hAnsi="Book Antiqua"/>
          <w:i/>
          <w:iCs/>
          <w:kern w:val="0"/>
          <w:sz w:val="24"/>
          <w:szCs w:val="24"/>
        </w:rPr>
        <w:t xml:space="preserve">Beifang Yaoxue </w:t>
      </w:r>
      <w:bookmarkEnd w:id="115"/>
      <w:r w:rsidRPr="00E22F6A">
        <w:rPr>
          <w:rFonts w:ascii="Book Antiqua" w:hAnsi="Book Antiqua"/>
          <w:kern w:val="0"/>
          <w:sz w:val="24"/>
          <w:szCs w:val="24"/>
        </w:rPr>
        <w:t xml:space="preserve">2016; </w:t>
      </w:r>
      <w:r w:rsidRPr="00E22F6A">
        <w:rPr>
          <w:rFonts w:ascii="Book Antiqua" w:hAnsi="Book Antiqua"/>
          <w:b/>
          <w:bCs/>
          <w:kern w:val="0"/>
          <w:sz w:val="24"/>
          <w:szCs w:val="24"/>
        </w:rPr>
        <w:t>11</w:t>
      </w:r>
      <w:r w:rsidRPr="00E22F6A">
        <w:rPr>
          <w:rFonts w:ascii="Book Antiqua" w:hAnsi="Book Antiqua"/>
          <w:kern w:val="0"/>
          <w:sz w:val="24"/>
          <w:szCs w:val="24"/>
        </w:rPr>
        <w:t>: 31-37</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18 </w:t>
      </w:r>
      <w:r w:rsidRPr="00E22F6A">
        <w:rPr>
          <w:rFonts w:ascii="Book Antiqua" w:hAnsi="Book Antiqua"/>
          <w:b/>
          <w:bCs/>
          <w:kern w:val="0"/>
          <w:sz w:val="24"/>
          <w:szCs w:val="24"/>
        </w:rPr>
        <w:t>Li J</w:t>
      </w:r>
      <w:r w:rsidRPr="00E22F6A">
        <w:rPr>
          <w:rFonts w:ascii="Book Antiqua" w:hAnsi="Book Antiqua"/>
          <w:kern w:val="0"/>
          <w:sz w:val="24"/>
          <w:szCs w:val="24"/>
        </w:rPr>
        <w:t xml:space="preserve">, Cui BJ. Clinical observation of capecitabine combined with oxaliplatin in the treatment of advanced colorectal cancer. </w:t>
      </w:r>
      <w:r w:rsidRPr="00E22F6A">
        <w:rPr>
          <w:rFonts w:ascii="Book Antiqua" w:hAnsi="Book Antiqua"/>
          <w:i/>
          <w:iCs/>
          <w:kern w:val="0"/>
          <w:sz w:val="24"/>
          <w:szCs w:val="24"/>
        </w:rPr>
        <w:t xml:space="preserve">Zhongguo Yaowu Yu Linchunag </w:t>
      </w:r>
      <w:r w:rsidRPr="00E22F6A">
        <w:rPr>
          <w:rFonts w:ascii="Book Antiqua" w:hAnsi="Book Antiqua"/>
          <w:kern w:val="0"/>
          <w:sz w:val="24"/>
          <w:szCs w:val="24"/>
        </w:rPr>
        <w:t xml:space="preserve">2012; </w:t>
      </w:r>
      <w:r w:rsidRPr="00E22F6A">
        <w:rPr>
          <w:rFonts w:ascii="Book Antiqua" w:hAnsi="Book Antiqua"/>
          <w:b/>
          <w:bCs/>
          <w:kern w:val="0"/>
          <w:sz w:val="24"/>
          <w:szCs w:val="24"/>
        </w:rPr>
        <w:t>S1</w:t>
      </w:r>
      <w:r w:rsidRPr="00E22F6A">
        <w:rPr>
          <w:rFonts w:ascii="Book Antiqua" w:hAnsi="Book Antiqua"/>
          <w:kern w:val="0"/>
          <w:sz w:val="24"/>
          <w:szCs w:val="24"/>
        </w:rPr>
        <w:t>: 46-47</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19 </w:t>
      </w:r>
      <w:r w:rsidRPr="00E22F6A">
        <w:rPr>
          <w:rFonts w:ascii="Book Antiqua" w:hAnsi="Book Antiqua"/>
          <w:b/>
          <w:kern w:val="0"/>
          <w:sz w:val="24"/>
          <w:szCs w:val="24"/>
        </w:rPr>
        <w:t>Lian YN,</w:t>
      </w:r>
      <w:r w:rsidRPr="00E22F6A">
        <w:rPr>
          <w:rFonts w:ascii="Book Antiqua" w:hAnsi="Book Antiqua"/>
          <w:kern w:val="0"/>
          <w:sz w:val="24"/>
          <w:szCs w:val="24"/>
        </w:rPr>
        <w:t xml:space="preserve"> Mao JX, Zeng ZJ, Chen YL, Gao TH, Huang JD. The efficacy of XELOX and OLF chemotherapy for the treatment of advanced colorectal cancer in aged patients with k-ras mutation. </w:t>
      </w:r>
      <w:r w:rsidRPr="00E22F6A">
        <w:rPr>
          <w:rFonts w:ascii="Book Antiqua" w:hAnsi="Book Antiqua"/>
          <w:i/>
          <w:iCs/>
          <w:kern w:val="0"/>
          <w:sz w:val="24"/>
          <w:szCs w:val="24"/>
        </w:rPr>
        <w:t xml:space="preserve">Zhongguo Xiandai Yixue Zazhi </w:t>
      </w:r>
      <w:r w:rsidRPr="00E22F6A">
        <w:rPr>
          <w:rFonts w:ascii="Book Antiqua" w:hAnsi="Book Antiqua"/>
          <w:bCs/>
          <w:kern w:val="0"/>
          <w:sz w:val="24"/>
          <w:szCs w:val="24"/>
        </w:rPr>
        <w:t>2016</w:t>
      </w:r>
      <w:r w:rsidRPr="00E22F6A">
        <w:rPr>
          <w:rFonts w:ascii="Book Antiqua" w:hAnsi="Book Antiqua"/>
          <w:kern w:val="0"/>
          <w:sz w:val="24"/>
          <w:szCs w:val="24"/>
        </w:rPr>
        <w:t xml:space="preserve">; </w:t>
      </w:r>
      <w:r w:rsidRPr="00E22F6A">
        <w:rPr>
          <w:rFonts w:ascii="Book Antiqua" w:hAnsi="Book Antiqua"/>
          <w:b/>
          <w:bCs/>
          <w:kern w:val="0"/>
          <w:sz w:val="24"/>
          <w:szCs w:val="24"/>
        </w:rPr>
        <w:t>2</w:t>
      </w:r>
      <w:r w:rsidRPr="00E22F6A">
        <w:rPr>
          <w:rFonts w:ascii="Book Antiqua" w:hAnsi="Book Antiqua"/>
          <w:kern w:val="0"/>
          <w:sz w:val="24"/>
          <w:szCs w:val="24"/>
        </w:rPr>
        <w:t>: 51-54</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20 </w:t>
      </w:r>
      <w:r w:rsidRPr="00E22F6A">
        <w:rPr>
          <w:rFonts w:ascii="Book Antiqua" w:hAnsi="Book Antiqua"/>
          <w:b/>
          <w:kern w:val="0"/>
          <w:sz w:val="24"/>
          <w:szCs w:val="24"/>
        </w:rPr>
        <w:t>Pectasides DG,</w:t>
      </w:r>
      <w:r w:rsidRPr="00E22F6A">
        <w:rPr>
          <w:rFonts w:ascii="Book Antiqua" w:hAnsi="Book Antiqua"/>
          <w:kern w:val="0"/>
          <w:sz w:val="24"/>
          <w:szCs w:val="24"/>
        </w:rPr>
        <w:t xml:space="preserve"> Papaxoinis G, Xanthakis I, Kouvatseas G, Kotoula V, Xiros N, Samantas E, Papakostas P, Klouvas G, Varthalitis II, Pentheroudakis G, Fountzilas G, Bafaloukos D. Randomized phase III trial of FOLFOX versus XELOX as adjuvant chemotherapy in patients with early-stage colorectal adenocarcinoma. </w:t>
      </w:r>
      <w:bookmarkStart w:id="116" w:name="OLE_LINK9"/>
      <w:r w:rsidRPr="00E22F6A">
        <w:rPr>
          <w:rFonts w:ascii="Book Antiqua" w:hAnsi="Book Antiqua"/>
          <w:i/>
          <w:iCs/>
          <w:kern w:val="0"/>
          <w:sz w:val="24"/>
          <w:szCs w:val="24"/>
        </w:rPr>
        <w:t>J Clin Oncol</w:t>
      </w:r>
      <w:bookmarkEnd w:id="116"/>
      <w:r w:rsidRPr="00E22F6A">
        <w:rPr>
          <w:rFonts w:ascii="Book Antiqua" w:hAnsi="Book Antiqua"/>
          <w:kern w:val="0"/>
          <w:sz w:val="24"/>
          <w:szCs w:val="24"/>
        </w:rPr>
        <w:t xml:space="preserve"> 2014; </w:t>
      </w:r>
      <w:r w:rsidRPr="00E22F6A">
        <w:rPr>
          <w:rFonts w:ascii="Book Antiqua" w:hAnsi="Book Antiqua"/>
          <w:b/>
          <w:bCs/>
          <w:kern w:val="0"/>
          <w:sz w:val="24"/>
          <w:szCs w:val="24"/>
        </w:rPr>
        <w:t>32</w:t>
      </w:r>
      <w:r w:rsidRPr="00E22F6A">
        <w:rPr>
          <w:rFonts w:ascii="Book Antiqua" w:hAnsi="Book Antiqua"/>
          <w:kern w:val="0"/>
          <w:sz w:val="24"/>
          <w:szCs w:val="24"/>
        </w:rPr>
        <w:t>: 3617-3617 [</w:t>
      </w:r>
      <w:bookmarkStart w:id="117" w:name="OLE_LINK10"/>
      <w:r w:rsidRPr="00E22F6A">
        <w:rPr>
          <w:rFonts w:ascii="Book Antiqua" w:hAnsi="Book Antiqua"/>
          <w:kern w:val="0"/>
          <w:sz w:val="24"/>
          <w:szCs w:val="24"/>
        </w:rPr>
        <w:t>DOI: 10.1200/jco.2014.32.15_suppl.3617</w:t>
      </w:r>
      <w:bookmarkEnd w:id="117"/>
      <w:r w:rsidRPr="00E22F6A">
        <w:rPr>
          <w:rFonts w:ascii="Book Antiqua" w:hAnsi="Book Antiqua"/>
          <w:kern w:val="0"/>
          <w:sz w:val="24"/>
          <w:szCs w:val="24"/>
        </w:rPr>
        <w:t>]</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21 </w:t>
      </w:r>
      <w:r w:rsidRPr="00E22F6A">
        <w:rPr>
          <w:rFonts w:ascii="Book Antiqua" w:hAnsi="Book Antiqua"/>
          <w:b/>
          <w:bCs/>
          <w:kern w:val="0"/>
          <w:sz w:val="24"/>
          <w:szCs w:val="24"/>
        </w:rPr>
        <w:t>Xun P</w:t>
      </w:r>
      <w:r w:rsidRPr="00E22F6A">
        <w:rPr>
          <w:rFonts w:ascii="Book Antiqua" w:hAnsi="Book Antiqua"/>
          <w:kern w:val="0"/>
          <w:sz w:val="24"/>
          <w:szCs w:val="24"/>
        </w:rPr>
        <w:t xml:space="preserve">. Observation of oxaliplatin and capecitabine combined with clinical efficacy of capecitabine in treatment of advanced colorectal cancer. </w:t>
      </w:r>
      <w:r w:rsidRPr="00E22F6A">
        <w:rPr>
          <w:rFonts w:ascii="Book Antiqua" w:hAnsi="Book Antiqua"/>
          <w:i/>
          <w:iCs/>
          <w:kern w:val="0"/>
          <w:sz w:val="24"/>
          <w:szCs w:val="24"/>
        </w:rPr>
        <w:t>Zhongguo Shiyong Yiyao</w:t>
      </w:r>
      <w:r w:rsidRPr="00E22F6A">
        <w:rPr>
          <w:rFonts w:ascii="Book Antiqua" w:hAnsi="Book Antiqua"/>
          <w:kern w:val="0"/>
          <w:sz w:val="24"/>
          <w:szCs w:val="24"/>
        </w:rPr>
        <w:t xml:space="preserve"> </w:t>
      </w:r>
      <w:r w:rsidRPr="00E22F6A">
        <w:rPr>
          <w:rFonts w:ascii="Book Antiqua" w:hAnsi="Book Antiqua"/>
          <w:b/>
          <w:kern w:val="0"/>
          <w:sz w:val="24"/>
          <w:szCs w:val="24"/>
        </w:rPr>
        <w:t>2016</w:t>
      </w:r>
      <w:r w:rsidRPr="00E22F6A">
        <w:rPr>
          <w:rFonts w:ascii="Book Antiqua" w:hAnsi="Book Antiqua"/>
          <w:kern w:val="0"/>
          <w:sz w:val="24"/>
          <w:szCs w:val="24"/>
        </w:rPr>
        <w:t>: 151-152 [DOI: 10.14163/j.cnki.11-5547/r.2016.16.100]</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22 </w:t>
      </w:r>
      <w:r w:rsidRPr="00E22F6A">
        <w:rPr>
          <w:rFonts w:ascii="Book Antiqua" w:hAnsi="Book Antiqua"/>
          <w:b/>
          <w:kern w:val="0"/>
          <w:sz w:val="24"/>
          <w:szCs w:val="24"/>
        </w:rPr>
        <w:t>Schmoll HJ,</w:t>
      </w:r>
      <w:r w:rsidRPr="00E22F6A">
        <w:rPr>
          <w:rFonts w:ascii="Book Antiqua" w:hAnsi="Book Antiqua"/>
          <w:kern w:val="0"/>
          <w:sz w:val="24"/>
          <w:szCs w:val="24"/>
        </w:rPr>
        <w:t xml:space="preserve"> Tabernero J, Maroun JA, De Braud FG, Price TJ, Van Cutsem E, Hill M, Hoersch S, Rittweger K, Haller DG. Capecitabine plus oxaliplatin (XELOX) versus bolus 5-fluorouracil/leucovorin (5-FU/LV) as adjuvant therapy for stage III colon cancer: Survival follow-up of study NO16968 (XELOXA). </w:t>
      </w:r>
      <w:r w:rsidRPr="00E22F6A">
        <w:rPr>
          <w:rFonts w:ascii="Book Antiqua" w:hAnsi="Book Antiqua"/>
          <w:i/>
          <w:iCs/>
          <w:kern w:val="0"/>
          <w:sz w:val="24"/>
          <w:szCs w:val="24"/>
        </w:rPr>
        <w:t>J Clin Oncol</w:t>
      </w:r>
      <w:r w:rsidRPr="00E22F6A">
        <w:rPr>
          <w:rFonts w:ascii="Book Antiqua" w:hAnsi="Book Antiqua"/>
          <w:kern w:val="0"/>
          <w:sz w:val="24"/>
          <w:szCs w:val="24"/>
        </w:rPr>
        <w:t xml:space="preserve"> 2012; </w:t>
      </w:r>
      <w:r w:rsidRPr="00E22F6A">
        <w:rPr>
          <w:rFonts w:ascii="Book Antiqua" w:hAnsi="Book Antiqua"/>
          <w:b/>
          <w:kern w:val="0"/>
          <w:sz w:val="24"/>
          <w:szCs w:val="24"/>
        </w:rPr>
        <w:t>30</w:t>
      </w:r>
      <w:r w:rsidR="006F0322" w:rsidRPr="00E22F6A">
        <w:rPr>
          <w:rFonts w:ascii="Book Antiqua" w:hAnsi="Book Antiqua"/>
          <w:kern w:val="0"/>
          <w:sz w:val="24"/>
          <w:szCs w:val="24"/>
        </w:rPr>
        <w:t>: 388-388 [DOI: 10.1200/jco.</w:t>
      </w:r>
      <w:r w:rsidRPr="00E22F6A">
        <w:rPr>
          <w:rFonts w:ascii="Book Antiqua" w:hAnsi="Book Antiqua"/>
          <w:kern w:val="0"/>
          <w:sz w:val="24"/>
          <w:szCs w:val="24"/>
        </w:rPr>
        <w:t>2012.30.4_suppl.388]</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23 </w:t>
      </w:r>
      <w:r w:rsidRPr="00E22F6A">
        <w:rPr>
          <w:rFonts w:ascii="Book Antiqua" w:hAnsi="Book Antiqua"/>
          <w:b/>
          <w:bCs/>
          <w:kern w:val="0"/>
          <w:sz w:val="24"/>
          <w:szCs w:val="24"/>
        </w:rPr>
        <w:t>Song B,</w:t>
      </w:r>
      <w:r w:rsidRPr="00E22F6A">
        <w:rPr>
          <w:rFonts w:ascii="Book Antiqua" w:hAnsi="Book Antiqua"/>
          <w:bCs/>
          <w:kern w:val="0"/>
          <w:sz w:val="24"/>
          <w:szCs w:val="24"/>
        </w:rPr>
        <w:t xml:space="preserve"> Liu D, Song WQ,</w:t>
      </w:r>
      <w:r w:rsidRPr="00E22F6A">
        <w:rPr>
          <w:rFonts w:ascii="Book Antiqua" w:hAnsi="Book Antiqua"/>
          <w:kern w:val="0"/>
          <w:sz w:val="24"/>
          <w:szCs w:val="24"/>
        </w:rPr>
        <w:t xml:space="preserve"> Liu SD, Mao ZJ, Gao ZZ, Long YB, Wang P, Guo XY. </w:t>
      </w:r>
      <w:bookmarkStart w:id="118" w:name="OLE_LINK12"/>
      <w:r w:rsidRPr="00E22F6A">
        <w:rPr>
          <w:rFonts w:ascii="Book Antiqua" w:hAnsi="Book Antiqua"/>
          <w:kern w:val="0"/>
          <w:sz w:val="24"/>
          <w:szCs w:val="24"/>
        </w:rPr>
        <w:t xml:space="preserve">The clinical observation of 55 cases of colorectal cancer was postoperatively assisted in the chemoradio regimen. </w:t>
      </w:r>
      <w:bookmarkEnd w:id="118"/>
      <w:r w:rsidRPr="00E22F6A">
        <w:rPr>
          <w:rFonts w:ascii="Book Antiqua" w:hAnsi="Book Antiqua"/>
          <w:i/>
          <w:iCs/>
          <w:kern w:val="0"/>
          <w:sz w:val="24"/>
          <w:szCs w:val="24"/>
        </w:rPr>
        <w:t>Shaanxi Yixue Zazhi</w:t>
      </w:r>
      <w:r w:rsidRPr="00E22F6A">
        <w:rPr>
          <w:rFonts w:ascii="Book Antiqua" w:hAnsi="Book Antiqua"/>
          <w:kern w:val="0"/>
          <w:sz w:val="24"/>
          <w:szCs w:val="24"/>
        </w:rPr>
        <w:t xml:space="preserve"> 2016; </w:t>
      </w:r>
      <w:r w:rsidRPr="00E22F6A">
        <w:rPr>
          <w:rFonts w:ascii="Book Antiqua" w:hAnsi="Book Antiqua"/>
          <w:b/>
          <w:bCs/>
          <w:kern w:val="0"/>
          <w:sz w:val="24"/>
          <w:szCs w:val="24"/>
        </w:rPr>
        <w:t>45</w:t>
      </w:r>
      <w:r w:rsidRPr="00E22F6A">
        <w:rPr>
          <w:rFonts w:ascii="Book Antiqua" w:hAnsi="Book Antiqua"/>
          <w:kern w:val="0"/>
          <w:sz w:val="24"/>
          <w:szCs w:val="24"/>
        </w:rPr>
        <w:t>: 1507-1509 [DOI: 10.3969/j.issn.1000-7377.2016.11.027]</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24 </w:t>
      </w:r>
      <w:r w:rsidRPr="00E22F6A">
        <w:rPr>
          <w:rFonts w:ascii="Book Antiqua" w:hAnsi="Book Antiqua"/>
          <w:b/>
          <w:bCs/>
          <w:kern w:val="0"/>
          <w:sz w:val="24"/>
          <w:szCs w:val="24"/>
        </w:rPr>
        <w:t>Wang YH</w:t>
      </w:r>
      <w:r w:rsidRPr="00E22F6A">
        <w:rPr>
          <w:rFonts w:ascii="Book Antiqua" w:hAnsi="Book Antiqua"/>
          <w:kern w:val="0"/>
          <w:sz w:val="24"/>
          <w:szCs w:val="24"/>
        </w:rPr>
        <w:t xml:space="preserve">. Capecitabine combined with oxaliplatin in the treatment of advanced colon cance. </w:t>
      </w:r>
      <w:r w:rsidRPr="00E22F6A">
        <w:rPr>
          <w:rFonts w:ascii="Book Antiqua" w:hAnsi="Book Antiqua"/>
          <w:i/>
          <w:iCs/>
          <w:kern w:val="0"/>
          <w:sz w:val="24"/>
          <w:szCs w:val="24"/>
        </w:rPr>
        <w:t>Hainan Yixueyuan Xuebao</w:t>
      </w:r>
      <w:r w:rsidRPr="00E22F6A">
        <w:rPr>
          <w:rFonts w:ascii="Book Antiqua" w:hAnsi="Book Antiqua"/>
          <w:kern w:val="0"/>
          <w:sz w:val="24"/>
          <w:szCs w:val="24"/>
        </w:rPr>
        <w:t xml:space="preserve"> 2011; </w:t>
      </w:r>
      <w:r w:rsidRPr="00E22F6A">
        <w:rPr>
          <w:rFonts w:ascii="Book Antiqua" w:hAnsi="Book Antiqua"/>
          <w:b/>
          <w:bCs/>
          <w:kern w:val="0"/>
          <w:sz w:val="24"/>
          <w:szCs w:val="24"/>
        </w:rPr>
        <w:t>4</w:t>
      </w:r>
      <w:r w:rsidRPr="00E22F6A">
        <w:rPr>
          <w:rFonts w:ascii="Book Antiqua" w:hAnsi="Book Antiqua"/>
          <w:kern w:val="0"/>
          <w:sz w:val="24"/>
          <w:szCs w:val="24"/>
        </w:rPr>
        <w:t>: 506-507 [DOI: 10.3969/j.issn.1673-5552.2010.05.0043]</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25 </w:t>
      </w:r>
      <w:r w:rsidRPr="00E22F6A">
        <w:rPr>
          <w:rFonts w:ascii="Book Antiqua" w:hAnsi="Book Antiqua"/>
          <w:b/>
          <w:kern w:val="0"/>
          <w:sz w:val="24"/>
          <w:szCs w:val="24"/>
        </w:rPr>
        <w:t>Lund CM</w:t>
      </w:r>
      <w:r w:rsidRPr="00E22F6A">
        <w:rPr>
          <w:rFonts w:ascii="Book Antiqua" w:hAnsi="Book Antiqua"/>
          <w:kern w:val="0"/>
          <w:sz w:val="24"/>
          <w:szCs w:val="24"/>
        </w:rPr>
        <w:t xml:space="preserve">, Nielsen D, Dehlendorff C, Christiansen AB, Rønholt F, Johansen JS, Vistisen KK. Efficacy and toxicity of adjuvant chemotherapy in elderly patients with colorectal cancer: the ACCORE study. </w:t>
      </w:r>
      <w:r w:rsidRPr="00E22F6A">
        <w:rPr>
          <w:rFonts w:ascii="Book Antiqua" w:hAnsi="Book Antiqua"/>
          <w:i/>
          <w:kern w:val="0"/>
          <w:sz w:val="24"/>
          <w:szCs w:val="24"/>
        </w:rPr>
        <w:t>ESMO Open</w:t>
      </w:r>
      <w:r w:rsidRPr="00E22F6A">
        <w:rPr>
          <w:rFonts w:ascii="Book Antiqua" w:hAnsi="Book Antiqua"/>
          <w:kern w:val="0"/>
          <w:sz w:val="24"/>
          <w:szCs w:val="24"/>
        </w:rPr>
        <w:t xml:space="preserve"> 2016; </w:t>
      </w:r>
      <w:r w:rsidRPr="00E22F6A">
        <w:rPr>
          <w:rFonts w:ascii="Book Antiqua" w:hAnsi="Book Antiqua"/>
          <w:b/>
          <w:kern w:val="0"/>
          <w:sz w:val="24"/>
          <w:szCs w:val="24"/>
        </w:rPr>
        <w:t>1</w:t>
      </w:r>
      <w:r w:rsidRPr="00E22F6A">
        <w:rPr>
          <w:rFonts w:ascii="Book Antiqua" w:hAnsi="Book Antiqua"/>
          <w:kern w:val="0"/>
          <w:sz w:val="24"/>
          <w:szCs w:val="24"/>
        </w:rPr>
        <w:t>: e000087 [PMID: 27900205 DOI: 10.1136/esmoopen-2016-000087]</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26 </w:t>
      </w:r>
      <w:r w:rsidRPr="00E22F6A">
        <w:rPr>
          <w:rFonts w:ascii="Book Antiqua" w:hAnsi="Book Antiqua"/>
          <w:b/>
          <w:kern w:val="0"/>
          <w:sz w:val="24"/>
          <w:szCs w:val="24"/>
        </w:rPr>
        <w:t>Kim JH</w:t>
      </w:r>
      <w:r w:rsidRPr="00E22F6A">
        <w:rPr>
          <w:rFonts w:ascii="Book Antiqua" w:hAnsi="Book Antiqua"/>
          <w:kern w:val="0"/>
          <w:sz w:val="24"/>
          <w:szCs w:val="24"/>
        </w:rPr>
        <w:t xml:space="preserve">, Zang DY, Chung IJ, Cho SH, Park KU, Oh HS, Lee KH, Lee BH, Kim MJ, Park CK, Han B, Kim HS, Choi DR, Song HH, Jung JY. A Muti-center, Randomized Phase II Study of Oxaliplatin and S-1 versus Capecitabine and Oxaliplatin in Patients with Metastatic Colorectal Cancer. </w:t>
      </w:r>
      <w:r w:rsidRPr="00E22F6A">
        <w:rPr>
          <w:rFonts w:ascii="Book Antiqua" w:hAnsi="Book Antiqua"/>
          <w:i/>
          <w:kern w:val="0"/>
          <w:sz w:val="24"/>
          <w:szCs w:val="24"/>
        </w:rPr>
        <w:t>J Cancer</w:t>
      </w:r>
      <w:r w:rsidRPr="00E22F6A">
        <w:rPr>
          <w:rFonts w:ascii="Book Antiqua" w:hAnsi="Book Antiqua"/>
          <w:kern w:val="0"/>
          <w:sz w:val="24"/>
          <w:szCs w:val="24"/>
        </w:rPr>
        <w:t xml:space="preserve"> 2015; </w:t>
      </w:r>
      <w:r w:rsidRPr="00E22F6A">
        <w:rPr>
          <w:rFonts w:ascii="Book Antiqua" w:hAnsi="Book Antiqua"/>
          <w:b/>
          <w:kern w:val="0"/>
          <w:sz w:val="24"/>
          <w:szCs w:val="24"/>
        </w:rPr>
        <w:t>6</w:t>
      </w:r>
      <w:r w:rsidRPr="00E22F6A">
        <w:rPr>
          <w:rFonts w:ascii="Book Antiqua" w:hAnsi="Book Antiqua"/>
          <w:kern w:val="0"/>
          <w:sz w:val="24"/>
          <w:szCs w:val="24"/>
        </w:rPr>
        <w:t>: 1041-1048 [PMID: 26366218 DOI: 10.7150/jca.12819]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27 </w:t>
      </w:r>
      <w:r w:rsidRPr="00E22F6A">
        <w:rPr>
          <w:rFonts w:ascii="Book Antiqua" w:hAnsi="Book Antiqua"/>
          <w:b/>
          <w:kern w:val="0"/>
          <w:sz w:val="24"/>
          <w:szCs w:val="24"/>
        </w:rPr>
        <w:t>Hoeben KW</w:t>
      </w:r>
      <w:r w:rsidRPr="00E22F6A">
        <w:rPr>
          <w:rFonts w:ascii="Book Antiqua" w:hAnsi="Book Antiqua"/>
          <w:kern w:val="0"/>
          <w:sz w:val="24"/>
          <w:szCs w:val="24"/>
        </w:rPr>
        <w:t xml:space="preserve">, van Steenbergen LN, van de Wouw AJ, Rutten HJ, van Spronsen DJ, Janssen-Heijnen ML. Treatment and complications in elderly stage III colon cancer patients in the Netherlands. </w:t>
      </w:r>
      <w:r w:rsidRPr="00E22F6A">
        <w:rPr>
          <w:rFonts w:ascii="Book Antiqua" w:hAnsi="Book Antiqua"/>
          <w:i/>
          <w:kern w:val="0"/>
          <w:sz w:val="24"/>
          <w:szCs w:val="24"/>
        </w:rPr>
        <w:t>Ann Oncol</w:t>
      </w:r>
      <w:r w:rsidRPr="00E22F6A">
        <w:rPr>
          <w:rFonts w:ascii="Book Antiqua" w:hAnsi="Book Antiqua"/>
          <w:kern w:val="0"/>
          <w:sz w:val="24"/>
          <w:szCs w:val="24"/>
        </w:rPr>
        <w:t xml:space="preserve"> 2013; </w:t>
      </w:r>
      <w:r w:rsidRPr="00E22F6A">
        <w:rPr>
          <w:rFonts w:ascii="Book Antiqua" w:hAnsi="Book Antiqua"/>
          <w:b/>
          <w:kern w:val="0"/>
          <w:sz w:val="24"/>
          <w:szCs w:val="24"/>
        </w:rPr>
        <w:t>24</w:t>
      </w:r>
      <w:r w:rsidRPr="00E22F6A">
        <w:rPr>
          <w:rFonts w:ascii="Book Antiqua" w:hAnsi="Book Antiqua"/>
          <w:kern w:val="0"/>
          <w:sz w:val="24"/>
          <w:szCs w:val="24"/>
        </w:rPr>
        <w:t>: 974-979 [PMID: 23136227 DOI: 10.1093/annonc/mds576]</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28 </w:t>
      </w:r>
      <w:r w:rsidRPr="00E22F6A">
        <w:rPr>
          <w:rFonts w:ascii="Book Antiqua" w:hAnsi="Book Antiqua"/>
          <w:b/>
          <w:kern w:val="0"/>
          <w:sz w:val="24"/>
          <w:szCs w:val="24"/>
        </w:rPr>
        <w:t>Kim CA</w:t>
      </w:r>
      <w:r w:rsidRPr="00E22F6A">
        <w:rPr>
          <w:rFonts w:ascii="Book Antiqua" w:hAnsi="Book Antiqua"/>
          <w:kern w:val="0"/>
          <w:sz w:val="24"/>
          <w:szCs w:val="24"/>
        </w:rPr>
        <w:t xml:space="preserve">, Spratlin JL, Armstrong DE, Ghosh S, Mulder KE. Efficacy and safety of single agent or combination adjuvant chemotherapy in elderly patients with colon cancer: a Canadian cancer institute experience. </w:t>
      </w:r>
      <w:r w:rsidRPr="00E22F6A">
        <w:rPr>
          <w:rFonts w:ascii="Book Antiqua" w:hAnsi="Book Antiqua"/>
          <w:i/>
          <w:kern w:val="0"/>
          <w:sz w:val="24"/>
          <w:szCs w:val="24"/>
        </w:rPr>
        <w:t>Clin Colorectal Cancer</w:t>
      </w:r>
      <w:r w:rsidRPr="00E22F6A">
        <w:rPr>
          <w:rFonts w:ascii="Book Antiqua" w:hAnsi="Book Antiqua"/>
          <w:kern w:val="0"/>
          <w:sz w:val="24"/>
          <w:szCs w:val="24"/>
        </w:rPr>
        <w:t xml:space="preserve"> 2014; </w:t>
      </w:r>
      <w:r w:rsidRPr="00E22F6A">
        <w:rPr>
          <w:rFonts w:ascii="Book Antiqua" w:hAnsi="Book Antiqua"/>
          <w:b/>
          <w:kern w:val="0"/>
          <w:sz w:val="24"/>
          <w:szCs w:val="24"/>
        </w:rPr>
        <w:t>13</w:t>
      </w:r>
      <w:r w:rsidRPr="00E22F6A">
        <w:rPr>
          <w:rFonts w:ascii="Book Antiqua" w:hAnsi="Book Antiqua"/>
          <w:kern w:val="0"/>
          <w:sz w:val="24"/>
          <w:szCs w:val="24"/>
        </w:rPr>
        <w:t>: 199-206 [PMID: 25088184 DOI: 10.1016/j.clcc.2014.06.002]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29 </w:t>
      </w:r>
      <w:r w:rsidRPr="00E22F6A">
        <w:rPr>
          <w:rFonts w:ascii="Book Antiqua" w:hAnsi="Book Antiqua"/>
          <w:b/>
          <w:kern w:val="0"/>
          <w:sz w:val="24"/>
          <w:szCs w:val="24"/>
        </w:rPr>
        <w:t>McCleary NJ</w:t>
      </w:r>
      <w:r w:rsidRPr="00E22F6A">
        <w:rPr>
          <w:rFonts w:ascii="Book Antiqua" w:hAnsi="Book Antiqua"/>
          <w:kern w:val="0"/>
          <w:sz w:val="24"/>
          <w:szCs w:val="24"/>
        </w:rPr>
        <w:t xml:space="preserve">, Meyerhardt JA, Green E, Yothers G, de Gramont A, Van Cutsem E, O'Connell M, Twelves CJ, Saltz LB, Haller DG, Sargent DJ. Impact of age on the efficacy of newer adjuvant therapies in patients with stage II/III colon cancer: findings from the ACCENT database. </w:t>
      </w:r>
      <w:r w:rsidRPr="00E22F6A">
        <w:rPr>
          <w:rFonts w:ascii="Book Antiqua" w:hAnsi="Book Antiqua"/>
          <w:i/>
          <w:kern w:val="0"/>
          <w:sz w:val="24"/>
          <w:szCs w:val="24"/>
        </w:rPr>
        <w:t>J Clin Oncol</w:t>
      </w:r>
      <w:r w:rsidRPr="00E22F6A">
        <w:rPr>
          <w:rFonts w:ascii="Book Antiqua" w:hAnsi="Book Antiqua"/>
          <w:kern w:val="0"/>
          <w:sz w:val="24"/>
          <w:szCs w:val="24"/>
        </w:rPr>
        <w:t xml:space="preserve"> 2013; </w:t>
      </w:r>
      <w:r w:rsidRPr="00E22F6A">
        <w:rPr>
          <w:rFonts w:ascii="Book Antiqua" w:hAnsi="Book Antiqua"/>
          <w:b/>
          <w:kern w:val="0"/>
          <w:sz w:val="24"/>
          <w:szCs w:val="24"/>
        </w:rPr>
        <w:t>31</w:t>
      </w:r>
      <w:r w:rsidRPr="00E22F6A">
        <w:rPr>
          <w:rFonts w:ascii="Book Antiqua" w:hAnsi="Book Antiqua"/>
          <w:kern w:val="0"/>
          <w:sz w:val="24"/>
          <w:szCs w:val="24"/>
        </w:rPr>
        <w:t>: 2600-2606 [PMID: 23733765 DOI: 10.1200/JCO.2013.49.6638]</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30 </w:t>
      </w:r>
      <w:r w:rsidRPr="00E22F6A">
        <w:rPr>
          <w:rFonts w:ascii="Book Antiqua" w:hAnsi="Book Antiqua"/>
          <w:b/>
          <w:kern w:val="0"/>
          <w:sz w:val="24"/>
          <w:szCs w:val="24"/>
        </w:rPr>
        <w:t>Accordino MK</w:t>
      </w:r>
      <w:r w:rsidRPr="00E22F6A">
        <w:rPr>
          <w:rFonts w:ascii="Book Antiqua" w:hAnsi="Book Antiqua"/>
          <w:kern w:val="0"/>
          <w:sz w:val="24"/>
          <w:szCs w:val="24"/>
        </w:rPr>
        <w:t xml:space="preserve">, Neugut AI, Hershman DL. Cardiac effects of anticancer therapy in the elderly. </w:t>
      </w:r>
      <w:r w:rsidRPr="00E22F6A">
        <w:rPr>
          <w:rFonts w:ascii="Book Antiqua" w:hAnsi="Book Antiqua"/>
          <w:i/>
          <w:kern w:val="0"/>
          <w:sz w:val="24"/>
          <w:szCs w:val="24"/>
        </w:rPr>
        <w:t>J Clin Oncol</w:t>
      </w:r>
      <w:r w:rsidRPr="00E22F6A">
        <w:rPr>
          <w:rFonts w:ascii="Book Antiqua" w:hAnsi="Book Antiqua"/>
          <w:kern w:val="0"/>
          <w:sz w:val="24"/>
          <w:szCs w:val="24"/>
        </w:rPr>
        <w:t xml:space="preserve"> 2014; </w:t>
      </w:r>
      <w:r w:rsidRPr="00E22F6A">
        <w:rPr>
          <w:rFonts w:ascii="Book Antiqua" w:hAnsi="Book Antiqua"/>
          <w:b/>
          <w:kern w:val="0"/>
          <w:sz w:val="24"/>
          <w:szCs w:val="24"/>
        </w:rPr>
        <w:t>32</w:t>
      </w:r>
      <w:r w:rsidRPr="00E22F6A">
        <w:rPr>
          <w:rFonts w:ascii="Book Antiqua" w:hAnsi="Book Antiqua"/>
          <w:kern w:val="0"/>
          <w:sz w:val="24"/>
          <w:szCs w:val="24"/>
        </w:rPr>
        <w:t>: 2654-2661 [PMID: 25071122 DOI: 10.1200/JCO.2013.55.0459]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31 </w:t>
      </w:r>
      <w:r w:rsidRPr="00E22F6A">
        <w:rPr>
          <w:rFonts w:ascii="Book Antiqua" w:hAnsi="Book Antiqua"/>
          <w:b/>
          <w:kern w:val="0"/>
          <w:sz w:val="24"/>
          <w:szCs w:val="24"/>
        </w:rPr>
        <w:t>Papamichael D,</w:t>
      </w:r>
      <w:r w:rsidRPr="00E22F6A">
        <w:rPr>
          <w:rFonts w:ascii="Book Antiqua" w:hAnsi="Book Antiqua"/>
          <w:kern w:val="0"/>
          <w:sz w:val="24"/>
          <w:szCs w:val="24"/>
        </w:rPr>
        <w:t xml:space="preserve"> Audisio RA, Glimelius B, de Gramont A, Glynne-Jones R, Haller D, K</w:t>
      </w:r>
      <w:r w:rsidRPr="00E22F6A">
        <w:rPr>
          <w:rFonts w:ascii="Book Antiqua" w:hAnsi="Book Antiqua"/>
          <w:b/>
          <w:bCs/>
          <w:kern w:val="0"/>
          <w:sz w:val="24"/>
          <w:szCs w:val="24"/>
        </w:rPr>
        <w:t>ö</w:t>
      </w:r>
      <w:r w:rsidRPr="00E22F6A">
        <w:rPr>
          <w:rFonts w:ascii="Book Antiqua" w:hAnsi="Book Antiqua"/>
          <w:kern w:val="0"/>
          <w:sz w:val="24"/>
          <w:szCs w:val="24"/>
        </w:rPr>
        <w:t xml:space="preserve">hne CH, Rostoft S, Lemmens V, Mitry E, Rutten H, Sargent D, Sastre J, Seymour M, Starling N, Van Cutsem E, Aapro M. Treatment of colorectal cancer in older patients: International Society of Geriatric Oncology (SIOG) consensus recommendations 2013. </w:t>
      </w:r>
      <w:r w:rsidRPr="00E22F6A">
        <w:rPr>
          <w:rFonts w:ascii="Book Antiqua" w:hAnsi="Book Antiqua"/>
          <w:i/>
          <w:iCs/>
          <w:kern w:val="0"/>
          <w:sz w:val="24"/>
          <w:szCs w:val="24"/>
        </w:rPr>
        <w:t xml:space="preserve">Ann Oncol </w:t>
      </w:r>
      <w:r w:rsidRPr="00E22F6A">
        <w:rPr>
          <w:rFonts w:ascii="Book Antiqua" w:hAnsi="Book Antiqua"/>
          <w:kern w:val="0"/>
          <w:sz w:val="24"/>
          <w:szCs w:val="24"/>
        </w:rPr>
        <w:t xml:space="preserve">2015; </w:t>
      </w:r>
      <w:r w:rsidRPr="00E22F6A">
        <w:rPr>
          <w:rFonts w:ascii="Book Antiqua" w:hAnsi="Book Antiqua"/>
          <w:b/>
          <w:kern w:val="0"/>
          <w:sz w:val="24"/>
          <w:szCs w:val="24"/>
        </w:rPr>
        <w:t>26</w:t>
      </w:r>
      <w:r w:rsidRPr="00E22F6A">
        <w:rPr>
          <w:rFonts w:ascii="Book Antiqua" w:hAnsi="Book Antiqua"/>
          <w:kern w:val="0"/>
          <w:sz w:val="24"/>
          <w:szCs w:val="24"/>
        </w:rPr>
        <w:t>:463-476 [PMID: 25015334 DOI: 10.1093/annonc/mdu253]</w:t>
      </w:r>
    </w:p>
    <w:p w:rsidR="00866FCC" w:rsidRPr="00E22F6A" w:rsidRDefault="00866FCC">
      <w:pPr>
        <w:snapToGrid w:val="0"/>
        <w:spacing w:line="360" w:lineRule="auto"/>
        <w:rPr>
          <w:rFonts w:ascii="Book Antiqua" w:hAnsi="Book Antiqua"/>
          <w:kern w:val="0"/>
          <w:sz w:val="24"/>
          <w:szCs w:val="24"/>
        </w:rPr>
      </w:pPr>
      <w:bookmarkStart w:id="119" w:name="OLE_LINK13"/>
      <w:r w:rsidRPr="00E22F6A">
        <w:rPr>
          <w:rFonts w:ascii="Book Antiqua" w:hAnsi="Book Antiqua"/>
          <w:kern w:val="0"/>
          <w:sz w:val="24"/>
          <w:szCs w:val="24"/>
        </w:rPr>
        <w:t xml:space="preserve">32 </w:t>
      </w:r>
      <w:r w:rsidRPr="00E22F6A">
        <w:rPr>
          <w:rFonts w:ascii="Book Antiqua" w:hAnsi="Book Antiqua"/>
          <w:b/>
          <w:kern w:val="0"/>
          <w:sz w:val="24"/>
          <w:szCs w:val="24"/>
        </w:rPr>
        <w:t>Li Q,</w:t>
      </w:r>
      <w:r w:rsidRPr="00E22F6A">
        <w:rPr>
          <w:rFonts w:ascii="Book Antiqua" w:hAnsi="Book Antiqua"/>
          <w:kern w:val="0"/>
          <w:sz w:val="24"/>
          <w:szCs w:val="24"/>
        </w:rPr>
        <w:t xml:space="preserve"> Gan L, Liang L, Li X, Cai S. The influence of marital status on stage at diagnosis and survival of patients with colorectal cancer. </w:t>
      </w:r>
      <w:r w:rsidRPr="00E22F6A">
        <w:rPr>
          <w:rFonts w:ascii="Book Antiqua" w:hAnsi="Book Antiqua"/>
          <w:i/>
          <w:iCs/>
          <w:kern w:val="0"/>
          <w:sz w:val="24"/>
          <w:szCs w:val="24"/>
        </w:rPr>
        <w:t>Oncotarget</w:t>
      </w:r>
      <w:r w:rsidRPr="00E22F6A">
        <w:rPr>
          <w:rFonts w:ascii="Book Antiqua" w:hAnsi="Book Antiqua"/>
          <w:kern w:val="0"/>
          <w:sz w:val="24"/>
          <w:szCs w:val="24"/>
        </w:rPr>
        <w:t xml:space="preserve"> 2015; </w:t>
      </w:r>
      <w:r w:rsidRPr="00E22F6A">
        <w:rPr>
          <w:rFonts w:ascii="Book Antiqua" w:hAnsi="Book Antiqua"/>
          <w:b/>
          <w:kern w:val="0"/>
          <w:sz w:val="24"/>
          <w:szCs w:val="24"/>
        </w:rPr>
        <w:t>6</w:t>
      </w:r>
      <w:r w:rsidRPr="00E22F6A">
        <w:rPr>
          <w:rFonts w:ascii="Book Antiqua" w:hAnsi="Book Antiqua"/>
          <w:kern w:val="0"/>
          <w:sz w:val="24"/>
          <w:szCs w:val="24"/>
        </w:rPr>
        <w:t>: 7339-7347 [DOI: 10.18632/oncotarget.3129]</w:t>
      </w:r>
    </w:p>
    <w:bookmarkEnd w:id="119"/>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33 </w:t>
      </w:r>
      <w:r w:rsidRPr="00E22F6A">
        <w:rPr>
          <w:rFonts w:ascii="Book Antiqua" w:hAnsi="Book Antiqua"/>
          <w:b/>
          <w:kern w:val="0"/>
          <w:sz w:val="24"/>
          <w:szCs w:val="24"/>
        </w:rPr>
        <w:t>Aizer AA</w:t>
      </w:r>
      <w:r w:rsidRPr="00E22F6A">
        <w:rPr>
          <w:rFonts w:ascii="Book Antiqua" w:hAnsi="Book Antiqua"/>
          <w:kern w:val="0"/>
          <w:sz w:val="24"/>
          <w:szCs w:val="24"/>
        </w:rPr>
        <w:t xml:space="preserve">, Chen MH, McCarthy EP, Mendu ML, Koo S, Wilhite TJ, Graham PL, Choueiri TK, Hoffman KE, Martin NE, Hu JC, Nguyen PL. Marital status and survival in patients with cancer. </w:t>
      </w:r>
      <w:r w:rsidRPr="00E22F6A">
        <w:rPr>
          <w:rFonts w:ascii="Book Antiqua" w:hAnsi="Book Antiqua"/>
          <w:i/>
          <w:kern w:val="0"/>
          <w:sz w:val="24"/>
          <w:szCs w:val="24"/>
        </w:rPr>
        <w:t>J Clin Oncol</w:t>
      </w:r>
      <w:r w:rsidRPr="00E22F6A">
        <w:rPr>
          <w:rFonts w:ascii="Book Antiqua" w:hAnsi="Book Antiqua"/>
          <w:kern w:val="0"/>
          <w:sz w:val="24"/>
          <w:szCs w:val="24"/>
        </w:rPr>
        <w:t xml:space="preserve"> 2013; </w:t>
      </w:r>
      <w:r w:rsidRPr="00E22F6A">
        <w:rPr>
          <w:rFonts w:ascii="Book Antiqua" w:hAnsi="Book Antiqua"/>
          <w:b/>
          <w:kern w:val="0"/>
          <w:sz w:val="24"/>
          <w:szCs w:val="24"/>
        </w:rPr>
        <w:t>31</w:t>
      </w:r>
      <w:r w:rsidRPr="00E22F6A">
        <w:rPr>
          <w:rFonts w:ascii="Book Antiqua" w:hAnsi="Book Antiqua"/>
          <w:kern w:val="0"/>
          <w:sz w:val="24"/>
          <w:szCs w:val="24"/>
        </w:rPr>
        <w:t>: 3869-3876 [PMID: 24062405 DOI: 10.1200/JCO.2013.49.6489]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34 </w:t>
      </w:r>
      <w:r w:rsidRPr="00E22F6A">
        <w:rPr>
          <w:rFonts w:ascii="Book Antiqua" w:hAnsi="Book Antiqua"/>
          <w:b/>
          <w:kern w:val="0"/>
          <w:sz w:val="24"/>
          <w:szCs w:val="24"/>
        </w:rPr>
        <w:t>Gajra A</w:t>
      </w:r>
      <w:r w:rsidRPr="00E22F6A">
        <w:rPr>
          <w:rFonts w:ascii="Book Antiqua" w:hAnsi="Book Antiqua"/>
          <w:kern w:val="0"/>
          <w:sz w:val="24"/>
          <w:szCs w:val="24"/>
        </w:rPr>
        <w:t xml:space="preserve">, Klepin HD, Feng T, Tew WP, Mohile SG, Owusu C, Gross CP, Lichtman SM, Wildes TM, Chapman AE, Dotan E, Katheria V, Zavala L, Akiba C, Hurria A; Cancer and Aging Research Group (CARG). Predictors of chemotherapy dose reduction at first cycle in patients age 65 years and older with solid tumors. </w:t>
      </w:r>
      <w:r w:rsidRPr="00E22F6A">
        <w:rPr>
          <w:rFonts w:ascii="Book Antiqua" w:hAnsi="Book Antiqua"/>
          <w:i/>
          <w:kern w:val="0"/>
          <w:sz w:val="24"/>
          <w:szCs w:val="24"/>
        </w:rPr>
        <w:t>J Geriatr Oncol</w:t>
      </w:r>
      <w:r w:rsidRPr="00E22F6A">
        <w:rPr>
          <w:rFonts w:ascii="Book Antiqua" w:hAnsi="Book Antiqua"/>
          <w:kern w:val="0"/>
          <w:sz w:val="24"/>
          <w:szCs w:val="24"/>
        </w:rPr>
        <w:t xml:space="preserve"> 2015; </w:t>
      </w:r>
      <w:r w:rsidRPr="00E22F6A">
        <w:rPr>
          <w:rFonts w:ascii="Book Antiqua" w:hAnsi="Book Antiqua"/>
          <w:b/>
          <w:kern w:val="0"/>
          <w:sz w:val="24"/>
          <w:szCs w:val="24"/>
        </w:rPr>
        <w:t>6</w:t>
      </w:r>
      <w:r w:rsidRPr="00E22F6A">
        <w:rPr>
          <w:rFonts w:ascii="Book Antiqua" w:hAnsi="Book Antiqua"/>
          <w:kern w:val="0"/>
          <w:sz w:val="24"/>
          <w:szCs w:val="24"/>
        </w:rPr>
        <w:t>: 133-140 [PMID: 25666905 DOI: 10.1016/j.jgo.2014.12.002]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35 </w:t>
      </w:r>
      <w:r w:rsidRPr="00E22F6A">
        <w:rPr>
          <w:rFonts w:ascii="Book Antiqua" w:hAnsi="Book Antiqua"/>
          <w:b/>
          <w:kern w:val="0"/>
          <w:sz w:val="24"/>
          <w:szCs w:val="24"/>
        </w:rPr>
        <w:t>Hermosillo-Rodriguez J</w:t>
      </w:r>
      <w:r w:rsidRPr="00E22F6A">
        <w:rPr>
          <w:rFonts w:ascii="Book Antiqua" w:hAnsi="Book Antiqua"/>
          <w:kern w:val="0"/>
          <w:sz w:val="24"/>
          <w:szCs w:val="24"/>
        </w:rPr>
        <w:t xml:space="preserve">, Anaya DA, Sada Y, Walder A, Amspoker AB, Berger DH, Naik AD. The effect of age and comorbidity on patient-centered health outcomes in patients receiving adjuvant chemotherapy for colon cancer. </w:t>
      </w:r>
      <w:r w:rsidRPr="00E22F6A">
        <w:rPr>
          <w:rFonts w:ascii="Book Antiqua" w:hAnsi="Book Antiqua"/>
          <w:i/>
          <w:kern w:val="0"/>
          <w:sz w:val="24"/>
          <w:szCs w:val="24"/>
        </w:rPr>
        <w:t>J Geriatr Oncol</w:t>
      </w:r>
      <w:r w:rsidRPr="00E22F6A">
        <w:rPr>
          <w:rFonts w:ascii="Book Antiqua" w:hAnsi="Book Antiqua"/>
          <w:kern w:val="0"/>
          <w:sz w:val="24"/>
          <w:szCs w:val="24"/>
        </w:rPr>
        <w:t xml:space="preserve"> 2013; </w:t>
      </w:r>
      <w:r w:rsidRPr="00E22F6A">
        <w:rPr>
          <w:rFonts w:ascii="Book Antiqua" w:hAnsi="Book Antiqua"/>
          <w:b/>
          <w:kern w:val="0"/>
          <w:sz w:val="24"/>
          <w:szCs w:val="24"/>
        </w:rPr>
        <w:t>4</w:t>
      </w:r>
      <w:r w:rsidRPr="00E22F6A">
        <w:rPr>
          <w:rFonts w:ascii="Book Antiqua" w:hAnsi="Book Antiqua"/>
          <w:kern w:val="0"/>
          <w:sz w:val="24"/>
          <w:szCs w:val="24"/>
        </w:rPr>
        <w:t>: 99-106 [PMID: 24071534 DOI: 10.1016/j.jgo.2012.12.004]</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36 </w:t>
      </w:r>
      <w:r w:rsidRPr="00E22F6A">
        <w:rPr>
          <w:rFonts w:ascii="Book Antiqua" w:hAnsi="Book Antiqua"/>
          <w:b/>
          <w:kern w:val="0"/>
          <w:sz w:val="24"/>
          <w:szCs w:val="24"/>
        </w:rPr>
        <w:t>Lonardi S</w:t>
      </w:r>
      <w:r w:rsidRPr="00E22F6A">
        <w:rPr>
          <w:rFonts w:ascii="Book Antiqua" w:hAnsi="Book Antiqua"/>
          <w:kern w:val="0"/>
          <w:sz w:val="24"/>
          <w:szCs w:val="24"/>
        </w:rPr>
        <w:t xml:space="preserve">, Sobrero A, Rosati G, Di Bartolomeo M, Ronzoni M, Aprile G, Massida B, Scartozzi M, Banzi M, Zampino MG, Pasini F, Marchetti P, Cantore M, Zaniboni A, Rimassa L, Ciuffreda L, Ferrari D, Barni S, Zagonel V, Maiello E, Rulli E, Labianca R; TOSCA (Three or Six Colon Adjuvant) Investigators. Phase III trial comparing 3-6 months of adjuvant FOLFOX4/XELOX in stage II-III colon cancer: safety and compliance in the TOSCA trial. </w:t>
      </w:r>
      <w:r w:rsidRPr="00E22F6A">
        <w:rPr>
          <w:rFonts w:ascii="Book Antiqua" w:hAnsi="Book Antiqua"/>
          <w:i/>
          <w:kern w:val="0"/>
          <w:sz w:val="24"/>
          <w:szCs w:val="24"/>
        </w:rPr>
        <w:t>Ann Oncol</w:t>
      </w:r>
      <w:r w:rsidRPr="00E22F6A">
        <w:rPr>
          <w:rFonts w:ascii="Book Antiqua" w:hAnsi="Book Antiqua"/>
          <w:kern w:val="0"/>
          <w:sz w:val="24"/>
          <w:szCs w:val="24"/>
        </w:rPr>
        <w:t xml:space="preserve"> 2016; </w:t>
      </w:r>
      <w:r w:rsidRPr="00E22F6A">
        <w:rPr>
          <w:rFonts w:ascii="Book Antiqua" w:hAnsi="Book Antiqua"/>
          <w:b/>
          <w:kern w:val="0"/>
          <w:sz w:val="24"/>
          <w:szCs w:val="24"/>
        </w:rPr>
        <w:t>27</w:t>
      </w:r>
      <w:r w:rsidRPr="00E22F6A">
        <w:rPr>
          <w:rFonts w:ascii="Book Antiqua" w:hAnsi="Book Antiqua"/>
          <w:kern w:val="0"/>
          <w:sz w:val="24"/>
          <w:szCs w:val="24"/>
        </w:rPr>
        <w:t>: 2074-2081 [PMID: 27573560 DOI: 10.1093/annonc/mdw404]</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37 </w:t>
      </w:r>
      <w:r w:rsidRPr="00E22F6A">
        <w:rPr>
          <w:rFonts w:ascii="Book Antiqua" w:hAnsi="Book Antiqua"/>
          <w:b/>
          <w:kern w:val="0"/>
          <w:sz w:val="24"/>
          <w:szCs w:val="24"/>
        </w:rPr>
        <w:t>Sinicrope FA</w:t>
      </w:r>
      <w:r w:rsidRPr="00E22F6A">
        <w:rPr>
          <w:rFonts w:ascii="Book Antiqua" w:hAnsi="Book Antiqua"/>
          <w:kern w:val="0"/>
          <w:sz w:val="24"/>
          <w:szCs w:val="24"/>
        </w:rPr>
        <w:t xml:space="preserve">, Shi Q, Smyrk TC, Thibodeau SN, Dienstmann R, Guinney J, Bot BM, Tejpar S, Delorenzi M, Goldberg RM, Mahoney M, Sargent DJ, Alberts SR. Molecular markers identify subtypes of stage III colon cancer associated with patient outcomes. </w:t>
      </w:r>
      <w:r w:rsidRPr="00E22F6A">
        <w:rPr>
          <w:rFonts w:ascii="Book Antiqua" w:hAnsi="Book Antiqua"/>
          <w:i/>
          <w:kern w:val="0"/>
          <w:sz w:val="24"/>
          <w:szCs w:val="24"/>
        </w:rPr>
        <w:t>Gastroenterology</w:t>
      </w:r>
      <w:r w:rsidRPr="00E22F6A">
        <w:rPr>
          <w:rFonts w:ascii="Book Antiqua" w:hAnsi="Book Antiqua"/>
          <w:kern w:val="0"/>
          <w:sz w:val="24"/>
          <w:szCs w:val="24"/>
        </w:rPr>
        <w:t xml:space="preserve"> 2015; </w:t>
      </w:r>
      <w:r w:rsidRPr="00E22F6A">
        <w:rPr>
          <w:rFonts w:ascii="Book Antiqua" w:hAnsi="Book Antiqua"/>
          <w:b/>
          <w:kern w:val="0"/>
          <w:sz w:val="24"/>
          <w:szCs w:val="24"/>
        </w:rPr>
        <w:t>148</w:t>
      </w:r>
      <w:r w:rsidRPr="00E22F6A">
        <w:rPr>
          <w:rFonts w:ascii="Book Antiqua" w:hAnsi="Book Antiqua"/>
          <w:kern w:val="0"/>
          <w:sz w:val="24"/>
          <w:szCs w:val="24"/>
        </w:rPr>
        <w:t>: 88-99 [PMID: 25305506 DOI: 10.1053/j.gastro.2014.09.041]</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38 </w:t>
      </w:r>
      <w:r w:rsidRPr="00E22F6A">
        <w:rPr>
          <w:rFonts w:ascii="Book Antiqua" w:hAnsi="Book Antiqua"/>
          <w:b/>
          <w:kern w:val="0"/>
          <w:sz w:val="24"/>
          <w:szCs w:val="24"/>
        </w:rPr>
        <w:t>Blons H</w:t>
      </w:r>
      <w:r w:rsidRPr="00E22F6A">
        <w:rPr>
          <w:rFonts w:ascii="Book Antiqua" w:hAnsi="Book Antiqua"/>
          <w:kern w:val="0"/>
          <w:sz w:val="24"/>
          <w:szCs w:val="24"/>
        </w:rPr>
        <w:t xml:space="preserve">, Emile JF, Le Malicot K, Julié C, Zaanan A, Tabernero J, Mini E, Folprecht G, Van Laethem JL, Thaler J, Bridgewater J, Nørgård-Petersen L, Van Cutsem E, Lepage C, Zawadi MA, Salazar R, Laurent-Puig P, Taieb J; PETACC-8 Study Investigators. Prognostic value of KRAS mutations in stage III colon cancer: post hoc analysis of the PETACC8 phase III trial dataset. </w:t>
      </w:r>
      <w:r w:rsidRPr="00E22F6A">
        <w:rPr>
          <w:rFonts w:ascii="Book Antiqua" w:hAnsi="Book Antiqua"/>
          <w:i/>
          <w:kern w:val="0"/>
          <w:sz w:val="24"/>
          <w:szCs w:val="24"/>
        </w:rPr>
        <w:t>Ann Oncol</w:t>
      </w:r>
      <w:r w:rsidRPr="00E22F6A">
        <w:rPr>
          <w:rFonts w:ascii="Book Antiqua" w:hAnsi="Book Antiqua"/>
          <w:kern w:val="0"/>
          <w:sz w:val="24"/>
          <w:szCs w:val="24"/>
        </w:rPr>
        <w:t xml:space="preserve"> 2014; </w:t>
      </w:r>
      <w:r w:rsidRPr="00E22F6A">
        <w:rPr>
          <w:rFonts w:ascii="Book Antiqua" w:hAnsi="Book Antiqua"/>
          <w:b/>
          <w:kern w:val="0"/>
          <w:sz w:val="24"/>
          <w:szCs w:val="24"/>
        </w:rPr>
        <w:t>25</w:t>
      </w:r>
      <w:r w:rsidRPr="00E22F6A">
        <w:rPr>
          <w:rFonts w:ascii="Book Antiqua" w:hAnsi="Book Antiqua"/>
          <w:kern w:val="0"/>
          <w:sz w:val="24"/>
          <w:szCs w:val="24"/>
        </w:rPr>
        <w:t>: 2378-2385 [PMID: 25294886 DOI: 10.1093/annonc/mdu464]</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39 </w:t>
      </w:r>
      <w:r w:rsidRPr="00E22F6A">
        <w:rPr>
          <w:rFonts w:ascii="Book Antiqua" w:hAnsi="Book Antiqua"/>
          <w:b/>
          <w:kern w:val="0"/>
          <w:sz w:val="24"/>
          <w:szCs w:val="24"/>
        </w:rPr>
        <w:t>Kawakami K</w:t>
      </w:r>
      <w:r w:rsidRPr="00E22F6A">
        <w:rPr>
          <w:rFonts w:ascii="Book Antiqua" w:hAnsi="Book Antiqua"/>
          <w:kern w:val="0"/>
          <w:sz w:val="24"/>
          <w:szCs w:val="24"/>
        </w:rPr>
        <w:t xml:space="preserve">, Nakamoto E, Yokokawa T, Sugita K, Mae Y, Hagino A, Suenaga M, Mizunuma N, Oniyama S, Machida Y, Yamaguchi T, Hama T. Patients' self-reported adherence to capecitabine on XELOX treatment in metastatic colorectal cancer: findings from a retrospective cohort analysis. </w:t>
      </w:r>
      <w:r w:rsidRPr="00E22F6A">
        <w:rPr>
          <w:rFonts w:ascii="Book Antiqua" w:hAnsi="Book Antiqua"/>
          <w:i/>
          <w:kern w:val="0"/>
          <w:sz w:val="24"/>
          <w:szCs w:val="24"/>
        </w:rPr>
        <w:t>Patient Prefer Adherence</w:t>
      </w:r>
      <w:r w:rsidRPr="00E22F6A">
        <w:rPr>
          <w:rFonts w:ascii="Book Antiqua" w:hAnsi="Book Antiqua"/>
          <w:kern w:val="0"/>
          <w:sz w:val="24"/>
          <w:szCs w:val="24"/>
        </w:rPr>
        <w:t xml:space="preserve"> 2015; </w:t>
      </w:r>
      <w:r w:rsidRPr="00E22F6A">
        <w:rPr>
          <w:rFonts w:ascii="Book Antiqua" w:hAnsi="Book Antiqua"/>
          <w:b/>
          <w:kern w:val="0"/>
          <w:sz w:val="24"/>
          <w:szCs w:val="24"/>
        </w:rPr>
        <w:t>9</w:t>
      </w:r>
      <w:r w:rsidRPr="00E22F6A">
        <w:rPr>
          <w:rFonts w:ascii="Book Antiqua" w:hAnsi="Book Antiqua"/>
          <w:kern w:val="0"/>
          <w:sz w:val="24"/>
          <w:szCs w:val="24"/>
        </w:rPr>
        <w:t>: 561-567 [PMID: 25914526 DOI: 10.2147/PPA.S80327]</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40 </w:t>
      </w:r>
      <w:r w:rsidRPr="00E22F6A">
        <w:rPr>
          <w:rFonts w:ascii="Book Antiqua" w:hAnsi="Book Antiqua"/>
          <w:b/>
          <w:kern w:val="0"/>
          <w:sz w:val="24"/>
          <w:szCs w:val="24"/>
        </w:rPr>
        <w:t>Klein CE</w:t>
      </w:r>
      <w:r w:rsidRPr="00E22F6A">
        <w:rPr>
          <w:rFonts w:ascii="Book Antiqua" w:hAnsi="Book Antiqua"/>
          <w:kern w:val="0"/>
          <w:sz w:val="24"/>
          <w:szCs w:val="24"/>
        </w:rPr>
        <w:t xml:space="preserve">, Kastrissios H, Miller AA, Hollis D, Yu D, Rosner GL, Grinblatt DL, Larson RA, Ratain MJ. Pharmacokinetics, pharmacodynamics and adherence to oral topotecan in myelodysplastic syndromes: a Cancer and Leukemia Group B study. </w:t>
      </w:r>
      <w:r w:rsidRPr="00E22F6A">
        <w:rPr>
          <w:rFonts w:ascii="Book Antiqua" w:hAnsi="Book Antiqua"/>
          <w:i/>
          <w:kern w:val="0"/>
          <w:sz w:val="24"/>
          <w:szCs w:val="24"/>
        </w:rPr>
        <w:t>Cancer Chemother Pharmacol</w:t>
      </w:r>
      <w:r w:rsidRPr="00E22F6A">
        <w:rPr>
          <w:rFonts w:ascii="Book Antiqua" w:hAnsi="Book Antiqua"/>
          <w:kern w:val="0"/>
          <w:sz w:val="24"/>
          <w:szCs w:val="24"/>
        </w:rPr>
        <w:t xml:space="preserve"> 2006; </w:t>
      </w:r>
      <w:r w:rsidRPr="00E22F6A">
        <w:rPr>
          <w:rFonts w:ascii="Book Antiqua" w:hAnsi="Book Antiqua"/>
          <w:b/>
          <w:kern w:val="0"/>
          <w:sz w:val="24"/>
          <w:szCs w:val="24"/>
        </w:rPr>
        <w:t>57</w:t>
      </w:r>
      <w:r w:rsidRPr="00E22F6A">
        <w:rPr>
          <w:rFonts w:ascii="Book Antiqua" w:hAnsi="Book Antiqua"/>
          <w:kern w:val="0"/>
          <w:sz w:val="24"/>
          <w:szCs w:val="24"/>
        </w:rPr>
        <w:t>: 199-206 [PMID: 16158312 DOI: 10.1007/s00280-005-0023-6]</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41 </w:t>
      </w:r>
      <w:r w:rsidRPr="00E22F6A">
        <w:rPr>
          <w:rFonts w:ascii="Book Antiqua" w:hAnsi="Book Antiqua"/>
          <w:b/>
          <w:kern w:val="0"/>
          <w:sz w:val="24"/>
          <w:szCs w:val="24"/>
        </w:rPr>
        <w:t>Waterhouse DM</w:t>
      </w:r>
      <w:r w:rsidRPr="00E22F6A">
        <w:rPr>
          <w:rFonts w:ascii="Book Antiqua" w:hAnsi="Book Antiqua"/>
          <w:kern w:val="0"/>
          <w:sz w:val="24"/>
          <w:szCs w:val="24"/>
        </w:rPr>
        <w:t xml:space="preserve">, Calzone KA, Mele C, Brenner DE. Adherence to oral tamoxifen: a comparison of patient self-report, pill counts, and microelectronic monitoring. </w:t>
      </w:r>
      <w:r w:rsidRPr="00E22F6A">
        <w:rPr>
          <w:rFonts w:ascii="Book Antiqua" w:hAnsi="Book Antiqua"/>
          <w:i/>
          <w:kern w:val="0"/>
          <w:sz w:val="24"/>
          <w:szCs w:val="24"/>
        </w:rPr>
        <w:t>J Clin Oncol</w:t>
      </w:r>
      <w:r w:rsidRPr="00E22F6A">
        <w:rPr>
          <w:rFonts w:ascii="Book Antiqua" w:hAnsi="Book Antiqua"/>
          <w:kern w:val="0"/>
          <w:sz w:val="24"/>
          <w:szCs w:val="24"/>
        </w:rPr>
        <w:t xml:space="preserve"> 1993; </w:t>
      </w:r>
      <w:r w:rsidRPr="00E22F6A">
        <w:rPr>
          <w:rFonts w:ascii="Book Antiqua" w:hAnsi="Book Antiqua"/>
          <w:b/>
          <w:kern w:val="0"/>
          <w:sz w:val="24"/>
          <w:szCs w:val="24"/>
        </w:rPr>
        <w:t>11</w:t>
      </w:r>
      <w:r w:rsidRPr="00E22F6A">
        <w:rPr>
          <w:rFonts w:ascii="Book Antiqua" w:hAnsi="Book Antiqua"/>
          <w:kern w:val="0"/>
          <w:sz w:val="24"/>
          <w:szCs w:val="24"/>
        </w:rPr>
        <w:t>: 1189-1197 [PMID: 8501505 DOI: 10.1200/JCO.1993.11.6.1189]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42 </w:t>
      </w:r>
      <w:r w:rsidRPr="00E22F6A">
        <w:rPr>
          <w:rFonts w:ascii="Book Antiqua" w:hAnsi="Book Antiqua"/>
          <w:b/>
          <w:kern w:val="0"/>
          <w:sz w:val="24"/>
          <w:szCs w:val="24"/>
        </w:rPr>
        <w:t>Ruddy K</w:t>
      </w:r>
      <w:r w:rsidRPr="00E22F6A">
        <w:rPr>
          <w:rFonts w:ascii="Book Antiqua" w:hAnsi="Book Antiqua"/>
          <w:kern w:val="0"/>
          <w:sz w:val="24"/>
          <w:szCs w:val="24"/>
        </w:rPr>
        <w:t xml:space="preserve">, Mayer E, Partridge A. Patient adherence and persistence with oral anticancer treatment. </w:t>
      </w:r>
      <w:r w:rsidRPr="00E22F6A">
        <w:rPr>
          <w:rFonts w:ascii="Book Antiqua" w:hAnsi="Book Antiqua"/>
          <w:i/>
          <w:kern w:val="0"/>
          <w:sz w:val="24"/>
          <w:szCs w:val="24"/>
        </w:rPr>
        <w:t>CA Cancer J Clin</w:t>
      </w:r>
      <w:r w:rsidRPr="00E22F6A">
        <w:rPr>
          <w:rFonts w:ascii="Book Antiqua" w:hAnsi="Book Antiqua"/>
          <w:kern w:val="0"/>
          <w:sz w:val="24"/>
          <w:szCs w:val="24"/>
        </w:rPr>
        <w:t xml:space="preserve"> 2009; </w:t>
      </w:r>
      <w:r w:rsidRPr="00E22F6A">
        <w:rPr>
          <w:rFonts w:ascii="Book Antiqua" w:hAnsi="Book Antiqua"/>
          <w:b/>
          <w:kern w:val="0"/>
          <w:sz w:val="24"/>
          <w:szCs w:val="24"/>
        </w:rPr>
        <w:t>59</w:t>
      </w:r>
      <w:r w:rsidRPr="00E22F6A">
        <w:rPr>
          <w:rFonts w:ascii="Book Antiqua" w:hAnsi="Book Antiqua"/>
          <w:kern w:val="0"/>
          <w:sz w:val="24"/>
          <w:szCs w:val="24"/>
        </w:rPr>
        <w:t>: 56-66 [PMID: 19147869 DOI: 10.3322/caac.20004]</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43 </w:t>
      </w:r>
      <w:r w:rsidRPr="00E22F6A">
        <w:rPr>
          <w:rFonts w:ascii="Book Antiqua" w:hAnsi="Book Antiqua"/>
          <w:b/>
          <w:kern w:val="0"/>
          <w:sz w:val="24"/>
          <w:szCs w:val="24"/>
        </w:rPr>
        <w:t>Liedholm H</w:t>
      </w:r>
      <w:r w:rsidRPr="00E22F6A">
        <w:rPr>
          <w:rFonts w:ascii="Book Antiqua" w:hAnsi="Book Antiqua"/>
          <w:kern w:val="0"/>
          <w:sz w:val="24"/>
          <w:szCs w:val="24"/>
        </w:rPr>
        <w:t xml:space="preserve">, Gullberg B. Refill adherence to repeat prescriptions of cancer drugs to ambulatory patients. </w:t>
      </w:r>
      <w:r w:rsidRPr="00E22F6A">
        <w:rPr>
          <w:rFonts w:ascii="Book Antiqua" w:hAnsi="Book Antiqua"/>
          <w:i/>
          <w:kern w:val="0"/>
          <w:sz w:val="24"/>
          <w:szCs w:val="24"/>
        </w:rPr>
        <w:t>Eur J Cancer Care (Engl)</w:t>
      </w:r>
      <w:r w:rsidRPr="00E22F6A">
        <w:rPr>
          <w:rFonts w:ascii="Book Antiqua" w:hAnsi="Book Antiqua"/>
          <w:kern w:val="0"/>
          <w:sz w:val="24"/>
          <w:szCs w:val="24"/>
        </w:rPr>
        <w:t xml:space="preserve"> 2007; </w:t>
      </w:r>
      <w:r w:rsidRPr="00E22F6A">
        <w:rPr>
          <w:rFonts w:ascii="Book Antiqua" w:hAnsi="Book Antiqua"/>
          <w:b/>
          <w:kern w:val="0"/>
          <w:sz w:val="24"/>
          <w:szCs w:val="24"/>
        </w:rPr>
        <w:t>16</w:t>
      </w:r>
      <w:r w:rsidRPr="00E22F6A">
        <w:rPr>
          <w:rFonts w:ascii="Book Antiqua" w:hAnsi="Book Antiqua"/>
          <w:kern w:val="0"/>
          <w:sz w:val="24"/>
          <w:szCs w:val="24"/>
        </w:rPr>
        <w:t>: 307-308 [PMID: 17508957 DOI: 10.1111/j.1365-2354.2006.00764.x]</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44 </w:t>
      </w:r>
      <w:r w:rsidRPr="00E22F6A">
        <w:rPr>
          <w:rFonts w:ascii="Book Antiqua" w:hAnsi="Book Antiqua"/>
          <w:b/>
          <w:kern w:val="0"/>
          <w:sz w:val="24"/>
          <w:szCs w:val="24"/>
        </w:rPr>
        <w:t>Nilsson JL</w:t>
      </w:r>
      <w:r w:rsidRPr="00E22F6A">
        <w:rPr>
          <w:rFonts w:ascii="Book Antiqua" w:hAnsi="Book Antiqua"/>
          <w:kern w:val="0"/>
          <w:sz w:val="24"/>
          <w:szCs w:val="24"/>
        </w:rPr>
        <w:t xml:space="preserve">, Andersson K, Bergkvist A, Björkman I, Brismar A, Moen J. Refill adherence to repeat prescriptions of cancer drugs to ambulatory patients. </w:t>
      </w:r>
      <w:r w:rsidRPr="00E22F6A">
        <w:rPr>
          <w:rFonts w:ascii="Book Antiqua" w:hAnsi="Book Antiqua"/>
          <w:i/>
          <w:kern w:val="0"/>
          <w:sz w:val="24"/>
          <w:szCs w:val="24"/>
        </w:rPr>
        <w:t>Eur J Cancer Care (Engl)</w:t>
      </w:r>
      <w:r w:rsidRPr="00E22F6A">
        <w:rPr>
          <w:rFonts w:ascii="Book Antiqua" w:hAnsi="Book Antiqua"/>
          <w:kern w:val="0"/>
          <w:sz w:val="24"/>
          <w:szCs w:val="24"/>
        </w:rPr>
        <w:t xml:space="preserve"> 2006; </w:t>
      </w:r>
      <w:r w:rsidRPr="00E22F6A">
        <w:rPr>
          <w:rFonts w:ascii="Book Antiqua" w:hAnsi="Book Antiqua"/>
          <w:b/>
          <w:kern w:val="0"/>
          <w:sz w:val="24"/>
          <w:szCs w:val="24"/>
        </w:rPr>
        <w:t>15</w:t>
      </w:r>
      <w:r w:rsidRPr="00E22F6A">
        <w:rPr>
          <w:rFonts w:ascii="Book Antiqua" w:hAnsi="Book Antiqua"/>
          <w:kern w:val="0"/>
          <w:sz w:val="24"/>
          <w:szCs w:val="24"/>
        </w:rPr>
        <w:t>: 235-237 [PMID: 16882118 DOI: 10.1111/j.1365-2354.2006.00645.x]</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45 </w:t>
      </w:r>
      <w:r w:rsidRPr="00E22F6A">
        <w:rPr>
          <w:rFonts w:ascii="Book Antiqua" w:hAnsi="Book Antiqua"/>
          <w:b/>
          <w:kern w:val="0"/>
          <w:sz w:val="24"/>
          <w:szCs w:val="24"/>
        </w:rPr>
        <w:t>Noens L</w:t>
      </w:r>
      <w:r w:rsidRPr="00E22F6A">
        <w:rPr>
          <w:rFonts w:ascii="Book Antiqua" w:hAnsi="Book Antiqua"/>
          <w:kern w:val="0"/>
          <w:sz w:val="24"/>
          <w:szCs w:val="24"/>
        </w:rPr>
        <w:t xml:space="preserve">, van Lierde MA, De Bock R, Verhoef G, Zachée P, Berneman Z, Martiat P, Mineur P, Van Eygen K, MacDonald K, De Geest S, Albrecht T, Abraham I. Prevalence, determinants, and outcomes of nonadherence to imatinib therapy in patients with chronic myeloid leukemia: the ADAGIO study. </w:t>
      </w:r>
      <w:r w:rsidRPr="00E22F6A">
        <w:rPr>
          <w:rFonts w:ascii="Book Antiqua" w:hAnsi="Book Antiqua"/>
          <w:i/>
          <w:kern w:val="0"/>
          <w:sz w:val="24"/>
          <w:szCs w:val="24"/>
        </w:rPr>
        <w:t>Blood</w:t>
      </w:r>
      <w:r w:rsidRPr="00E22F6A">
        <w:rPr>
          <w:rFonts w:ascii="Book Antiqua" w:hAnsi="Book Antiqua"/>
          <w:kern w:val="0"/>
          <w:sz w:val="24"/>
          <w:szCs w:val="24"/>
        </w:rPr>
        <w:t xml:space="preserve"> 2009; </w:t>
      </w:r>
      <w:r w:rsidRPr="00E22F6A">
        <w:rPr>
          <w:rFonts w:ascii="Book Antiqua" w:hAnsi="Book Antiqua"/>
          <w:b/>
          <w:kern w:val="0"/>
          <w:sz w:val="24"/>
          <w:szCs w:val="24"/>
        </w:rPr>
        <w:t>113</w:t>
      </w:r>
      <w:r w:rsidRPr="00E22F6A">
        <w:rPr>
          <w:rFonts w:ascii="Book Antiqua" w:hAnsi="Book Antiqua"/>
          <w:kern w:val="0"/>
          <w:sz w:val="24"/>
          <w:szCs w:val="24"/>
        </w:rPr>
        <w:t>: 5401-5411 [PMID: 19349618 DOI: 10.1182/blood-2008-12-196543]</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46 </w:t>
      </w:r>
      <w:r w:rsidRPr="00E22F6A">
        <w:rPr>
          <w:rFonts w:ascii="Book Antiqua" w:hAnsi="Book Antiqua"/>
          <w:b/>
          <w:kern w:val="0"/>
          <w:sz w:val="24"/>
          <w:szCs w:val="24"/>
        </w:rPr>
        <w:t>Partridge AH</w:t>
      </w:r>
      <w:r w:rsidRPr="00E22F6A">
        <w:rPr>
          <w:rFonts w:ascii="Book Antiqua" w:hAnsi="Book Antiqua"/>
          <w:kern w:val="0"/>
          <w:sz w:val="24"/>
          <w:szCs w:val="24"/>
        </w:rPr>
        <w:t xml:space="preserve">, Wang PS, Winer EP, Avorn J. Nonadherence to adjuvant tamoxifen therapy in women with primary breast cancer. </w:t>
      </w:r>
      <w:r w:rsidRPr="00E22F6A">
        <w:rPr>
          <w:rFonts w:ascii="Book Antiqua" w:hAnsi="Book Antiqua"/>
          <w:i/>
          <w:kern w:val="0"/>
          <w:sz w:val="24"/>
          <w:szCs w:val="24"/>
        </w:rPr>
        <w:t>J Clin Oncol</w:t>
      </w:r>
      <w:r w:rsidRPr="00E22F6A">
        <w:rPr>
          <w:rFonts w:ascii="Book Antiqua" w:hAnsi="Book Antiqua"/>
          <w:kern w:val="0"/>
          <w:sz w:val="24"/>
          <w:szCs w:val="24"/>
        </w:rPr>
        <w:t xml:space="preserve"> 2003; </w:t>
      </w:r>
      <w:r w:rsidRPr="00E22F6A">
        <w:rPr>
          <w:rFonts w:ascii="Book Antiqua" w:hAnsi="Book Antiqua"/>
          <w:b/>
          <w:kern w:val="0"/>
          <w:sz w:val="24"/>
          <w:szCs w:val="24"/>
        </w:rPr>
        <w:t>21</w:t>
      </w:r>
      <w:r w:rsidRPr="00E22F6A">
        <w:rPr>
          <w:rFonts w:ascii="Book Antiqua" w:hAnsi="Book Antiqua"/>
          <w:kern w:val="0"/>
          <w:sz w:val="24"/>
          <w:szCs w:val="24"/>
        </w:rPr>
        <w:t>: 602-606 [PMID: 12586795 DOI: 10.1200/JCO.2003.07.071]</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47 </w:t>
      </w:r>
      <w:r w:rsidRPr="00E22F6A">
        <w:rPr>
          <w:rFonts w:ascii="Book Antiqua" w:hAnsi="Book Antiqua"/>
          <w:b/>
          <w:kern w:val="0"/>
          <w:sz w:val="24"/>
          <w:szCs w:val="24"/>
        </w:rPr>
        <w:t>Partridge AH</w:t>
      </w:r>
      <w:r w:rsidRPr="00E22F6A">
        <w:rPr>
          <w:rFonts w:ascii="Book Antiqua" w:hAnsi="Book Antiqua"/>
          <w:kern w:val="0"/>
          <w:sz w:val="24"/>
          <w:szCs w:val="24"/>
        </w:rPr>
        <w:t xml:space="preserve">, Avorn J, Wang PS, Winer EP. Adherence to therapy with oral antineoplastic agents. </w:t>
      </w:r>
      <w:r w:rsidRPr="00E22F6A">
        <w:rPr>
          <w:rFonts w:ascii="Book Antiqua" w:hAnsi="Book Antiqua"/>
          <w:i/>
          <w:kern w:val="0"/>
          <w:sz w:val="24"/>
          <w:szCs w:val="24"/>
        </w:rPr>
        <w:t>J Natl Cancer Inst</w:t>
      </w:r>
      <w:r w:rsidRPr="00E22F6A">
        <w:rPr>
          <w:rFonts w:ascii="Book Antiqua" w:hAnsi="Book Antiqua"/>
          <w:kern w:val="0"/>
          <w:sz w:val="24"/>
          <w:szCs w:val="24"/>
        </w:rPr>
        <w:t xml:space="preserve"> 2002; </w:t>
      </w:r>
      <w:r w:rsidRPr="00E22F6A">
        <w:rPr>
          <w:rFonts w:ascii="Book Antiqua" w:hAnsi="Book Antiqua"/>
          <w:b/>
          <w:kern w:val="0"/>
          <w:sz w:val="24"/>
          <w:szCs w:val="24"/>
        </w:rPr>
        <w:t>94</w:t>
      </w:r>
      <w:r w:rsidRPr="00E22F6A">
        <w:rPr>
          <w:rFonts w:ascii="Book Antiqua" w:hAnsi="Book Antiqua"/>
          <w:kern w:val="0"/>
          <w:sz w:val="24"/>
          <w:szCs w:val="24"/>
        </w:rPr>
        <w:t>: 652-661 [PMID: 11983753 DOI: 10.1093/jnci/94.9.652]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48 </w:t>
      </w:r>
      <w:r w:rsidRPr="00E22F6A">
        <w:rPr>
          <w:rFonts w:ascii="Book Antiqua" w:hAnsi="Book Antiqua"/>
          <w:b/>
          <w:kern w:val="0"/>
          <w:sz w:val="24"/>
          <w:szCs w:val="24"/>
        </w:rPr>
        <w:t>Font R</w:t>
      </w:r>
      <w:r w:rsidRPr="00E22F6A">
        <w:rPr>
          <w:rFonts w:ascii="Book Antiqua" w:hAnsi="Book Antiqua"/>
          <w:kern w:val="0"/>
          <w:sz w:val="24"/>
          <w:szCs w:val="24"/>
        </w:rPr>
        <w:t xml:space="preserve">, Espinas JA, Gil-Gil M, Barnadas A, Ojeda B, Tusquets I, Segui MA, Margelí M, Arcusa A, Prat A, Garcia M, Borras JM. Prescription refill, patient self-report and physician report in assessing adherence to oral endocrine therapy in early breast cancer patients: a retrospective cohort study in Catalonia, Spain. </w:t>
      </w:r>
      <w:r w:rsidRPr="00E22F6A">
        <w:rPr>
          <w:rFonts w:ascii="Book Antiqua" w:hAnsi="Book Antiqua"/>
          <w:i/>
          <w:kern w:val="0"/>
          <w:sz w:val="24"/>
          <w:szCs w:val="24"/>
        </w:rPr>
        <w:t>Br J Cancer</w:t>
      </w:r>
      <w:r w:rsidRPr="00E22F6A">
        <w:rPr>
          <w:rFonts w:ascii="Book Antiqua" w:hAnsi="Book Antiqua"/>
          <w:kern w:val="0"/>
          <w:sz w:val="24"/>
          <w:szCs w:val="24"/>
        </w:rPr>
        <w:t xml:space="preserve"> 2012; </w:t>
      </w:r>
      <w:r w:rsidRPr="00E22F6A">
        <w:rPr>
          <w:rFonts w:ascii="Book Antiqua" w:hAnsi="Book Antiqua"/>
          <w:b/>
          <w:kern w:val="0"/>
          <w:sz w:val="24"/>
          <w:szCs w:val="24"/>
        </w:rPr>
        <w:t>107</w:t>
      </w:r>
      <w:r w:rsidRPr="00E22F6A">
        <w:rPr>
          <w:rFonts w:ascii="Book Antiqua" w:hAnsi="Book Antiqua"/>
          <w:kern w:val="0"/>
          <w:sz w:val="24"/>
          <w:szCs w:val="24"/>
        </w:rPr>
        <w:t>: 1249-1256 [PMID: 22955858 DOI: 10.1038/bjc.2012.389]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49 </w:t>
      </w:r>
      <w:r w:rsidRPr="00E22F6A">
        <w:rPr>
          <w:rFonts w:ascii="Book Antiqua" w:hAnsi="Book Antiqua"/>
          <w:b/>
          <w:kern w:val="0"/>
          <w:sz w:val="24"/>
          <w:szCs w:val="24"/>
        </w:rPr>
        <w:t>Tsai YJ</w:t>
      </w:r>
      <w:r w:rsidRPr="00E22F6A">
        <w:rPr>
          <w:rFonts w:ascii="Book Antiqua" w:hAnsi="Book Antiqua"/>
          <w:kern w:val="0"/>
          <w:sz w:val="24"/>
          <w:szCs w:val="24"/>
        </w:rPr>
        <w:t xml:space="preserve">, Lin JK, Chen WS, Jiang JK, Teng HW, Yen CC, Lin TC, Yang SH. Adjuvant FOLFOX treatment for stage III colon cancer: how many cycles are enough? </w:t>
      </w:r>
      <w:r w:rsidRPr="00E22F6A">
        <w:rPr>
          <w:rFonts w:ascii="Book Antiqua" w:hAnsi="Book Antiqua"/>
          <w:i/>
          <w:kern w:val="0"/>
          <w:sz w:val="24"/>
          <w:szCs w:val="24"/>
        </w:rPr>
        <w:t>Springerplus</w:t>
      </w:r>
      <w:r w:rsidRPr="00E22F6A">
        <w:rPr>
          <w:rFonts w:ascii="Book Antiqua" w:hAnsi="Book Antiqua"/>
          <w:kern w:val="0"/>
          <w:sz w:val="24"/>
          <w:szCs w:val="24"/>
        </w:rPr>
        <w:t xml:space="preserve"> 2016; </w:t>
      </w:r>
      <w:r w:rsidRPr="00E22F6A">
        <w:rPr>
          <w:rFonts w:ascii="Book Antiqua" w:hAnsi="Book Antiqua"/>
          <w:b/>
          <w:kern w:val="0"/>
          <w:sz w:val="24"/>
          <w:szCs w:val="24"/>
        </w:rPr>
        <w:t>5</w:t>
      </w:r>
      <w:r w:rsidRPr="00E22F6A">
        <w:rPr>
          <w:rFonts w:ascii="Book Antiqua" w:hAnsi="Book Antiqua"/>
          <w:kern w:val="0"/>
          <w:sz w:val="24"/>
          <w:szCs w:val="24"/>
        </w:rPr>
        <w:t>: 1318 [PMID: 27563513 DOI: 10.1186/s40064-016-2976-9]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50 </w:t>
      </w:r>
      <w:r w:rsidRPr="00E22F6A">
        <w:rPr>
          <w:rFonts w:ascii="Book Antiqua" w:hAnsi="Book Antiqua"/>
          <w:b/>
          <w:kern w:val="0"/>
          <w:sz w:val="24"/>
          <w:szCs w:val="24"/>
        </w:rPr>
        <w:t>Hosokawa A</w:t>
      </w:r>
      <w:r w:rsidRPr="00E22F6A">
        <w:rPr>
          <w:rFonts w:ascii="Book Antiqua" w:hAnsi="Book Antiqua"/>
          <w:kern w:val="0"/>
          <w:sz w:val="24"/>
          <w:szCs w:val="24"/>
        </w:rPr>
        <w:t xml:space="preserve">, Ogawa K, Ando T, Suzuki N, Ueda A, Kajiura S, Kobayashi Y, Tsukioka Y, Horikawa N, Yabushita K, Fukuoka J, Sugiyama T. Preventive effect of traditional Japanese medicine on neurotoxicity of FOLFOX for metastatic colorectal cancer: a multicenter retrospective study. </w:t>
      </w:r>
      <w:r w:rsidRPr="00E22F6A">
        <w:rPr>
          <w:rFonts w:ascii="Book Antiqua" w:hAnsi="Book Antiqua"/>
          <w:i/>
          <w:kern w:val="0"/>
          <w:sz w:val="24"/>
          <w:szCs w:val="24"/>
        </w:rPr>
        <w:t>Anticancer Res</w:t>
      </w:r>
      <w:r w:rsidRPr="00E22F6A">
        <w:rPr>
          <w:rFonts w:ascii="Book Antiqua" w:hAnsi="Book Antiqua"/>
          <w:kern w:val="0"/>
          <w:sz w:val="24"/>
          <w:szCs w:val="24"/>
        </w:rPr>
        <w:t xml:space="preserve"> 2012; </w:t>
      </w:r>
      <w:r w:rsidRPr="00E22F6A">
        <w:rPr>
          <w:rFonts w:ascii="Book Antiqua" w:hAnsi="Book Antiqua"/>
          <w:b/>
          <w:kern w:val="0"/>
          <w:sz w:val="24"/>
          <w:szCs w:val="24"/>
        </w:rPr>
        <w:t>32</w:t>
      </w:r>
      <w:r w:rsidRPr="00E22F6A">
        <w:rPr>
          <w:rFonts w:ascii="Book Antiqua" w:hAnsi="Book Antiqua"/>
          <w:kern w:val="0"/>
          <w:sz w:val="24"/>
          <w:szCs w:val="24"/>
        </w:rPr>
        <w:t>: 2545-2550 [PMID: 22753712]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51 </w:t>
      </w:r>
      <w:r w:rsidRPr="00E22F6A">
        <w:rPr>
          <w:rFonts w:ascii="Book Antiqua" w:hAnsi="Book Antiqua"/>
          <w:b/>
          <w:kern w:val="0"/>
          <w:sz w:val="24"/>
          <w:szCs w:val="24"/>
        </w:rPr>
        <w:t>Milla P</w:t>
      </w:r>
      <w:r w:rsidRPr="00E22F6A">
        <w:rPr>
          <w:rFonts w:ascii="Book Antiqua" w:hAnsi="Book Antiqua"/>
          <w:kern w:val="0"/>
          <w:sz w:val="24"/>
          <w:szCs w:val="24"/>
        </w:rPr>
        <w:t xml:space="preserve">, Airoldi M, Weber G, Drescher A, Jaehde U, Cattel L. Administration of reduced glutathione in FOLFOX4 adjuvant treatment for colorectal cancer: effect on oxaliplatin pharmacokinetics, Pt-DNA adduct formation, and neurotoxicity. </w:t>
      </w:r>
      <w:r w:rsidRPr="00E22F6A">
        <w:rPr>
          <w:rFonts w:ascii="Book Antiqua" w:hAnsi="Book Antiqua"/>
          <w:i/>
          <w:kern w:val="0"/>
          <w:sz w:val="24"/>
          <w:szCs w:val="24"/>
        </w:rPr>
        <w:t>Anticancer Drugs</w:t>
      </w:r>
      <w:r w:rsidRPr="00E22F6A">
        <w:rPr>
          <w:rFonts w:ascii="Book Antiqua" w:hAnsi="Book Antiqua"/>
          <w:kern w:val="0"/>
          <w:sz w:val="24"/>
          <w:szCs w:val="24"/>
        </w:rPr>
        <w:t xml:space="preserve"> 2009; </w:t>
      </w:r>
      <w:r w:rsidRPr="00E22F6A">
        <w:rPr>
          <w:rFonts w:ascii="Book Antiqua" w:hAnsi="Book Antiqua"/>
          <w:b/>
          <w:kern w:val="0"/>
          <w:sz w:val="24"/>
          <w:szCs w:val="24"/>
        </w:rPr>
        <w:t>20</w:t>
      </w:r>
      <w:r w:rsidRPr="00E22F6A">
        <w:rPr>
          <w:rFonts w:ascii="Book Antiqua" w:hAnsi="Book Antiqua"/>
          <w:kern w:val="0"/>
          <w:sz w:val="24"/>
          <w:szCs w:val="24"/>
        </w:rPr>
        <w:t>: 396-402 [PMID: 19287306 DOI: 10.1097/CAD.0b013e32832a2dc1]</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52 </w:t>
      </w:r>
      <w:r w:rsidRPr="00E22F6A">
        <w:rPr>
          <w:rFonts w:ascii="Book Antiqua" w:hAnsi="Book Antiqua"/>
          <w:b/>
          <w:kern w:val="0"/>
          <w:sz w:val="24"/>
          <w:szCs w:val="24"/>
        </w:rPr>
        <w:t>Oki E</w:t>
      </w:r>
      <w:r w:rsidRPr="00E22F6A">
        <w:rPr>
          <w:rFonts w:ascii="Book Antiqua" w:hAnsi="Book Antiqua"/>
          <w:kern w:val="0"/>
          <w:sz w:val="24"/>
          <w:szCs w:val="24"/>
        </w:rPr>
        <w:t xml:space="preserve">, Emi Y, Kojima H, Higashijima J, Kato T, Miyake Y, Kon M, Ogata Y, Takahashi K, Ishida H, Saeki H, Sakaguchi Y, Yamanaka T, Kono T, Tomita N, Baba H, Shirabe K, Kakeji Y, Maehara Y. Preventive effect of Goshajinkigan on peripheral neurotoxicity of FOLFOX therapy (GENIUS trial): a placebo-controlled, double-blind, randomized phase III study. </w:t>
      </w:r>
      <w:r w:rsidRPr="00E22F6A">
        <w:rPr>
          <w:rFonts w:ascii="Book Antiqua" w:hAnsi="Book Antiqua"/>
          <w:i/>
          <w:kern w:val="0"/>
          <w:sz w:val="24"/>
          <w:szCs w:val="24"/>
        </w:rPr>
        <w:t>Int J Clin Oncol</w:t>
      </w:r>
      <w:r w:rsidRPr="00E22F6A">
        <w:rPr>
          <w:rFonts w:ascii="Book Antiqua" w:hAnsi="Book Antiqua"/>
          <w:kern w:val="0"/>
          <w:sz w:val="24"/>
          <w:szCs w:val="24"/>
        </w:rPr>
        <w:t xml:space="preserve"> 2015; </w:t>
      </w:r>
      <w:r w:rsidRPr="00E22F6A">
        <w:rPr>
          <w:rFonts w:ascii="Book Antiqua" w:hAnsi="Book Antiqua"/>
          <w:b/>
          <w:kern w:val="0"/>
          <w:sz w:val="24"/>
          <w:szCs w:val="24"/>
        </w:rPr>
        <w:t>20</w:t>
      </w:r>
      <w:r w:rsidRPr="00E22F6A">
        <w:rPr>
          <w:rFonts w:ascii="Book Antiqua" w:hAnsi="Book Antiqua"/>
          <w:kern w:val="0"/>
          <w:sz w:val="24"/>
          <w:szCs w:val="24"/>
        </w:rPr>
        <w:t>: 767-775 [PMID: 25627820 DOI: 10.1007/s10147-015-0784-9]</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53 </w:t>
      </w:r>
      <w:r w:rsidRPr="00E22F6A">
        <w:rPr>
          <w:rFonts w:ascii="Book Antiqua" w:hAnsi="Book Antiqua"/>
          <w:b/>
          <w:kern w:val="0"/>
          <w:sz w:val="24"/>
          <w:szCs w:val="24"/>
        </w:rPr>
        <w:t>Pachman DR</w:t>
      </w:r>
      <w:r w:rsidRPr="00E22F6A">
        <w:rPr>
          <w:rFonts w:ascii="Book Antiqua" w:hAnsi="Book Antiqua"/>
          <w:kern w:val="0"/>
          <w:sz w:val="24"/>
          <w:szCs w:val="24"/>
        </w:rPr>
        <w:t xml:space="preserve">, Qin R, Seisler DK, Smith EM, Beutler AS, Ta LE, Lafky JM, Wagner-Johnston ND, Ruddy KJ, Dakhil S, Staff NP, Grothey A, Loprinzi CL. Clinical Course of Oxaliplatin-Induced Neuropathy: Results From the Randomized Phase III Trial N08CB (Alliance). </w:t>
      </w:r>
      <w:r w:rsidRPr="00E22F6A">
        <w:rPr>
          <w:rFonts w:ascii="Book Antiqua" w:hAnsi="Book Antiqua"/>
          <w:i/>
          <w:kern w:val="0"/>
          <w:sz w:val="24"/>
          <w:szCs w:val="24"/>
        </w:rPr>
        <w:t>J Clin Oncol</w:t>
      </w:r>
      <w:r w:rsidRPr="00E22F6A">
        <w:rPr>
          <w:rFonts w:ascii="Book Antiqua" w:hAnsi="Book Antiqua"/>
          <w:kern w:val="0"/>
          <w:sz w:val="24"/>
          <w:szCs w:val="24"/>
        </w:rPr>
        <w:t xml:space="preserve"> 2015; </w:t>
      </w:r>
      <w:r w:rsidRPr="00E22F6A">
        <w:rPr>
          <w:rFonts w:ascii="Book Antiqua" w:hAnsi="Book Antiqua"/>
          <w:b/>
          <w:kern w:val="0"/>
          <w:sz w:val="24"/>
          <w:szCs w:val="24"/>
        </w:rPr>
        <w:t>33</w:t>
      </w:r>
      <w:r w:rsidRPr="00E22F6A">
        <w:rPr>
          <w:rFonts w:ascii="Book Antiqua" w:hAnsi="Book Antiqua"/>
          <w:kern w:val="0"/>
          <w:sz w:val="24"/>
          <w:szCs w:val="24"/>
        </w:rPr>
        <w:t>: 3416-3422 [PMID: 26282635 DOI: 10.1200/JCO.2014.58.8533]</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54 </w:t>
      </w:r>
      <w:r w:rsidRPr="00E22F6A">
        <w:rPr>
          <w:rFonts w:ascii="Book Antiqua" w:hAnsi="Book Antiqua"/>
          <w:b/>
          <w:kern w:val="0"/>
          <w:sz w:val="24"/>
          <w:szCs w:val="24"/>
        </w:rPr>
        <w:t>Zimmerman C</w:t>
      </w:r>
      <w:r w:rsidRPr="00E22F6A">
        <w:rPr>
          <w:rFonts w:ascii="Book Antiqua" w:hAnsi="Book Antiqua"/>
          <w:kern w:val="0"/>
          <w:sz w:val="24"/>
          <w:szCs w:val="24"/>
        </w:rPr>
        <w:t xml:space="preserve">, Atherton PJ, Pachman D, Seisler D, Wagner-Johnston N, Dakhil S, Lafky JM, Qin R, Grothey A, Loprinzi CL. MC11C4: a pilot randomized, placebo-controlled, double-blind study of venlafaxine to prevent oxaliplatin-induced neuropathy. </w:t>
      </w:r>
      <w:r w:rsidRPr="00E22F6A">
        <w:rPr>
          <w:rFonts w:ascii="Book Antiqua" w:hAnsi="Book Antiqua"/>
          <w:i/>
          <w:kern w:val="0"/>
          <w:sz w:val="24"/>
          <w:szCs w:val="24"/>
        </w:rPr>
        <w:t>Support Care Cancer</w:t>
      </w:r>
      <w:r w:rsidRPr="00E22F6A">
        <w:rPr>
          <w:rFonts w:ascii="Book Antiqua" w:hAnsi="Book Antiqua"/>
          <w:kern w:val="0"/>
          <w:sz w:val="24"/>
          <w:szCs w:val="24"/>
        </w:rPr>
        <w:t xml:space="preserve"> 2016; </w:t>
      </w:r>
      <w:r w:rsidRPr="00E22F6A">
        <w:rPr>
          <w:rFonts w:ascii="Book Antiqua" w:hAnsi="Book Antiqua"/>
          <w:b/>
          <w:kern w:val="0"/>
          <w:sz w:val="24"/>
          <w:szCs w:val="24"/>
        </w:rPr>
        <w:t>24</w:t>
      </w:r>
      <w:r w:rsidRPr="00E22F6A">
        <w:rPr>
          <w:rFonts w:ascii="Book Antiqua" w:hAnsi="Book Antiqua"/>
          <w:kern w:val="0"/>
          <w:sz w:val="24"/>
          <w:szCs w:val="24"/>
        </w:rPr>
        <w:t>: 1071-1078 [PMID: 26248652 DOI: 10.1007/s00520-015-2876-5]</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55 </w:t>
      </w:r>
      <w:r w:rsidRPr="00E22F6A">
        <w:rPr>
          <w:rFonts w:ascii="Book Antiqua" w:hAnsi="Book Antiqua"/>
          <w:b/>
          <w:kern w:val="0"/>
          <w:sz w:val="24"/>
          <w:szCs w:val="24"/>
        </w:rPr>
        <w:t>Loprinzi CL</w:t>
      </w:r>
      <w:r w:rsidRPr="00E22F6A">
        <w:rPr>
          <w:rFonts w:ascii="Book Antiqua" w:hAnsi="Book Antiqua"/>
          <w:kern w:val="0"/>
          <w:sz w:val="24"/>
          <w:szCs w:val="24"/>
        </w:rPr>
        <w:t xml:space="preserve">, Qin R, Dakhil SR, Fehrenbacher L, Flynn KA, Atherton P, Seisler D, Qamar R, Lewis GC, Grothey A. Phase III randomized, placebo-controlled, double-blind study of intravenous calcium and magnesium to prevent oxaliplatin-induced sensory neurotoxicity (N08CB/Alliance). </w:t>
      </w:r>
      <w:r w:rsidRPr="00E22F6A">
        <w:rPr>
          <w:rFonts w:ascii="Book Antiqua" w:hAnsi="Book Antiqua"/>
          <w:i/>
          <w:kern w:val="0"/>
          <w:sz w:val="24"/>
          <w:szCs w:val="24"/>
        </w:rPr>
        <w:t>J Clin Oncol</w:t>
      </w:r>
      <w:r w:rsidRPr="00E22F6A">
        <w:rPr>
          <w:rFonts w:ascii="Book Antiqua" w:hAnsi="Book Antiqua"/>
          <w:kern w:val="0"/>
          <w:sz w:val="24"/>
          <w:szCs w:val="24"/>
        </w:rPr>
        <w:t xml:space="preserve"> 2014; </w:t>
      </w:r>
      <w:r w:rsidRPr="00E22F6A">
        <w:rPr>
          <w:rFonts w:ascii="Book Antiqua" w:hAnsi="Book Antiqua"/>
          <w:b/>
          <w:kern w:val="0"/>
          <w:sz w:val="24"/>
          <w:szCs w:val="24"/>
        </w:rPr>
        <w:t>32</w:t>
      </w:r>
      <w:r w:rsidRPr="00E22F6A">
        <w:rPr>
          <w:rFonts w:ascii="Book Antiqua" w:hAnsi="Book Antiqua"/>
          <w:kern w:val="0"/>
          <w:sz w:val="24"/>
          <w:szCs w:val="24"/>
        </w:rPr>
        <w:t>: 997-1005 [PMID: 24297951 DOI: 10.1200/JCO.2013.52.0536]</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56 </w:t>
      </w:r>
      <w:r w:rsidRPr="00E22F6A">
        <w:rPr>
          <w:rFonts w:ascii="Book Antiqua" w:hAnsi="Book Antiqua"/>
          <w:b/>
          <w:kern w:val="0"/>
          <w:sz w:val="24"/>
          <w:szCs w:val="24"/>
        </w:rPr>
        <w:t>Ruzzo A</w:t>
      </w:r>
      <w:r w:rsidRPr="00E22F6A">
        <w:rPr>
          <w:rFonts w:ascii="Book Antiqua" w:hAnsi="Book Antiqua"/>
          <w:kern w:val="0"/>
          <w:sz w:val="24"/>
          <w:szCs w:val="24"/>
        </w:rPr>
        <w:t xml:space="preserve">, Graziano F, Galli F, Giacomini E, Floriani I, Galli F, Rulli E, Lonardi S, Ronzoni M, Massidda B, Zagonel V, Pella N, Mucciarini C, Labianca R, Ionta MT, Veltri E, Sozzi P, Barni S, Ricci V, Foltran L, Nicolini M, Biondi E, Bramati A, Turci D, Lazzarelli S, Verusio C, Bergamo F, Sobrero A, Frontini L, Magnani M. Genetic markers for toxicity of adjuvant oxaliplatin and fluoropyrimidines in the phase III TOSCA trial in high-risk colon cancer patients. </w:t>
      </w:r>
      <w:r w:rsidRPr="00E22F6A">
        <w:rPr>
          <w:rFonts w:ascii="Book Antiqua" w:hAnsi="Book Antiqua"/>
          <w:i/>
          <w:kern w:val="0"/>
          <w:sz w:val="24"/>
          <w:szCs w:val="24"/>
        </w:rPr>
        <w:t>Sci Rep</w:t>
      </w:r>
      <w:r w:rsidRPr="00E22F6A">
        <w:rPr>
          <w:rFonts w:ascii="Book Antiqua" w:hAnsi="Book Antiqua"/>
          <w:kern w:val="0"/>
          <w:sz w:val="24"/>
          <w:szCs w:val="24"/>
        </w:rPr>
        <w:t xml:space="preserve"> 2014; </w:t>
      </w:r>
      <w:r w:rsidRPr="00E22F6A">
        <w:rPr>
          <w:rFonts w:ascii="Book Antiqua" w:hAnsi="Book Antiqua"/>
          <w:b/>
          <w:kern w:val="0"/>
          <w:sz w:val="24"/>
          <w:szCs w:val="24"/>
        </w:rPr>
        <w:t>4</w:t>
      </w:r>
      <w:r w:rsidRPr="00E22F6A">
        <w:rPr>
          <w:rFonts w:ascii="Book Antiqua" w:hAnsi="Book Antiqua"/>
          <w:kern w:val="0"/>
          <w:sz w:val="24"/>
          <w:szCs w:val="24"/>
        </w:rPr>
        <w:t>: 6828 [PMID: 25370899 DOI: 10.1038/srep06828]</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57 </w:t>
      </w:r>
      <w:r w:rsidRPr="00E22F6A">
        <w:rPr>
          <w:rFonts w:ascii="Book Antiqua" w:hAnsi="Book Antiqua"/>
          <w:b/>
          <w:kern w:val="0"/>
          <w:sz w:val="24"/>
          <w:szCs w:val="24"/>
        </w:rPr>
        <w:t>Kochi M</w:t>
      </w:r>
      <w:r w:rsidRPr="00E22F6A">
        <w:rPr>
          <w:rFonts w:ascii="Book Antiqua" w:hAnsi="Book Antiqua"/>
          <w:kern w:val="0"/>
          <w:sz w:val="24"/>
          <w:szCs w:val="24"/>
        </w:rPr>
        <w:t xml:space="preserve">, Ichikawa W, Meguro E, Shibata H, Fukui T, Nagase M, Hoshino Y, Takeuchi M, Fujii M, Nakajima T. Phase II study of FOLFOX4 with "wait and go" strategy as first-line treatment for metastatic colorectal cancer. </w:t>
      </w:r>
      <w:r w:rsidRPr="00E22F6A">
        <w:rPr>
          <w:rFonts w:ascii="Book Antiqua" w:hAnsi="Book Antiqua"/>
          <w:i/>
          <w:kern w:val="0"/>
          <w:sz w:val="24"/>
          <w:szCs w:val="24"/>
        </w:rPr>
        <w:t>Cancer Chemother Pharmacol</w:t>
      </w:r>
      <w:r w:rsidRPr="00E22F6A">
        <w:rPr>
          <w:rFonts w:ascii="Book Antiqua" w:hAnsi="Book Antiqua"/>
          <w:kern w:val="0"/>
          <w:sz w:val="24"/>
          <w:szCs w:val="24"/>
        </w:rPr>
        <w:t xml:space="preserve"> 2011; </w:t>
      </w:r>
      <w:r w:rsidRPr="00E22F6A">
        <w:rPr>
          <w:rFonts w:ascii="Book Antiqua" w:hAnsi="Book Antiqua"/>
          <w:b/>
          <w:kern w:val="0"/>
          <w:sz w:val="24"/>
          <w:szCs w:val="24"/>
        </w:rPr>
        <w:t>68</w:t>
      </w:r>
      <w:r w:rsidRPr="00E22F6A">
        <w:rPr>
          <w:rFonts w:ascii="Book Antiqua" w:hAnsi="Book Antiqua"/>
          <w:kern w:val="0"/>
          <w:sz w:val="24"/>
          <w:szCs w:val="24"/>
        </w:rPr>
        <w:t>: 1215-1222 [PMID: 21416138 DOI: 10.1007/s00280-011-1605-0]</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58 </w:t>
      </w:r>
      <w:r w:rsidRPr="00E22F6A">
        <w:rPr>
          <w:rFonts w:ascii="Book Antiqua" w:hAnsi="Book Antiqua"/>
          <w:b/>
          <w:kern w:val="0"/>
          <w:sz w:val="24"/>
          <w:szCs w:val="24"/>
        </w:rPr>
        <w:t>Eo WK</w:t>
      </w:r>
      <w:r w:rsidRPr="00E22F6A">
        <w:rPr>
          <w:rFonts w:ascii="Book Antiqua" w:hAnsi="Book Antiqua"/>
          <w:kern w:val="0"/>
          <w:sz w:val="24"/>
          <w:szCs w:val="24"/>
        </w:rPr>
        <w:t xml:space="preserve">, Jeong DW, Chang HJ, Won KY, Choi SI, Kim SH, Chun SW, Oh YL, Lee TH, Kim YO, Kim KH, Ji YI, Kim A, Kim HY. Absolute monocyte and lymphocyte count prognostic score for patients with gastric cancer. </w:t>
      </w:r>
      <w:r w:rsidRPr="00E22F6A">
        <w:rPr>
          <w:rFonts w:ascii="Book Antiqua" w:hAnsi="Book Antiqua"/>
          <w:i/>
          <w:kern w:val="0"/>
          <w:sz w:val="24"/>
          <w:szCs w:val="24"/>
        </w:rPr>
        <w:t>World J Gastroenterol</w:t>
      </w:r>
      <w:r w:rsidRPr="00E22F6A">
        <w:rPr>
          <w:rFonts w:ascii="Book Antiqua" w:hAnsi="Book Antiqua"/>
          <w:kern w:val="0"/>
          <w:sz w:val="24"/>
          <w:szCs w:val="24"/>
        </w:rPr>
        <w:t xml:space="preserve"> 2015; </w:t>
      </w:r>
      <w:r w:rsidRPr="00E22F6A">
        <w:rPr>
          <w:rFonts w:ascii="Book Antiqua" w:hAnsi="Book Antiqua"/>
          <w:b/>
          <w:kern w:val="0"/>
          <w:sz w:val="24"/>
          <w:szCs w:val="24"/>
        </w:rPr>
        <w:t>21</w:t>
      </w:r>
      <w:r w:rsidRPr="00E22F6A">
        <w:rPr>
          <w:rFonts w:ascii="Book Antiqua" w:hAnsi="Book Antiqua"/>
          <w:kern w:val="0"/>
          <w:sz w:val="24"/>
          <w:szCs w:val="24"/>
        </w:rPr>
        <w:t>: 2668-2676 [PMID: 25759535 DOI: 10.3748/wjg.v21.i9.2668]</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59 </w:t>
      </w:r>
      <w:r w:rsidRPr="00E22F6A">
        <w:rPr>
          <w:rFonts w:ascii="Book Antiqua" w:hAnsi="Book Antiqua"/>
          <w:b/>
          <w:kern w:val="0"/>
          <w:sz w:val="24"/>
          <w:szCs w:val="24"/>
        </w:rPr>
        <w:t>Chen L</w:t>
      </w:r>
      <w:r w:rsidRPr="00E22F6A">
        <w:rPr>
          <w:rFonts w:ascii="Book Antiqua" w:hAnsi="Book Antiqua"/>
          <w:kern w:val="0"/>
          <w:sz w:val="24"/>
          <w:szCs w:val="24"/>
        </w:rPr>
        <w:t xml:space="preserve">, Hao Y, Zhu L, Li S, Zuo Y, Zhang Y, Song H, Xue Y. Monocyte to lymphocyte ratio predicts survival in patients with advanced gastric cancer undergoing neoadjuvant chemotherapy. </w:t>
      </w:r>
      <w:r w:rsidRPr="00E22F6A">
        <w:rPr>
          <w:rFonts w:ascii="Book Antiqua" w:hAnsi="Book Antiqua"/>
          <w:i/>
          <w:kern w:val="0"/>
          <w:sz w:val="24"/>
          <w:szCs w:val="24"/>
        </w:rPr>
        <w:t>Onco Targets Ther</w:t>
      </w:r>
      <w:r w:rsidRPr="00E22F6A">
        <w:rPr>
          <w:rFonts w:ascii="Book Antiqua" w:hAnsi="Book Antiqua"/>
          <w:kern w:val="0"/>
          <w:sz w:val="24"/>
          <w:szCs w:val="24"/>
        </w:rPr>
        <w:t xml:space="preserve"> 2017; </w:t>
      </w:r>
      <w:r w:rsidRPr="00E22F6A">
        <w:rPr>
          <w:rFonts w:ascii="Book Antiqua" w:hAnsi="Book Antiqua"/>
          <w:b/>
          <w:kern w:val="0"/>
          <w:sz w:val="24"/>
          <w:szCs w:val="24"/>
        </w:rPr>
        <w:t>10</w:t>
      </w:r>
      <w:r w:rsidRPr="00E22F6A">
        <w:rPr>
          <w:rFonts w:ascii="Book Antiqua" w:hAnsi="Book Antiqua"/>
          <w:kern w:val="0"/>
          <w:sz w:val="24"/>
          <w:szCs w:val="24"/>
        </w:rPr>
        <w:t>: 4007-4016 [PMID: 28860808 DOI: 10.2147/OTT.S140118]</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60 </w:t>
      </w:r>
      <w:r w:rsidRPr="00E22F6A">
        <w:rPr>
          <w:rFonts w:ascii="Book Antiqua" w:hAnsi="Book Antiqua"/>
          <w:b/>
          <w:kern w:val="0"/>
          <w:sz w:val="24"/>
          <w:szCs w:val="24"/>
        </w:rPr>
        <w:t>Siegel RL</w:t>
      </w:r>
      <w:r w:rsidRPr="00E22F6A">
        <w:rPr>
          <w:rFonts w:ascii="Book Antiqua" w:hAnsi="Book Antiqua"/>
          <w:kern w:val="0"/>
          <w:sz w:val="24"/>
          <w:szCs w:val="24"/>
        </w:rPr>
        <w:t xml:space="preserve">, Miller KD, Jemal A. Cancer statistics, 2015. </w:t>
      </w:r>
      <w:r w:rsidRPr="00E22F6A">
        <w:rPr>
          <w:rFonts w:ascii="Book Antiqua" w:hAnsi="Book Antiqua"/>
          <w:i/>
          <w:kern w:val="0"/>
          <w:sz w:val="24"/>
          <w:szCs w:val="24"/>
        </w:rPr>
        <w:t>CA Cancer J Clin</w:t>
      </w:r>
      <w:r w:rsidRPr="00E22F6A">
        <w:rPr>
          <w:rFonts w:ascii="Book Antiqua" w:hAnsi="Book Antiqua"/>
          <w:kern w:val="0"/>
          <w:sz w:val="24"/>
          <w:szCs w:val="24"/>
        </w:rPr>
        <w:t xml:space="preserve"> 2015; </w:t>
      </w:r>
      <w:r w:rsidRPr="00E22F6A">
        <w:rPr>
          <w:rFonts w:ascii="Book Antiqua" w:hAnsi="Book Antiqua"/>
          <w:b/>
          <w:kern w:val="0"/>
          <w:sz w:val="24"/>
          <w:szCs w:val="24"/>
        </w:rPr>
        <w:t>65</w:t>
      </w:r>
      <w:r w:rsidRPr="00E22F6A">
        <w:rPr>
          <w:rFonts w:ascii="Book Antiqua" w:hAnsi="Book Antiqua"/>
          <w:kern w:val="0"/>
          <w:sz w:val="24"/>
          <w:szCs w:val="24"/>
        </w:rPr>
        <w:t>: 5-29 [PMID: 25559415 DOI: 10.3322/caac.21254]</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61 </w:t>
      </w:r>
      <w:r w:rsidRPr="00E22F6A">
        <w:rPr>
          <w:rFonts w:ascii="Book Antiqua" w:hAnsi="Book Antiqua"/>
          <w:b/>
          <w:kern w:val="0"/>
          <w:sz w:val="24"/>
          <w:szCs w:val="24"/>
        </w:rPr>
        <w:t>Park SC</w:t>
      </w:r>
      <w:r w:rsidRPr="00E22F6A">
        <w:rPr>
          <w:rFonts w:ascii="Book Antiqua" w:hAnsi="Book Antiqua"/>
          <w:kern w:val="0"/>
          <w:sz w:val="24"/>
          <w:szCs w:val="24"/>
        </w:rPr>
        <w:t xml:space="preserve">, Chun HJ. Chemotherapy for advanced gastric cancer: review and update of current practices. </w:t>
      </w:r>
      <w:r w:rsidRPr="00E22F6A">
        <w:rPr>
          <w:rFonts w:ascii="Book Antiqua" w:hAnsi="Book Antiqua"/>
          <w:i/>
          <w:kern w:val="0"/>
          <w:sz w:val="24"/>
          <w:szCs w:val="24"/>
        </w:rPr>
        <w:t>Gut Liver</w:t>
      </w:r>
      <w:r w:rsidRPr="00E22F6A">
        <w:rPr>
          <w:rFonts w:ascii="Book Antiqua" w:hAnsi="Book Antiqua"/>
          <w:kern w:val="0"/>
          <w:sz w:val="24"/>
          <w:szCs w:val="24"/>
        </w:rPr>
        <w:t xml:space="preserve"> 2013; </w:t>
      </w:r>
      <w:r w:rsidRPr="00E22F6A">
        <w:rPr>
          <w:rFonts w:ascii="Book Antiqua" w:hAnsi="Book Antiqua"/>
          <w:b/>
          <w:kern w:val="0"/>
          <w:sz w:val="24"/>
          <w:szCs w:val="24"/>
        </w:rPr>
        <w:t>7</w:t>
      </w:r>
      <w:r w:rsidRPr="00E22F6A">
        <w:rPr>
          <w:rFonts w:ascii="Book Antiqua" w:hAnsi="Book Antiqua"/>
          <w:kern w:val="0"/>
          <w:sz w:val="24"/>
          <w:szCs w:val="24"/>
        </w:rPr>
        <w:t>: 385-393 [PMID: 23898376 DOI: 10.5009/gnl.2013.7.4.385]</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62 </w:t>
      </w:r>
      <w:r w:rsidRPr="00E22F6A">
        <w:rPr>
          <w:rFonts w:ascii="Book Antiqua" w:hAnsi="Book Antiqua"/>
          <w:b/>
          <w:kern w:val="0"/>
          <w:sz w:val="24"/>
          <w:szCs w:val="24"/>
        </w:rPr>
        <w:t>Quéro L</w:t>
      </w:r>
      <w:r w:rsidRPr="00E22F6A">
        <w:rPr>
          <w:rFonts w:ascii="Book Antiqua" w:hAnsi="Book Antiqua"/>
          <w:kern w:val="0"/>
          <w:sz w:val="24"/>
          <w:szCs w:val="24"/>
        </w:rPr>
        <w:t xml:space="preserve">, Guillerm S, Hennequin C. Neoadjuvant or adjuvant therapy for gastric cancer. </w:t>
      </w:r>
      <w:r w:rsidRPr="00E22F6A">
        <w:rPr>
          <w:rFonts w:ascii="Book Antiqua" w:hAnsi="Book Antiqua"/>
          <w:i/>
          <w:kern w:val="0"/>
          <w:sz w:val="24"/>
          <w:szCs w:val="24"/>
        </w:rPr>
        <w:t>World J Gastrointest Oncol</w:t>
      </w:r>
      <w:r w:rsidRPr="00E22F6A">
        <w:rPr>
          <w:rFonts w:ascii="Book Antiqua" w:hAnsi="Book Antiqua"/>
          <w:kern w:val="0"/>
          <w:sz w:val="24"/>
          <w:szCs w:val="24"/>
        </w:rPr>
        <w:t xml:space="preserve"> 2015; </w:t>
      </w:r>
      <w:r w:rsidRPr="00E22F6A">
        <w:rPr>
          <w:rFonts w:ascii="Book Antiqua" w:hAnsi="Book Antiqua"/>
          <w:b/>
          <w:kern w:val="0"/>
          <w:sz w:val="24"/>
          <w:szCs w:val="24"/>
        </w:rPr>
        <w:t>7</w:t>
      </w:r>
      <w:r w:rsidRPr="00E22F6A">
        <w:rPr>
          <w:rFonts w:ascii="Book Antiqua" w:hAnsi="Book Antiqua"/>
          <w:kern w:val="0"/>
          <w:sz w:val="24"/>
          <w:szCs w:val="24"/>
        </w:rPr>
        <w:t>: 102-110 [PMID: 26306142 DOI: 10.4251/wjgo.v7.i8.102]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63 </w:t>
      </w:r>
      <w:r w:rsidRPr="00E22F6A">
        <w:rPr>
          <w:rFonts w:ascii="Book Antiqua" w:hAnsi="Book Antiqua"/>
          <w:b/>
          <w:kern w:val="0"/>
          <w:sz w:val="24"/>
          <w:szCs w:val="24"/>
        </w:rPr>
        <w:t>el Aziz LM</w:t>
      </w:r>
      <w:r w:rsidRPr="00E22F6A">
        <w:rPr>
          <w:rFonts w:ascii="Book Antiqua" w:hAnsi="Book Antiqua"/>
          <w:kern w:val="0"/>
          <w:sz w:val="24"/>
          <w:szCs w:val="24"/>
        </w:rPr>
        <w:t xml:space="preserve">. Blood neutrophil-lymphocyte ratio predicts survival in locally advanced cancer stomach treated with neoadjuvant chemotherapy FOLFOX 4. </w:t>
      </w:r>
      <w:r w:rsidRPr="00E22F6A">
        <w:rPr>
          <w:rFonts w:ascii="Book Antiqua" w:hAnsi="Book Antiqua"/>
          <w:i/>
          <w:kern w:val="0"/>
          <w:sz w:val="24"/>
          <w:szCs w:val="24"/>
        </w:rPr>
        <w:t>Med Oncol</w:t>
      </w:r>
      <w:r w:rsidRPr="00E22F6A">
        <w:rPr>
          <w:rFonts w:ascii="Book Antiqua" w:hAnsi="Book Antiqua"/>
          <w:kern w:val="0"/>
          <w:sz w:val="24"/>
          <w:szCs w:val="24"/>
        </w:rPr>
        <w:t xml:space="preserve"> 2014; </w:t>
      </w:r>
      <w:r w:rsidRPr="00E22F6A">
        <w:rPr>
          <w:rFonts w:ascii="Book Antiqua" w:hAnsi="Book Antiqua"/>
          <w:b/>
          <w:kern w:val="0"/>
          <w:sz w:val="24"/>
          <w:szCs w:val="24"/>
        </w:rPr>
        <w:t>31</w:t>
      </w:r>
      <w:r w:rsidRPr="00E22F6A">
        <w:rPr>
          <w:rFonts w:ascii="Book Antiqua" w:hAnsi="Book Antiqua"/>
          <w:kern w:val="0"/>
          <w:sz w:val="24"/>
          <w:szCs w:val="24"/>
        </w:rPr>
        <w:t>: 311 [PMID: 25367855 DOI: 10.1007/s12032-014-0311-2]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64 </w:t>
      </w:r>
      <w:r w:rsidRPr="00E22F6A">
        <w:rPr>
          <w:rFonts w:ascii="Book Antiqua" w:hAnsi="Book Antiqua"/>
          <w:b/>
          <w:kern w:val="0"/>
          <w:sz w:val="24"/>
          <w:szCs w:val="24"/>
        </w:rPr>
        <w:t>Feng F,</w:t>
      </w:r>
      <w:r w:rsidRPr="00E22F6A">
        <w:rPr>
          <w:rFonts w:ascii="Book Antiqua" w:hAnsi="Book Antiqua"/>
          <w:kern w:val="0"/>
          <w:sz w:val="24"/>
          <w:szCs w:val="24"/>
        </w:rPr>
        <w:t xml:space="preserve"> Sun L, Zheng G, Liu S, Liu Z, Xu G, Guo M, Lian X, Fan D, Zhang H. Low lymphocyte-to-white blood cell ratio and high monocyte-to-white blood cell ratio predict poor prognosis in gastric cancer. </w:t>
      </w:r>
      <w:r w:rsidRPr="00E22F6A">
        <w:rPr>
          <w:rFonts w:ascii="Book Antiqua" w:hAnsi="Book Antiqua"/>
          <w:i/>
          <w:iCs/>
          <w:kern w:val="0"/>
          <w:sz w:val="24"/>
          <w:szCs w:val="24"/>
        </w:rPr>
        <w:t>Oncotarget</w:t>
      </w:r>
      <w:r w:rsidRPr="00E22F6A">
        <w:rPr>
          <w:rFonts w:ascii="Book Antiqua" w:hAnsi="Book Antiqua"/>
          <w:kern w:val="0"/>
          <w:sz w:val="24"/>
          <w:szCs w:val="24"/>
        </w:rPr>
        <w:t xml:space="preserve"> 2017; </w:t>
      </w:r>
      <w:r w:rsidRPr="00E22F6A">
        <w:rPr>
          <w:rFonts w:ascii="Book Antiqua" w:hAnsi="Book Antiqua"/>
          <w:b/>
          <w:bCs/>
          <w:kern w:val="0"/>
          <w:sz w:val="24"/>
          <w:szCs w:val="24"/>
        </w:rPr>
        <w:t>8</w:t>
      </w:r>
      <w:r w:rsidRPr="00E22F6A">
        <w:rPr>
          <w:rFonts w:ascii="Book Antiqua" w:hAnsi="Book Antiqua"/>
          <w:kern w:val="0"/>
          <w:sz w:val="24"/>
          <w:szCs w:val="24"/>
        </w:rPr>
        <w:t>: 5281-5291[PMID: 28029656 DOI: 10.18632/oncotarget.14136]</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65 </w:t>
      </w:r>
      <w:r w:rsidRPr="00E22F6A">
        <w:rPr>
          <w:rFonts w:ascii="Book Antiqua" w:hAnsi="Book Antiqua"/>
          <w:b/>
          <w:kern w:val="0"/>
          <w:sz w:val="24"/>
          <w:szCs w:val="24"/>
        </w:rPr>
        <w:t>Fock KM</w:t>
      </w:r>
      <w:r w:rsidRPr="00E22F6A">
        <w:rPr>
          <w:rFonts w:ascii="Book Antiqua" w:hAnsi="Book Antiqua"/>
          <w:kern w:val="0"/>
          <w:sz w:val="24"/>
          <w:szCs w:val="24"/>
        </w:rPr>
        <w:t xml:space="preserve">. Review article: the epidemiology and prevention of gastric cancer. </w:t>
      </w:r>
      <w:r w:rsidRPr="00E22F6A">
        <w:rPr>
          <w:rFonts w:ascii="Book Antiqua" w:hAnsi="Book Antiqua"/>
          <w:i/>
          <w:kern w:val="0"/>
          <w:sz w:val="24"/>
          <w:szCs w:val="24"/>
        </w:rPr>
        <w:t>Aliment Pharmacol Ther</w:t>
      </w:r>
      <w:r w:rsidRPr="00E22F6A">
        <w:rPr>
          <w:rFonts w:ascii="Book Antiqua" w:hAnsi="Book Antiqua"/>
          <w:kern w:val="0"/>
          <w:sz w:val="24"/>
          <w:szCs w:val="24"/>
        </w:rPr>
        <w:t xml:space="preserve"> 2014; </w:t>
      </w:r>
      <w:r w:rsidRPr="00E22F6A">
        <w:rPr>
          <w:rFonts w:ascii="Book Antiqua" w:hAnsi="Book Antiqua"/>
          <w:b/>
          <w:kern w:val="0"/>
          <w:sz w:val="24"/>
          <w:szCs w:val="24"/>
        </w:rPr>
        <w:t>40</w:t>
      </w:r>
      <w:r w:rsidRPr="00E22F6A">
        <w:rPr>
          <w:rFonts w:ascii="Book Antiqua" w:hAnsi="Book Antiqua"/>
          <w:kern w:val="0"/>
          <w:sz w:val="24"/>
          <w:szCs w:val="24"/>
        </w:rPr>
        <w:t>: 250-260 [PMID: 24912650 DOI: 10.1111/apt.12814]</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66 </w:t>
      </w:r>
      <w:r w:rsidRPr="00E22F6A">
        <w:rPr>
          <w:rFonts w:ascii="Book Antiqua" w:hAnsi="Book Antiqua"/>
          <w:b/>
          <w:kern w:val="0"/>
          <w:sz w:val="24"/>
          <w:szCs w:val="24"/>
        </w:rPr>
        <w:t>Brenkman HJ</w:t>
      </w:r>
      <w:r w:rsidRPr="00E22F6A">
        <w:rPr>
          <w:rFonts w:ascii="Book Antiqua" w:hAnsi="Book Antiqua"/>
          <w:kern w:val="0"/>
          <w:sz w:val="24"/>
          <w:szCs w:val="24"/>
        </w:rPr>
        <w:t xml:space="preserve">, Haverkamp L, Ruurda JP, van Hillegersberg R. Worldwide practice in gastric cancer surgery. </w:t>
      </w:r>
      <w:r w:rsidRPr="00E22F6A">
        <w:rPr>
          <w:rFonts w:ascii="Book Antiqua" w:hAnsi="Book Antiqua"/>
          <w:i/>
          <w:kern w:val="0"/>
          <w:sz w:val="24"/>
          <w:szCs w:val="24"/>
        </w:rPr>
        <w:t>World J Gastroenterol</w:t>
      </w:r>
      <w:r w:rsidRPr="00E22F6A">
        <w:rPr>
          <w:rFonts w:ascii="Book Antiqua" w:hAnsi="Book Antiqua"/>
          <w:kern w:val="0"/>
          <w:sz w:val="24"/>
          <w:szCs w:val="24"/>
        </w:rPr>
        <w:t xml:space="preserve"> 2016; </w:t>
      </w:r>
      <w:r w:rsidRPr="00E22F6A">
        <w:rPr>
          <w:rFonts w:ascii="Book Antiqua" w:hAnsi="Book Antiqua"/>
          <w:b/>
          <w:kern w:val="0"/>
          <w:sz w:val="24"/>
          <w:szCs w:val="24"/>
        </w:rPr>
        <w:t>22</w:t>
      </w:r>
      <w:r w:rsidRPr="00E22F6A">
        <w:rPr>
          <w:rFonts w:ascii="Book Antiqua" w:hAnsi="Book Antiqua"/>
          <w:kern w:val="0"/>
          <w:sz w:val="24"/>
          <w:szCs w:val="24"/>
        </w:rPr>
        <w:t>: 4041-4048 [PMID: 27099448 DOI: 10.3748/wjg.v22.i15.4041]</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67 </w:t>
      </w:r>
      <w:r w:rsidRPr="00E22F6A">
        <w:rPr>
          <w:rFonts w:ascii="Book Antiqua" w:hAnsi="Book Antiqua"/>
          <w:b/>
          <w:kern w:val="0"/>
          <w:sz w:val="24"/>
          <w:szCs w:val="24"/>
        </w:rPr>
        <w:t>Quigley DA</w:t>
      </w:r>
      <w:r w:rsidRPr="00E22F6A">
        <w:rPr>
          <w:rFonts w:ascii="Book Antiqua" w:hAnsi="Book Antiqua"/>
          <w:kern w:val="0"/>
          <w:sz w:val="24"/>
          <w:szCs w:val="24"/>
        </w:rPr>
        <w:t xml:space="preserve">, Kristensen V. Predicting prognosis and therapeutic response from interactions between lymphocytes and tumor cells. </w:t>
      </w:r>
      <w:r w:rsidRPr="00E22F6A">
        <w:rPr>
          <w:rFonts w:ascii="Book Antiqua" w:hAnsi="Book Antiqua"/>
          <w:i/>
          <w:kern w:val="0"/>
          <w:sz w:val="24"/>
          <w:szCs w:val="24"/>
        </w:rPr>
        <w:t>Mol Oncol</w:t>
      </w:r>
      <w:r w:rsidRPr="00E22F6A">
        <w:rPr>
          <w:rFonts w:ascii="Book Antiqua" w:hAnsi="Book Antiqua"/>
          <w:kern w:val="0"/>
          <w:sz w:val="24"/>
          <w:szCs w:val="24"/>
        </w:rPr>
        <w:t xml:space="preserve"> 2015; </w:t>
      </w:r>
      <w:r w:rsidRPr="00E22F6A">
        <w:rPr>
          <w:rFonts w:ascii="Book Antiqua" w:hAnsi="Book Antiqua"/>
          <w:b/>
          <w:kern w:val="0"/>
          <w:sz w:val="24"/>
          <w:szCs w:val="24"/>
        </w:rPr>
        <w:t>9</w:t>
      </w:r>
      <w:r w:rsidRPr="00E22F6A">
        <w:rPr>
          <w:rFonts w:ascii="Book Antiqua" w:hAnsi="Book Antiqua"/>
          <w:kern w:val="0"/>
          <w:sz w:val="24"/>
          <w:szCs w:val="24"/>
        </w:rPr>
        <w:t>: 2054-2062 [PMID: 26607741 DOI: 10.1016/j.molonc.2015.10.003]</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68 </w:t>
      </w:r>
      <w:r w:rsidRPr="00E22F6A">
        <w:rPr>
          <w:rFonts w:ascii="Book Antiqua" w:hAnsi="Book Antiqua"/>
          <w:b/>
          <w:kern w:val="0"/>
          <w:sz w:val="24"/>
          <w:szCs w:val="24"/>
        </w:rPr>
        <w:t>Ogino S</w:t>
      </w:r>
      <w:r w:rsidRPr="00E22F6A">
        <w:rPr>
          <w:rFonts w:ascii="Book Antiqua" w:hAnsi="Book Antiqua"/>
          <w:kern w:val="0"/>
          <w:sz w:val="24"/>
          <w:szCs w:val="24"/>
        </w:rPr>
        <w:t xml:space="preserve">, Chan AT, Fuchs CS, Giovannucci E. Molecular pathological epidemiology of colorectal neoplasia: an emerging transdisciplinary and interdisciplinary field. </w:t>
      </w:r>
      <w:r w:rsidRPr="00E22F6A">
        <w:rPr>
          <w:rFonts w:ascii="Book Antiqua" w:hAnsi="Book Antiqua"/>
          <w:i/>
          <w:kern w:val="0"/>
          <w:sz w:val="24"/>
          <w:szCs w:val="24"/>
        </w:rPr>
        <w:t>Gut</w:t>
      </w:r>
      <w:r w:rsidRPr="00E22F6A">
        <w:rPr>
          <w:rFonts w:ascii="Book Antiqua" w:hAnsi="Book Antiqua"/>
          <w:kern w:val="0"/>
          <w:sz w:val="24"/>
          <w:szCs w:val="24"/>
        </w:rPr>
        <w:t xml:space="preserve"> 2011; </w:t>
      </w:r>
      <w:r w:rsidRPr="00E22F6A">
        <w:rPr>
          <w:rFonts w:ascii="Book Antiqua" w:hAnsi="Book Antiqua"/>
          <w:b/>
          <w:kern w:val="0"/>
          <w:sz w:val="24"/>
          <w:szCs w:val="24"/>
        </w:rPr>
        <w:t>60</w:t>
      </w:r>
      <w:r w:rsidRPr="00E22F6A">
        <w:rPr>
          <w:rFonts w:ascii="Book Antiqua" w:hAnsi="Book Antiqua"/>
          <w:kern w:val="0"/>
          <w:sz w:val="24"/>
          <w:szCs w:val="24"/>
        </w:rPr>
        <w:t>: 397-411 [PMID: 21036793 DOI: 10.1136/gut.2010.217182]</w:t>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kern w:val="0"/>
          <w:sz w:val="24"/>
          <w:szCs w:val="24"/>
        </w:rPr>
        <w:t xml:space="preserve">69 </w:t>
      </w:r>
      <w:r w:rsidRPr="00E22F6A">
        <w:rPr>
          <w:rFonts w:ascii="Book Antiqua" w:hAnsi="Book Antiqua"/>
          <w:b/>
          <w:kern w:val="0"/>
          <w:sz w:val="24"/>
          <w:szCs w:val="24"/>
        </w:rPr>
        <w:t>Ogino S</w:t>
      </w:r>
      <w:r w:rsidRPr="00E22F6A">
        <w:rPr>
          <w:rFonts w:ascii="Book Antiqua" w:hAnsi="Book Antiqua"/>
          <w:kern w:val="0"/>
          <w:sz w:val="24"/>
          <w:szCs w:val="24"/>
        </w:rPr>
        <w:t xml:space="preserve">, Nowak JA, Hamada T, Milner DA Jr, Nishihara R. Insights into Pathogenic Interactions Among Environment, Host, and Tumor at the Crossroads of Molecular Pathology and Epidemiology. </w:t>
      </w:r>
      <w:r w:rsidRPr="00E22F6A">
        <w:rPr>
          <w:rFonts w:ascii="Book Antiqua" w:hAnsi="Book Antiqua"/>
          <w:i/>
          <w:kern w:val="0"/>
          <w:sz w:val="24"/>
          <w:szCs w:val="24"/>
        </w:rPr>
        <w:t>Annu Rev Pathol</w:t>
      </w:r>
      <w:r w:rsidRPr="00E22F6A">
        <w:rPr>
          <w:rFonts w:ascii="Book Antiqua" w:hAnsi="Book Antiqua"/>
          <w:kern w:val="0"/>
          <w:sz w:val="24"/>
          <w:szCs w:val="24"/>
        </w:rPr>
        <w:t xml:space="preserve"> 2019; </w:t>
      </w:r>
      <w:r w:rsidRPr="00E22F6A">
        <w:rPr>
          <w:rFonts w:ascii="Book Antiqua" w:hAnsi="Book Antiqua"/>
          <w:b/>
          <w:kern w:val="0"/>
          <w:sz w:val="24"/>
          <w:szCs w:val="24"/>
        </w:rPr>
        <w:t>14</w:t>
      </w:r>
      <w:r w:rsidRPr="00E22F6A">
        <w:rPr>
          <w:rFonts w:ascii="Book Antiqua" w:hAnsi="Book Antiqua"/>
          <w:kern w:val="0"/>
          <w:sz w:val="24"/>
          <w:szCs w:val="24"/>
        </w:rPr>
        <w:t>: 83-103 [PMID: 30125150 DOI: 10.1146/annurev-pathmechdis-012418-012818]</w:t>
      </w:r>
    </w:p>
    <w:bookmarkEnd w:id="113"/>
    <w:p w:rsidR="00866FCC" w:rsidRPr="00E22F6A" w:rsidRDefault="00866FCC">
      <w:pPr>
        <w:snapToGrid w:val="0"/>
        <w:spacing w:line="360" w:lineRule="auto"/>
        <w:rPr>
          <w:rFonts w:ascii="Book Antiqua" w:hAnsi="Book Antiqua"/>
          <w:b/>
          <w:bCs/>
          <w:kern w:val="0"/>
          <w:sz w:val="24"/>
          <w:szCs w:val="24"/>
        </w:rPr>
      </w:pPr>
    </w:p>
    <w:p w:rsidR="00866FCC" w:rsidRPr="00E22F6A" w:rsidRDefault="00866FCC">
      <w:pPr>
        <w:suppressAutoHyphens/>
        <w:snapToGrid w:val="0"/>
        <w:spacing w:line="360" w:lineRule="auto"/>
        <w:jc w:val="right"/>
        <w:rPr>
          <w:rFonts w:ascii="Book Antiqua" w:eastAsia="Lucida Sans Unicode" w:hAnsi="Book Antiqua" w:cs="Mangal"/>
          <w:b/>
          <w:bCs/>
          <w:kern w:val="0"/>
          <w:sz w:val="24"/>
          <w:szCs w:val="24"/>
          <w:lang w:eastAsia="hi-IN" w:bidi="hi-IN"/>
        </w:rPr>
      </w:pPr>
      <w:bookmarkStart w:id="120" w:name="OLE_LINK502"/>
      <w:bookmarkStart w:id="121" w:name="OLE_LINK480"/>
      <w:bookmarkStart w:id="122" w:name="_Hlk11831022"/>
      <w:bookmarkStart w:id="123" w:name="OLE_LINK2090"/>
      <w:bookmarkStart w:id="124" w:name="OLE_LINK2200"/>
      <w:bookmarkStart w:id="125" w:name="OLE_LINK2199"/>
      <w:bookmarkStart w:id="126" w:name="OLE_LINK2198"/>
      <w:bookmarkStart w:id="127" w:name="OLE_LINK2162"/>
      <w:bookmarkStart w:id="128" w:name="OLE_LINK1964"/>
      <w:bookmarkStart w:id="129" w:name="OLE_LINK1963"/>
      <w:bookmarkStart w:id="130" w:name="OLE_LINK1962"/>
      <w:bookmarkStart w:id="131" w:name="OLE_LINK1813"/>
      <w:bookmarkStart w:id="132" w:name="OLE_LINK1812"/>
      <w:bookmarkStart w:id="133" w:name="OLE_LINK1811"/>
      <w:bookmarkStart w:id="134" w:name="OLE_LINK1807"/>
      <w:bookmarkStart w:id="135" w:name="OLE_LINK1806"/>
      <w:bookmarkStart w:id="136" w:name="OLE_LINK1755"/>
      <w:bookmarkStart w:id="137" w:name="OLE_LINK1636"/>
      <w:bookmarkStart w:id="138" w:name="OLE_LINK1845"/>
      <w:bookmarkStart w:id="139" w:name="OLE_LINK1844"/>
      <w:bookmarkStart w:id="140" w:name="OLE_LINK1843"/>
      <w:bookmarkStart w:id="141" w:name="OLE_LINK1803"/>
      <w:bookmarkStart w:id="142" w:name="OLE_LINK1802"/>
      <w:bookmarkStart w:id="143" w:name="OLE_LINK1801"/>
      <w:bookmarkStart w:id="144" w:name="OLE_LINK1800"/>
      <w:bookmarkStart w:id="145" w:name="OLE_LINK1282"/>
      <w:bookmarkStart w:id="146" w:name="OLE_LINK1266"/>
      <w:bookmarkStart w:id="147" w:name="OLE_LINK1265"/>
      <w:bookmarkStart w:id="148" w:name="OLE_LINK1264"/>
      <w:bookmarkStart w:id="149" w:name="OLE_LINK1261"/>
      <w:bookmarkStart w:id="150" w:name="OLE_LINK1260"/>
      <w:bookmarkStart w:id="151" w:name="OLE_LINK968"/>
      <w:bookmarkStart w:id="152" w:name="OLE_LINK1072"/>
      <w:bookmarkStart w:id="153" w:name="OLE_LINK1071"/>
      <w:bookmarkStart w:id="154" w:name="OLE_LINK1044"/>
      <w:bookmarkStart w:id="155" w:name="OLE_LINK1043"/>
      <w:bookmarkStart w:id="156" w:name="OLE_LINK1042"/>
      <w:bookmarkStart w:id="157" w:name="OLE_LINK1041"/>
      <w:bookmarkStart w:id="158" w:name="OLE_LINK1040"/>
      <w:bookmarkStart w:id="159" w:name="OLE_LINK1039"/>
      <w:bookmarkStart w:id="160" w:name="OLE_LINK1038"/>
      <w:bookmarkStart w:id="161" w:name="OLE_LINK1037"/>
      <w:bookmarkStart w:id="162" w:name="OLE_LINK1036"/>
      <w:bookmarkStart w:id="163" w:name="OLE_LINK1035"/>
      <w:bookmarkStart w:id="164" w:name="OLE_LINK987"/>
      <w:bookmarkStart w:id="165" w:name="OLE_LINK947"/>
      <w:bookmarkStart w:id="166" w:name="OLE_LINK946"/>
      <w:bookmarkStart w:id="167" w:name="OLE_LINK945"/>
      <w:bookmarkStart w:id="168" w:name="OLE_LINK1127"/>
      <w:bookmarkStart w:id="169" w:name="OLE_LINK962"/>
      <w:bookmarkStart w:id="170" w:name="OLE_LINK959"/>
      <w:bookmarkStart w:id="171" w:name="OLE_LINK958"/>
      <w:bookmarkStart w:id="172" w:name="OLE_LINK1185"/>
      <w:bookmarkStart w:id="173" w:name="OLE_LINK1159"/>
      <w:bookmarkStart w:id="174" w:name="OLE_LINK1158"/>
      <w:bookmarkStart w:id="175" w:name="OLE_LINK1157"/>
      <w:bookmarkStart w:id="176" w:name="OLE_LINK1156"/>
      <w:bookmarkStart w:id="177" w:name="OLE_LINK1065"/>
      <w:bookmarkStart w:id="178" w:name="OLE_LINK1064"/>
      <w:bookmarkStart w:id="179" w:name="OLE_LINK1023"/>
      <w:bookmarkStart w:id="180" w:name="OLE_LINK1022"/>
      <w:bookmarkStart w:id="181" w:name="OLE_LINK1021"/>
      <w:bookmarkStart w:id="182" w:name="OLE_LINK2183"/>
      <w:bookmarkStart w:id="183" w:name="OLE_LINK2182"/>
      <w:bookmarkStart w:id="184" w:name="OLE_LINK2181"/>
      <w:r w:rsidRPr="00E22F6A">
        <w:rPr>
          <w:rFonts w:ascii="Book Antiqua" w:eastAsia="Lucida Sans Unicode" w:hAnsi="Book Antiqua" w:cs="Arial"/>
          <w:b/>
          <w:kern w:val="0"/>
          <w:sz w:val="24"/>
          <w:szCs w:val="24"/>
          <w:lang w:eastAsia="hi-IN" w:bidi="hi-IN"/>
        </w:rPr>
        <w:t>P-Reviewer</w:t>
      </w:r>
      <w:r w:rsidRPr="00E22F6A">
        <w:rPr>
          <w:rFonts w:ascii="Book Antiqua" w:hAnsi="Book Antiqua" w:cs="Arial"/>
          <w:b/>
          <w:kern w:val="0"/>
          <w:sz w:val="24"/>
          <w:szCs w:val="24"/>
          <w:lang w:val="en-US" w:eastAsia="zh-CN" w:bidi="hi-IN"/>
        </w:rPr>
        <w:t>:</w:t>
      </w:r>
      <w:r w:rsidRPr="00E22F6A">
        <w:rPr>
          <w:rFonts w:ascii="Book Antiqua" w:eastAsia="Lucida Sans Unicode" w:hAnsi="Book Antiqua" w:cs="Mangal"/>
          <w:bCs/>
          <w:kern w:val="0"/>
          <w:sz w:val="24"/>
          <w:szCs w:val="24"/>
          <w:lang w:eastAsia="hi-IN" w:bidi="hi-IN"/>
        </w:rPr>
        <w:t xml:space="preserve"> </w:t>
      </w:r>
      <w:r w:rsidRPr="00E22F6A">
        <w:rPr>
          <w:rFonts w:ascii="Book Antiqua" w:hAnsi="Book Antiqua"/>
          <w:kern w:val="0"/>
          <w:sz w:val="24"/>
          <w:szCs w:val="24"/>
        </w:rPr>
        <w:t>Jeong KY, Ogino S</w:t>
      </w:r>
      <w:r w:rsidRPr="00E22F6A">
        <w:rPr>
          <w:rFonts w:ascii="Book Antiqua" w:eastAsia="Lucida Sans Unicode" w:hAnsi="Book Antiqua" w:cs="Mangal"/>
          <w:bCs/>
          <w:kern w:val="0"/>
          <w:sz w:val="24"/>
          <w:szCs w:val="24"/>
          <w:lang w:eastAsia="hi-IN" w:bidi="hi-IN"/>
        </w:rPr>
        <w:t xml:space="preserve"> </w:t>
      </w:r>
      <w:r w:rsidRPr="00E22F6A">
        <w:rPr>
          <w:rFonts w:ascii="Book Antiqua" w:eastAsia="Lucida Sans Unicode" w:hAnsi="Book Antiqua" w:cs="Mangal"/>
          <w:b/>
          <w:bCs/>
          <w:kern w:val="0"/>
          <w:sz w:val="24"/>
          <w:szCs w:val="24"/>
          <w:lang w:eastAsia="hi-IN" w:bidi="hi-IN"/>
        </w:rPr>
        <w:t>S-Editor</w:t>
      </w:r>
      <w:r w:rsidRPr="00E22F6A">
        <w:rPr>
          <w:rFonts w:ascii="Book Antiqua" w:hAnsi="Book Antiqua" w:cs="Mangal"/>
          <w:b/>
          <w:bCs/>
          <w:kern w:val="0"/>
          <w:sz w:val="24"/>
          <w:szCs w:val="24"/>
          <w:lang w:bidi="hi-IN"/>
        </w:rPr>
        <w:t>:</w:t>
      </w:r>
      <w:r w:rsidRPr="00E22F6A">
        <w:rPr>
          <w:rFonts w:ascii="Book Antiqua" w:eastAsia="Lucida Sans Unicode" w:hAnsi="Book Antiqua" w:cs="Mangal"/>
          <w:bCs/>
          <w:kern w:val="0"/>
          <w:sz w:val="24"/>
          <w:szCs w:val="24"/>
          <w:lang w:eastAsia="hi-IN" w:bidi="hi-IN"/>
        </w:rPr>
        <w:t xml:space="preserve"> </w:t>
      </w:r>
      <w:r w:rsidRPr="00E22F6A">
        <w:rPr>
          <w:rFonts w:ascii="Book Antiqua" w:hAnsi="Book Antiqua" w:cs="Mangal"/>
          <w:bCs/>
          <w:kern w:val="0"/>
          <w:sz w:val="24"/>
          <w:szCs w:val="24"/>
          <w:lang w:bidi="hi-IN"/>
        </w:rPr>
        <w:t>Dou Y</w:t>
      </w:r>
      <w:r w:rsidRPr="00E22F6A">
        <w:rPr>
          <w:rFonts w:ascii="Book Antiqua" w:eastAsia="Lucida Sans Unicode" w:hAnsi="Book Antiqua" w:cs="Mangal"/>
          <w:b/>
          <w:bCs/>
          <w:kern w:val="0"/>
          <w:sz w:val="24"/>
          <w:szCs w:val="24"/>
          <w:lang w:eastAsia="hi-IN" w:bidi="hi-IN"/>
        </w:rPr>
        <w:t xml:space="preserve"> </w:t>
      </w:r>
    </w:p>
    <w:p w:rsidR="00866FCC" w:rsidRPr="00E22F6A" w:rsidRDefault="00866FCC" w:rsidP="00271983">
      <w:pPr>
        <w:suppressAutoHyphens/>
        <w:wordWrap w:val="0"/>
        <w:snapToGrid w:val="0"/>
        <w:spacing w:line="360" w:lineRule="auto"/>
        <w:jc w:val="right"/>
        <w:rPr>
          <w:rFonts w:ascii="Book Antiqua" w:hAnsi="Book Antiqua" w:cs="Mangal"/>
          <w:b/>
          <w:bCs/>
          <w:kern w:val="0"/>
          <w:sz w:val="24"/>
          <w:szCs w:val="24"/>
          <w:lang w:bidi="hi-IN"/>
        </w:rPr>
      </w:pPr>
      <w:r w:rsidRPr="00E22F6A">
        <w:rPr>
          <w:rFonts w:ascii="Book Antiqua" w:eastAsia="Lucida Sans Unicode" w:hAnsi="Book Antiqua" w:cs="Mangal"/>
          <w:b/>
          <w:bCs/>
          <w:kern w:val="0"/>
          <w:sz w:val="24"/>
          <w:szCs w:val="24"/>
          <w:lang w:eastAsia="hi-IN" w:bidi="hi-IN"/>
        </w:rPr>
        <w:t>L-Editor</w:t>
      </w:r>
      <w:r w:rsidRPr="00E22F6A">
        <w:rPr>
          <w:rFonts w:ascii="Book Antiqua" w:hAnsi="Book Antiqua" w:cs="Mangal"/>
          <w:b/>
          <w:bCs/>
          <w:kern w:val="0"/>
          <w:sz w:val="24"/>
          <w:szCs w:val="24"/>
          <w:lang w:bidi="hi-IN"/>
        </w:rPr>
        <w:t>:</w:t>
      </w:r>
      <w:r w:rsidRPr="00E22F6A">
        <w:rPr>
          <w:rFonts w:ascii="Book Antiqua" w:eastAsia="Lucida Sans Unicode" w:hAnsi="Book Antiqua" w:cs="Mangal"/>
          <w:b/>
          <w:bCs/>
          <w:kern w:val="0"/>
          <w:sz w:val="24"/>
          <w:szCs w:val="24"/>
          <w:lang w:eastAsia="hi-IN" w:bidi="hi-IN"/>
        </w:rPr>
        <w:t xml:space="preserve"> </w:t>
      </w:r>
      <w:r w:rsidRPr="00E22F6A">
        <w:rPr>
          <w:rFonts w:ascii="Book Antiqua" w:eastAsia="Lucida Sans Unicode" w:hAnsi="Book Antiqua" w:cs="Mangal"/>
          <w:bCs/>
          <w:kern w:val="0"/>
          <w:sz w:val="24"/>
          <w:szCs w:val="24"/>
          <w:lang w:eastAsia="hi-IN" w:bidi="hi-IN"/>
        </w:rPr>
        <w:t xml:space="preserve">Filipodia </w:t>
      </w:r>
      <w:r w:rsidRPr="00E22F6A">
        <w:rPr>
          <w:rFonts w:ascii="Book Antiqua" w:eastAsia="Lucida Sans Unicode" w:hAnsi="Book Antiqua" w:cs="Mangal"/>
          <w:b/>
          <w:bCs/>
          <w:kern w:val="0"/>
          <w:sz w:val="24"/>
          <w:szCs w:val="24"/>
          <w:lang w:eastAsia="hi-IN" w:bidi="hi-IN"/>
        </w:rPr>
        <w:t>E-Editor</w:t>
      </w:r>
      <w:r w:rsidRPr="00E22F6A">
        <w:rPr>
          <w:rFonts w:ascii="Book Antiqua" w:hAnsi="Book Antiqua" w:cs="Mangal"/>
          <w:b/>
          <w:bCs/>
          <w:kern w:val="0"/>
          <w:sz w:val="24"/>
          <w:szCs w:val="24"/>
          <w:lang w:bidi="hi-IN"/>
        </w:rPr>
        <w:t>:</w:t>
      </w:r>
      <w:r w:rsidR="00271983" w:rsidRPr="00E22F6A">
        <w:rPr>
          <w:rFonts w:ascii="Book Antiqua" w:hAnsi="Book Antiqua" w:cs="Mangal" w:hint="eastAsia"/>
          <w:b/>
          <w:bCs/>
          <w:kern w:val="0"/>
          <w:sz w:val="24"/>
          <w:szCs w:val="24"/>
          <w:lang w:bidi="hi-IN"/>
        </w:rPr>
        <w:t xml:space="preserve"> </w:t>
      </w:r>
      <w:r w:rsidR="00271983" w:rsidRPr="00E22F6A">
        <w:rPr>
          <w:rFonts w:ascii="Book Antiqua" w:hAnsi="Book Antiqua" w:cs="Mangal" w:hint="eastAsia"/>
          <w:bCs/>
          <w:kern w:val="0"/>
          <w:sz w:val="24"/>
          <w:szCs w:val="24"/>
          <w:lang w:bidi="hi-IN"/>
        </w:rPr>
        <w:t>Qi LL</w:t>
      </w:r>
    </w:p>
    <w:p w:rsidR="00866FCC" w:rsidRPr="00E22F6A" w:rsidRDefault="00866FCC">
      <w:pPr>
        <w:shd w:val="clear" w:color="auto" w:fill="FFFFFF"/>
        <w:snapToGrid w:val="0"/>
        <w:spacing w:line="360" w:lineRule="auto"/>
        <w:rPr>
          <w:rFonts w:ascii="Book Antiqua" w:hAnsi="Book Antiqua" w:cs="Helvetica"/>
          <w:b/>
          <w:kern w:val="0"/>
          <w:sz w:val="24"/>
          <w:szCs w:val="24"/>
        </w:rPr>
      </w:pPr>
      <w:r w:rsidRPr="00E22F6A">
        <w:rPr>
          <w:rFonts w:ascii="Book Antiqua" w:hAnsi="Book Antiqua" w:cs="Helvetica"/>
          <w:b/>
          <w:kern w:val="0"/>
          <w:sz w:val="24"/>
          <w:szCs w:val="24"/>
        </w:rPr>
        <w:t xml:space="preserve">Specialty type: </w:t>
      </w:r>
      <w:r w:rsidRPr="00E22F6A">
        <w:rPr>
          <w:rFonts w:ascii="Book Antiqua" w:eastAsia="Microsoft YaHei" w:hAnsi="Book Antiqua" w:cs="宋体"/>
          <w:kern w:val="0"/>
          <w:sz w:val="24"/>
          <w:szCs w:val="24"/>
        </w:rPr>
        <w:t>Medicine, research and experimental</w:t>
      </w:r>
    </w:p>
    <w:p w:rsidR="00866FCC" w:rsidRPr="00E22F6A" w:rsidRDefault="00866FCC">
      <w:pPr>
        <w:shd w:val="clear" w:color="auto" w:fill="FFFFFF"/>
        <w:snapToGrid w:val="0"/>
        <w:spacing w:line="360" w:lineRule="auto"/>
        <w:rPr>
          <w:rFonts w:ascii="Book Antiqua" w:hAnsi="Book Antiqua" w:cs="Helvetica"/>
          <w:kern w:val="0"/>
          <w:sz w:val="24"/>
          <w:szCs w:val="24"/>
        </w:rPr>
      </w:pPr>
      <w:r w:rsidRPr="00E22F6A">
        <w:rPr>
          <w:rFonts w:ascii="Book Antiqua" w:hAnsi="Book Antiqua" w:cs="Helvetica"/>
          <w:b/>
          <w:kern w:val="0"/>
          <w:sz w:val="24"/>
          <w:szCs w:val="24"/>
        </w:rPr>
        <w:t xml:space="preserve">Country of origin: </w:t>
      </w:r>
      <w:r w:rsidRPr="00E22F6A">
        <w:rPr>
          <w:rFonts w:ascii="Book Antiqua" w:hAnsi="Book Antiqua" w:cs="Helvetica"/>
          <w:kern w:val="0"/>
          <w:sz w:val="24"/>
          <w:szCs w:val="24"/>
        </w:rPr>
        <w:t>China</w:t>
      </w:r>
    </w:p>
    <w:p w:rsidR="00866FCC" w:rsidRPr="00E22F6A" w:rsidRDefault="00866FCC">
      <w:pPr>
        <w:shd w:val="clear" w:color="auto" w:fill="FFFFFF"/>
        <w:snapToGrid w:val="0"/>
        <w:spacing w:line="360" w:lineRule="auto"/>
        <w:rPr>
          <w:rFonts w:ascii="Book Antiqua" w:hAnsi="Book Antiqua" w:cs="Helvetica"/>
          <w:b/>
          <w:kern w:val="0"/>
          <w:sz w:val="24"/>
          <w:szCs w:val="24"/>
        </w:rPr>
      </w:pPr>
      <w:r w:rsidRPr="00E22F6A">
        <w:rPr>
          <w:rFonts w:ascii="Book Antiqua" w:hAnsi="Book Antiqua" w:cs="Helvetica"/>
          <w:b/>
          <w:kern w:val="0"/>
          <w:sz w:val="24"/>
          <w:szCs w:val="24"/>
        </w:rPr>
        <w:t>Peer-review report classification</w:t>
      </w:r>
    </w:p>
    <w:p w:rsidR="00866FCC" w:rsidRPr="00E22F6A" w:rsidRDefault="00866FCC">
      <w:pPr>
        <w:shd w:val="clear" w:color="auto" w:fill="FFFFFF"/>
        <w:snapToGrid w:val="0"/>
        <w:spacing w:line="360" w:lineRule="auto"/>
        <w:rPr>
          <w:rFonts w:ascii="Book Antiqua" w:hAnsi="Book Antiqua" w:cs="Helvetica"/>
          <w:kern w:val="0"/>
          <w:sz w:val="24"/>
          <w:szCs w:val="24"/>
        </w:rPr>
      </w:pPr>
      <w:r w:rsidRPr="00E22F6A">
        <w:rPr>
          <w:rFonts w:ascii="Book Antiqua" w:hAnsi="Book Antiqua" w:cs="Helvetica"/>
          <w:kern w:val="0"/>
          <w:sz w:val="24"/>
          <w:szCs w:val="24"/>
        </w:rPr>
        <w:t>Grade A (Excellent): 0</w:t>
      </w:r>
    </w:p>
    <w:p w:rsidR="00866FCC" w:rsidRPr="00E22F6A" w:rsidRDefault="00866FCC">
      <w:pPr>
        <w:shd w:val="clear" w:color="auto" w:fill="FFFFFF"/>
        <w:snapToGrid w:val="0"/>
        <w:spacing w:line="360" w:lineRule="auto"/>
        <w:rPr>
          <w:rFonts w:ascii="Book Antiqua" w:hAnsi="Book Antiqua" w:cs="Helvetica"/>
          <w:kern w:val="0"/>
          <w:sz w:val="24"/>
          <w:szCs w:val="24"/>
        </w:rPr>
      </w:pPr>
      <w:r w:rsidRPr="00E22F6A">
        <w:rPr>
          <w:rFonts w:ascii="Book Antiqua" w:hAnsi="Book Antiqua" w:cs="Helvetica"/>
          <w:kern w:val="0"/>
          <w:sz w:val="24"/>
          <w:szCs w:val="24"/>
        </w:rPr>
        <w:t>Grade B (Very good): B</w:t>
      </w:r>
    </w:p>
    <w:p w:rsidR="00866FCC" w:rsidRPr="00E22F6A" w:rsidRDefault="00866FCC">
      <w:pPr>
        <w:shd w:val="clear" w:color="auto" w:fill="FFFFFF"/>
        <w:snapToGrid w:val="0"/>
        <w:spacing w:line="360" w:lineRule="auto"/>
        <w:rPr>
          <w:rFonts w:ascii="Book Antiqua" w:hAnsi="Book Antiqua" w:cs="Helvetica"/>
          <w:kern w:val="0"/>
          <w:sz w:val="24"/>
          <w:szCs w:val="24"/>
        </w:rPr>
      </w:pPr>
      <w:r w:rsidRPr="00E22F6A">
        <w:rPr>
          <w:rFonts w:ascii="Book Antiqua" w:hAnsi="Book Antiqua" w:cs="Helvetica"/>
          <w:kern w:val="0"/>
          <w:sz w:val="24"/>
          <w:szCs w:val="24"/>
        </w:rPr>
        <w:t>Grade C (Good): C</w:t>
      </w:r>
    </w:p>
    <w:p w:rsidR="00866FCC" w:rsidRPr="00E22F6A" w:rsidRDefault="00866FCC">
      <w:pPr>
        <w:shd w:val="clear" w:color="auto" w:fill="FFFFFF"/>
        <w:snapToGrid w:val="0"/>
        <w:spacing w:line="360" w:lineRule="auto"/>
        <w:rPr>
          <w:rFonts w:ascii="Book Antiqua" w:hAnsi="Book Antiqua" w:cs="Helvetica"/>
          <w:kern w:val="0"/>
          <w:sz w:val="24"/>
          <w:szCs w:val="24"/>
        </w:rPr>
      </w:pPr>
      <w:r w:rsidRPr="00E22F6A">
        <w:rPr>
          <w:rFonts w:ascii="Book Antiqua" w:hAnsi="Book Antiqua" w:cs="Helvetica"/>
          <w:kern w:val="0"/>
          <w:sz w:val="24"/>
          <w:szCs w:val="24"/>
        </w:rPr>
        <w:t xml:space="preserve">Grade D (Fair): </w:t>
      </w:r>
      <w:bookmarkEnd w:id="120"/>
      <w:bookmarkEnd w:id="121"/>
      <w:r w:rsidRPr="00E22F6A">
        <w:rPr>
          <w:rFonts w:ascii="Book Antiqua" w:hAnsi="Book Antiqua" w:cs="Helvetica"/>
          <w:kern w:val="0"/>
          <w:sz w:val="24"/>
          <w:szCs w:val="24"/>
        </w:rPr>
        <w:t>0</w:t>
      </w:r>
    </w:p>
    <w:p w:rsidR="00866FCC" w:rsidRPr="00E22F6A" w:rsidRDefault="00866FCC">
      <w:pPr>
        <w:shd w:val="clear" w:color="auto" w:fill="FFFFFF"/>
        <w:snapToGrid w:val="0"/>
        <w:spacing w:line="360" w:lineRule="auto"/>
        <w:rPr>
          <w:rFonts w:ascii="Book Antiqua" w:hAnsi="Book Antiqua" w:cs="Helvetica"/>
          <w:kern w:val="0"/>
          <w:sz w:val="24"/>
          <w:szCs w:val="24"/>
        </w:rPr>
      </w:pPr>
      <w:r w:rsidRPr="00E22F6A">
        <w:rPr>
          <w:rFonts w:ascii="Book Antiqua" w:hAnsi="Book Antiqua" w:cs="Helvetica"/>
          <w:kern w:val="0"/>
          <w:sz w:val="24"/>
          <w:szCs w:val="24"/>
        </w:rPr>
        <w:t>Grade E (Poor): 0</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b/>
          <w:bCs/>
          <w:kern w:val="0"/>
          <w:sz w:val="24"/>
          <w:szCs w:val="24"/>
        </w:rPr>
        <w:br w:type="page"/>
      </w:r>
      <w:r w:rsidR="00512519">
        <w:rPr>
          <w:rFonts w:ascii="Book Antiqua" w:hAnsi="Book Antiqua"/>
          <w:noProof/>
          <w:kern w:val="0"/>
          <w:sz w:val="24"/>
          <w:szCs w:val="24"/>
        </w:rPr>
        <w:drawing>
          <wp:inline distT="0" distB="0" distL="0" distR="0">
            <wp:extent cx="3821430" cy="8127365"/>
            <wp:effectExtent l="0" t="0" r="7620" b="6985"/>
            <wp:docPr id="1" name="图片 1" descr="C:\Users\Administrator\Desktop\Flow diagram (bl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Desktop\Flow diagram (blan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21430" cy="8127365"/>
                    </a:xfrm>
                    <a:prstGeom prst="rect">
                      <a:avLst/>
                    </a:prstGeom>
                    <a:noFill/>
                    <a:ln>
                      <a:noFill/>
                    </a:ln>
                    <a:effectLst/>
                  </pic:spPr>
                </pic:pic>
              </a:graphicData>
            </a:graphic>
          </wp:inline>
        </w:drawing>
      </w:r>
    </w:p>
    <w:p w:rsidR="00866FCC" w:rsidRPr="00E22F6A" w:rsidRDefault="00866FCC">
      <w:pPr>
        <w:snapToGrid w:val="0"/>
        <w:spacing w:line="360" w:lineRule="auto"/>
        <w:rPr>
          <w:rFonts w:ascii="Book Antiqua" w:hAnsi="Book Antiqua" w:cs="Times New Roman"/>
          <w:b/>
          <w:bCs/>
          <w:kern w:val="0"/>
          <w:sz w:val="24"/>
          <w:szCs w:val="24"/>
        </w:rPr>
      </w:pPr>
      <w:r w:rsidRPr="00E22F6A">
        <w:rPr>
          <w:rFonts w:ascii="Book Antiqua" w:hAnsi="Book Antiqua" w:cs="Times New Roman"/>
          <w:b/>
          <w:bCs/>
          <w:kern w:val="0"/>
          <w:sz w:val="24"/>
          <w:szCs w:val="24"/>
        </w:rPr>
        <w:t xml:space="preserve">Figure 1 </w:t>
      </w:r>
      <w:r w:rsidRPr="00E22F6A">
        <w:rPr>
          <w:rFonts w:ascii="Book Antiqua" w:hAnsi="Book Antiqua"/>
          <w:b/>
          <w:bCs/>
          <w:kern w:val="0"/>
          <w:sz w:val="24"/>
          <w:szCs w:val="24"/>
        </w:rPr>
        <w:t xml:space="preserve">Flow chart of the </w:t>
      </w:r>
      <w:r w:rsidRPr="00E22F6A">
        <w:rPr>
          <w:rFonts w:ascii="Book Antiqua" w:hAnsi="Book Antiqua" w:cs="Times New Roman"/>
          <w:b/>
          <w:bCs/>
          <w:kern w:val="0"/>
          <w:sz w:val="24"/>
          <w:szCs w:val="24"/>
        </w:rPr>
        <w:t>12 articles that met the inclusion criteria.</w:t>
      </w:r>
    </w:p>
    <w:p w:rsidR="00866FCC" w:rsidRPr="00E22F6A" w:rsidRDefault="00866FCC">
      <w:pPr>
        <w:snapToGrid w:val="0"/>
        <w:spacing w:line="360" w:lineRule="auto"/>
        <w:rPr>
          <w:rFonts w:ascii="Book Antiqua" w:hAnsi="Book Antiqua" w:cs="Times New Roman"/>
          <w:b/>
          <w:bCs/>
          <w:kern w:val="0"/>
          <w:sz w:val="24"/>
          <w:szCs w:val="24"/>
        </w:rPr>
      </w:pPr>
      <w:r w:rsidRPr="00E22F6A">
        <w:rPr>
          <w:rFonts w:ascii="Book Antiqua" w:hAnsi="Book Antiqua" w:cs="Times New Roman"/>
          <w:b/>
          <w:bCs/>
          <w:kern w:val="0"/>
          <w:sz w:val="24"/>
          <w:szCs w:val="24"/>
        </w:rPr>
        <w:br w:type="page"/>
      </w:r>
      <w:r w:rsidR="00512519">
        <w:rPr>
          <w:rFonts w:ascii="Book Antiqua" w:hAnsi="Book Antiqua"/>
          <w:noProof/>
          <w:kern w:val="0"/>
          <w:sz w:val="24"/>
          <w:szCs w:val="24"/>
        </w:rPr>
        <w:drawing>
          <wp:inline distT="0" distB="0" distL="0" distR="0">
            <wp:extent cx="5274945" cy="7014845"/>
            <wp:effectExtent l="0" t="0" r="1905" b="0"/>
            <wp:docPr id="2" name="图片 4"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包含 文字&#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945" cy="7014845"/>
                    </a:xfrm>
                    <a:prstGeom prst="rect">
                      <a:avLst/>
                    </a:prstGeom>
                    <a:noFill/>
                    <a:ln>
                      <a:noFill/>
                    </a:ln>
                    <a:effectLst/>
                  </pic:spPr>
                </pic:pic>
              </a:graphicData>
            </a:graphic>
          </wp:inline>
        </w:drawing>
      </w:r>
    </w:p>
    <w:p w:rsidR="00866FCC" w:rsidRPr="00E22F6A" w:rsidRDefault="00866FCC">
      <w:pPr>
        <w:snapToGrid w:val="0"/>
        <w:spacing w:line="360" w:lineRule="auto"/>
        <w:rPr>
          <w:rFonts w:ascii="Book Antiqua" w:hAnsi="Book Antiqua"/>
          <w:kern w:val="0"/>
          <w:sz w:val="24"/>
          <w:szCs w:val="24"/>
        </w:rPr>
      </w:pPr>
      <w:r w:rsidRPr="00E22F6A">
        <w:rPr>
          <w:rFonts w:ascii="Book Antiqua" w:hAnsi="Book Antiqua" w:cs="Times New Roman"/>
          <w:b/>
          <w:bCs/>
          <w:kern w:val="0"/>
          <w:sz w:val="24"/>
          <w:szCs w:val="24"/>
        </w:rPr>
        <w:t>Figure 2 The combined analysis.</w:t>
      </w:r>
      <w:r w:rsidRPr="00E22F6A">
        <w:rPr>
          <w:rFonts w:ascii="Book Antiqua" w:hAnsi="Book Antiqua"/>
          <w:b/>
          <w:bCs/>
          <w:kern w:val="0"/>
          <w:sz w:val="24"/>
          <w:szCs w:val="24"/>
        </w:rPr>
        <w:t xml:space="preserve"> </w:t>
      </w:r>
      <w:r w:rsidRPr="00E22F6A">
        <w:rPr>
          <w:rFonts w:ascii="Book Antiqua" w:hAnsi="Book Antiqua"/>
          <w:kern w:val="0"/>
          <w:sz w:val="24"/>
          <w:szCs w:val="24"/>
        </w:rPr>
        <w:t xml:space="preserve">A: </w:t>
      </w:r>
      <w:r w:rsidRPr="00E22F6A">
        <w:rPr>
          <w:rFonts w:ascii="Book Antiqua" w:hAnsi="Book Antiqua" w:cs="Times New Roman"/>
          <w:kern w:val="0"/>
          <w:sz w:val="24"/>
          <w:szCs w:val="24"/>
        </w:rPr>
        <w:t xml:space="preserve">The capecitabine plus oxaliplatin (XELOX) group had longer </w:t>
      </w:r>
      <w:r w:rsidRPr="00E22F6A">
        <w:rPr>
          <w:rFonts w:ascii="Book Antiqua" w:hAnsi="Book Antiqua"/>
          <w:kern w:val="0"/>
          <w:sz w:val="24"/>
          <w:szCs w:val="24"/>
        </w:rPr>
        <w:t>overall survival</w:t>
      </w:r>
      <w:r w:rsidRPr="00E22F6A">
        <w:rPr>
          <w:rFonts w:ascii="Book Antiqua" w:hAnsi="Book Antiqua" w:cs="Times New Roman"/>
          <w:kern w:val="0"/>
          <w:sz w:val="24"/>
          <w:szCs w:val="24"/>
        </w:rPr>
        <w:t xml:space="preserve"> compared with other chemotherapy groups</w:t>
      </w:r>
      <w:r w:rsidRPr="00E22F6A">
        <w:rPr>
          <w:rFonts w:ascii="Book Antiqua" w:hAnsi="Book Antiqua"/>
          <w:kern w:val="0"/>
          <w:sz w:val="24"/>
          <w:szCs w:val="24"/>
        </w:rPr>
        <w:t xml:space="preserve">; B: </w:t>
      </w:r>
      <w:r w:rsidRPr="00E22F6A">
        <w:rPr>
          <w:rFonts w:ascii="Book Antiqua" w:hAnsi="Book Antiqua" w:cs="Times New Roman"/>
          <w:kern w:val="0"/>
          <w:sz w:val="24"/>
          <w:szCs w:val="24"/>
        </w:rPr>
        <w:t xml:space="preserve">The XELOX group had longer </w:t>
      </w:r>
      <w:r w:rsidRPr="00E22F6A">
        <w:rPr>
          <w:rFonts w:ascii="Book Antiqua" w:hAnsi="Book Antiqua"/>
          <w:kern w:val="0"/>
          <w:sz w:val="24"/>
          <w:szCs w:val="24"/>
        </w:rPr>
        <w:t>disease-free survival</w:t>
      </w:r>
      <w:r w:rsidRPr="00E22F6A">
        <w:rPr>
          <w:rFonts w:ascii="Book Antiqua" w:hAnsi="Book Antiqua" w:cs="Times New Roman"/>
          <w:kern w:val="0"/>
          <w:sz w:val="24"/>
          <w:szCs w:val="24"/>
        </w:rPr>
        <w:t xml:space="preserve"> compared with other chemotherapy groups</w:t>
      </w:r>
      <w:r w:rsidRPr="00E22F6A">
        <w:rPr>
          <w:rFonts w:ascii="Book Antiqua" w:hAnsi="Book Antiqua"/>
          <w:kern w:val="0"/>
          <w:sz w:val="24"/>
          <w:szCs w:val="24"/>
        </w:rPr>
        <w:t>.</w:t>
      </w:r>
      <w:r w:rsidRPr="00E22F6A">
        <w:rPr>
          <w:rFonts w:ascii="Book Antiqua" w:hAnsi="Book Antiqua"/>
          <w:kern w:val="0"/>
          <w:sz w:val="24"/>
          <w:szCs w:val="24"/>
        </w:rPr>
        <w:br w:type="page"/>
      </w:r>
      <w:r w:rsidR="00512519">
        <w:rPr>
          <w:rFonts w:ascii="Book Antiqua" w:hAnsi="Book Antiqua"/>
          <w:noProof/>
          <w:kern w:val="0"/>
          <w:sz w:val="24"/>
          <w:szCs w:val="24"/>
        </w:rPr>
        <w:drawing>
          <wp:inline distT="0" distB="0" distL="0" distR="0">
            <wp:extent cx="5274945" cy="7014845"/>
            <wp:effectExtent l="0" t="0" r="1905" b="0"/>
            <wp:docPr id="3" name="图片 5"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图片包含 文字&#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945" cy="7014845"/>
                    </a:xfrm>
                    <a:prstGeom prst="rect">
                      <a:avLst/>
                    </a:prstGeom>
                    <a:noFill/>
                    <a:ln>
                      <a:noFill/>
                    </a:ln>
                  </pic:spPr>
                </pic:pic>
              </a:graphicData>
            </a:graphic>
          </wp:inline>
        </w:drawing>
      </w:r>
    </w:p>
    <w:p w:rsidR="00866FCC" w:rsidRPr="00E22F6A" w:rsidRDefault="00866FCC">
      <w:pPr>
        <w:snapToGrid w:val="0"/>
        <w:spacing w:line="360" w:lineRule="auto"/>
        <w:rPr>
          <w:rFonts w:ascii="Book Antiqua" w:hAnsi="Book Antiqua"/>
          <w:b/>
          <w:bCs/>
          <w:kern w:val="0"/>
          <w:sz w:val="24"/>
          <w:szCs w:val="24"/>
        </w:rPr>
      </w:pPr>
      <w:r w:rsidRPr="00E22F6A">
        <w:rPr>
          <w:rFonts w:ascii="Book Antiqua" w:hAnsi="Book Antiqua" w:cs="Times New Roman"/>
          <w:b/>
          <w:bCs/>
          <w:kern w:val="0"/>
          <w:sz w:val="24"/>
          <w:szCs w:val="24"/>
        </w:rPr>
        <w:t xml:space="preserve">Figure </w:t>
      </w:r>
      <w:r w:rsidRPr="00E22F6A">
        <w:rPr>
          <w:rFonts w:ascii="Book Antiqua" w:hAnsi="Book Antiqua"/>
          <w:b/>
          <w:bCs/>
          <w:kern w:val="0"/>
          <w:sz w:val="24"/>
          <w:szCs w:val="24"/>
        </w:rPr>
        <w:t xml:space="preserve">3 </w:t>
      </w:r>
      <w:r w:rsidRPr="00E22F6A">
        <w:rPr>
          <w:rFonts w:ascii="Book Antiqua" w:hAnsi="Book Antiqua" w:cs="Times New Roman"/>
          <w:b/>
          <w:bCs/>
          <w:kern w:val="0"/>
          <w:sz w:val="24"/>
          <w:szCs w:val="24"/>
        </w:rPr>
        <w:t xml:space="preserve">Results of the </w:t>
      </w:r>
      <w:r w:rsidRPr="00E22F6A">
        <w:rPr>
          <w:rFonts w:ascii="Book Antiqua" w:hAnsi="Book Antiqua"/>
          <w:b/>
          <w:bCs/>
          <w:kern w:val="0"/>
          <w:sz w:val="24"/>
          <w:szCs w:val="24"/>
        </w:rPr>
        <w:t>overall survival</w:t>
      </w:r>
      <w:r w:rsidRPr="00E22F6A">
        <w:rPr>
          <w:rFonts w:ascii="Book Antiqua" w:hAnsi="Book Antiqua" w:cs="Times New Roman"/>
          <w:b/>
          <w:bCs/>
          <w:kern w:val="0"/>
          <w:sz w:val="24"/>
          <w:szCs w:val="24"/>
        </w:rPr>
        <w:t xml:space="preserve"> subgroup analysis (subgroup analysis of different follow-up visits).</w:t>
      </w:r>
    </w:p>
    <w:p w:rsidR="00866FCC" w:rsidRPr="00E22F6A" w:rsidRDefault="00866FCC">
      <w:pPr>
        <w:snapToGrid w:val="0"/>
        <w:spacing w:line="360" w:lineRule="auto"/>
        <w:rPr>
          <w:rFonts w:ascii="Book Antiqua" w:hAnsi="Book Antiqua"/>
          <w:b/>
          <w:bCs/>
          <w:kern w:val="0"/>
          <w:sz w:val="24"/>
          <w:szCs w:val="24"/>
        </w:rPr>
      </w:pPr>
      <w:r w:rsidRPr="00E22F6A">
        <w:rPr>
          <w:rFonts w:ascii="Book Antiqua" w:hAnsi="Book Antiqua"/>
          <w:b/>
          <w:bCs/>
          <w:kern w:val="0"/>
          <w:sz w:val="24"/>
          <w:szCs w:val="24"/>
        </w:rPr>
        <w:br w:type="page"/>
      </w:r>
      <w:r w:rsidR="00512519">
        <w:rPr>
          <w:rFonts w:ascii="Book Antiqua" w:hAnsi="Book Antiqua"/>
          <w:noProof/>
          <w:kern w:val="0"/>
          <w:sz w:val="24"/>
          <w:szCs w:val="24"/>
        </w:rPr>
        <w:drawing>
          <wp:inline distT="0" distB="0" distL="0" distR="0">
            <wp:extent cx="5274945" cy="7014845"/>
            <wp:effectExtent l="0" t="0" r="1905" b="0"/>
            <wp:docPr id="4" name="图片 6"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片包含 文字&#10;&#10;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945" cy="7014845"/>
                    </a:xfrm>
                    <a:prstGeom prst="rect">
                      <a:avLst/>
                    </a:prstGeom>
                    <a:noFill/>
                    <a:ln>
                      <a:noFill/>
                    </a:ln>
                  </pic:spPr>
                </pic:pic>
              </a:graphicData>
            </a:graphic>
          </wp:inline>
        </w:drawing>
      </w:r>
    </w:p>
    <w:p w:rsidR="00866FCC" w:rsidRPr="00E22F6A" w:rsidRDefault="00866FCC">
      <w:pPr>
        <w:snapToGrid w:val="0"/>
        <w:spacing w:line="360" w:lineRule="auto"/>
        <w:rPr>
          <w:rFonts w:ascii="Book Antiqua" w:hAnsi="Book Antiqua"/>
          <w:b/>
          <w:bCs/>
          <w:kern w:val="0"/>
          <w:sz w:val="24"/>
          <w:szCs w:val="24"/>
        </w:rPr>
      </w:pPr>
      <w:r w:rsidRPr="00E22F6A">
        <w:rPr>
          <w:rFonts w:ascii="Book Antiqua" w:hAnsi="Book Antiqua" w:cs="Times New Roman"/>
          <w:b/>
          <w:bCs/>
          <w:kern w:val="0"/>
          <w:sz w:val="24"/>
          <w:szCs w:val="24"/>
        </w:rPr>
        <w:t>Figure</w:t>
      </w:r>
      <w:r w:rsidRPr="00E22F6A">
        <w:rPr>
          <w:rFonts w:ascii="Book Antiqua" w:hAnsi="Book Antiqua"/>
          <w:b/>
          <w:bCs/>
          <w:kern w:val="0"/>
          <w:sz w:val="24"/>
          <w:szCs w:val="24"/>
        </w:rPr>
        <w:t xml:space="preserve"> 4 Subgroup analysis of overall survival and disease-free survival </w:t>
      </w:r>
      <w:r w:rsidRPr="00E22F6A">
        <w:rPr>
          <w:rFonts w:ascii="Book Antiqua" w:hAnsi="Book Antiqua" w:cs="Times New Roman"/>
          <w:b/>
          <w:bCs/>
          <w:kern w:val="0"/>
          <w:sz w:val="24"/>
          <w:szCs w:val="24"/>
        </w:rPr>
        <w:t xml:space="preserve">[capecitabine plus oxaliplatin (XELOX) </w:t>
      </w:r>
      <w:r w:rsidRPr="00E22F6A">
        <w:rPr>
          <w:rFonts w:ascii="Book Antiqua" w:hAnsi="Book Antiqua" w:cs="Times New Roman"/>
          <w:b/>
          <w:bCs/>
          <w:i/>
          <w:iCs/>
          <w:kern w:val="0"/>
          <w:sz w:val="24"/>
          <w:szCs w:val="24"/>
        </w:rPr>
        <w:t>vs</w:t>
      </w:r>
      <w:r w:rsidRPr="00E22F6A">
        <w:rPr>
          <w:rFonts w:ascii="Book Antiqua" w:hAnsi="Book Antiqua" w:cs="Times New Roman"/>
          <w:b/>
          <w:bCs/>
          <w:kern w:val="0"/>
          <w:sz w:val="24"/>
          <w:szCs w:val="24"/>
        </w:rPr>
        <w:t xml:space="preserve"> other chemotherapy groups]. </w:t>
      </w:r>
      <w:r w:rsidRPr="00E22F6A">
        <w:rPr>
          <w:rFonts w:ascii="Book Antiqua" w:hAnsi="Book Antiqua"/>
          <w:kern w:val="0"/>
          <w:sz w:val="24"/>
          <w:szCs w:val="24"/>
        </w:rPr>
        <w:t xml:space="preserve">A: </w:t>
      </w:r>
      <w:r w:rsidRPr="00E22F6A">
        <w:rPr>
          <w:rFonts w:ascii="Book Antiqua" w:hAnsi="Book Antiqua" w:cs="Times New Roman"/>
          <w:kern w:val="0"/>
          <w:sz w:val="24"/>
          <w:szCs w:val="24"/>
        </w:rPr>
        <w:t xml:space="preserve">The capecitabine plus oxaliplatin (XELOX) group had longer </w:t>
      </w:r>
      <w:r w:rsidRPr="00E22F6A">
        <w:rPr>
          <w:rFonts w:ascii="Book Antiqua" w:hAnsi="Book Antiqua"/>
          <w:kern w:val="0"/>
          <w:sz w:val="24"/>
          <w:szCs w:val="24"/>
        </w:rPr>
        <w:t>overall survival</w:t>
      </w:r>
      <w:r w:rsidRPr="00E22F6A">
        <w:rPr>
          <w:rFonts w:ascii="Book Antiqua" w:hAnsi="Book Antiqua" w:cs="Times New Roman"/>
          <w:kern w:val="0"/>
          <w:sz w:val="24"/>
          <w:szCs w:val="24"/>
        </w:rPr>
        <w:t xml:space="preserve"> compared with other chemotherapy groups</w:t>
      </w:r>
      <w:r w:rsidRPr="00E22F6A">
        <w:rPr>
          <w:rFonts w:ascii="Book Antiqua" w:hAnsi="Book Antiqua"/>
          <w:kern w:val="0"/>
          <w:sz w:val="24"/>
          <w:szCs w:val="24"/>
        </w:rPr>
        <w:t xml:space="preserve">; B: </w:t>
      </w:r>
      <w:r w:rsidRPr="00E22F6A">
        <w:rPr>
          <w:rFonts w:ascii="Book Antiqua" w:hAnsi="Book Antiqua" w:cs="Times New Roman"/>
          <w:kern w:val="0"/>
          <w:sz w:val="24"/>
          <w:szCs w:val="24"/>
        </w:rPr>
        <w:t xml:space="preserve">The XELOX group had longer </w:t>
      </w:r>
      <w:r w:rsidRPr="00E22F6A">
        <w:rPr>
          <w:rFonts w:ascii="Book Antiqua" w:hAnsi="Book Antiqua"/>
          <w:kern w:val="0"/>
          <w:sz w:val="24"/>
          <w:szCs w:val="24"/>
        </w:rPr>
        <w:t>disease-free survival</w:t>
      </w:r>
      <w:r w:rsidRPr="00E22F6A">
        <w:rPr>
          <w:rFonts w:ascii="Book Antiqua" w:hAnsi="Book Antiqua" w:cs="Times New Roman"/>
          <w:kern w:val="0"/>
          <w:sz w:val="24"/>
          <w:szCs w:val="24"/>
        </w:rPr>
        <w:t xml:space="preserve"> compared with other chemotherapy groups</w:t>
      </w:r>
      <w:r w:rsidRPr="00E22F6A">
        <w:rPr>
          <w:rFonts w:ascii="Book Antiqua" w:hAnsi="Book Antiqua"/>
          <w:kern w:val="0"/>
          <w:sz w:val="24"/>
          <w:szCs w:val="24"/>
        </w:rPr>
        <w:t>.</w:t>
      </w:r>
      <w:r w:rsidRPr="00E22F6A">
        <w:rPr>
          <w:rFonts w:ascii="Book Antiqua" w:hAnsi="Book Antiqua"/>
          <w:b/>
          <w:bCs/>
          <w:kern w:val="0"/>
          <w:sz w:val="24"/>
          <w:szCs w:val="24"/>
        </w:rPr>
        <w:br w:type="page"/>
      </w:r>
      <w:r w:rsidR="00512519">
        <w:rPr>
          <w:rFonts w:ascii="Book Antiqua" w:hAnsi="Book Antiqua"/>
          <w:noProof/>
          <w:kern w:val="0"/>
          <w:sz w:val="24"/>
          <w:szCs w:val="24"/>
        </w:rPr>
        <w:drawing>
          <wp:inline distT="0" distB="0" distL="0" distR="0">
            <wp:extent cx="5274945" cy="7014845"/>
            <wp:effectExtent l="0" t="0" r="1905" b="0"/>
            <wp:docPr id="5" name="图片 7" descr="图片包含 文字, 收据&#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图片包含 文字, 收据&#10;&#10;描述已自动生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945" cy="7014845"/>
                    </a:xfrm>
                    <a:prstGeom prst="rect">
                      <a:avLst/>
                    </a:prstGeom>
                    <a:noFill/>
                    <a:ln>
                      <a:noFill/>
                    </a:ln>
                  </pic:spPr>
                </pic:pic>
              </a:graphicData>
            </a:graphic>
          </wp:inline>
        </w:drawing>
      </w:r>
      <w:r w:rsidRPr="00E22F6A">
        <w:rPr>
          <w:rFonts w:ascii="Book Antiqua" w:hAnsi="Book Antiqua"/>
          <w:b/>
          <w:bCs/>
          <w:kern w:val="0"/>
          <w:sz w:val="24"/>
          <w:szCs w:val="24"/>
        </w:rPr>
        <w:t xml:space="preserve"> </w:t>
      </w:r>
    </w:p>
    <w:p w:rsidR="00866FCC" w:rsidRPr="00E22F6A" w:rsidRDefault="00866FCC">
      <w:pPr>
        <w:snapToGrid w:val="0"/>
        <w:spacing w:line="360" w:lineRule="auto"/>
        <w:rPr>
          <w:rFonts w:ascii="Book Antiqua" w:hAnsi="Book Antiqua" w:cs="Times New Roman"/>
          <w:kern w:val="0"/>
          <w:sz w:val="24"/>
          <w:szCs w:val="24"/>
        </w:rPr>
      </w:pPr>
      <w:r w:rsidRPr="00E22F6A">
        <w:rPr>
          <w:rFonts w:ascii="Book Antiqua" w:hAnsi="Book Antiqua" w:cs="Times New Roman"/>
          <w:b/>
          <w:bCs/>
          <w:kern w:val="0"/>
          <w:sz w:val="24"/>
          <w:szCs w:val="24"/>
        </w:rPr>
        <w:t xml:space="preserve">Figure </w:t>
      </w:r>
      <w:r w:rsidRPr="00E22F6A">
        <w:rPr>
          <w:rFonts w:ascii="Book Antiqua" w:hAnsi="Book Antiqua"/>
          <w:b/>
          <w:bCs/>
          <w:kern w:val="0"/>
          <w:sz w:val="24"/>
          <w:szCs w:val="24"/>
        </w:rPr>
        <w:t xml:space="preserve">5 Process of deflection analysis. </w:t>
      </w:r>
      <w:r w:rsidRPr="00E22F6A">
        <w:rPr>
          <w:rFonts w:ascii="Book Antiqua" w:hAnsi="Book Antiqua"/>
          <w:kern w:val="0"/>
          <w:sz w:val="24"/>
          <w:szCs w:val="24"/>
        </w:rPr>
        <w:t>A: Overall survival (</w:t>
      </w:r>
      <w:r w:rsidRPr="00E22F6A">
        <w:rPr>
          <w:rFonts w:ascii="Book Antiqua" w:hAnsi="Book Antiqua" w:cs="Times New Roman"/>
          <w:kern w:val="0"/>
          <w:sz w:val="24"/>
          <w:szCs w:val="24"/>
        </w:rPr>
        <w:t>The capecitabine plus oxaliplatin (XELOX) group vs other chemotherapy groups)</w:t>
      </w:r>
      <w:r w:rsidRPr="00E22F6A">
        <w:rPr>
          <w:rFonts w:ascii="Book Antiqua" w:hAnsi="Book Antiqua"/>
          <w:kern w:val="0"/>
          <w:sz w:val="24"/>
          <w:szCs w:val="24"/>
        </w:rPr>
        <w:t>; B: D</w:t>
      </w:r>
      <w:r w:rsidRPr="00E22F6A">
        <w:rPr>
          <w:rFonts w:ascii="Book Antiqua" w:hAnsi="Book Antiqua" w:cs="Times New Roman"/>
          <w:kern w:val="0"/>
          <w:sz w:val="24"/>
          <w:szCs w:val="24"/>
        </w:rPr>
        <w:t>isease-free survival (The XELOX group vs other chemotherapy groups)</w:t>
      </w:r>
      <w:r w:rsidRPr="00E22F6A">
        <w:rPr>
          <w:rFonts w:ascii="Book Antiqua" w:hAnsi="Book Antiqua"/>
          <w:kern w:val="0"/>
          <w:sz w:val="24"/>
          <w:szCs w:val="24"/>
        </w:rPr>
        <w:t>; C: Subgroup analysis of d</w:t>
      </w:r>
      <w:r w:rsidRPr="00E22F6A">
        <w:rPr>
          <w:rFonts w:ascii="Book Antiqua" w:hAnsi="Book Antiqua" w:cs="Times New Roman"/>
          <w:kern w:val="0"/>
          <w:sz w:val="24"/>
          <w:szCs w:val="24"/>
        </w:rPr>
        <w:t>isease-free survival (The XELOX group vs other chemotherapy groups).</w:t>
      </w:r>
    </w:p>
    <w:p w:rsidR="00866FCC" w:rsidRPr="00E22F6A" w:rsidRDefault="00866FCC">
      <w:pPr>
        <w:snapToGrid w:val="0"/>
        <w:spacing w:line="360" w:lineRule="auto"/>
        <w:rPr>
          <w:rFonts w:ascii="Book Antiqua" w:hAnsi="Book Antiqua" w:cs="Times New Roman"/>
          <w:b/>
          <w:bCs/>
          <w:kern w:val="0"/>
          <w:sz w:val="24"/>
          <w:szCs w:val="24"/>
        </w:rPr>
      </w:pPr>
      <w:r w:rsidRPr="00E22F6A">
        <w:rPr>
          <w:rFonts w:ascii="Book Antiqua" w:hAnsi="Book Antiqua"/>
          <w:b/>
          <w:bCs/>
          <w:kern w:val="0"/>
          <w:sz w:val="24"/>
          <w:szCs w:val="24"/>
        </w:rPr>
        <w:br w:type="page"/>
        <w:t>Table 1 Data and quality evaluation of clinical controlled trials</w:t>
      </w:r>
    </w:p>
    <w:tbl>
      <w:tblPr>
        <w:tblW w:w="0" w:type="auto"/>
        <w:tblInd w:w="0" w:type="dxa"/>
        <w:tblBorders>
          <w:top w:val="single" w:sz="4" w:space="0" w:color="auto"/>
          <w:bottom w:val="single" w:sz="4" w:space="0" w:color="auto"/>
        </w:tblBorders>
        <w:shd w:val="clear" w:color="000000" w:fill="auto"/>
        <w:tblLayout w:type="fixed"/>
        <w:tblLook w:val="0000" w:firstRow="0" w:lastRow="0" w:firstColumn="0" w:lastColumn="0" w:noHBand="0" w:noVBand="0"/>
      </w:tblPr>
      <w:tblGrid>
        <w:gridCol w:w="2049"/>
        <w:gridCol w:w="872"/>
        <w:gridCol w:w="1221"/>
        <w:gridCol w:w="1555"/>
        <w:gridCol w:w="1144"/>
        <w:gridCol w:w="1218"/>
        <w:gridCol w:w="1573"/>
        <w:gridCol w:w="1083"/>
        <w:gridCol w:w="1505"/>
        <w:gridCol w:w="1950"/>
      </w:tblGrid>
      <w:tr w:rsidR="00866FCC" w:rsidRPr="00E22F6A">
        <w:trPr>
          <w:trHeight w:val="570"/>
        </w:trPr>
        <w:tc>
          <w:tcPr>
            <w:tcW w:w="2049"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Study</w:t>
            </w:r>
          </w:p>
        </w:tc>
        <w:tc>
          <w:tcPr>
            <w:tcW w:w="872"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Year</w:t>
            </w:r>
          </w:p>
        </w:tc>
        <w:tc>
          <w:tcPr>
            <w:tcW w:w="1221"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T event</w:t>
            </w:r>
          </w:p>
        </w:tc>
        <w:tc>
          <w:tcPr>
            <w:tcW w:w="1555"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T no event</w:t>
            </w:r>
          </w:p>
        </w:tc>
        <w:tc>
          <w:tcPr>
            <w:tcW w:w="1144"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T total</w:t>
            </w:r>
          </w:p>
        </w:tc>
        <w:tc>
          <w:tcPr>
            <w:tcW w:w="1218"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C event</w:t>
            </w:r>
          </w:p>
        </w:tc>
        <w:tc>
          <w:tcPr>
            <w:tcW w:w="1573"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C no event</w:t>
            </w:r>
          </w:p>
        </w:tc>
        <w:tc>
          <w:tcPr>
            <w:tcW w:w="1083"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C total</w:t>
            </w:r>
          </w:p>
        </w:tc>
        <w:tc>
          <w:tcPr>
            <w:tcW w:w="1505"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Outcome</w:t>
            </w:r>
          </w:p>
        </w:tc>
        <w:tc>
          <w:tcPr>
            <w:tcW w:w="1950" w:type="dxa"/>
            <w:tcBorders>
              <w:top w:val="single" w:sz="4" w:space="0" w:color="auto"/>
              <w:bottom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b/>
                <w:bCs/>
                <w:kern w:val="0"/>
                <w:sz w:val="24"/>
                <w:szCs w:val="24"/>
              </w:rPr>
            </w:pPr>
            <w:r w:rsidRPr="00E22F6A">
              <w:rPr>
                <w:rFonts w:ascii="Book Antiqua" w:hAnsi="Book Antiqua" w:cs="Arial"/>
                <w:b/>
                <w:bCs/>
                <w:kern w:val="0"/>
                <w:sz w:val="24"/>
                <w:szCs w:val="24"/>
              </w:rPr>
              <w:t>The Jadad score</w:t>
            </w:r>
          </w:p>
        </w:tc>
      </w:tr>
      <w:tr w:rsidR="00866FCC" w:rsidRPr="00E22F6A">
        <w:trPr>
          <w:trHeight w:val="360"/>
        </w:trPr>
        <w:tc>
          <w:tcPr>
            <w:tcW w:w="2049" w:type="dxa"/>
            <w:vMerge w:val="restart"/>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 xml:space="preserve">Haller </w:t>
            </w:r>
            <w:r w:rsidRPr="00E22F6A">
              <w:rPr>
                <w:rFonts w:ascii="Book Antiqua" w:hAnsi="Book Antiqua" w:cs="Arial"/>
                <w:i/>
                <w:iCs/>
                <w:kern w:val="0"/>
                <w:sz w:val="24"/>
                <w:szCs w:val="24"/>
              </w:rPr>
              <w:t>et al</w:t>
            </w:r>
            <w:r w:rsidRPr="00E22F6A">
              <w:rPr>
                <w:rFonts w:ascii="Book Antiqua" w:hAnsi="Book Antiqua" w:cs="Arial"/>
                <w:kern w:val="0"/>
                <w:sz w:val="24"/>
                <w:szCs w:val="24"/>
                <w:vertAlign w:val="superscript"/>
              </w:rPr>
              <w:t>[14]</w:t>
            </w:r>
          </w:p>
        </w:tc>
        <w:tc>
          <w:tcPr>
            <w:tcW w:w="872" w:type="dxa"/>
            <w:vMerge w:val="restart"/>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2011</w:t>
            </w:r>
          </w:p>
        </w:tc>
        <w:tc>
          <w:tcPr>
            <w:tcW w:w="1221" w:type="dxa"/>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643</w:t>
            </w:r>
          </w:p>
        </w:tc>
        <w:tc>
          <w:tcPr>
            <w:tcW w:w="1555" w:type="dxa"/>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295</w:t>
            </w:r>
          </w:p>
        </w:tc>
        <w:tc>
          <w:tcPr>
            <w:tcW w:w="1144" w:type="dxa"/>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938</w:t>
            </w:r>
          </w:p>
        </w:tc>
        <w:tc>
          <w:tcPr>
            <w:tcW w:w="1218" w:type="dxa"/>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573</w:t>
            </w:r>
          </w:p>
        </w:tc>
        <w:tc>
          <w:tcPr>
            <w:tcW w:w="1573" w:type="dxa"/>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353</w:t>
            </w:r>
          </w:p>
        </w:tc>
        <w:tc>
          <w:tcPr>
            <w:tcW w:w="1083" w:type="dxa"/>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926</w:t>
            </w:r>
          </w:p>
        </w:tc>
        <w:tc>
          <w:tcPr>
            <w:tcW w:w="1505" w:type="dxa"/>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DFS</w:t>
            </w:r>
          </w:p>
        </w:tc>
        <w:tc>
          <w:tcPr>
            <w:tcW w:w="1950" w:type="dxa"/>
            <w:tcBorders>
              <w:top w:val="single" w:sz="4" w:space="0" w:color="auto"/>
            </w:tcBorders>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7</w:t>
            </w:r>
          </w:p>
        </w:tc>
      </w:tr>
      <w:tr w:rsidR="00866FCC" w:rsidRPr="00E22F6A">
        <w:trPr>
          <w:trHeight w:val="360"/>
        </w:trPr>
        <w:tc>
          <w:tcPr>
            <w:tcW w:w="2049" w:type="dxa"/>
            <w:vMerge/>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c>
          <w:tcPr>
            <w:tcW w:w="872" w:type="dxa"/>
            <w:vMerge/>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741</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197</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938</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701</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225</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926</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r>
      <w:tr w:rsidR="00866FCC" w:rsidRPr="00E22F6A">
        <w:trPr>
          <w:trHeight w:val="360"/>
        </w:trPr>
        <w:tc>
          <w:tcPr>
            <w:tcW w:w="2049" w:type="dxa"/>
            <w:vMerge w:val="restart"/>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 xml:space="preserve">Kubicka </w:t>
            </w:r>
            <w:r w:rsidRPr="00E22F6A">
              <w:rPr>
                <w:rFonts w:ascii="Book Antiqua" w:hAnsi="Book Antiqua" w:cs="Arial"/>
                <w:i/>
                <w:iCs/>
                <w:kern w:val="0"/>
                <w:sz w:val="24"/>
                <w:szCs w:val="24"/>
              </w:rPr>
              <w:t>et al</w:t>
            </w:r>
            <w:r w:rsidRPr="00E22F6A">
              <w:rPr>
                <w:rFonts w:ascii="Book Antiqua" w:hAnsi="Book Antiqua" w:cs="Arial"/>
                <w:kern w:val="0"/>
                <w:sz w:val="24"/>
                <w:szCs w:val="24"/>
                <w:vertAlign w:val="superscript"/>
              </w:rPr>
              <w:t>[16]</w:t>
            </w:r>
          </w:p>
        </w:tc>
        <w:tc>
          <w:tcPr>
            <w:tcW w:w="872" w:type="dxa"/>
            <w:vMerge w:val="restart"/>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2016</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541</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320</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861</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482</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379</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861</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DFS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7</w:t>
            </w:r>
          </w:p>
        </w:tc>
      </w:tr>
      <w:tr w:rsidR="00866FCC" w:rsidRPr="00E22F6A">
        <w:trPr>
          <w:trHeight w:val="360"/>
        </w:trPr>
        <w:tc>
          <w:tcPr>
            <w:tcW w:w="2049" w:type="dxa"/>
            <w:vMerge/>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c>
          <w:tcPr>
            <w:tcW w:w="872" w:type="dxa"/>
            <w:vMerge/>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619</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242</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861</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575</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286</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861</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r>
      <w:tr w:rsidR="00866FCC" w:rsidRPr="00E22F6A">
        <w:trPr>
          <w:trHeight w:val="360"/>
        </w:trPr>
        <w:tc>
          <w:tcPr>
            <w:tcW w:w="2049" w:type="dxa"/>
            <w:vMerge w:val="restart"/>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Pectasides</w:t>
            </w:r>
            <w:r w:rsidRPr="00E22F6A">
              <w:rPr>
                <w:rFonts w:ascii="Book Antiqua" w:hAnsi="Book Antiqua" w:cs="Arial"/>
                <w:i/>
                <w:iCs/>
                <w:kern w:val="0"/>
                <w:sz w:val="24"/>
                <w:szCs w:val="24"/>
              </w:rPr>
              <w:t xml:space="preserve"> et al</w:t>
            </w:r>
            <w:r w:rsidRPr="00E22F6A">
              <w:rPr>
                <w:rFonts w:ascii="Book Antiqua" w:hAnsi="Book Antiqua" w:cs="Arial"/>
                <w:kern w:val="0"/>
                <w:sz w:val="24"/>
                <w:szCs w:val="24"/>
                <w:vertAlign w:val="superscript"/>
              </w:rPr>
              <w:t>[20]</w:t>
            </w:r>
          </w:p>
        </w:tc>
        <w:tc>
          <w:tcPr>
            <w:tcW w:w="872" w:type="dxa"/>
            <w:vMerge w:val="restart"/>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2014</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169</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44</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213</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160</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41</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DFS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w:t>
            </w:r>
          </w:p>
        </w:tc>
      </w:tr>
      <w:tr w:rsidR="00866FCC" w:rsidRPr="00E22F6A">
        <w:trPr>
          <w:trHeight w:val="360"/>
        </w:trPr>
        <w:tc>
          <w:tcPr>
            <w:tcW w:w="2049" w:type="dxa"/>
            <w:vMerge/>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c>
          <w:tcPr>
            <w:tcW w:w="872" w:type="dxa"/>
            <w:vMerge/>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185</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28</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213</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175</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26</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r>
      <w:tr w:rsidR="00866FCC" w:rsidRPr="00E22F6A">
        <w:trPr>
          <w:trHeight w:val="360"/>
        </w:trPr>
        <w:tc>
          <w:tcPr>
            <w:tcW w:w="2049" w:type="dxa"/>
            <w:vMerge w:val="restart"/>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Schmoll</w:t>
            </w:r>
            <w:r w:rsidRPr="00E22F6A">
              <w:rPr>
                <w:rFonts w:ascii="Book Antiqua" w:hAnsi="Book Antiqua" w:cs="Arial"/>
                <w:i/>
                <w:iCs/>
                <w:kern w:val="0"/>
                <w:sz w:val="24"/>
                <w:szCs w:val="24"/>
              </w:rPr>
              <w:t xml:space="preserve"> et al</w:t>
            </w:r>
            <w:r w:rsidRPr="00E22F6A">
              <w:rPr>
                <w:rFonts w:ascii="Book Antiqua" w:hAnsi="Book Antiqua" w:cs="Arial"/>
                <w:kern w:val="0"/>
                <w:sz w:val="24"/>
                <w:szCs w:val="24"/>
                <w:vertAlign w:val="superscript"/>
              </w:rPr>
              <w:t>[22]</w:t>
            </w:r>
          </w:p>
        </w:tc>
        <w:tc>
          <w:tcPr>
            <w:tcW w:w="872" w:type="dxa"/>
            <w:vMerge w:val="restart"/>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2012</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594</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350</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944</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527</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415</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942</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DFS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7</w:t>
            </w:r>
          </w:p>
        </w:tc>
      </w:tr>
      <w:tr w:rsidR="00866FCC" w:rsidRPr="00E22F6A">
        <w:trPr>
          <w:trHeight w:val="360"/>
        </w:trPr>
        <w:tc>
          <w:tcPr>
            <w:tcW w:w="2049" w:type="dxa"/>
            <w:vMerge/>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c>
          <w:tcPr>
            <w:tcW w:w="872" w:type="dxa"/>
            <w:vMerge/>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689</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255</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944</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631</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311</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942</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p>
        </w:tc>
      </w:tr>
      <w:tr w:rsidR="00866FCC" w:rsidRPr="00E22F6A">
        <w:trPr>
          <w:trHeight w:val="360"/>
        </w:trPr>
        <w:tc>
          <w:tcPr>
            <w:tcW w:w="2049"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Diao</w:t>
            </w:r>
            <w:r w:rsidRPr="00E22F6A">
              <w:rPr>
                <w:rFonts w:ascii="Book Antiqua" w:hAnsi="Book Antiqua" w:cs="Arial"/>
                <w:i/>
                <w:iCs/>
                <w:kern w:val="0"/>
                <w:sz w:val="24"/>
                <w:szCs w:val="24"/>
              </w:rPr>
              <w:t xml:space="preserve"> et al</w:t>
            </w:r>
            <w:r w:rsidRPr="00E22F6A">
              <w:rPr>
                <w:rFonts w:ascii="Book Antiqua" w:hAnsi="Book Antiqua" w:cs="Arial"/>
                <w:kern w:val="0"/>
                <w:sz w:val="24"/>
                <w:szCs w:val="24"/>
                <w:vertAlign w:val="superscript"/>
              </w:rPr>
              <w:t>[13]</w:t>
            </w:r>
          </w:p>
        </w:tc>
        <w:tc>
          <w:tcPr>
            <w:tcW w:w="872"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2008</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47</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24</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71</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69</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18</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87</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DFS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w:t>
            </w:r>
          </w:p>
        </w:tc>
      </w:tr>
      <w:tr w:rsidR="00866FCC" w:rsidRPr="00E22F6A">
        <w:trPr>
          <w:trHeight w:val="360"/>
        </w:trPr>
        <w:tc>
          <w:tcPr>
            <w:tcW w:w="2049"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 xml:space="preserve">Xun </w:t>
            </w:r>
            <w:r w:rsidRPr="00E22F6A">
              <w:rPr>
                <w:rFonts w:ascii="Book Antiqua" w:hAnsi="Book Antiqua" w:cs="Arial"/>
                <w:i/>
                <w:iCs/>
                <w:kern w:val="0"/>
                <w:sz w:val="24"/>
                <w:szCs w:val="24"/>
              </w:rPr>
              <w:t>et al</w:t>
            </w:r>
            <w:r w:rsidRPr="00E22F6A">
              <w:rPr>
                <w:rFonts w:ascii="Book Antiqua" w:hAnsi="Book Antiqua" w:cs="Arial"/>
                <w:kern w:val="0"/>
                <w:sz w:val="24"/>
                <w:szCs w:val="24"/>
                <w:vertAlign w:val="superscript"/>
              </w:rPr>
              <w:t>[21]</w:t>
            </w:r>
          </w:p>
        </w:tc>
        <w:tc>
          <w:tcPr>
            <w:tcW w:w="872"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2016</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9</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21</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30</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25</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28</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w:t>
            </w:r>
          </w:p>
        </w:tc>
      </w:tr>
      <w:tr w:rsidR="00866FCC" w:rsidRPr="00E22F6A">
        <w:trPr>
          <w:trHeight w:val="360"/>
        </w:trPr>
        <w:tc>
          <w:tcPr>
            <w:tcW w:w="2049" w:type="dxa"/>
            <w:shd w:val="clear" w:color="000000" w:fill="auto"/>
            <w:vAlign w:val="center"/>
          </w:tcPr>
          <w:p w:rsidR="00866FCC" w:rsidRPr="00E22F6A" w:rsidRDefault="00866FCC" w:rsidP="004B6A7F">
            <w:pPr>
              <w:widowControl/>
              <w:snapToGrid w:val="0"/>
              <w:spacing w:line="360" w:lineRule="auto"/>
              <w:ind w:firstLineChars="100" w:firstLine="240"/>
              <w:rPr>
                <w:rFonts w:ascii="Book Antiqua" w:hAnsi="Book Antiqua" w:cs="Arial"/>
                <w:kern w:val="0"/>
                <w:sz w:val="24"/>
                <w:szCs w:val="24"/>
              </w:rPr>
            </w:pPr>
            <w:r w:rsidRPr="00E22F6A">
              <w:rPr>
                <w:rFonts w:ascii="Book Antiqua" w:hAnsi="Book Antiqua" w:cs="Arial"/>
                <w:kern w:val="0"/>
                <w:sz w:val="24"/>
                <w:szCs w:val="24"/>
              </w:rPr>
              <w:t>Song</w:t>
            </w:r>
            <w:r w:rsidRPr="00E22F6A">
              <w:rPr>
                <w:rFonts w:ascii="Book Antiqua" w:hAnsi="Book Antiqua" w:cs="Arial"/>
                <w:i/>
                <w:iCs/>
                <w:kern w:val="0"/>
                <w:sz w:val="24"/>
                <w:szCs w:val="24"/>
              </w:rPr>
              <w:t xml:space="preserve"> et al</w:t>
            </w:r>
            <w:r w:rsidRPr="00E22F6A">
              <w:rPr>
                <w:rFonts w:ascii="Book Antiqua" w:hAnsi="Book Antiqua" w:cs="Arial"/>
                <w:kern w:val="0"/>
                <w:sz w:val="24"/>
                <w:szCs w:val="24"/>
                <w:vertAlign w:val="superscript"/>
              </w:rPr>
              <w:t>[23]</w:t>
            </w:r>
          </w:p>
        </w:tc>
        <w:tc>
          <w:tcPr>
            <w:tcW w:w="872"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2016</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63</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10</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73</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49</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55</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w:t>
            </w:r>
          </w:p>
        </w:tc>
      </w:tr>
      <w:tr w:rsidR="00866FCC" w:rsidRPr="00E22F6A">
        <w:trPr>
          <w:trHeight w:val="360"/>
        </w:trPr>
        <w:tc>
          <w:tcPr>
            <w:tcW w:w="2049"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Lei</w:t>
            </w:r>
            <w:r w:rsidRPr="00E22F6A">
              <w:rPr>
                <w:rFonts w:ascii="Book Antiqua" w:hAnsi="Book Antiqua" w:cs="Arial"/>
                <w:i/>
                <w:iCs/>
                <w:kern w:val="0"/>
                <w:sz w:val="24"/>
                <w:szCs w:val="24"/>
              </w:rPr>
              <w:t xml:space="preserve"> et al</w:t>
            </w:r>
            <w:r w:rsidRPr="00E22F6A">
              <w:rPr>
                <w:rFonts w:ascii="Book Antiqua" w:hAnsi="Book Antiqua" w:cs="Arial"/>
                <w:kern w:val="0"/>
                <w:sz w:val="24"/>
                <w:szCs w:val="24"/>
                <w:vertAlign w:val="superscript"/>
              </w:rPr>
              <w:t>[17]</w:t>
            </w:r>
          </w:p>
        </w:tc>
        <w:tc>
          <w:tcPr>
            <w:tcW w:w="872"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2016</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16</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21</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19</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21</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w:t>
            </w:r>
          </w:p>
        </w:tc>
      </w:tr>
      <w:tr w:rsidR="00866FCC" w:rsidRPr="00E22F6A">
        <w:trPr>
          <w:trHeight w:val="360"/>
        </w:trPr>
        <w:tc>
          <w:tcPr>
            <w:tcW w:w="2049"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 xml:space="preserve">Li </w:t>
            </w:r>
            <w:r w:rsidRPr="00E22F6A">
              <w:rPr>
                <w:rFonts w:ascii="Book Antiqua" w:hAnsi="Book Antiqua" w:cs="Arial"/>
                <w:i/>
                <w:iCs/>
                <w:kern w:val="0"/>
                <w:sz w:val="24"/>
                <w:szCs w:val="24"/>
              </w:rPr>
              <w:t>et al</w:t>
            </w:r>
            <w:r w:rsidRPr="00E22F6A">
              <w:rPr>
                <w:rFonts w:ascii="Book Antiqua" w:hAnsi="Book Antiqua" w:cs="Arial"/>
                <w:kern w:val="0"/>
                <w:sz w:val="24"/>
                <w:szCs w:val="24"/>
                <w:vertAlign w:val="superscript"/>
              </w:rPr>
              <w:t>[18]</w:t>
            </w:r>
          </w:p>
        </w:tc>
        <w:tc>
          <w:tcPr>
            <w:tcW w:w="872"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2012</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43</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17</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60</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32</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28</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60</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w:t>
            </w:r>
          </w:p>
        </w:tc>
      </w:tr>
      <w:tr w:rsidR="00866FCC" w:rsidRPr="00E22F6A">
        <w:trPr>
          <w:trHeight w:val="360"/>
        </w:trPr>
        <w:tc>
          <w:tcPr>
            <w:tcW w:w="2049"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 xml:space="preserve">Lian </w:t>
            </w:r>
            <w:r w:rsidRPr="00E22F6A">
              <w:rPr>
                <w:rFonts w:ascii="Book Antiqua" w:hAnsi="Book Antiqua" w:cs="Arial"/>
                <w:i/>
                <w:iCs/>
                <w:kern w:val="0"/>
                <w:sz w:val="24"/>
                <w:szCs w:val="24"/>
              </w:rPr>
              <w:t>et al</w:t>
            </w:r>
            <w:r w:rsidRPr="00E22F6A">
              <w:rPr>
                <w:rFonts w:ascii="Book Antiqua" w:hAnsi="Book Antiqua" w:cs="Arial"/>
                <w:kern w:val="0"/>
                <w:sz w:val="24"/>
                <w:szCs w:val="24"/>
                <w:vertAlign w:val="superscript"/>
              </w:rPr>
              <w:t>[19]</w:t>
            </w:r>
          </w:p>
        </w:tc>
        <w:tc>
          <w:tcPr>
            <w:tcW w:w="872"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2016</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54</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56</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48</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50</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4</w:t>
            </w:r>
          </w:p>
        </w:tc>
      </w:tr>
      <w:tr w:rsidR="00866FCC" w:rsidRPr="00E22F6A">
        <w:trPr>
          <w:trHeight w:val="360"/>
        </w:trPr>
        <w:tc>
          <w:tcPr>
            <w:tcW w:w="2049"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 xml:space="preserve">Zhang </w:t>
            </w:r>
            <w:r w:rsidRPr="00E22F6A">
              <w:rPr>
                <w:rFonts w:ascii="Book Antiqua" w:hAnsi="Book Antiqua" w:cs="Arial"/>
                <w:i/>
                <w:iCs/>
                <w:kern w:val="0"/>
                <w:sz w:val="24"/>
                <w:szCs w:val="24"/>
              </w:rPr>
              <w:t>et al</w:t>
            </w:r>
            <w:r w:rsidRPr="00E22F6A">
              <w:rPr>
                <w:rFonts w:ascii="Book Antiqua" w:hAnsi="Book Antiqua" w:cs="Arial"/>
                <w:kern w:val="0"/>
                <w:sz w:val="24"/>
                <w:szCs w:val="24"/>
                <w:vertAlign w:val="superscript"/>
              </w:rPr>
              <w:t>[15]</w:t>
            </w:r>
          </w:p>
        </w:tc>
        <w:tc>
          <w:tcPr>
            <w:tcW w:w="872"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2011</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5</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25</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22</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25</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w:t>
            </w:r>
          </w:p>
        </w:tc>
      </w:tr>
      <w:tr w:rsidR="00866FCC" w:rsidRPr="00E22F6A">
        <w:trPr>
          <w:trHeight w:val="360"/>
        </w:trPr>
        <w:tc>
          <w:tcPr>
            <w:tcW w:w="2049"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 xml:space="preserve">Wang </w:t>
            </w:r>
            <w:r w:rsidRPr="00E22F6A">
              <w:rPr>
                <w:rFonts w:ascii="Book Antiqua" w:hAnsi="Book Antiqua" w:cs="Arial"/>
                <w:i/>
                <w:iCs/>
                <w:kern w:val="0"/>
                <w:sz w:val="24"/>
                <w:szCs w:val="24"/>
              </w:rPr>
              <w:t>et al</w:t>
            </w:r>
            <w:r w:rsidRPr="00E22F6A">
              <w:rPr>
                <w:rFonts w:ascii="Book Antiqua" w:hAnsi="Book Antiqua" w:cs="Arial"/>
                <w:kern w:val="0"/>
                <w:sz w:val="24"/>
                <w:szCs w:val="24"/>
                <w:vertAlign w:val="superscript"/>
              </w:rPr>
              <w:t>[24]</w:t>
            </w:r>
          </w:p>
        </w:tc>
        <w:tc>
          <w:tcPr>
            <w:tcW w:w="872"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2011</w:t>
            </w:r>
          </w:p>
        </w:tc>
        <w:tc>
          <w:tcPr>
            <w:tcW w:w="1221"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8</w:t>
            </w:r>
          </w:p>
        </w:tc>
        <w:tc>
          <w:tcPr>
            <w:tcW w:w="155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22</w:t>
            </w:r>
          </w:p>
        </w:tc>
        <w:tc>
          <w:tcPr>
            <w:tcW w:w="1144"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30</w:t>
            </w:r>
          </w:p>
        </w:tc>
        <w:tc>
          <w:tcPr>
            <w:tcW w:w="1218"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w:t>
            </w:r>
          </w:p>
        </w:tc>
        <w:tc>
          <w:tcPr>
            <w:tcW w:w="157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27</w:t>
            </w:r>
          </w:p>
        </w:tc>
        <w:tc>
          <w:tcPr>
            <w:tcW w:w="1083"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30</w:t>
            </w:r>
          </w:p>
        </w:tc>
        <w:tc>
          <w:tcPr>
            <w:tcW w:w="1505"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OS</w:t>
            </w:r>
          </w:p>
        </w:tc>
        <w:tc>
          <w:tcPr>
            <w:tcW w:w="1950" w:type="dxa"/>
            <w:shd w:val="clear" w:color="000000" w:fill="auto"/>
            <w:vAlign w:val="center"/>
          </w:tcPr>
          <w:p w:rsidR="00866FCC" w:rsidRPr="00E22F6A" w:rsidRDefault="00866FCC">
            <w:pPr>
              <w:widowControl/>
              <w:snapToGrid w:val="0"/>
              <w:spacing w:line="360" w:lineRule="auto"/>
              <w:rPr>
                <w:rFonts w:ascii="Book Antiqua" w:hAnsi="Book Antiqua" w:cs="Arial"/>
                <w:kern w:val="0"/>
                <w:sz w:val="24"/>
                <w:szCs w:val="24"/>
              </w:rPr>
            </w:pPr>
            <w:r w:rsidRPr="00E22F6A">
              <w:rPr>
                <w:rFonts w:ascii="Book Antiqua" w:hAnsi="Book Antiqua" w:cs="Arial"/>
                <w:kern w:val="0"/>
                <w:sz w:val="24"/>
                <w:szCs w:val="24"/>
              </w:rPr>
              <w:t>3</w:t>
            </w:r>
          </w:p>
        </w:tc>
      </w:tr>
    </w:tbl>
    <w:p w:rsidR="00866FCC" w:rsidRDefault="00866FCC">
      <w:pPr>
        <w:snapToGrid w:val="0"/>
        <w:spacing w:line="360" w:lineRule="auto"/>
        <w:rPr>
          <w:rFonts w:ascii="Book Antiqua" w:hAnsi="Book Antiqua"/>
          <w:b/>
          <w:bCs/>
          <w:i/>
          <w:iCs/>
          <w:kern w:val="0"/>
          <w:sz w:val="24"/>
          <w:szCs w:val="24"/>
        </w:rPr>
      </w:pPr>
      <w:r w:rsidRPr="00E22F6A">
        <w:rPr>
          <w:rFonts w:ascii="Book Antiqua" w:hAnsi="Book Antiqua"/>
          <w:kern w:val="0"/>
          <w:sz w:val="24"/>
          <w:szCs w:val="24"/>
        </w:rPr>
        <w:t>OS: Overall survival; DFS: Disease-free survival.</w:t>
      </w:r>
    </w:p>
    <w:sectPr w:rsidR="00866FCC">
      <w:footerReference w:type="even" r:id="rId14"/>
      <w:footerReference w:type="default" r:id="rId15"/>
      <w:pgSz w:w="16834" w:h="11894" w:orient="landscape"/>
      <w:pgMar w:top="1440" w:right="1440" w:bottom="1440" w:left="1440" w:header="850" w:footer="994"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3516" w:rsidRDefault="00673516">
      <w:r>
        <w:separator/>
      </w:r>
    </w:p>
  </w:endnote>
  <w:endnote w:type="continuationSeparator" w:id="0">
    <w:p w:rsidR="00673516" w:rsidRDefault="006735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Garamond-Bold">
    <w:altName w:val="等线"/>
    <w:charset w:val="00"/>
    <w:family w:val="auto"/>
    <w:pitch w:val="variable"/>
    <w:sig w:usb0="00000287" w:usb1="00000000" w:usb2="00000000" w:usb3="00000000" w:csb0="0000009F" w:csb1="00000000"/>
  </w:font>
  <w:font w:name="DengXian">
    <w:altName w:val="等线"/>
    <w:charset w:val="00"/>
    <w:family w:val="auto"/>
    <w:pitch w:val="default"/>
    <w:sig w:usb0="A00002BF" w:usb1="38CF7CFA" w:usb2="00000016" w:usb3="00000000" w:csb0="0004000F" w:csb1="00000000"/>
  </w:font>
  <w:font w:name="TimesNewRomanPS-BoldItalicMT">
    <w:charset w:val="00"/>
    <w:family w:val="auto"/>
    <w:pitch w:val="variable"/>
    <w:sig w:usb0="E0000AFF" w:usb1="00007843" w:usb2="00000001" w:usb3="00000000" w:csb0="000001B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等线">
    <w:altName w:val="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pitch w:val="variable"/>
    <w:sig w:usb0="E0002EFF" w:usb1="C000785B" w:usb2="00000009" w:usb3="00000000" w:csb0="000001FF" w:csb1="00000000"/>
  </w:font>
  <w:font w:name="Microsoft YaHei">
    <w:altName w:val="汉仪旗黑KW"/>
    <w:charset w:val="00"/>
    <w:family w:val="swiss"/>
    <w:pitch w:val="default"/>
    <w:sig w:usb0="80000287" w:usb1="28CF3C52"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FCC" w:rsidRDefault="00866FCC">
    <w:pPr>
      <w:pStyle w:val="a5"/>
      <w:framePr w:wrap="around" w:vAnchor="text" w:hAnchor="margin" w:xAlign="center" w:y="1"/>
      <w:rPr>
        <w:rStyle w:val="ab"/>
      </w:rPr>
    </w:pPr>
    <w:r>
      <w:fldChar w:fldCharType="begin"/>
    </w:r>
    <w:r>
      <w:rPr>
        <w:rStyle w:val="ab"/>
      </w:rPr>
      <w:instrText xml:space="preserve"> PAGE </w:instrText>
    </w:r>
    <w:r>
      <w:fldChar w:fldCharType="end"/>
    </w:r>
  </w:p>
  <w:p w:rsidR="00866FCC" w:rsidRDefault="00866FCC">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FCC" w:rsidRDefault="00866FCC">
    <w:pPr>
      <w:pStyle w:val="a5"/>
      <w:framePr w:wrap="around" w:vAnchor="text" w:hAnchor="margin" w:xAlign="center" w:y="1"/>
      <w:rPr>
        <w:rStyle w:val="ab"/>
        <w:rFonts w:ascii="Book Antiqua" w:hAnsi="Book Antiqua"/>
        <w:sz w:val="24"/>
        <w:szCs w:val="24"/>
      </w:rPr>
    </w:pPr>
    <w:r>
      <w:rPr>
        <w:rFonts w:ascii="Book Antiqua" w:hAnsi="Book Antiqua"/>
        <w:sz w:val="24"/>
        <w:szCs w:val="24"/>
      </w:rPr>
      <w:fldChar w:fldCharType="begin"/>
    </w:r>
    <w:r>
      <w:rPr>
        <w:rStyle w:val="ab"/>
        <w:rFonts w:ascii="Book Antiqua" w:hAnsi="Book Antiqua"/>
        <w:sz w:val="24"/>
        <w:szCs w:val="24"/>
      </w:rPr>
      <w:instrText xml:space="preserve"> PAGE </w:instrText>
    </w:r>
    <w:r>
      <w:rPr>
        <w:rFonts w:ascii="Book Antiqua" w:hAnsi="Book Antiqua"/>
        <w:sz w:val="24"/>
        <w:szCs w:val="24"/>
      </w:rPr>
      <w:fldChar w:fldCharType="separate"/>
    </w:r>
    <w:r w:rsidR="00512519">
      <w:rPr>
        <w:rStyle w:val="ab"/>
        <w:rFonts w:ascii="Book Antiqua" w:hAnsi="Book Antiqua"/>
        <w:noProof/>
        <w:sz w:val="24"/>
        <w:szCs w:val="24"/>
      </w:rPr>
      <w:t>1</w:t>
    </w:r>
    <w:r>
      <w:rPr>
        <w:rFonts w:ascii="Book Antiqua" w:hAnsi="Book Antiqua"/>
        <w:sz w:val="24"/>
        <w:szCs w:val="24"/>
      </w:rPr>
      <w:fldChar w:fldCharType="end"/>
    </w:r>
  </w:p>
  <w:p w:rsidR="00866FCC" w:rsidRDefault="00866FCC">
    <w:pPr>
      <w:pStyle w:val="a5"/>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3516" w:rsidRDefault="00673516">
      <w:r>
        <w:separator/>
      </w:r>
    </w:p>
  </w:footnote>
  <w:footnote w:type="continuationSeparator" w:id="0">
    <w:p w:rsidR="00673516" w:rsidRDefault="0067351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2DF6"/>
    <w:rsid w:val="00004DA9"/>
    <w:rsid w:val="00030FBC"/>
    <w:rsid w:val="00041502"/>
    <w:rsid w:val="00074AE7"/>
    <w:rsid w:val="00082223"/>
    <w:rsid w:val="00084C8E"/>
    <w:rsid w:val="00085788"/>
    <w:rsid w:val="00086D93"/>
    <w:rsid w:val="000A1D25"/>
    <w:rsid w:val="000B3FA3"/>
    <w:rsid w:val="000C2CF2"/>
    <w:rsid w:val="000F01C3"/>
    <w:rsid w:val="0010127D"/>
    <w:rsid w:val="00111BBC"/>
    <w:rsid w:val="0011289D"/>
    <w:rsid w:val="001238D0"/>
    <w:rsid w:val="00127AE4"/>
    <w:rsid w:val="00144108"/>
    <w:rsid w:val="00144B7D"/>
    <w:rsid w:val="00147EAE"/>
    <w:rsid w:val="00151593"/>
    <w:rsid w:val="00155429"/>
    <w:rsid w:val="00155FE0"/>
    <w:rsid w:val="001650E2"/>
    <w:rsid w:val="001735FD"/>
    <w:rsid w:val="0017531B"/>
    <w:rsid w:val="001757C9"/>
    <w:rsid w:val="001868A4"/>
    <w:rsid w:val="00191FA7"/>
    <w:rsid w:val="001C22DA"/>
    <w:rsid w:val="001D34EE"/>
    <w:rsid w:val="001E166E"/>
    <w:rsid w:val="001F2F79"/>
    <w:rsid w:val="002043E0"/>
    <w:rsid w:val="00207D59"/>
    <w:rsid w:val="00212871"/>
    <w:rsid w:val="00250928"/>
    <w:rsid w:val="00252A14"/>
    <w:rsid w:val="0025510F"/>
    <w:rsid w:val="00255850"/>
    <w:rsid w:val="002573C6"/>
    <w:rsid w:val="00271983"/>
    <w:rsid w:val="00281E37"/>
    <w:rsid w:val="00296136"/>
    <w:rsid w:val="002A005A"/>
    <w:rsid w:val="002A0D20"/>
    <w:rsid w:val="002A54C0"/>
    <w:rsid w:val="002A6F2C"/>
    <w:rsid w:val="002D5F5B"/>
    <w:rsid w:val="00307784"/>
    <w:rsid w:val="00312442"/>
    <w:rsid w:val="00340E5B"/>
    <w:rsid w:val="003625B8"/>
    <w:rsid w:val="0037077A"/>
    <w:rsid w:val="00392E78"/>
    <w:rsid w:val="00396781"/>
    <w:rsid w:val="003967C5"/>
    <w:rsid w:val="003B4C92"/>
    <w:rsid w:val="003C4162"/>
    <w:rsid w:val="003C5043"/>
    <w:rsid w:val="003C6547"/>
    <w:rsid w:val="003C7D62"/>
    <w:rsid w:val="003E36A7"/>
    <w:rsid w:val="003E6D2F"/>
    <w:rsid w:val="003E77D2"/>
    <w:rsid w:val="003F2970"/>
    <w:rsid w:val="003F6CDC"/>
    <w:rsid w:val="00401F90"/>
    <w:rsid w:val="004216EA"/>
    <w:rsid w:val="00425236"/>
    <w:rsid w:val="0042710B"/>
    <w:rsid w:val="004611A9"/>
    <w:rsid w:val="00465CEC"/>
    <w:rsid w:val="0047663E"/>
    <w:rsid w:val="00483CA0"/>
    <w:rsid w:val="00496081"/>
    <w:rsid w:val="004B5443"/>
    <w:rsid w:val="004B6A7F"/>
    <w:rsid w:val="004C4D95"/>
    <w:rsid w:val="004D0253"/>
    <w:rsid w:val="004E706D"/>
    <w:rsid w:val="004E725B"/>
    <w:rsid w:val="004E72E7"/>
    <w:rsid w:val="005026E0"/>
    <w:rsid w:val="00512519"/>
    <w:rsid w:val="0056336A"/>
    <w:rsid w:val="00577C7E"/>
    <w:rsid w:val="005A0F61"/>
    <w:rsid w:val="005A25DF"/>
    <w:rsid w:val="005B30B0"/>
    <w:rsid w:val="005C794A"/>
    <w:rsid w:val="005E0629"/>
    <w:rsid w:val="005F6E43"/>
    <w:rsid w:val="00600677"/>
    <w:rsid w:val="00607EE6"/>
    <w:rsid w:val="006101B7"/>
    <w:rsid w:val="00615EE9"/>
    <w:rsid w:val="006544F8"/>
    <w:rsid w:val="00656995"/>
    <w:rsid w:val="00661BF0"/>
    <w:rsid w:val="00663AED"/>
    <w:rsid w:val="00666E58"/>
    <w:rsid w:val="00673516"/>
    <w:rsid w:val="00687EEC"/>
    <w:rsid w:val="00697EC1"/>
    <w:rsid w:val="006A3FA9"/>
    <w:rsid w:val="006A5CBE"/>
    <w:rsid w:val="006A73D5"/>
    <w:rsid w:val="006C11CA"/>
    <w:rsid w:val="006C3372"/>
    <w:rsid w:val="006D3314"/>
    <w:rsid w:val="006D36D0"/>
    <w:rsid w:val="006E25A7"/>
    <w:rsid w:val="006F0322"/>
    <w:rsid w:val="007214E5"/>
    <w:rsid w:val="0073263E"/>
    <w:rsid w:val="0074074F"/>
    <w:rsid w:val="00744607"/>
    <w:rsid w:val="007717CD"/>
    <w:rsid w:val="0077201C"/>
    <w:rsid w:val="007A1973"/>
    <w:rsid w:val="007B0881"/>
    <w:rsid w:val="007B7249"/>
    <w:rsid w:val="007D03AE"/>
    <w:rsid w:val="007E1A76"/>
    <w:rsid w:val="007E3971"/>
    <w:rsid w:val="00810C3B"/>
    <w:rsid w:val="00824DA8"/>
    <w:rsid w:val="00834796"/>
    <w:rsid w:val="00851149"/>
    <w:rsid w:val="00856AA3"/>
    <w:rsid w:val="008635E8"/>
    <w:rsid w:val="00866FCC"/>
    <w:rsid w:val="008676C4"/>
    <w:rsid w:val="00882885"/>
    <w:rsid w:val="00893708"/>
    <w:rsid w:val="008A354A"/>
    <w:rsid w:val="008C7F6F"/>
    <w:rsid w:val="008D6696"/>
    <w:rsid w:val="009016CB"/>
    <w:rsid w:val="009118ED"/>
    <w:rsid w:val="00921150"/>
    <w:rsid w:val="00931582"/>
    <w:rsid w:val="0093314F"/>
    <w:rsid w:val="00942E4E"/>
    <w:rsid w:val="00942EBD"/>
    <w:rsid w:val="009507FB"/>
    <w:rsid w:val="00951486"/>
    <w:rsid w:val="0096349B"/>
    <w:rsid w:val="009668CF"/>
    <w:rsid w:val="00966F87"/>
    <w:rsid w:val="00976E47"/>
    <w:rsid w:val="0098010F"/>
    <w:rsid w:val="00987086"/>
    <w:rsid w:val="00987835"/>
    <w:rsid w:val="009A2F8C"/>
    <w:rsid w:val="009B7E5B"/>
    <w:rsid w:val="009E23E9"/>
    <w:rsid w:val="009E60D0"/>
    <w:rsid w:val="009F4BC1"/>
    <w:rsid w:val="009F5159"/>
    <w:rsid w:val="00A00236"/>
    <w:rsid w:val="00A04E9B"/>
    <w:rsid w:val="00A05C2E"/>
    <w:rsid w:val="00A37D07"/>
    <w:rsid w:val="00A4207F"/>
    <w:rsid w:val="00A43B9A"/>
    <w:rsid w:val="00A477AC"/>
    <w:rsid w:val="00A47A8A"/>
    <w:rsid w:val="00A608A3"/>
    <w:rsid w:val="00A631CA"/>
    <w:rsid w:val="00A639F0"/>
    <w:rsid w:val="00A64470"/>
    <w:rsid w:val="00A677E2"/>
    <w:rsid w:val="00A74337"/>
    <w:rsid w:val="00A84CEF"/>
    <w:rsid w:val="00AB2584"/>
    <w:rsid w:val="00AC67AA"/>
    <w:rsid w:val="00AD1DA5"/>
    <w:rsid w:val="00AD55A1"/>
    <w:rsid w:val="00AE0D5F"/>
    <w:rsid w:val="00AE7115"/>
    <w:rsid w:val="00AF551B"/>
    <w:rsid w:val="00B26027"/>
    <w:rsid w:val="00B66478"/>
    <w:rsid w:val="00B70BB1"/>
    <w:rsid w:val="00B75B8B"/>
    <w:rsid w:val="00BB000A"/>
    <w:rsid w:val="00BB2C88"/>
    <w:rsid w:val="00BE55E4"/>
    <w:rsid w:val="00C32DF6"/>
    <w:rsid w:val="00C34136"/>
    <w:rsid w:val="00C42E5E"/>
    <w:rsid w:val="00C52E29"/>
    <w:rsid w:val="00C7068E"/>
    <w:rsid w:val="00C7409E"/>
    <w:rsid w:val="00C74D7F"/>
    <w:rsid w:val="00C903C8"/>
    <w:rsid w:val="00CA5B7B"/>
    <w:rsid w:val="00CA7377"/>
    <w:rsid w:val="00CC3A4B"/>
    <w:rsid w:val="00CC760A"/>
    <w:rsid w:val="00CD677F"/>
    <w:rsid w:val="00D12A14"/>
    <w:rsid w:val="00D15B0A"/>
    <w:rsid w:val="00D22515"/>
    <w:rsid w:val="00D24274"/>
    <w:rsid w:val="00D316B5"/>
    <w:rsid w:val="00D31B5C"/>
    <w:rsid w:val="00D363CD"/>
    <w:rsid w:val="00D52DA6"/>
    <w:rsid w:val="00D54D24"/>
    <w:rsid w:val="00D67E44"/>
    <w:rsid w:val="00D721C7"/>
    <w:rsid w:val="00D8419E"/>
    <w:rsid w:val="00D910CB"/>
    <w:rsid w:val="00DE1478"/>
    <w:rsid w:val="00DE46AD"/>
    <w:rsid w:val="00DF7290"/>
    <w:rsid w:val="00DF746B"/>
    <w:rsid w:val="00E165CA"/>
    <w:rsid w:val="00E22F6A"/>
    <w:rsid w:val="00E443E6"/>
    <w:rsid w:val="00E978A2"/>
    <w:rsid w:val="00EA4A3B"/>
    <w:rsid w:val="00EE7BEC"/>
    <w:rsid w:val="00EF3778"/>
    <w:rsid w:val="00F0094A"/>
    <w:rsid w:val="00F32F29"/>
    <w:rsid w:val="00F47C85"/>
    <w:rsid w:val="00F70334"/>
    <w:rsid w:val="00F77ECE"/>
    <w:rsid w:val="00F94158"/>
    <w:rsid w:val="00F96136"/>
    <w:rsid w:val="00FA1FB1"/>
    <w:rsid w:val="00FA5F68"/>
    <w:rsid w:val="00FB4EB9"/>
    <w:rsid w:val="00FD26BD"/>
    <w:rsid w:val="00FE53C3"/>
    <w:rsid w:val="04B73932"/>
    <w:rsid w:val="05F6EB45"/>
    <w:rsid w:val="05FF42E2"/>
    <w:rsid w:val="093B3F9B"/>
    <w:rsid w:val="0D2FBDE1"/>
    <w:rsid w:val="17569AEC"/>
    <w:rsid w:val="1E9F2513"/>
    <w:rsid w:val="1FF74183"/>
    <w:rsid w:val="1FFFAE6F"/>
    <w:rsid w:val="2CC25850"/>
    <w:rsid w:val="2FABC326"/>
    <w:rsid w:val="2FFA9FFB"/>
    <w:rsid w:val="379FE887"/>
    <w:rsid w:val="3AE53D63"/>
    <w:rsid w:val="3BDF8C07"/>
    <w:rsid w:val="3FDFF8E7"/>
    <w:rsid w:val="49EB7DF3"/>
    <w:rsid w:val="5CF7A40D"/>
    <w:rsid w:val="5D677431"/>
    <w:rsid w:val="5F3E65DC"/>
    <w:rsid w:val="5FF7AA47"/>
    <w:rsid w:val="5FFC6B2D"/>
    <w:rsid w:val="6579BCF8"/>
    <w:rsid w:val="69D12813"/>
    <w:rsid w:val="6BFD09E8"/>
    <w:rsid w:val="6F6F762C"/>
    <w:rsid w:val="71F72D1B"/>
    <w:rsid w:val="73D5F55A"/>
    <w:rsid w:val="73DFC21A"/>
    <w:rsid w:val="75F59A9F"/>
    <w:rsid w:val="76F9B0C9"/>
    <w:rsid w:val="77CC599A"/>
    <w:rsid w:val="79CA2BDC"/>
    <w:rsid w:val="7BF1FB64"/>
    <w:rsid w:val="7BF76528"/>
    <w:rsid w:val="7CFD5FD4"/>
    <w:rsid w:val="7D7FF3BD"/>
    <w:rsid w:val="7D85217F"/>
    <w:rsid w:val="7DEEB953"/>
    <w:rsid w:val="7EBFCD2D"/>
    <w:rsid w:val="7ED5F867"/>
    <w:rsid w:val="7F171D85"/>
    <w:rsid w:val="7F6F789F"/>
    <w:rsid w:val="7F7F29AD"/>
    <w:rsid w:val="7FBEFB39"/>
    <w:rsid w:val="7FC74BA9"/>
    <w:rsid w:val="7FDF7BF9"/>
    <w:rsid w:val="7FFF5E52"/>
    <w:rsid w:val="8AF63C63"/>
    <w:rsid w:val="8EFEF134"/>
    <w:rsid w:val="9DE6606D"/>
    <w:rsid w:val="B3AC91EA"/>
    <w:rsid w:val="B3FF53D4"/>
    <w:rsid w:val="B70B2A75"/>
    <w:rsid w:val="B7B7EB57"/>
    <w:rsid w:val="BB9FC2A7"/>
    <w:rsid w:val="BEDDF25D"/>
    <w:rsid w:val="BF3AF6B0"/>
    <w:rsid w:val="BFAE8B51"/>
    <w:rsid w:val="BFDF8B1B"/>
    <w:rsid w:val="BFFBC0B9"/>
    <w:rsid w:val="C5EFD821"/>
    <w:rsid w:val="C6BC1A19"/>
    <w:rsid w:val="DB1F62E9"/>
    <w:rsid w:val="DFF5A97F"/>
    <w:rsid w:val="DFF60E0D"/>
    <w:rsid w:val="DFFF412F"/>
    <w:rsid w:val="E7FF909F"/>
    <w:rsid w:val="EB771F92"/>
    <w:rsid w:val="EDFE4672"/>
    <w:rsid w:val="EEBDABA0"/>
    <w:rsid w:val="EEFF7E1E"/>
    <w:rsid w:val="EF7BD614"/>
    <w:rsid w:val="EFBD88BB"/>
    <w:rsid w:val="EFF1DA9A"/>
    <w:rsid w:val="EFFAE3FC"/>
    <w:rsid w:val="EFFDA823"/>
    <w:rsid w:val="F2ED4017"/>
    <w:rsid w:val="F3A853D8"/>
    <w:rsid w:val="F3FB51A6"/>
    <w:rsid w:val="F4F66F4F"/>
    <w:rsid w:val="F567BB8A"/>
    <w:rsid w:val="F6EBEA05"/>
    <w:rsid w:val="F7F39DDC"/>
    <w:rsid w:val="FABF507E"/>
    <w:rsid w:val="FB15B5EC"/>
    <w:rsid w:val="FCCF2526"/>
    <w:rsid w:val="FDD74A2B"/>
    <w:rsid w:val="FDF308F8"/>
    <w:rsid w:val="FF567221"/>
    <w:rsid w:val="FFAFB72D"/>
    <w:rsid w:val="FFF372C3"/>
    <w:rsid w:val="FFF9BA86"/>
    <w:rsid w:val="FFFB51D6"/>
    <w:rsid w:val="FFFF5F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lsdException w:name="footer" w:semiHidden="0"/>
    <w:lsdException w:name="caption" w:uiPriority="35" w:qFormat="1"/>
    <w:lsdException w:name="annotation reference" w:semiHidden="0" w:qFormat="1"/>
    <w:lsdException w:name="page number" w:semiHidden="0"/>
    <w:lsdException w:name="Title" w:semiHidden="0" w:uiPriority="10" w:unhideWhenUsed="0" w:qFormat="1"/>
    <w:lsdException w:name="Default Paragraph Font" w:semiHidden="0"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Plain Text" w:semiHidden="0"/>
    <w:lsdException w:name="Normal Table" w:semiHidden="0"/>
    <w:lsdException w:name="annotation subject" w:semiHidden="0"/>
    <w:lsdException w:name="Table Web 2" w:semiHidden="0" w:unhideWhenUsed="0"/>
    <w:lsdException w:name="Balloon Text" w:semiHidden="0"/>
    <w:lsdException w:name="Table Grid" w:semiHidden="0" w:uiPriority="39" w:unhideWhenUsed="0"/>
    <w:lsdException w:name="Table Theme" w:semiHidden="0" w:unhideWhenUsed="0"/>
    <w:lsdException w:name="No Spacing" w:semiHidden="0"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semiHidden="0" w:uiPriority="64" w:unhideWhenUsed="0"/>
    <w:lsdException w:name="Medium List 1 Accent 1" w:semiHidden="0" w:uiPriority="65" w:unhideWhenUsed="0"/>
    <w:lsdException w:name="Revision" w:semiHidden="0"/>
    <w:lsdException w:name="List Paragraph" w:semiHidden="0" w:unhideWhenUsed="0" w:qFormat="1"/>
    <w:lsdException w:name="Quote" w:semiHidden="0" w:unhideWhenUsed="0" w:qFormat="1"/>
    <w:lsdException w:name="Intense Quote" w:semiHidden="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Calibri"/>
      <w:kern w:val="2"/>
      <w:sz w:val="21"/>
      <w:szCs w:val="21"/>
    </w:rPr>
  </w:style>
  <w:style w:type="character" w:default="1" w:styleId="a0">
    <w:name w:val="Default Paragraph Font"/>
    <w:uiPriority w:val="1"/>
    <w:unhideWhenUsed/>
  </w:style>
  <w:style w:type="table" w:default="1" w:styleId="a1">
    <w:name w:val="Normal Table"/>
    <w:uiPriority w:val="99"/>
    <w:unhideWhenUsed/>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5">
    <w:name w:val="15"/>
    <w:rPr>
      <w:color w:val="0000FF"/>
      <w:u w:val="single"/>
    </w:rPr>
  </w:style>
  <w:style w:type="character" w:customStyle="1" w:styleId="Char">
    <w:name w:val="页眉 Char"/>
    <w:link w:val="a3"/>
    <w:uiPriority w:val="99"/>
    <w:rPr>
      <w:rFonts w:ascii="Calibri" w:hAnsi="Calibri" w:cs="Calibri"/>
      <w:kern w:val="2"/>
      <w:sz w:val="18"/>
      <w:szCs w:val="18"/>
    </w:rPr>
  </w:style>
  <w:style w:type="character" w:customStyle="1" w:styleId="Char0">
    <w:name w:val="批注框文本 Char"/>
    <w:link w:val="a4"/>
    <w:uiPriority w:val="99"/>
    <w:semiHidden/>
    <w:rPr>
      <w:rFonts w:ascii="Calibri" w:hAnsi="Calibri" w:cs="Calibri"/>
      <w:kern w:val="2"/>
      <w:sz w:val="18"/>
      <w:szCs w:val="18"/>
    </w:rPr>
  </w:style>
  <w:style w:type="character" w:customStyle="1" w:styleId="Char1">
    <w:name w:val="页脚 Char"/>
    <w:link w:val="a5"/>
    <w:uiPriority w:val="99"/>
    <w:rPr>
      <w:rFonts w:ascii="Calibri" w:hAnsi="Calibri" w:cs="Calibri"/>
      <w:kern w:val="2"/>
      <w:sz w:val="18"/>
      <w:szCs w:val="18"/>
    </w:rPr>
  </w:style>
  <w:style w:type="character" w:customStyle="1" w:styleId="Char2">
    <w:name w:val="纯文本 Char"/>
    <w:link w:val="a6"/>
    <w:uiPriority w:val="99"/>
    <w:rPr>
      <w:rFonts w:ascii="Calibri" w:eastAsia="Calibri" w:hAnsi="Calibri"/>
      <w:sz w:val="22"/>
      <w:szCs w:val="21"/>
      <w:lang w:val="nl-BE" w:eastAsia="en-US"/>
    </w:rPr>
  </w:style>
  <w:style w:type="character" w:customStyle="1" w:styleId="Char3">
    <w:name w:val="批注主题 Char"/>
    <w:link w:val="a7"/>
    <w:uiPriority w:val="99"/>
    <w:semiHidden/>
    <w:rPr>
      <w:rFonts w:ascii="Calibri" w:hAnsi="Calibri" w:cs="Calibri"/>
      <w:b/>
      <w:bCs/>
      <w:kern w:val="2"/>
      <w:sz w:val="21"/>
      <w:szCs w:val="21"/>
      <w:lang w:val="en-US" w:eastAsia="zh-CN"/>
    </w:rPr>
  </w:style>
  <w:style w:type="character" w:customStyle="1" w:styleId="a8">
    <w:name w:val="未处理的提及"/>
    <w:uiPriority w:val="99"/>
    <w:unhideWhenUsed/>
    <w:rPr>
      <w:color w:val="605E5C"/>
      <w:shd w:val="clear" w:color="auto" w:fill="E1DFDD"/>
    </w:rPr>
  </w:style>
  <w:style w:type="character" w:styleId="a9">
    <w:name w:val="annotation reference"/>
    <w:uiPriority w:val="99"/>
    <w:unhideWhenUsed/>
    <w:qFormat/>
    <w:rPr>
      <w:sz w:val="18"/>
      <w:szCs w:val="18"/>
    </w:rPr>
  </w:style>
  <w:style w:type="character" w:styleId="aa">
    <w:name w:val="Hyperlink"/>
    <w:uiPriority w:val="99"/>
    <w:unhideWhenUsed/>
    <w:rPr>
      <w:color w:val="0000FF"/>
      <w:u w:val="single"/>
    </w:rPr>
  </w:style>
  <w:style w:type="character" w:styleId="ab">
    <w:name w:val="page number"/>
    <w:uiPriority w:val="99"/>
    <w:unhideWhenUsed/>
  </w:style>
  <w:style w:type="character" w:customStyle="1" w:styleId="Char4">
    <w:name w:val="批注文字 Char"/>
    <w:link w:val="ac"/>
    <w:uiPriority w:val="99"/>
    <w:rPr>
      <w:kern w:val="2"/>
      <w:sz w:val="24"/>
      <w:szCs w:val="24"/>
      <w:lang w:val="en-US" w:eastAsia="zh-CN"/>
    </w:rPr>
  </w:style>
  <w:style w:type="character" w:customStyle="1" w:styleId="ad">
    <w:name w:val="批注文字 字符"/>
    <w:uiPriority w:val="99"/>
    <w:semiHidden/>
    <w:rPr>
      <w:rFonts w:ascii="Calibri" w:hAnsi="Calibri" w:cs="Calibri"/>
      <w:kern w:val="2"/>
      <w:sz w:val="21"/>
      <w:szCs w:val="21"/>
    </w:rPr>
  </w:style>
  <w:style w:type="paragraph" w:customStyle="1" w:styleId="EndNoteBibliography">
    <w:name w:val="EndNote Bibliography"/>
    <w:basedOn w:val="a"/>
    <w:rPr>
      <w:sz w:val="20"/>
      <w:szCs w:val="20"/>
    </w:rPr>
  </w:style>
  <w:style w:type="paragraph" w:customStyle="1" w:styleId="ColorfulList-Accent11">
    <w:name w:val="Colorful List - Accent 11"/>
    <w:basedOn w:val="a"/>
    <w:uiPriority w:val="34"/>
    <w:qFormat/>
    <w:pPr>
      <w:ind w:firstLineChars="200" w:firstLine="420"/>
    </w:pPr>
  </w:style>
  <w:style w:type="paragraph" w:customStyle="1" w:styleId="src">
    <w:name w:val="src"/>
    <w:basedOn w:val="a"/>
    <w:pPr>
      <w:widowControl/>
      <w:spacing w:before="100" w:beforeAutospacing="1" w:after="100" w:afterAutospacing="1"/>
      <w:jc w:val="left"/>
    </w:pPr>
    <w:rPr>
      <w:rFonts w:ascii="宋体" w:hAnsi="宋体" w:cs="宋体"/>
      <w:kern w:val="0"/>
      <w:sz w:val="24"/>
      <w:szCs w:val="24"/>
    </w:rPr>
  </w:style>
  <w:style w:type="paragraph" w:customStyle="1" w:styleId="Normal1">
    <w:name w:val="Normal1"/>
    <w:pPr>
      <w:jc w:val="both"/>
    </w:pPr>
    <w:rPr>
      <w:rFonts w:ascii="宋体" w:hAnsi="宋体" w:cs="宋体"/>
      <w:kern w:val="2"/>
      <w:sz w:val="21"/>
      <w:szCs w:val="21"/>
    </w:rPr>
  </w:style>
  <w:style w:type="paragraph" w:styleId="ae">
    <w:name w:val="Revision"/>
    <w:uiPriority w:val="99"/>
    <w:unhideWhenUsed/>
    <w:rPr>
      <w:rFonts w:ascii="Calibri" w:hAnsi="Calibri" w:cs="Calibri"/>
      <w:kern w:val="2"/>
      <w:sz w:val="21"/>
      <w:szCs w:val="21"/>
    </w:rPr>
  </w:style>
  <w:style w:type="paragraph" w:customStyle="1" w:styleId="ColorfulShading-Accent11">
    <w:name w:val="Colorful Shading - Accent 11"/>
    <w:uiPriority w:val="99"/>
    <w:unhideWhenUsed/>
    <w:rPr>
      <w:rFonts w:ascii="Calibri" w:hAnsi="Calibri" w:cs="Calibri"/>
      <w:kern w:val="2"/>
      <w:sz w:val="21"/>
      <w:szCs w:val="21"/>
    </w:rPr>
  </w:style>
  <w:style w:type="paragraph" w:styleId="a3">
    <w:name w:val="header"/>
    <w:basedOn w:val="a"/>
    <w:link w:val="Char"/>
    <w:uiPriority w:val="99"/>
    <w:unhideWhenUsed/>
    <w:pPr>
      <w:pBdr>
        <w:bottom w:val="single" w:sz="6" w:space="1" w:color="auto"/>
      </w:pBdr>
      <w:tabs>
        <w:tab w:val="center" w:pos="4153"/>
        <w:tab w:val="right" w:pos="8306"/>
      </w:tabs>
      <w:snapToGrid w:val="0"/>
      <w:jc w:val="center"/>
    </w:pPr>
    <w:rPr>
      <w:sz w:val="18"/>
      <w:szCs w:val="18"/>
    </w:rPr>
  </w:style>
  <w:style w:type="paragraph" w:styleId="a5">
    <w:name w:val="footer"/>
    <w:basedOn w:val="a"/>
    <w:link w:val="Char1"/>
    <w:uiPriority w:val="99"/>
    <w:unhideWhenUsed/>
    <w:pPr>
      <w:tabs>
        <w:tab w:val="center" w:pos="4153"/>
        <w:tab w:val="right" w:pos="8306"/>
      </w:tabs>
      <w:snapToGrid w:val="0"/>
      <w:jc w:val="left"/>
    </w:pPr>
    <w:rPr>
      <w:sz w:val="18"/>
      <w:szCs w:val="18"/>
    </w:rPr>
  </w:style>
  <w:style w:type="paragraph" w:styleId="a4">
    <w:name w:val="Balloon Text"/>
    <w:basedOn w:val="a"/>
    <w:link w:val="Char0"/>
    <w:uiPriority w:val="99"/>
    <w:unhideWhenUsed/>
    <w:rPr>
      <w:sz w:val="18"/>
      <w:szCs w:val="18"/>
    </w:rPr>
  </w:style>
  <w:style w:type="paragraph" w:styleId="a6">
    <w:name w:val="Plain Text"/>
    <w:basedOn w:val="a"/>
    <w:link w:val="Char2"/>
    <w:uiPriority w:val="99"/>
    <w:unhideWhenUsed/>
    <w:pPr>
      <w:widowControl/>
      <w:jc w:val="left"/>
    </w:pPr>
    <w:rPr>
      <w:rFonts w:eastAsia="Calibri" w:cs="Times New Roman"/>
      <w:kern w:val="0"/>
      <w:sz w:val="22"/>
      <w:lang w:val="nl-BE" w:eastAsia="en-US"/>
    </w:rPr>
  </w:style>
  <w:style w:type="paragraph" w:styleId="ac">
    <w:name w:val="annotation text"/>
    <w:basedOn w:val="a"/>
    <w:link w:val="Char4"/>
    <w:uiPriority w:val="99"/>
    <w:unhideWhenUsed/>
    <w:qFormat/>
    <w:rPr>
      <w:rFonts w:ascii="Times New Roman" w:hAnsi="Times New Roman" w:cs="Times New Roman"/>
      <w:sz w:val="24"/>
      <w:szCs w:val="24"/>
      <w:lang w:val="en-US" w:eastAsia="zh-CN"/>
    </w:rPr>
  </w:style>
  <w:style w:type="paragraph" w:styleId="a7">
    <w:name w:val="annotation subject"/>
    <w:basedOn w:val="ac"/>
    <w:next w:val="ac"/>
    <w:link w:val="Char3"/>
    <w:uiPriority w:val="99"/>
    <w:unhideWhenUsed/>
    <w:pPr>
      <w:jc w:val="left"/>
    </w:pPr>
    <w:rPr>
      <w:rFonts w:ascii="Calibri" w:hAnsi="Calibri" w:cs="Calibri"/>
      <w:b/>
      <w:bCs/>
      <w:sz w:val="21"/>
      <w:szCs w:val="21"/>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lsdException w:name="footer" w:semiHidden="0"/>
    <w:lsdException w:name="caption" w:uiPriority="35" w:qFormat="1"/>
    <w:lsdException w:name="annotation reference" w:semiHidden="0" w:qFormat="1"/>
    <w:lsdException w:name="page number" w:semiHidden="0"/>
    <w:lsdException w:name="Title" w:semiHidden="0" w:uiPriority="10" w:unhideWhenUsed="0" w:qFormat="1"/>
    <w:lsdException w:name="Default Paragraph Font" w:semiHidden="0"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Plain Text" w:semiHidden="0"/>
    <w:lsdException w:name="Normal Table" w:semiHidden="0"/>
    <w:lsdException w:name="annotation subject" w:semiHidden="0"/>
    <w:lsdException w:name="Table Web 2" w:semiHidden="0" w:unhideWhenUsed="0"/>
    <w:lsdException w:name="Balloon Text" w:semiHidden="0"/>
    <w:lsdException w:name="Table Grid" w:semiHidden="0" w:uiPriority="39" w:unhideWhenUsed="0"/>
    <w:lsdException w:name="Table Theme" w:semiHidden="0" w:unhideWhenUsed="0"/>
    <w:lsdException w:name="No Spacing" w:semiHidden="0"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semiHidden="0" w:uiPriority="64" w:unhideWhenUsed="0"/>
    <w:lsdException w:name="Medium List 1 Accent 1" w:semiHidden="0" w:uiPriority="65" w:unhideWhenUsed="0"/>
    <w:lsdException w:name="Revision" w:semiHidden="0"/>
    <w:lsdException w:name="List Paragraph" w:semiHidden="0" w:unhideWhenUsed="0" w:qFormat="1"/>
    <w:lsdException w:name="Quote" w:semiHidden="0" w:unhideWhenUsed="0" w:qFormat="1"/>
    <w:lsdException w:name="Intense Quote" w:semiHidden="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Calibri"/>
      <w:kern w:val="2"/>
      <w:sz w:val="21"/>
      <w:szCs w:val="21"/>
    </w:rPr>
  </w:style>
  <w:style w:type="character" w:default="1" w:styleId="a0">
    <w:name w:val="Default Paragraph Font"/>
    <w:uiPriority w:val="1"/>
    <w:unhideWhenUsed/>
  </w:style>
  <w:style w:type="table" w:default="1" w:styleId="a1">
    <w:name w:val="Normal Table"/>
    <w:uiPriority w:val="99"/>
    <w:unhideWhenUsed/>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5">
    <w:name w:val="15"/>
    <w:rPr>
      <w:color w:val="0000FF"/>
      <w:u w:val="single"/>
    </w:rPr>
  </w:style>
  <w:style w:type="character" w:customStyle="1" w:styleId="Char">
    <w:name w:val="页眉 Char"/>
    <w:link w:val="a3"/>
    <w:uiPriority w:val="99"/>
    <w:rPr>
      <w:rFonts w:ascii="Calibri" w:hAnsi="Calibri" w:cs="Calibri"/>
      <w:kern w:val="2"/>
      <w:sz w:val="18"/>
      <w:szCs w:val="18"/>
    </w:rPr>
  </w:style>
  <w:style w:type="character" w:customStyle="1" w:styleId="Char0">
    <w:name w:val="批注框文本 Char"/>
    <w:link w:val="a4"/>
    <w:uiPriority w:val="99"/>
    <w:semiHidden/>
    <w:rPr>
      <w:rFonts w:ascii="Calibri" w:hAnsi="Calibri" w:cs="Calibri"/>
      <w:kern w:val="2"/>
      <w:sz w:val="18"/>
      <w:szCs w:val="18"/>
    </w:rPr>
  </w:style>
  <w:style w:type="character" w:customStyle="1" w:styleId="Char1">
    <w:name w:val="页脚 Char"/>
    <w:link w:val="a5"/>
    <w:uiPriority w:val="99"/>
    <w:rPr>
      <w:rFonts w:ascii="Calibri" w:hAnsi="Calibri" w:cs="Calibri"/>
      <w:kern w:val="2"/>
      <w:sz w:val="18"/>
      <w:szCs w:val="18"/>
    </w:rPr>
  </w:style>
  <w:style w:type="character" w:customStyle="1" w:styleId="Char2">
    <w:name w:val="纯文本 Char"/>
    <w:link w:val="a6"/>
    <w:uiPriority w:val="99"/>
    <w:rPr>
      <w:rFonts w:ascii="Calibri" w:eastAsia="Calibri" w:hAnsi="Calibri"/>
      <w:sz w:val="22"/>
      <w:szCs w:val="21"/>
      <w:lang w:val="nl-BE" w:eastAsia="en-US"/>
    </w:rPr>
  </w:style>
  <w:style w:type="character" w:customStyle="1" w:styleId="Char3">
    <w:name w:val="批注主题 Char"/>
    <w:link w:val="a7"/>
    <w:uiPriority w:val="99"/>
    <w:semiHidden/>
    <w:rPr>
      <w:rFonts w:ascii="Calibri" w:hAnsi="Calibri" w:cs="Calibri"/>
      <w:b/>
      <w:bCs/>
      <w:kern w:val="2"/>
      <w:sz w:val="21"/>
      <w:szCs w:val="21"/>
      <w:lang w:val="en-US" w:eastAsia="zh-CN"/>
    </w:rPr>
  </w:style>
  <w:style w:type="character" w:customStyle="1" w:styleId="a8">
    <w:name w:val="未处理的提及"/>
    <w:uiPriority w:val="99"/>
    <w:unhideWhenUsed/>
    <w:rPr>
      <w:color w:val="605E5C"/>
      <w:shd w:val="clear" w:color="auto" w:fill="E1DFDD"/>
    </w:rPr>
  </w:style>
  <w:style w:type="character" w:styleId="a9">
    <w:name w:val="annotation reference"/>
    <w:uiPriority w:val="99"/>
    <w:unhideWhenUsed/>
    <w:qFormat/>
    <w:rPr>
      <w:sz w:val="18"/>
      <w:szCs w:val="18"/>
    </w:rPr>
  </w:style>
  <w:style w:type="character" w:styleId="aa">
    <w:name w:val="Hyperlink"/>
    <w:uiPriority w:val="99"/>
    <w:unhideWhenUsed/>
    <w:rPr>
      <w:color w:val="0000FF"/>
      <w:u w:val="single"/>
    </w:rPr>
  </w:style>
  <w:style w:type="character" w:styleId="ab">
    <w:name w:val="page number"/>
    <w:uiPriority w:val="99"/>
    <w:unhideWhenUsed/>
  </w:style>
  <w:style w:type="character" w:customStyle="1" w:styleId="Char4">
    <w:name w:val="批注文字 Char"/>
    <w:link w:val="ac"/>
    <w:uiPriority w:val="99"/>
    <w:rPr>
      <w:kern w:val="2"/>
      <w:sz w:val="24"/>
      <w:szCs w:val="24"/>
      <w:lang w:val="en-US" w:eastAsia="zh-CN"/>
    </w:rPr>
  </w:style>
  <w:style w:type="character" w:customStyle="1" w:styleId="ad">
    <w:name w:val="批注文字 字符"/>
    <w:uiPriority w:val="99"/>
    <w:semiHidden/>
    <w:rPr>
      <w:rFonts w:ascii="Calibri" w:hAnsi="Calibri" w:cs="Calibri"/>
      <w:kern w:val="2"/>
      <w:sz w:val="21"/>
      <w:szCs w:val="21"/>
    </w:rPr>
  </w:style>
  <w:style w:type="paragraph" w:customStyle="1" w:styleId="EndNoteBibliography">
    <w:name w:val="EndNote Bibliography"/>
    <w:basedOn w:val="a"/>
    <w:rPr>
      <w:sz w:val="20"/>
      <w:szCs w:val="20"/>
    </w:rPr>
  </w:style>
  <w:style w:type="paragraph" w:customStyle="1" w:styleId="ColorfulList-Accent11">
    <w:name w:val="Colorful List - Accent 11"/>
    <w:basedOn w:val="a"/>
    <w:uiPriority w:val="34"/>
    <w:qFormat/>
    <w:pPr>
      <w:ind w:firstLineChars="200" w:firstLine="420"/>
    </w:pPr>
  </w:style>
  <w:style w:type="paragraph" w:customStyle="1" w:styleId="src">
    <w:name w:val="src"/>
    <w:basedOn w:val="a"/>
    <w:pPr>
      <w:widowControl/>
      <w:spacing w:before="100" w:beforeAutospacing="1" w:after="100" w:afterAutospacing="1"/>
      <w:jc w:val="left"/>
    </w:pPr>
    <w:rPr>
      <w:rFonts w:ascii="宋体" w:hAnsi="宋体" w:cs="宋体"/>
      <w:kern w:val="0"/>
      <w:sz w:val="24"/>
      <w:szCs w:val="24"/>
    </w:rPr>
  </w:style>
  <w:style w:type="paragraph" w:customStyle="1" w:styleId="Normal1">
    <w:name w:val="Normal1"/>
    <w:pPr>
      <w:jc w:val="both"/>
    </w:pPr>
    <w:rPr>
      <w:rFonts w:ascii="宋体" w:hAnsi="宋体" w:cs="宋体"/>
      <w:kern w:val="2"/>
      <w:sz w:val="21"/>
      <w:szCs w:val="21"/>
    </w:rPr>
  </w:style>
  <w:style w:type="paragraph" w:styleId="ae">
    <w:name w:val="Revision"/>
    <w:uiPriority w:val="99"/>
    <w:unhideWhenUsed/>
    <w:rPr>
      <w:rFonts w:ascii="Calibri" w:hAnsi="Calibri" w:cs="Calibri"/>
      <w:kern w:val="2"/>
      <w:sz w:val="21"/>
      <w:szCs w:val="21"/>
    </w:rPr>
  </w:style>
  <w:style w:type="paragraph" w:customStyle="1" w:styleId="ColorfulShading-Accent11">
    <w:name w:val="Colorful Shading - Accent 11"/>
    <w:uiPriority w:val="99"/>
    <w:unhideWhenUsed/>
    <w:rPr>
      <w:rFonts w:ascii="Calibri" w:hAnsi="Calibri" w:cs="Calibri"/>
      <w:kern w:val="2"/>
      <w:sz w:val="21"/>
      <w:szCs w:val="21"/>
    </w:rPr>
  </w:style>
  <w:style w:type="paragraph" w:styleId="a3">
    <w:name w:val="header"/>
    <w:basedOn w:val="a"/>
    <w:link w:val="Char"/>
    <w:uiPriority w:val="99"/>
    <w:unhideWhenUsed/>
    <w:pPr>
      <w:pBdr>
        <w:bottom w:val="single" w:sz="6" w:space="1" w:color="auto"/>
      </w:pBdr>
      <w:tabs>
        <w:tab w:val="center" w:pos="4153"/>
        <w:tab w:val="right" w:pos="8306"/>
      </w:tabs>
      <w:snapToGrid w:val="0"/>
      <w:jc w:val="center"/>
    </w:pPr>
    <w:rPr>
      <w:sz w:val="18"/>
      <w:szCs w:val="18"/>
    </w:rPr>
  </w:style>
  <w:style w:type="paragraph" w:styleId="a5">
    <w:name w:val="footer"/>
    <w:basedOn w:val="a"/>
    <w:link w:val="Char1"/>
    <w:uiPriority w:val="99"/>
    <w:unhideWhenUsed/>
    <w:pPr>
      <w:tabs>
        <w:tab w:val="center" w:pos="4153"/>
        <w:tab w:val="right" w:pos="8306"/>
      </w:tabs>
      <w:snapToGrid w:val="0"/>
      <w:jc w:val="left"/>
    </w:pPr>
    <w:rPr>
      <w:sz w:val="18"/>
      <w:szCs w:val="18"/>
    </w:rPr>
  </w:style>
  <w:style w:type="paragraph" w:styleId="a4">
    <w:name w:val="Balloon Text"/>
    <w:basedOn w:val="a"/>
    <w:link w:val="Char0"/>
    <w:uiPriority w:val="99"/>
    <w:unhideWhenUsed/>
    <w:rPr>
      <w:sz w:val="18"/>
      <w:szCs w:val="18"/>
    </w:rPr>
  </w:style>
  <w:style w:type="paragraph" w:styleId="a6">
    <w:name w:val="Plain Text"/>
    <w:basedOn w:val="a"/>
    <w:link w:val="Char2"/>
    <w:uiPriority w:val="99"/>
    <w:unhideWhenUsed/>
    <w:pPr>
      <w:widowControl/>
      <w:jc w:val="left"/>
    </w:pPr>
    <w:rPr>
      <w:rFonts w:eastAsia="Calibri" w:cs="Times New Roman"/>
      <w:kern w:val="0"/>
      <w:sz w:val="22"/>
      <w:lang w:val="nl-BE" w:eastAsia="en-US"/>
    </w:rPr>
  </w:style>
  <w:style w:type="paragraph" w:styleId="ac">
    <w:name w:val="annotation text"/>
    <w:basedOn w:val="a"/>
    <w:link w:val="Char4"/>
    <w:uiPriority w:val="99"/>
    <w:unhideWhenUsed/>
    <w:qFormat/>
    <w:rPr>
      <w:rFonts w:ascii="Times New Roman" w:hAnsi="Times New Roman" w:cs="Times New Roman"/>
      <w:sz w:val="24"/>
      <w:szCs w:val="24"/>
      <w:lang w:val="en-US" w:eastAsia="zh-CN"/>
    </w:rPr>
  </w:style>
  <w:style w:type="paragraph" w:styleId="a7">
    <w:name w:val="annotation subject"/>
    <w:basedOn w:val="ac"/>
    <w:next w:val="ac"/>
    <w:link w:val="Char3"/>
    <w:uiPriority w:val="99"/>
    <w:unhideWhenUsed/>
    <w:pPr>
      <w:jc w:val="left"/>
    </w:pPr>
    <w:rPr>
      <w:rFonts w:ascii="Calibri" w:hAnsi="Calibri" w:cs="Calibri"/>
      <w:b/>
      <w:bCs/>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x.doi.org/10.13105/wjma.v8.i1.27" TargetMode="External"/><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hyperlink" Target="https://www.wjgnet.com/2308-3840/full/v8/i1/27.htm" TargetMode="External"/><Relationship Id="rId12" Type="http://schemas.openxmlformats.org/officeDocument/2006/relationships/image" Target="media/image4.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7470</Words>
  <Characters>42580</Characters>
  <Application>Microsoft Office Word</Application>
  <DocSecurity>0</DocSecurity>
  <PresentationFormat/>
  <Lines>354</Lines>
  <Paragraphs>99</Paragraphs>
  <Slides>0</Slides>
  <Notes>0</Notes>
  <HiddenSlides>0</HiddenSlides>
  <MMClips>0</MMClips>
  <ScaleCrop>false</ScaleCrop>
  <Company/>
  <LinksUpToDate>false</LinksUpToDate>
  <CharactersWithSpaces>49951</CharactersWithSpaces>
  <SharedDoc>false</SharedDoc>
  <HLinks>
    <vt:vector size="18" baseType="variant">
      <vt:variant>
        <vt:i4>4194315</vt:i4>
      </vt:variant>
      <vt:variant>
        <vt:i4>6</vt:i4>
      </vt:variant>
      <vt:variant>
        <vt:i4>0</vt:i4>
      </vt:variant>
      <vt:variant>
        <vt:i4>5</vt:i4>
      </vt:variant>
      <vt:variant>
        <vt:lpwstr/>
      </vt:variant>
      <vt:variant>
        <vt:lpwstr>_ENREF_18</vt:lpwstr>
      </vt:variant>
      <vt:variant>
        <vt:i4>983128</vt:i4>
      </vt:variant>
      <vt:variant>
        <vt:i4>3</vt:i4>
      </vt:variant>
      <vt:variant>
        <vt:i4>0</vt:i4>
      </vt:variant>
      <vt:variant>
        <vt:i4>5</vt:i4>
      </vt:variant>
      <vt:variant>
        <vt:lpwstr>https://dx.doi.org/10.13105/wjma.v8.i1.27</vt:lpwstr>
      </vt:variant>
      <vt:variant>
        <vt:lpwstr/>
      </vt:variant>
      <vt:variant>
        <vt:i4>7864417</vt:i4>
      </vt:variant>
      <vt:variant>
        <vt:i4>0</vt:i4>
      </vt:variant>
      <vt:variant>
        <vt:i4>0</vt:i4>
      </vt:variant>
      <vt:variant>
        <vt:i4>5</vt:i4>
      </vt:variant>
      <vt:variant>
        <vt:lpwstr>https://www.wjgnet.com/2308-3840/full/v8/i1/27.htm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apple</dc:creator>
  <cp:lastModifiedBy>86151</cp:lastModifiedBy>
  <cp:revision>2</cp:revision>
  <dcterms:created xsi:type="dcterms:W3CDTF">2020-02-28T05:30:00Z</dcterms:created>
  <dcterms:modified xsi:type="dcterms:W3CDTF">2020-02-28T05:30:00Z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2052-1.1.0.1454</vt:lpwstr>
  </property>
</Properties>
</file>