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10" w:rsidRDefault="00210629">
      <w:pPr>
        <w:spacing w:after="0" w:line="360" w:lineRule="auto"/>
        <w:jc w:val="both"/>
        <w:rPr>
          <w:rFonts w:ascii="Book Antiqua" w:hAnsi="Book Antiqua" w:cs="Times New Roman"/>
          <w:i/>
          <w:sz w:val="24"/>
          <w:szCs w:val="24"/>
        </w:rPr>
      </w:pPr>
      <w:bookmarkStart w:id="0" w:name="OLE_LINK35"/>
      <w:r>
        <w:rPr>
          <w:rFonts w:ascii="Book Antiqua" w:eastAsia="Book Antiqua" w:hAnsi="Book Antiqua" w:cs="Times New Roman"/>
          <w:b/>
          <w:sz w:val="24"/>
          <w:szCs w:val="24"/>
        </w:rPr>
        <w:t xml:space="preserve">Name of Journal: </w:t>
      </w:r>
      <w:r>
        <w:rPr>
          <w:rFonts w:ascii="Book Antiqua" w:eastAsia="Book Antiqua" w:hAnsi="Book Antiqua" w:cs="Times New Roman"/>
          <w:i/>
          <w:sz w:val="24"/>
          <w:szCs w:val="24"/>
        </w:rPr>
        <w:t>World Journal of Clinical Cases</w:t>
      </w:r>
      <w:bookmarkStart w:id="1" w:name="_Hlk15550774"/>
    </w:p>
    <w:p w:rsidR="00A35F10" w:rsidRDefault="00210629">
      <w:pPr>
        <w:spacing w:after="0" w:line="360" w:lineRule="auto"/>
        <w:jc w:val="both"/>
        <w:rPr>
          <w:rFonts w:ascii="Book Antiqua" w:eastAsia="Book Antiqua" w:hAnsi="Book Antiqua" w:cs="Times New Roman"/>
          <w:i/>
          <w:sz w:val="24"/>
          <w:szCs w:val="24"/>
        </w:rPr>
      </w:pPr>
      <w:r>
        <w:rPr>
          <w:rFonts w:ascii="Book Antiqua" w:eastAsia="Book Antiqua" w:hAnsi="Book Antiqua" w:cs="Times New Roman"/>
          <w:b/>
          <w:sz w:val="24"/>
          <w:szCs w:val="24"/>
        </w:rPr>
        <w:t xml:space="preserve">Manuscript NO: </w:t>
      </w:r>
      <w:r>
        <w:rPr>
          <w:rFonts w:ascii="Book Antiqua" w:hAnsi="Book Antiqua" w:cs="Times New Roman"/>
          <w:sz w:val="24"/>
          <w:szCs w:val="24"/>
        </w:rPr>
        <w:t>49721</w:t>
      </w:r>
      <w:bookmarkEnd w:id="1"/>
    </w:p>
    <w:p w:rsidR="00A35F10" w:rsidRDefault="00210629">
      <w:pPr>
        <w:spacing w:after="0" w:line="360" w:lineRule="auto"/>
        <w:ind w:rightChars="65" w:right="143"/>
        <w:jc w:val="both"/>
        <w:rPr>
          <w:rFonts w:ascii="Book Antiqua" w:eastAsia="Book Antiqua" w:hAnsi="Book Antiqua" w:cs="Times New Roman"/>
          <w:sz w:val="24"/>
          <w:szCs w:val="24"/>
        </w:rPr>
      </w:pPr>
      <w:r>
        <w:rPr>
          <w:rFonts w:ascii="Book Antiqua" w:eastAsia="Book Antiqua" w:hAnsi="Book Antiqua" w:cs="Times New Roman"/>
          <w:b/>
          <w:sz w:val="24"/>
          <w:szCs w:val="24"/>
        </w:rPr>
        <w:t xml:space="preserve">Manuscript Type: </w:t>
      </w:r>
      <w:r>
        <w:rPr>
          <w:rFonts w:ascii="Book Antiqua" w:eastAsia="Book Antiqua" w:hAnsi="Book Antiqua"/>
          <w:bCs/>
          <w:color w:val="000000" w:themeColor="text1"/>
          <w:sz w:val="24"/>
          <w:szCs w:val="24"/>
        </w:rPr>
        <w:t>ORIGINAL ARTICLE</w:t>
      </w:r>
    </w:p>
    <w:p w:rsidR="00A35F10" w:rsidRDefault="00A35F10">
      <w:pPr>
        <w:spacing w:after="0" w:line="360" w:lineRule="auto"/>
        <w:ind w:rightChars="65" w:right="143"/>
        <w:jc w:val="both"/>
        <w:rPr>
          <w:rFonts w:ascii="Book Antiqua" w:eastAsia="Book Antiqua" w:hAnsi="Book Antiqua" w:cs="Times New Roman"/>
          <w:sz w:val="24"/>
          <w:szCs w:val="24"/>
        </w:rPr>
      </w:pPr>
    </w:p>
    <w:p w:rsidR="00A35F10" w:rsidRDefault="00210629">
      <w:pPr>
        <w:spacing w:after="0" w:line="360" w:lineRule="auto"/>
        <w:ind w:rightChars="65" w:right="143"/>
        <w:jc w:val="both"/>
        <w:rPr>
          <w:rFonts w:ascii="Book Antiqua" w:eastAsia="Book Antiqua" w:hAnsi="Book Antiqua" w:cs="Times New Roman"/>
          <w:b/>
          <w:bCs/>
          <w:i/>
          <w:iCs/>
          <w:sz w:val="24"/>
          <w:szCs w:val="24"/>
        </w:rPr>
      </w:pPr>
      <w:r>
        <w:rPr>
          <w:rFonts w:ascii="Book Antiqua" w:eastAsia="Book Antiqua" w:hAnsi="Book Antiqua" w:cs="Times New Roman"/>
          <w:b/>
          <w:bCs/>
          <w:i/>
          <w:iCs/>
          <w:sz w:val="24"/>
          <w:szCs w:val="24"/>
        </w:rPr>
        <w:t>Randomized Controlled Trial</w:t>
      </w:r>
      <w:bookmarkEnd w:id="0"/>
    </w:p>
    <w:p w:rsidR="00A35F10" w:rsidRDefault="00210629">
      <w:pPr>
        <w:spacing w:after="0" w:line="360" w:lineRule="auto"/>
        <w:ind w:rightChars="65" w:right="143"/>
        <w:jc w:val="both"/>
        <w:rPr>
          <w:rFonts w:ascii="Book Antiqua" w:hAnsi="Book Antiqua" w:cs="Times New Roman"/>
          <w:b/>
          <w:bCs/>
          <w:sz w:val="24"/>
          <w:szCs w:val="24"/>
        </w:rPr>
      </w:pPr>
      <w:bookmarkStart w:id="2" w:name="OLE_LINK27"/>
      <w:r>
        <w:rPr>
          <w:rFonts w:ascii="Book Antiqua" w:hAnsi="Book Antiqua" w:cs="Times New Roman"/>
          <w:b/>
          <w:bCs/>
          <w:color w:val="000000" w:themeColor="text1"/>
          <w:sz w:val="24"/>
          <w:szCs w:val="24"/>
        </w:rPr>
        <w:t xml:space="preserve">Combination of </w:t>
      </w:r>
      <w:proofErr w:type="spellStart"/>
      <w:r>
        <w:rPr>
          <w:rFonts w:ascii="Book Antiqua" w:hAnsi="Book Antiqua" w:cs="Times New Roman"/>
          <w:b/>
          <w:bCs/>
          <w:color w:val="000000" w:themeColor="text1"/>
          <w:sz w:val="24"/>
          <w:szCs w:val="24"/>
        </w:rPr>
        <w:t>propofol</w:t>
      </w:r>
      <w:proofErr w:type="spellEnd"/>
      <w:r>
        <w:rPr>
          <w:rFonts w:ascii="Book Antiqua" w:hAnsi="Book Antiqua" w:cs="Times New Roman"/>
          <w:b/>
          <w:bCs/>
          <w:color w:val="000000" w:themeColor="text1"/>
          <w:sz w:val="24"/>
          <w:szCs w:val="24"/>
        </w:rPr>
        <w:t xml:space="preserve"> and </w:t>
      </w:r>
      <w:proofErr w:type="spellStart"/>
      <w:r>
        <w:rPr>
          <w:rFonts w:ascii="Book Antiqua" w:hAnsi="Book Antiqua" w:cs="Times New Roman"/>
          <w:b/>
          <w:bCs/>
          <w:color w:val="000000" w:themeColor="text1"/>
          <w:sz w:val="24"/>
          <w:szCs w:val="24"/>
        </w:rPr>
        <w:t>dezocine</w:t>
      </w:r>
      <w:proofErr w:type="spellEnd"/>
      <w:r>
        <w:rPr>
          <w:rFonts w:ascii="Book Antiqua" w:hAnsi="Book Antiqua" w:cs="Times New Roman"/>
          <w:b/>
          <w:bCs/>
          <w:color w:val="000000" w:themeColor="text1"/>
          <w:sz w:val="24"/>
          <w:szCs w:val="24"/>
        </w:rPr>
        <w:t xml:space="preserve"> to improve safety and efficacy of </w:t>
      </w:r>
      <w:proofErr w:type="spellStart"/>
      <w:r>
        <w:rPr>
          <w:rFonts w:ascii="Book Antiqua" w:hAnsi="Book Antiqua" w:cs="Times New Roman"/>
          <w:b/>
          <w:bCs/>
          <w:color w:val="000000" w:themeColor="text1"/>
          <w:sz w:val="24"/>
          <w:szCs w:val="24"/>
        </w:rPr>
        <w:t>anesthesia</w:t>
      </w:r>
      <w:proofErr w:type="spellEnd"/>
      <w:r>
        <w:rPr>
          <w:rFonts w:ascii="Book Antiqua" w:hAnsi="Book Antiqua" w:cs="Times New Roman"/>
          <w:b/>
          <w:bCs/>
          <w:color w:val="000000" w:themeColor="text1"/>
          <w:sz w:val="24"/>
          <w:szCs w:val="24"/>
        </w:rPr>
        <w:t xml:space="preserve"> for gastroscopy and colonoscopy in </w:t>
      </w:r>
      <w:r>
        <w:rPr>
          <w:rFonts w:ascii="Book Antiqua" w:hAnsi="Book Antiqua" w:cs="Times New Roman"/>
          <w:b/>
          <w:bCs/>
          <w:color w:val="000000" w:themeColor="text1"/>
          <w:sz w:val="24"/>
          <w:szCs w:val="24"/>
        </w:rPr>
        <w:t>adults: A randomized, double-blind, controlled trial</w:t>
      </w:r>
    </w:p>
    <w:bookmarkEnd w:id="2"/>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Fonts w:ascii="Book Antiqua" w:hAnsi="Book Antiqua" w:cs="Times New Roman"/>
          <w:bCs/>
          <w:color w:val="000000" w:themeColor="text1"/>
          <w:sz w:val="24"/>
          <w:szCs w:val="24"/>
        </w:rPr>
      </w:pPr>
      <w:r>
        <w:rPr>
          <w:rFonts w:ascii="Book Antiqua" w:hAnsi="Book Antiqua" w:cs="Times New Roman"/>
          <w:bCs/>
          <w:color w:val="000000" w:themeColor="text1"/>
          <w:sz w:val="24"/>
          <w:szCs w:val="24"/>
        </w:rPr>
        <w:t xml:space="preserve">Li XT </w:t>
      </w:r>
      <w:r>
        <w:rPr>
          <w:rFonts w:ascii="Book Antiqua" w:hAnsi="Book Antiqua" w:cs="Times New Roman"/>
          <w:bCs/>
          <w:i/>
          <w:iCs/>
          <w:color w:val="000000" w:themeColor="text1"/>
          <w:sz w:val="24"/>
          <w:szCs w:val="24"/>
        </w:rPr>
        <w:t>et al</w:t>
      </w:r>
      <w:r>
        <w:rPr>
          <w:rFonts w:ascii="Book Antiqua" w:hAnsi="Book Antiqua" w:cs="Times New Roman"/>
          <w:bCs/>
          <w:color w:val="000000" w:themeColor="text1"/>
          <w:sz w:val="24"/>
          <w:szCs w:val="24"/>
        </w:rPr>
        <w:t xml:space="preserve">. </w:t>
      </w:r>
      <w:bookmarkStart w:id="3" w:name="OLE_LINK29"/>
      <w:proofErr w:type="spellStart"/>
      <w:r>
        <w:rPr>
          <w:rFonts w:ascii="Book Antiqua" w:hAnsi="Book Antiqua" w:cs="Times New Roman"/>
          <w:bCs/>
          <w:color w:val="000000" w:themeColor="text1"/>
          <w:sz w:val="24"/>
          <w:szCs w:val="24"/>
        </w:rPr>
        <w:t>Propofol</w:t>
      </w:r>
      <w:proofErr w:type="spellEnd"/>
      <w:r>
        <w:rPr>
          <w:rFonts w:ascii="Book Antiqua" w:hAnsi="Book Antiqua" w:cs="Times New Roman"/>
          <w:bCs/>
          <w:color w:val="000000" w:themeColor="text1"/>
          <w:sz w:val="24"/>
          <w:szCs w:val="24"/>
        </w:rPr>
        <w:t xml:space="preserve"> and </w:t>
      </w:r>
      <w:proofErr w:type="spellStart"/>
      <w:r>
        <w:rPr>
          <w:rFonts w:ascii="Book Antiqua" w:hAnsi="Book Antiqua" w:cs="Times New Roman"/>
          <w:bCs/>
          <w:color w:val="000000" w:themeColor="text1"/>
          <w:sz w:val="24"/>
          <w:szCs w:val="24"/>
        </w:rPr>
        <w:t>dezocine</w:t>
      </w:r>
      <w:proofErr w:type="spellEnd"/>
      <w:r>
        <w:rPr>
          <w:rFonts w:ascii="Book Antiqua" w:hAnsi="Book Antiqua" w:cs="Times New Roman"/>
          <w:bCs/>
          <w:color w:val="000000" w:themeColor="text1"/>
          <w:sz w:val="24"/>
          <w:szCs w:val="24"/>
        </w:rPr>
        <w:t xml:space="preserve"> in endoscopy</w:t>
      </w:r>
    </w:p>
    <w:bookmarkEnd w:id="3"/>
    <w:p w:rsidR="00A35F10" w:rsidRDefault="00A35F10">
      <w:pPr>
        <w:spacing w:after="0" w:line="360" w:lineRule="auto"/>
        <w:jc w:val="both"/>
        <w:rPr>
          <w:rFonts w:ascii="Book Antiqua" w:hAnsi="Book Antiqua" w:cs="Times New Roman"/>
          <w:color w:val="000000" w:themeColor="text1"/>
          <w:sz w:val="24"/>
          <w:szCs w:val="24"/>
        </w:rPr>
      </w:pPr>
    </w:p>
    <w:p w:rsidR="00A35F10" w:rsidRDefault="00210629">
      <w:pPr>
        <w:spacing w:after="0" w:line="360" w:lineRule="auto"/>
        <w:jc w:val="both"/>
        <w:rPr>
          <w:rFonts w:ascii="Book Antiqua" w:hAnsi="Book Antiqua" w:cs="Times New Roman"/>
          <w:bCs/>
          <w:color w:val="000000" w:themeColor="text1"/>
          <w:sz w:val="24"/>
          <w:szCs w:val="24"/>
        </w:rPr>
      </w:pPr>
      <w:proofErr w:type="spellStart"/>
      <w:r>
        <w:rPr>
          <w:rFonts w:ascii="Book Antiqua" w:hAnsi="Book Antiqua" w:cs="Times New Roman"/>
          <w:bCs/>
          <w:color w:val="000000" w:themeColor="text1"/>
          <w:sz w:val="24"/>
          <w:szCs w:val="24"/>
        </w:rPr>
        <w:t>Xue</w:t>
      </w:r>
      <w:proofErr w:type="spellEnd"/>
      <w:r>
        <w:rPr>
          <w:rFonts w:ascii="Book Antiqua" w:hAnsi="Book Antiqua" w:cs="Times New Roman"/>
          <w:bCs/>
          <w:color w:val="000000" w:themeColor="text1"/>
          <w:sz w:val="24"/>
          <w:szCs w:val="24"/>
        </w:rPr>
        <w:t>-Ting Li, Chao-</w:t>
      </w:r>
      <w:proofErr w:type="spellStart"/>
      <w:r>
        <w:rPr>
          <w:rFonts w:ascii="Book Antiqua" w:hAnsi="Book Antiqua" w:cs="Times New Roman"/>
          <w:bCs/>
          <w:color w:val="000000" w:themeColor="text1"/>
          <w:sz w:val="24"/>
          <w:szCs w:val="24"/>
        </w:rPr>
        <w:t>Qun</w:t>
      </w:r>
      <w:proofErr w:type="spellEnd"/>
      <w:r>
        <w:rPr>
          <w:rFonts w:ascii="Book Antiqua" w:hAnsi="Book Antiqua" w:cs="Times New Roman"/>
          <w:bCs/>
          <w:color w:val="000000" w:themeColor="text1"/>
          <w:sz w:val="24"/>
          <w:szCs w:val="24"/>
        </w:rPr>
        <w:t xml:space="preserve"> Ma, Si-Hua Qi, Li-Min Zhang</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Style w:val="ad"/>
          <w:rFonts w:ascii="Book Antiqua" w:hAnsi="Book Antiqua" w:cs="Times New Roman"/>
          <w:sz w:val="24"/>
          <w:szCs w:val="24"/>
        </w:rPr>
      </w:pPr>
      <w:proofErr w:type="spellStart"/>
      <w:r>
        <w:rPr>
          <w:rFonts w:ascii="Book Antiqua" w:hAnsi="Book Antiqua" w:cs="Times New Roman"/>
          <w:b/>
          <w:color w:val="000000" w:themeColor="text1"/>
          <w:sz w:val="24"/>
          <w:szCs w:val="24"/>
        </w:rPr>
        <w:t>Xue</w:t>
      </w:r>
      <w:proofErr w:type="spellEnd"/>
      <w:r>
        <w:rPr>
          <w:rFonts w:ascii="Book Antiqua" w:hAnsi="Book Antiqua" w:cs="Times New Roman"/>
          <w:b/>
          <w:color w:val="000000" w:themeColor="text1"/>
          <w:sz w:val="24"/>
          <w:szCs w:val="24"/>
        </w:rPr>
        <w:t>-Ting Li, Si-Hua Qi, Li-Min Zhang</w:t>
      </w:r>
      <w:r>
        <w:rPr>
          <w:rFonts w:ascii="Book Antiqua" w:hAnsi="Book Antiqua" w:cs="Times New Roman"/>
          <w:color w:val="000000" w:themeColor="text1"/>
          <w:sz w:val="24"/>
          <w:szCs w:val="24"/>
        </w:rPr>
        <w:t>,</w:t>
      </w:r>
      <w:r>
        <w:rPr>
          <w:rFonts w:ascii="Book Antiqua" w:hAnsi="Book Antiqua" w:cs="Times New Roman"/>
          <w:b/>
          <w:color w:val="000000" w:themeColor="text1"/>
          <w:sz w:val="24"/>
          <w:szCs w:val="24"/>
        </w:rPr>
        <w:t xml:space="preserve"> </w:t>
      </w:r>
      <w:r>
        <w:rPr>
          <w:rStyle w:val="ad"/>
          <w:rFonts w:ascii="Book Antiqua" w:hAnsi="Book Antiqua" w:cs="Times New Roman"/>
          <w:sz w:val="24"/>
          <w:szCs w:val="24"/>
        </w:rPr>
        <w:t xml:space="preserve">Department of Anaesthesiology, The Fourth Affiliated Hospital, </w:t>
      </w:r>
      <w:r>
        <w:rPr>
          <w:rStyle w:val="ad"/>
          <w:rFonts w:ascii="Book Antiqua" w:hAnsi="Book Antiqua" w:cs="Times New Roman"/>
          <w:sz w:val="24"/>
          <w:szCs w:val="24"/>
        </w:rPr>
        <w:t>Harbin Medical University, Harbin 150001, Heilongjiang Province, China</w:t>
      </w:r>
    </w:p>
    <w:p w:rsidR="00A35F10" w:rsidRDefault="00A35F10">
      <w:pPr>
        <w:spacing w:after="0" w:line="360" w:lineRule="auto"/>
        <w:jc w:val="both"/>
        <w:rPr>
          <w:rStyle w:val="ad"/>
          <w:rFonts w:ascii="Book Antiqua" w:hAnsi="Book Antiqua" w:cs="Times New Roman"/>
          <w:color w:val="000000" w:themeColor="text1"/>
          <w:sz w:val="24"/>
          <w:szCs w:val="24"/>
        </w:rPr>
      </w:pPr>
    </w:p>
    <w:p w:rsidR="00A35F10" w:rsidRDefault="00210629">
      <w:pPr>
        <w:spacing w:after="0" w:line="360" w:lineRule="auto"/>
        <w:jc w:val="both"/>
        <w:rPr>
          <w:rStyle w:val="ad"/>
          <w:rFonts w:ascii="Book Antiqua" w:hAnsi="Book Antiqua" w:cs="Times New Roman"/>
          <w:color w:val="000000" w:themeColor="text1"/>
          <w:sz w:val="24"/>
          <w:szCs w:val="24"/>
        </w:rPr>
      </w:pPr>
      <w:r>
        <w:rPr>
          <w:rFonts w:ascii="Book Antiqua" w:hAnsi="Book Antiqua" w:cs="Times New Roman"/>
          <w:b/>
          <w:color w:val="000000" w:themeColor="text1"/>
          <w:sz w:val="24"/>
          <w:szCs w:val="24"/>
        </w:rPr>
        <w:t>Chao-</w:t>
      </w:r>
      <w:proofErr w:type="spellStart"/>
      <w:r>
        <w:rPr>
          <w:rFonts w:ascii="Book Antiqua" w:hAnsi="Book Antiqua" w:cs="Times New Roman"/>
          <w:b/>
          <w:color w:val="000000" w:themeColor="text1"/>
          <w:sz w:val="24"/>
          <w:szCs w:val="24"/>
        </w:rPr>
        <w:t>Qun</w:t>
      </w:r>
      <w:proofErr w:type="spellEnd"/>
      <w:r>
        <w:rPr>
          <w:rFonts w:ascii="Book Antiqua" w:hAnsi="Book Antiqua" w:cs="Times New Roman"/>
          <w:b/>
          <w:color w:val="000000" w:themeColor="text1"/>
          <w:sz w:val="24"/>
          <w:szCs w:val="24"/>
        </w:rPr>
        <w:t xml:space="preserve"> Ma, </w:t>
      </w:r>
      <w:r>
        <w:rPr>
          <w:rStyle w:val="ad"/>
          <w:rFonts w:ascii="Book Antiqua" w:hAnsi="Book Antiqua" w:cs="Times New Roman"/>
          <w:sz w:val="24"/>
          <w:szCs w:val="24"/>
        </w:rPr>
        <w:t>Department of Neurosurgery, Harbin 242 Hospital, Harbin 150066, Heilongjiang Province, China</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Fonts w:ascii="Book Antiqua" w:hAnsi="Book Antiqua" w:cs="Times New Roman"/>
          <w:bCs/>
          <w:color w:val="000000"/>
          <w:sz w:val="24"/>
          <w:szCs w:val="24"/>
        </w:rPr>
      </w:pPr>
      <w:bookmarkStart w:id="4" w:name="_Hlk18487208"/>
      <w:r>
        <w:rPr>
          <w:rFonts w:ascii="Book Antiqua" w:eastAsia="等线" w:hAnsi="Book Antiqua" w:cs="Times New Roman"/>
          <w:b/>
          <w:color w:val="000000" w:themeColor="text1"/>
          <w:sz w:val="24"/>
          <w:szCs w:val="24"/>
        </w:rPr>
        <w:t>ORCID number:</w:t>
      </w:r>
      <w:bookmarkEnd w:id="4"/>
      <w:r>
        <w:rPr>
          <w:rFonts w:ascii="Book Antiqua" w:eastAsia="等线" w:hAnsi="Book Antiqua" w:cs="Times New Roman"/>
          <w:b/>
          <w:color w:val="000000" w:themeColor="text1"/>
          <w:sz w:val="24"/>
          <w:szCs w:val="24"/>
        </w:rPr>
        <w:t xml:space="preserve"> </w:t>
      </w:r>
      <w:proofErr w:type="spellStart"/>
      <w:r>
        <w:rPr>
          <w:rFonts w:ascii="Book Antiqua" w:hAnsi="Book Antiqua" w:cs="Times New Roman"/>
          <w:bCs/>
          <w:color w:val="000000"/>
          <w:sz w:val="24"/>
          <w:szCs w:val="24"/>
        </w:rPr>
        <w:t>Xue</w:t>
      </w:r>
      <w:proofErr w:type="spellEnd"/>
      <w:r>
        <w:rPr>
          <w:rFonts w:ascii="Book Antiqua" w:hAnsi="Book Antiqua" w:cs="Times New Roman"/>
          <w:bCs/>
          <w:color w:val="000000"/>
          <w:sz w:val="24"/>
          <w:szCs w:val="24"/>
        </w:rPr>
        <w:t>-Ting Li (0000-0003-1597-3238); Chao-</w:t>
      </w:r>
      <w:proofErr w:type="spellStart"/>
      <w:r>
        <w:rPr>
          <w:rFonts w:ascii="Book Antiqua" w:hAnsi="Book Antiqua" w:cs="Times New Roman"/>
          <w:bCs/>
          <w:color w:val="000000"/>
          <w:sz w:val="24"/>
          <w:szCs w:val="24"/>
        </w:rPr>
        <w:t>Qun</w:t>
      </w:r>
      <w:proofErr w:type="spellEnd"/>
      <w:r>
        <w:rPr>
          <w:rFonts w:ascii="Book Antiqua" w:hAnsi="Book Antiqua" w:cs="Times New Roman"/>
          <w:bCs/>
          <w:color w:val="000000"/>
          <w:sz w:val="24"/>
          <w:szCs w:val="24"/>
        </w:rPr>
        <w:t xml:space="preserve"> Ma (0000-0001-7035-</w:t>
      </w:r>
      <w:r>
        <w:rPr>
          <w:rFonts w:ascii="Book Antiqua" w:hAnsi="Book Antiqua" w:cs="Times New Roman"/>
          <w:bCs/>
          <w:color w:val="000000"/>
          <w:sz w:val="24"/>
          <w:szCs w:val="24"/>
        </w:rPr>
        <w:t>7556); Si-Hua Qi (0000-0002-5863-0713); Li-Min Zhang (0000-0001-5703-0786).</w:t>
      </w:r>
    </w:p>
    <w:p w:rsidR="00A35F10" w:rsidRDefault="00A35F10">
      <w:pPr>
        <w:spacing w:after="0" w:line="360" w:lineRule="auto"/>
        <w:jc w:val="both"/>
        <w:rPr>
          <w:rFonts w:ascii="Book Antiqua" w:hAnsi="Book Antiqua" w:cs="Times New Roman"/>
          <w:b/>
          <w:color w:val="000000"/>
          <w:sz w:val="24"/>
          <w:szCs w:val="24"/>
        </w:rPr>
      </w:pPr>
    </w:p>
    <w:p w:rsidR="00A35F10" w:rsidRDefault="00210629">
      <w:pPr>
        <w:spacing w:after="0" w:line="360" w:lineRule="auto"/>
        <w:jc w:val="both"/>
        <w:rPr>
          <w:rFonts w:ascii="Book Antiqua" w:hAnsi="Book Antiqua" w:cs="Times New Roman"/>
          <w:sz w:val="24"/>
          <w:szCs w:val="24"/>
        </w:rPr>
      </w:pPr>
      <w:bookmarkStart w:id="5" w:name="_Hlk18487242"/>
      <w:r>
        <w:rPr>
          <w:rFonts w:ascii="Book Antiqua" w:hAnsi="Book Antiqua"/>
          <w:b/>
          <w:color w:val="000000" w:themeColor="text1"/>
          <w:sz w:val="24"/>
          <w:szCs w:val="24"/>
        </w:rPr>
        <w:t>Author contributions:</w:t>
      </w:r>
      <w:r>
        <w:rPr>
          <w:rFonts w:ascii="Book Antiqua" w:eastAsia="等线" w:hAnsi="Book Antiqua" w:cs="Times New Roman"/>
          <w:b/>
          <w:color w:val="000000" w:themeColor="text1"/>
          <w:sz w:val="24"/>
          <w:szCs w:val="24"/>
        </w:rPr>
        <w:t xml:space="preserve"> </w:t>
      </w:r>
      <w:bookmarkEnd w:id="5"/>
      <w:r>
        <w:rPr>
          <w:rFonts w:ascii="Book Antiqua" w:hAnsi="Book Antiqua" w:cs="Times New Roman"/>
          <w:sz w:val="24"/>
          <w:szCs w:val="24"/>
        </w:rPr>
        <w:t xml:space="preserve">Li XT, Ma CQ, Qi SH, and Zhang LM designed the research; Li XT, Qi SH, and Zhang LM performed the research; Ma CQ and Zhang LM </w:t>
      </w:r>
      <w:proofErr w:type="spellStart"/>
      <w:r>
        <w:rPr>
          <w:rFonts w:ascii="Book Antiqua" w:hAnsi="Book Antiqua" w:cs="Times New Roman"/>
          <w:sz w:val="24"/>
          <w:szCs w:val="24"/>
        </w:rPr>
        <w:t>analyzed</w:t>
      </w:r>
      <w:proofErr w:type="spellEnd"/>
      <w:r>
        <w:rPr>
          <w:rFonts w:ascii="Book Antiqua" w:hAnsi="Book Antiqua" w:cs="Times New Roman"/>
          <w:sz w:val="24"/>
          <w:szCs w:val="24"/>
        </w:rPr>
        <w:t xml:space="preserve"> the data; and Zhang </w:t>
      </w:r>
      <w:r>
        <w:rPr>
          <w:rFonts w:ascii="Book Antiqua" w:hAnsi="Book Antiqua" w:cs="Times New Roman"/>
          <w:sz w:val="24"/>
          <w:szCs w:val="24"/>
        </w:rPr>
        <w:t>LM wrote the paper.</w:t>
      </w:r>
    </w:p>
    <w:p w:rsidR="00A35F10" w:rsidRDefault="00A35F10">
      <w:pPr>
        <w:spacing w:after="0" w:line="360" w:lineRule="auto"/>
        <w:jc w:val="both"/>
        <w:rPr>
          <w:rFonts w:ascii="Book Antiqua" w:hAnsi="Book Antiqua" w:cs="Times New Roman"/>
          <w:b/>
          <w:snapToGrid w:val="0"/>
          <w:kern w:val="0"/>
          <w:sz w:val="24"/>
          <w:szCs w:val="24"/>
        </w:rPr>
      </w:pPr>
    </w:p>
    <w:p w:rsidR="00A35F10" w:rsidRDefault="00210629">
      <w:pPr>
        <w:spacing w:after="0" w:line="360" w:lineRule="auto"/>
        <w:jc w:val="both"/>
        <w:rPr>
          <w:rFonts w:ascii="Book Antiqua" w:hAnsi="Book Antiqua" w:cs="Times New Roman"/>
          <w:iCs/>
          <w:kern w:val="0"/>
          <w:sz w:val="24"/>
          <w:szCs w:val="24"/>
        </w:rPr>
      </w:pPr>
      <w:bookmarkStart w:id="6" w:name="_Hlk18487280"/>
      <w:r>
        <w:rPr>
          <w:rFonts w:ascii="Book Antiqua" w:hAnsi="Book Antiqua"/>
          <w:b/>
          <w:color w:val="000000" w:themeColor="text1"/>
          <w:sz w:val="24"/>
          <w:szCs w:val="24"/>
        </w:rPr>
        <w:t>Institutional review board statement</w:t>
      </w:r>
      <w:r>
        <w:rPr>
          <w:rFonts w:ascii="Book Antiqua" w:hAnsi="Book Antiqua"/>
          <w:b/>
          <w:iCs/>
          <w:color w:val="000000" w:themeColor="text1"/>
          <w:kern w:val="0"/>
          <w:sz w:val="24"/>
          <w:szCs w:val="24"/>
        </w:rPr>
        <w:t>:</w:t>
      </w:r>
      <w:r>
        <w:rPr>
          <w:rFonts w:ascii="Book Antiqua" w:eastAsia="等线" w:hAnsi="Book Antiqua" w:cs="Times New Roman"/>
          <w:b/>
          <w:color w:val="000000" w:themeColor="text1"/>
          <w:sz w:val="24"/>
          <w:szCs w:val="24"/>
        </w:rPr>
        <w:t xml:space="preserve"> </w:t>
      </w:r>
      <w:bookmarkEnd w:id="6"/>
      <w:r>
        <w:rPr>
          <w:rFonts w:ascii="Book Antiqua" w:hAnsi="Book Antiqua" w:cs="Times New Roman"/>
          <w:iCs/>
          <w:kern w:val="0"/>
          <w:sz w:val="24"/>
          <w:szCs w:val="24"/>
        </w:rPr>
        <w:t>The study was reviewed and approved by The Fourth Affiliated Hospital of Harbin Medical University Institutional Review Board.</w:t>
      </w:r>
    </w:p>
    <w:p w:rsidR="00A35F10" w:rsidRDefault="00A35F10">
      <w:pPr>
        <w:spacing w:after="0" w:line="360" w:lineRule="auto"/>
        <w:jc w:val="both"/>
        <w:rPr>
          <w:rFonts w:ascii="Book Antiqua" w:hAnsi="Book Antiqua" w:cs="Times New Roman"/>
          <w:b/>
          <w:bCs/>
          <w:iCs/>
          <w:kern w:val="0"/>
          <w:sz w:val="24"/>
          <w:szCs w:val="24"/>
        </w:rPr>
      </w:pPr>
    </w:p>
    <w:p w:rsidR="00A35F10" w:rsidRDefault="00210629">
      <w:pPr>
        <w:spacing w:after="0" w:line="360" w:lineRule="auto"/>
        <w:jc w:val="both"/>
        <w:rPr>
          <w:rStyle w:val="ad"/>
          <w:rFonts w:ascii="Book Antiqua" w:hAnsi="Book Antiqua" w:cs="Times New Roman"/>
          <w:sz w:val="24"/>
          <w:szCs w:val="24"/>
        </w:rPr>
      </w:pPr>
      <w:r>
        <w:rPr>
          <w:rFonts w:ascii="Book Antiqua" w:eastAsia="Times New Roman" w:hAnsi="Book Antiqua" w:cs="Times New Roman"/>
          <w:b/>
          <w:color w:val="000000"/>
          <w:sz w:val="24"/>
          <w:szCs w:val="24"/>
        </w:rPr>
        <w:lastRenderedPageBreak/>
        <w:t xml:space="preserve">Clinical trial registration </w:t>
      </w:r>
      <w:r>
        <w:rPr>
          <w:rFonts w:ascii="Book Antiqua" w:hAnsi="Book Antiqua" w:cs="Times New Roman"/>
          <w:b/>
          <w:color w:val="000000"/>
          <w:sz w:val="24"/>
          <w:szCs w:val="24"/>
        </w:rPr>
        <w:t>statement</w:t>
      </w:r>
      <w:r>
        <w:rPr>
          <w:rFonts w:ascii="Book Antiqua" w:hAnsi="Book Antiqua" w:cs="Times New Roman"/>
          <w:b/>
          <w:bCs/>
          <w:iCs/>
          <w:sz w:val="24"/>
          <w:szCs w:val="24"/>
        </w:rPr>
        <w:t>:</w:t>
      </w:r>
      <w:r>
        <w:rPr>
          <w:rStyle w:val="ad"/>
          <w:rFonts w:ascii="Book Antiqua" w:hAnsi="Book Antiqua" w:cs="Times New Roman"/>
          <w:b/>
          <w:bCs/>
          <w:sz w:val="24"/>
          <w:szCs w:val="24"/>
        </w:rPr>
        <w:t xml:space="preserve"> </w:t>
      </w:r>
      <w:r>
        <w:rPr>
          <w:rFonts w:ascii="Book Antiqua" w:hAnsi="Book Antiqua" w:cs="Times New Roman"/>
          <w:color w:val="000000" w:themeColor="text1"/>
          <w:sz w:val="24"/>
          <w:szCs w:val="24"/>
        </w:rPr>
        <w:t xml:space="preserve">This study is registered at </w:t>
      </w:r>
      <w:r>
        <w:rPr>
          <w:rFonts w:ascii="Book Antiqua" w:hAnsi="Book Antiqua" w:cs="Times New Roman"/>
          <w:color w:val="000000" w:themeColor="text1"/>
          <w:sz w:val="24"/>
          <w:szCs w:val="24"/>
        </w:rPr>
        <w:t>the Chinese Clinical Trial Register (http://www.chictr.org.cn). The registration identification number is No. ChiCTR1800017630.</w:t>
      </w:r>
    </w:p>
    <w:p w:rsidR="00A35F10" w:rsidRDefault="00A35F10">
      <w:pPr>
        <w:spacing w:after="0" w:line="360" w:lineRule="auto"/>
        <w:jc w:val="both"/>
        <w:rPr>
          <w:rFonts w:ascii="Book Antiqua" w:hAnsi="Book Antiqua" w:cs="Times New Roman"/>
          <w:b/>
          <w:bCs/>
          <w:iCs/>
          <w:sz w:val="24"/>
          <w:szCs w:val="24"/>
        </w:rPr>
      </w:pPr>
    </w:p>
    <w:p w:rsidR="00A35F10" w:rsidRDefault="00210629">
      <w:pPr>
        <w:spacing w:after="0" w:line="360" w:lineRule="auto"/>
        <w:jc w:val="both"/>
        <w:rPr>
          <w:rFonts w:ascii="Book Antiqua" w:hAnsi="Book Antiqua" w:cs="Times New Roman"/>
          <w:bCs/>
          <w:color w:val="000000"/>
          <w:sz w:val="24"/>
          <w:szCs w:val="24"/>
        </w:rPr>
      </w:pPr>
      <w:r>
        <w:rPr>
          <w:rFonts w:ascii="Book Antiqua" w:hAnsi="Book Antiqua"/>
          <w:b/>
          <w:color w:val="000000" w:themeColor="text1"/>
          <w:sz w:val="24"/>
          <w:szCs w:val="24"/>
        </w:rPr>
        <w:t>Informed consent statement</w:t>
      </w:r>
      <w:r>
        <w:rPr>
          <w:rFonts w:ascii="Book Antiqua" w:hAnsi="Book Antiqua"/>
          <w:b/>
          <w:iCs/>
          <w:color w:val="000000" w:themeColor="text1"/>
          <w:sz w:val="24"/>
          <w:szCs w:val="24"/>
        </w:rPr>
        <w:t>:</w:t>
      </w:r>
      <w:r>
        <w:rPr>
          <w:rFonts w:ascii="Book Antiqua" w:hAnsi="Book Antiqua" w:cs="Times New Roman"/>
          <w:b/>
          <w:color w:val="000000"/>
          <w:sz w:val="24"/>
          <w:szCs w:val="24"/>
        </w:rPr>
        <w:t xml:space="preserve"> </w:t>
      </w:r>
      <w:r>
        <w:rPr>
          <w:rFonts w:ascii="Book Antiqua" w:hAnsi="Book Antiqua" w:cs="Times New Roman"/>
          <w:bCs/>
          <w:color w:val="000000"/>
          <w:sz w:val="24"/>
          <w:szCs w:val="24"/>
        </w:rPr>
        <w:t xml:space="preserve">All study participants, or their legal guardian, provided written informed consent prior to study </w:t>
      </w:r>
      <w:proofErr w:type="spellStart"/>
      <w:r>
        <w:rPr>
          <w:rFonts w:ascii="Book Antiqua" w:hAnsi="Book Antiqua" w:cs="Times New Roman"/>
          <w:bCs/>
          <w:color w:val="000000"/>
          <w:sz w:val="24"/>
          <w:szCs w:val="24"/>
        </w:rPr>
        <w:t>enrollment</w:t>
      </w:r>
      <w:proofErr w:type="spellEnd"/>
      <w:r>
        <w:rPr>
          <w:rFonts w:ascii="Book Antiqua" w:hAnsi="Book Antiqua" w:cs="Times New Roman"/>
          <w:bCs/>
          <w:color w:val="000000"/>
          <w:sz w:val="24"/>
          <w:szCs w:val="24"/>
        </w:rPr>
        <w:t>.</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b/>
          <w:color w:val="000000" w:themeColor="text1"/>
          <w:sz w:val="24"/>
          <w:szCs w:val="24"/>
        </w:rPr>
        <w:t>Conflict-of-interest statement</w:t>
      </w:r>
      <w:r>
        <w:rPr>
          <w:rFonts w:ascii="Book Antiqua" w:hAnsi="Book Antiqua" w:cs="TimesNewRomanPS-BoldItalicMT"/>
          <w:b/>
          <w:iCs/>
          <w:color w:val="000000" w:themeColor="text1"/>
          <w:sz w:val="24"/>
          <w:szCs w:val="24"/>
        </w:rPr>
        <w:t xml:space="preserve">: </w:t>
      </w:r>
      <w:r>
        <w:rPr>
          <w:rFonts w:ascii="Book Antiqua" w:hAnsi="Book Antiqua" w:cs="Times New Roman"/>
          <w:color w:val="000000" w:themeColor="text1"/>
          <w:sz w:val="24"/>
          <w:szCs w:val="24"/>
        </w:rPr>
        <w:t>The authors have no conflicts of interest to declare.</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210629">
      <w:pPr>
        <w:spacing w:after="0" w:line="360" w:lineRule="auto"/>
        <w:jc w:val="both"/>
        <w:rPr>
          <w:rFonts w:ascii="Book Antiqua" w:hAnsi="Book Antiqua" w:cs="Times New Roman"/>
          <w:bCs/>
          <w:color w:val="000000"/>
          <w:sz w:val="24"/>
          <w:szCs w:val="24"/>
        </w:rPr>
      </w:pPr>
      <w:r>
        <w:rPr>
          <w:rFonts w:ascii="Book Antiqua" w:hAnsi="Book Antiqua"/>
          <w:b/>
          <w:color w:val="000000" w:themeColor="text1"/>
          <w:sz w:val="24"/>
          <w:szCs w:val="24"/>
        </w:rPr>
        <w:t>Data sharing statement</w:t>
      </w:r>
      <w:r>
        <w:rPr>
          <w:rFonts w:ascii="Book Antiqua" w:hAnsi="Book Antiqua" w:cs="TimesNewRomanPS-BoldItalicMT"/>
          <w:b/>
          <w:iCs/>
          <w:color w:val="000000" w:themeColor="text1"/>
          <w:sz w:val="24"/>
          <w:szCs w:val="24"/>
        </w:rPr>
        <w:t>:</w:t>
      </w:r>
      <w:r>
        <w:rPr>
          <w:rFonts w:ascii="Book Antiqua" w:hAnsi="Book Antiqua"/>
          <w:b/>
          <w:color w:val="000000" w:themeColor="text1"/>
          <w:sz w:val="24"/>
          <w:szCs w:val="24"/>
        </w:rPr>
        <w:t xml:space="preserve"> </w:t>
      </w:r>
      <w:r>
        <w:rPr>
          <w:rFonts w:ascii="Book Antiqua" w:hAnsi="Book Antiqua" w:cs="Times New Roman"/>
          <w:bCs/>
          <w:color w:val="000000"/>
          <w:sz w:val="24"/>
          <w:szCs w:val="24"/>
        </w:rPr>
        <w:t>No additional data are available.</w:t>
      </w:r>
    </w:p>
    <w:p w:rsidR="00A35F10" w:rsidRDefault="00A35F10">
      <w:pPr>
        <w:spacing w:after="0" w:line="360" w:lineRule="auto"/>
        <w:jc w:val="both"/>
        <w:rPr>
          <w:rFonts w:ascii="Book Antiqua" w:hAnsi="Book Antiqua" w:cs="Times New Roman"/>
          <w:b/>
          <w:color w:val="000000"/>
          <w:sz w:val="24"/>
          <w:szCs w:val="24"/>
        </w:rPr>
      </w:pPr>
    </w:p>
    <w:p w:rsidR="00A35F10" w:rsidRDefault="00210629">
      <w:pPr>
        <w:pStyle w:val="a4"/>
        <w:widowControl w:val="0"/>
        <w:snapToGrid w:val="0"/>
        <w:spacing w:line="360" w:lineRule="auto"/>
        <w:rPr>
          <w:rFonts w:ascii="Book Antiqua" w:hAnsi="Book Antiqua"/>
          <w:color w:val="000000"/>
        </w:rPr>
      </w:pPr>
      <w:r>
        <w:rPr>
          <w:rFonts w:ascii="Book Antiqua" w:hAnsi="Book Antiqua"/>
          <w:b/>
          <w:bCs/>
          <w:lang w:val="en-US"/>
        </w:rPr>
        <w:t>CONSORT 2010 statement</w:t>
      </w:r>
      <w:r>
        <w:rPr>
          <w:rFonts w:ascii="Book Antiqua" w:hAnsi="Book Antiqua"/>
          <w:b/>
          <w:bCs/>
          <w:lang w:val="en-US" w:eastAsia="zh-CN"/>
        </w:rPr>
        <w:t>:</w:t>
      </w:r>
      <w:r>
        <w:rPr>
          <w:rStyle w:val="ad"/>
          <w:rFonts w:ascii="Book Antiqua" w:eastAsiaTheme="minorEastAsia" w:hAnsi="Book Antiqua"/>
          <w:kern w:val="2"/>
          <w:sz w:val="24"/>
          <w:szCs w:val="24"/>
          <w:lang w:val="en-US" w:eastAsia="zh-CN"/>
        </w:rPr>
        <w:t xml:space="preserve"> </w:t>
      </w:r>
      <w:r>
        <w:rPr>
          <w:rFonts w:ascii="Book Antiqua" w:hAnsi="Book Antiqua"/>
          <w:color w:val="000000"/>
        </w:rPr>
        <w:t xml:space="preserve">The authors have read the CONSORT 2010 Statement, and the manuscript was </w:t>
      </w:r>
      <w:r>
        <w:rPr>
          <w:rFonts w:ascii="Book Antiqua" w:hAnsi="Book Antiqua"/>
          <w:color w:val="000000"/>
        </w:rPr>
        <w:t>prepared and revised according to the CONSORT 2010 Statement.</w:t>
      </w:r>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adjustRightInd w:val="0"/>
        <w:snapToGrid w:val="0"/>
        <w:spacing w:after="0" w:line="360" w:lineRule="auto"/>
        <w:jc w:val="both"/>
        <w:rPr>
          <w:rFonts w:ascii="Book Antiqua" w:hAnsi="Book Antiqua" w:cs="宋体"/>
          <w:color w:val="000000" w:themeColor="text1"/>
          <w:kern w:val="0"/>
          <w:sz w:val="24"/>
          <w:szCs w:val="24"/>
        </w:rPr>
      </w:pPr>
      <w:r>
        <w:rPr>
          <w:rFonts w:ascii="Book Antiqua" w:hAnsi="Book Antiqua"/>
          <w:b/>
          <w:color w:val="000000" w:themeColor="text1"/>
          <w:kern w:val="0"/>
          <w:sz w:val="24"/>
          <w:szCs w:val="24"/>
        </w:rPr>
        <w:t xml:space="preserve">Open-Access: </w:t>
      </w:r>
      <w:bookmarkStart w:id="7" w:name="OLE_LINK36"/>
      <w:r>
        <w:rPr>
          <w:rFonts w:ascii="Book Antiqua" w:hAnsi="Book Antiqua"/>
          <w:color w:val="000000" w:themeColor="text1"/>
          <w:kern w:val="0"/>
          <w:sz w:val="24"/>
          <w:szCs w:val="24"/>
        </w:rPr>
        <w:t xml:space="preserve">This is an </w:t>
      </w:r>
      <w:r>
        <w:rPr>
          <w:rFonts w:ascii="Book Antiqua" w:hAnsi="Book Antiqua" w:cs="宋体"/>
          <w:color w:val="000000" w:themeColor="text1"/>
          <w:kern w:val="0"/>
          <w:sz w:val="24"/>
          <w:szCs w:val="24"/>
        </w:rPr>
        <w:t xml:space="preserve">open-access article that was </w:t>
      </w:r>
      <w:r>
        <w:rPr>
          <w:rFonts w:ascii="Book Antiqua" w:hAnsi="Book Antiqua"/>
          <w:color w:val="000000" w:themeColor="text1"/>
          <w:kern w:val="0"/>
          <w:sz w:val="24"/>
          <w:szCs w:val="24"/>
        </w:rPr>
        <w:t xml:space="preserve">selected by an in-house editor and fully peer-reviewed by external reviewers. It is </w:t>
      </w:r>
      <w:r>
        <w:rPr>
          <w:rFonts w:ascii="Book Antiqua" w:hAnsi="Book Antiqua" w:cs="宋体"/>
          <w:color w:val="000000" w:themeColor="text1"/>
          <w:kern w:val="0"/>
          <w:sz w:val="24"/>
          <w:szCs w:val="24"/>
        </w:rPr>
        <w:t xml:space="preserve">distributed in accordance with </w:t>
      </w:r>
      <w:r>
        <w:rPr>
          <w:rFonts w:ascii="Book Antiqua" w:hAnsi="Book Antiqua"/>
          <w:color w:val="000000" w:themeColor="text1"/>
          <w:kern w:val="0"/>
          <w:sz w:val="24"/>
          <w:szCs w:val="24"/>
        </w:rPr>
        <w:t xml:space="preserve">the Creative Commons </w:t>
      </w:r>
      <w:r>
        <w:rPr>
          <w:rFonts w:ascii="Book Antiqua" w:hAnsi="Book Antiqua"/>
          <w:color w:val="000000" w:themeColor="text1"/>
          <w:kern w:val="0"/>
          <w:sz w:val="24"/>
          <w:szCs w:val="24"/>
        </w:rPr>
        <w:t>Attribution Non Commercial (CC BY-NC 4.0) license, which permits others to distribute, remix, adapt, build upon this work non-commercially, and license their derivative works on different terms, provided the original work is properly cited and the use is n</w:t>
      </w:r>
      <w:r>
        <w:rPr>
          <w:rFonts w:ascii="Book Antiqua" w:hAnsi="Book Antiqua"/>
          <w:color w:val="000000" w:themeColor="text1"/>
          <w:kern w:val="0"/>
          <w:sz w:val="24"/>
          <w:szCs w:val="24"/>
        </w:rPr>
        <w:t>on-commercial. See: http://creativecommons.org/licenses/by-nc/4.0/</w:t>
      </w:r>
    </w:p>
    <w:bookmarkEnd w:id="7"/>
    <w:p w:rsidR="00A35F10" w:rsidRDefault="00A35F10">
      <w:pPr>
        <w:adjustRightInd w:val="0"/>
        <w:snapToGrid w:val="0"/>
        <w:spacing w:after="0" w:line="360" w:lineRule="auto"/>
        <w:jc w:val="both"/>
        <w:rPr>
          <w:rFonts w:ascii="Book Antiqua" w:hAnsi="Book Antiqua"/>
          <w:color w:val="000000" w:themeColor="text1"/>
          <w:sz w:val="24"/>
          <w:szCs w:val="24"/>
        </w:rPr>
      </w:pPr>
    </w:p>
    <w:p w:rsidR="00A35F10" w:rsidRDefault="00210629">
      <w:pPr>
        <w:spacing w:after="0" w:line="360" w:lineRule="auto"/>
        <w:jc w:val="both"/>
        <w:rPr>
          <w:rFonts w:ascii="Book Antiqua" w:hAnsi="Book Antiqua"/>
          <w:bCs/>
          <w:iCs/>
          <w:sz w:val="24"/>
          <w:szCs w:val="24"/>
        </w:rPr>
      </w:pPr>
      <w:r>
        <w:rPr>
          <w:rFonts w:ascii="Book Antiqua" w:hAnsi="Book Antiqua"/>
          <w:b/>
          <w:bCs/>
          <w:iCs/>
          <w:sz w:val="24"/>
          <w:szCs w:val="24"/>
        </w:rPr>
        <w:t>Manuscript source:</w:t>
      </w:r>
      <w:r>
        <w:rPr>
          <w:rFonts w:ascii="Book Antiqua" w:hAnsi="Book Antiqua"/>
          <w:bCs/>
          <w:iCs/>
          <w:sz w:val="24"/>
          <w:szCs w:val="24"/>
        </w:rPr>
        <w:t xml:space="preserve"> Unsolicited manuscript</w:t>
      </w:r>
    </w:p>
    <w:p w:rsidR="00A35F10" w:rsidRDefault="00A35F10">
      <w:pPr>
        <w:spacing w:after="0" w:line="360" w:lineRule="auto"/>
        <w:jc w:val="both"/>
        <w:rPr>
          <w:rFonts w:ascii="Book Antiqua" w:hAnsi="Book Antiqua"/>
          <w:b/>
          <w:color w:val="000000" w:themeColor="text1"/>
          <w:sz w:val="24"/>
          <w:szCs w:val="24"/>
        </w:rPr>
      </w:pPr>
    </w:p>
    <w:p w:rsidR="00A35F10" w:rsidRDefault="00210629">
      <w:pPr>
        <w:spacing w:after="0" w:line="360" w:lineRule="auto"/>
        <w:jc w:val="both"/>
        <w:rPr>
          <w:rFonts w:ascii="Book Antiqua" w:hAnsi="Book Antiqua" w:cs="Times New Roman"/>
          <w:bCs/>
          <w:color w:val="000000" w:themeColor="text1"/>
          <w:sz w:val="24"/>
          <w:szCs w:val="24"/>
          <w:lang w:eastAsia="zh-CN"/>
        </w:rPr>
      </w:pPr>
      <w:r>
        <w:rPr>
          <w:rFonts w:ascii="Book Antiqua" w:hAnsi="Book Antiqua"/>
          <w:b/>
          <w:color w:val="000000" w:themeColor="text1"/>
          <w:sz w:val="24"/>
          <w:szCs w:val="24"/>
        </w:rPr>
        <w:t xml:space="preserve">Corresponding author: </w:t>
      </w:r>
      <w:r>
        <w:rPr>
          <w:rFonts w:ascii="Book Antiqua" w:hAnsi="Book Antiqua" w:cs="Times New Roman"/>
          <w:b/>
          <w:color w:val="000000" w:themeColor="text1"/>
          <w:sz w:val="24"/>
          <w:szCs w:val="24"/>
        </w:rPr>
        <w:t xml:space="preserve">Li-Min Zhang, MD, Adjunct Professor, </w:t>
      </w:r>
      <w:r>
        <w:rPr>
          <w:rFonts w:ascii="Book Antiqua" w:hAnsi="Book Antiqua" w:cs="Times New Roman"/>
          <w:bCs/>
          <w:color w:val="000000" w:themeColor="text1"/>
          <w:sz w:val="24"/>
          <w:szCs w:val="24"/>
        </w:rPr>
        <w:t xml:space="preserve">Department of Anaesthesiology, The Fourth Affiliated Hospital, Harbin Medical University, 37 </w:t>
      </w:r>
      <w:proofErr w:type="spellStart"/>
      <w:r>
        <w:rPr>
          <w:rFonts w:ascii="Book Antiqua" w:hAnsi="Book Antiqua" w:cs="Times New Roman"/>
          <w:bCs/>
          <w:color w:val="000000" w:themeColor="text1"/>
          <w:sz w:val="24"/>
          <w:szCs w:val="24"/>
        </w:rPr>
        <w:t>Yiyuan</w:t>
      </w:r>
      <w:proofErr w:type="spellEnd"/>
      <w:r>
        <w:rPr>
          <w:rFonts w:ascii="Book Antiqua" w:hAnsi="Book Antiqua" w:cs="Times New Roman"/>
          <w:bCs/>
          <w:color w:val="000000" w:themeColor="text1"/>
          <w:sz w:val="24"/>
          <w:szCs w:val="24"/>
        </w:rPr>
        <w:t xml:space="preserve"> Street, </w:t>
      </w:r>
      <w:r>
        <w:rPr>
          <w:rStyle w:val="ad"/>
          <w:rFonts w:ascii="Book Antiqua" w:hAnsi="Book Antiqua" w:cs="Times New Roman"/>
          <w:sz w:val="24"/>
          <w:szCs w:val="24"/>
        </w:rPr>
        <w:t xml:space="preserve">Harbin 150001, </w:t>
      </w:r>
      <w:bookmarkStart w:id="8" w:name="OLE_LINK43"/>
      <w:r>
        <w:rPr>
          <w:rStyle w:val="ad"/>
          <w:rFonts w:ascii="Book Antiqua" w:hAnsi="Book Antiqua" w:cs="Times New Roman"/>
          <w:sz w:val="24"/>
          <w:szCs w:val="24"/>
        </w:rPr>
        <w:t>Heilongjiang Province</w:t>
      </w:r>
      <w:bookmarkEnd w:id="8"/>
      <w:r>
        <w:rPr>
          <w:rStyle w:val="ad"/>
          <w:rFonts w:ascii="Book Antiqua" w:hAnsi="Book Antiqua" w:cs="Times New Roman"/>
          <w:sz w:val="24"/>
          <w:szCs w:val="24"/>
        </w:rPr>
        <w:t xml:space="preserve">, China. </w:t>
      </w:r>
      <w:hyperlink r:id="rId8" w:history="1">
        <w:r>
          <w:rPr>
            <w:rStyle w:val="ac"/>
            <w:rFonts w:ascii="Book Antiqua" w:hAnsi="Book Antiqua" w:cs="Times New Roman"/>
            <w:bCs/>
            <w:sz w:val="24"/>
            <w:szCs w:val="24"/>
          </w:rPr>
          <w:t>university0501@163.com</w:t>
        </w:r>
      </w:hyperlink>
    </w:p>
    <w:p w:rsidR="00A35F10" w:rsidRDefault="00210629">
      <w:pPr>
        <w:spacing w:after="0" w:line="360" w:lineRule="auto"/>
        <w:jc w:val="both"/>
        <w:rPr>
          <w:rFonts w:ascii="Book Antiqua" w:hAnsi="Book Antiqua" w:cs="Times New Roman"/>
          <w:bCs/>
          <w:color w:val="000000" w:themeColor="text1"/>
          <w:sz w:val="24"/>
          <w:szCs w:val="24"/>
        </w:rPr>
      </w:pPr>
      <w:r>
        <w:rPr>
          <w:rFonts w:ascii="Book Antiqua" w:hAnsi="Book Antiqua" w:cs="Times New Roman"/>
          <w:b/>
          <w:color w:val="000000" w:themeColor="text1"/>
          <w:sz w:val="24"/>
          <w:szCs w:val="24"/>
        </w:rPr>
        <w:t>Telephone:</w:t>
      </w:r>
      <w:r>
        <w:rPr>
          <w:rFonts w:ascii="Book Antiqua" w:hAnsi="Book Antiqua" w:cs="Times New Roman"/>
          <w:bCs/>
          <w:color w:val="000000" w:themeColor="text1"/>
          <w:sz w:val="24"/>
          <w:szCs w:val="24"/>
        </w:rPr>
        <w:t xml:space="preserve"> +86-451-82576626</w:t>
      </w:r>
    </w:p>
    <w:p w:rsidR="00A35F10" w:rsidRDefault="00A35F10">
      <w:pPr>
        <w:spacing w:after="0" w:line="360" w:lineRule="auto"/>
        <w:jc w:val="both"/>
        <w:rPr>
          <w:rFonts w:ascii="Book Antiqua" w:hAnsi="Book Antiqua" w:cs="Times New Roman"/>
          <w:bCs/>
          <w:color w:val="000000" w:themeColor="text1"/>
          <w:sz w:val="24"/>
          <w:szCs w:val="24"/>
        </w:rPr>
      </w:pP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Recei</w:t>
      </w:r>
      <w:r>
        <w:rPr>
          <w:rFonts w:ascii="Book Antiqua" w:hAnsi="Book Antiqua"/>
          <w:b/>
          <w:color w:val="000000" w:themeColor="text1"/>
          <w:sz w:val="24"/>
          <w:szCs w:val="24"/>
        </w:rPr>
        <w:t xml:space="preserve">ved: </w:t>
      </w:r>
      <w:r>
        <w:rPr>
          <w:rFonts w:ascii="Book Antiqua" w:hAnsi="Book Antiqua"/>
          <w:color w:val="000000" w:themeColor="text1"/>
          <w:sz w:val="24"/>
          <w:szCs w:val="24"/>
        </w:rPr>
        <w:t>June 17, 2019</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Peer-review started: </w:t>
      </w:r>
      <w:r>
        <w:rPr>
          <w:rFonts w:ascii="Book Antiqua" w:hAnsi="Book Antiqua"/>
          <w:color w:val="000000" w:themeColor="text1"/>
          <w:sz w:val="24"/>
          <w:szCs w:val="24"/>
        </w:rPr>
        <w:t>June 17, 2019</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First decision: </w:t>
      </w:r>
      <w:r>
        <w:rPr>
          <w:rFonts w:ascii="Book Antiqua" w:hAnsi="Book Antiqua"/>
          <w:color w:val="000000" w:themeColor="text1"/>
          <w:sz w:val="24"/>
          <w:szCs w:val="24"/>
        </w:rPr>
        <w:t>August 3, 2019</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Revised: </w:t>
      </w:r>
      <w:r>
        <w:rPr>
          <w:rFonts w:ascii="Book Antiqua" w:hAnsi="Book Antiqua"/>
          <w:bCs/>
          <w:color w:val="000000" w:themeColor="text1"/>
          <w:sz w:val="24"/>
          <w:szCs w:val="24"/>
        </w:rPr>
        <w:t>September</w:t>
      </w:r>
      <w:r>
        <w:rPr>
          <w:rFonts w:ascii="Book Antiqua" w:hAnsi="Book Antiqua"/>
          <w:color w:val="000000" w:themeColor="text1"/>
          <w:sz w:val="24"/>
          <w:szCs w:val="24"/>
        </w:rPr>
        <w:t xml:space="preserve"> 3, 2019</w:t>
      </w:r>
    </w:p>
    <w:p w:rsidR="00A35F10" w:rsidRDefault="00210629">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Accepted:</w:t>
      </w:r>
      <w:r>
        <w:t xml:space="preserve"> </w:t>
      </w:r>
      <w:r>
        <w:rPr>
          <w:rFonts w:ascii="Book Antiqua" w:hAnsi="Book Antiqua"/>
          <w:color w:val="000000" w:themeColor="text1"/>
          <w:sz w:val="24"/>
          <w:szCs w:val="24"/>
        </w:rPr>
        <w:t xml:space="preserve">September 9, 2019 </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Article in press:</w:t>
      </w:r>
    </w:p>
    <w:p w:rsidR="00A35F10" w:rsidRDefault="00210629">
      <w:pPr>
        <w:adjustRightInd w:val="0"/>
        <w:snapToGrid w:val="0"/>
        <w:spacing w:after="0" w:line="360" w:lineRule="auto"/>
        <w:jc w:val="both"/>
        <w:rPr>
          <w:rFonts w:ascii="Book Antiqua" w:eastAsia="等线" w:hAnsi="Book Antiqua"/>
          <w:b/>
          <w:color w:val="000000" w:themeColor="text1"/>
          <w:sz w:val="24"/>
          <w:szCs w:val="24"/>
        </w:rPr>
      </w:pPr>
      <w:r>
        <w:rPr>
          <w:rFonts w:ascii="Book Antiqua" w:hAnsi="Book Antiqua"/>
          <w:b/>
          <w:color w:val="000000" w:themeColor="text1"/>
          <w:sz w:val="24"/>
          <w:szCs w:val="24"/>
        </w:rPr>
        <w:t>Published online:</w:t>
      </w:r>
    </w:p>
    <w:p w:rsidR="00A35F10" w:rsidRDefault="00210629">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rsidR="00A35F10" w:rsidRDefault="00210629">
      <w:pPr>
        <w:spacing w:after="0" w:line="360" w:lineRule="auto"/>
        <w:jc w:val="both"/>
        <w:rPr>
          <w:rStyle w:val="ad"/>
          <w:rFonts w:ascii="Book Antiqua" w:hAnsi="Book Antiqua" w:cs="Times New Roman"/>
          <w:sz w:val="24"/>
          <w:szCs w:val="24"/>
        </w:rPr>
      </w:pPr>
      <w:r>
        <w:rPr>
          <w:rFonts w:ascii="Book Antiqua" w:hAnsi="Book Antiqua" w:cs="Times New Roman"/>
          <w:b/>
          <w:color w:val="000000" w:themeColor="text1"/>
          <w:sz w:val="24"/>
          <w:szCs w:val="24"/>
        </w:rPr>
        <w:lastRenderedPageBreak/>
        <w:t>Abstract</w:t>
      </w:r>
    </w:p>
    <w:p w:rsidR="00A35F10" w:rsidRDefault="00210629">
      <w:pPr>
        <w:spacing w:after="0" w:line="360" w:lineRule="auto"/>
        <w:jc w:val="both"/>
        <w:rPr>
          <w:rFonts w:ascii="Book Antiqua" w:hAnsi="Book Antiqua" w:cs="Times New Roman"/>
          <w:i/>
          <w:color w:val="000000"/>
          <w:sz w:val="24"/>
          <w:szCs w:val="24"/>
        </w:rPr>
      </w:pPr>
      <w:bookmarkStart w:id="9" w:name="OLE_LINK41"/>
      <w:r>
        <w:rPr>
          <w:rFonts w:ascii="Book Antiqua" w:hAnsi="Book Antiqua" w:cs="Times New Roman"/>
          <w:b/>
          <w:i/>
          <w:color w:val="000000"/>
          <w:sz w:val="24"/>
          <w:szCs w:val="24"/>
        </w:rPr>
        <w:t>BACKGROUND</w:t>
      </w:r>
    </w:p>
    <w:p w:rsidR="00A35F10" w:rsidRDefault="00210629">
      <w:pPr>
        <w:spacing w:after="0" w:line="360" w:lineRule="auto"/>
        <w:jc w:val="both"/>
        <w:rPr>
          <w:rFonts w:ascii="Book Antiqua" w:hAnsi="Book Antiqua" w:cs="Times New Roman"/>
          <w:color w:val="0000FF"/>
          <w:sz w:val="24"/>
          <w:szCs w:val="24"/>
        </w:rPr>
      </w:pPr>
      <w:r>
        <w:rPr>
          <w:rFonts w:ascii="Book Antiqua" w:hAnsi="Book Antiqua" w:cs="Times New Roman"/>
          <w:color w:val="000000" w:themeColor="text1"/>
          <w:sz w:val="24"/>
          <w:szCs w:val="24"/>
        </w:rPr>
        <w:t xml:space="preserve">Gastroscopy and colonoscopy are important and common </w:t>
      </w:r>
      <w:r>
        <w:rPr>
          <w:rFonts w:ascii="Book Antiqua" w:hAnsi="Book Antiqua" w:cs="Times New Roman"/>
          <w:color w:val="000000" w:themeColor="text1"/>
          <w:sz w:val="24"/>
          <w:szCs w:val="24"/>
        </w:rPr>
        <w:t>endoscopic methods for the diagnosis and treatment of gastrointestinal and colorectal diseases. However, endoscopy is usually associated with adverse reactions such as nervousness, nausea, vomiting, choking cough, and pain. Severe discomfort, such as vomit</w:t>
      </w:r>
      <w:r>
        <w:rPr>
          <w:rFonts w:ascii="Book Antiqua" w:hAnsi="Book Antiqua" w:cs="Times New Roman"/>
          <w:color w:val="000000" w:themeColor="text1"/>
          <w:sz w:val="24"/>
          <w:szCs w:val="24"/>
        </w:rPr>
        <w:t>ing, coughing, or body movement, may lead to aggravation of a pre-existing condition or even interruption of examination or treatment, especially in some critically ill patients with physiological dysfunction (</w:t>
      </w:r>
      <w:r>
        <w:rPr>
          <w:rFonts w:ascii="Book Antiqua" w:hAnsi="Book Antiqua" w:cs="Times New Roman"/>
          <w:i/>
          <w:iCs/>
          <w:color w:val="000000" w:themeColor="text1"/>
          <w:sz w:val="24"/>
          <w:szCs w:val="24"/>
        </w:rPr>
        <w:t>e.g.</w:t>
      </w:r>
      <w:r>
        <w:rPr>
          <w:rFonts w:ascii="Book Antiqua" w:hAnsi="Book Antiqua" w:cs="Times New Roman"/>
          <w:color w:val="000000" w:themeColor="text1"/>
          <w:sz w:val="24"/>
          <w:szCs w:val="24"/>
        </w:rPr>
        <w:t xml:space="preserve">, cardiovascular or respiratory disease). </w:t>
      </w:r>
      <w:r>
        <w:rPr>
          <w:rFonts w:ascii="Book Antiqua" w:hAnsi="Book Antiqua" w:cs="Times New Roman"/>
          <w:color w:val="000000" w:themeColor="text1"/>
          <w:sz w:val="24"/>
          <w:szCs w:val="24"/>
        </w:rPr>
        <w:t>The optimal methods for inducing analgesia and sedation in endoscopy are areas of ongoing debate; nevertheless, determining an appropriate regimen of sedation and analgesia is important.</w:t>
      </w:r>
    </w:p>
    <w:p w:rsidR="00A35F10" w:rsidRDefault="00A35F10">
      <w:pPr>
        <w:spacing w:after="0" w:line="360" w:lineRule="auto"/>
        <w:jc w:val="both"/>
        <w:rPr>
          <w:rStyle w:val="ad"/>
          <w:rFonts w:ascii="Book Antiqua" w:hAnsi="Book Antiqua" w:cs="Times New Roman"/>
          <w:b/>
          <w:bCs/>
          <w:sz w:val="24"/>
          <w:szCs w:val="24"/>
        </w:rPr>
      </w:pPr>
    </w:p>
    <w:p w:rsidR="00A35F10" w:rsidRDefault="00210629">
      <w:pPr>
        <w:spacing w:after="0" w:line="360" w:lineRule="auto"/>
        <w:jc w:val="both"/>
        <w:rPr>
          <w:rStyle w:val="ad"/>
          <w:rFonts w:ascii="Book Antiqua" w:hAnsi="Book Antiqua" w:cs="Times New Roman"/>
          <w:b/>
          <w:bCs/>
          <w:i/>
          <w:iCs/>
          <w:sz w:val="24"/>
          <w:szCs w:val="24"/>
        </w:rPr>
      </w:pPr>
      <w:r>
        <w:rPr>
          <w:rStyle w:val="ad"/>
          <w:rFonts w:ascii="Book Antiqua" w:hAnsi="Book Antiqua" w:cs="Times New Roman"/>
          <w:b/>
          <w:bCs/>
          <w:i/>
          <w:iCs/>
          <w:sz w:val="24"/>
          <w:szCs w:val="24"/>
        </w:rPr>
        <w:t>AIM</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To evaluate the effects of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combined with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w:t>
      </w:r>
      <w:proofErr w:type="spellStart"/>
      <w:r>
        <w:rPr>
          <w:rStyle w:val="ad"/>
          <w:rFonts w:ascii="Book Antiqua" w:hAnsi="Book Antiqua" w:cs="Times New Roman"/>
          <w:sz w:val="24"/>
          <w:szCs w:val="24"/>
        </w:rPr>
        <w:t>sufe</w:t>
      </w:r>
      <w:r>
        <w:rPr>
          <w:rStyle w:val="ad"/>
          <w:rFonts w:ascii="Book Antiqua" w:hAnsi="Book Antiqua" w:cs="Times New Roman"/>
          <w:sz w:val="24"/>
          <w:szCs w:val="24"/>
        </w:rPr>
        <w:t>ntanil</w:t>
      </w:r>
      <w:proofErr w:type="spellEnd"/>
      <w:r>
        <w:rPr>
          <w:rStyle w:val="ad"/>
          <w:rFonts w:ascii="Book Antiqua" w:hAnsi="Book Antiqua" w:cs="Times New Roman"/>
          <w:sz w:val="24"/>
          <w:szCs w:val="24"/>
        </w:rPr>
        <w:t>, or fentanyl in painless gastroscopy and colonoscopy.</w:t>
      </w:r>
    </w:p>
    <w:p w:rsidR="00A35F10" w:rsidRDefault="00A35F10">
      <w:pPr>
        <w:spacing w:after="0" w:line="360" w:lineRule="auto"/>
        <w:jc w:val="both"/>
        <w:rPr>
          <w:rStyle w:val="ad"/>
          <w:rFonts w:ascii="Book Antiqua" w:hAnsi="Book Antiqua" w:cs="Times New Roman"/>
          <w:sz w:val="24"/>
          <w:szCs w:val="24"/>
        </w:rPr>
      </w:pPr>
    </w:p>
    <w:p w:rsidR="00A35F10" w:rsidRDefault="00210629">
      <w:pPr>
        <w:spacing w:after="0" w:line="360" w:lineRule="auto"/>
        <w:jc w:val="both"/>
        <w:rPr>
          <w:rStyle w:val="ad"/>
          <w:rFonts w:ascii="Book Antiqua" w:hAnsi="Book Antiqua" w:cs="Times New Roman"/>
          <w:i/>
          <w:iCs/>
          <w:sz w:val="24"/>
          <w:szCs w:val="24"/>
        </w:rPr>
      </w:pPr>
      <w:r>
        <w:rPr>
          <w:rStyle w:val="ad"/>
          <w:rFonts w:ascii="Book Antiqua" w:hAnsi="Book Antiqua" w:cs="Times New Roman"/>
          <w:b/>
          <w:bCs/>
          <w:i/>
          <w:iCs/>
          <w:sz w:val="24"/>
          <w:szCs w:val="24"/>
        </w:rPr>
        <w:t>METHODS</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Four hundred patients were randomly assigned to one of four groups </w:t>
      </w:r>
      <w:r>
        <w:rPr>
          <w:rFonts w:ascii="Book Antiqua" w:hAnsi="Book Antiqua" w:cs="Times New Roman"/>
          <w:color w:val="000000" w:themeColor="text1"/>
          <w:sz w:val="24"/>
          <w:szCs w:val="24"/>
        </w:rPr>
        <w:t xml:space="preserve">for </w:t>
      </w:r>
      <w:proofErr w:type="spellStart"/>
      <w:r>
        <w:rPr>
          <w:rFonts w:ascii="Book Antiqua" w:hAnsi="Book Antiqua" w:cs="Times New Roman"/>
          <w:color w:val="000000" w:themeColor="text1"/>
          <w:sz w:val="24"/>
          <w:szCs w:val="24"/>
        </w:rPr>
        <w:t>anesthesia</w:t>
      </w:r>
      <w:proofErr w:type="spellEnd"/>
      <w:r>
        <w:rPr>
          <w:rStyle w:val="ad"/>
          <w:rFonts w:ascii="Book Antiqua" w:hAnsi="Book Antiqua" w:cs="Times New Roman"/>
          <w:sz w:val="24"/>
          <w:szCs w:val="24"/>
        </w:rPr>
        <w:t xml:space="preserve">: intravenous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w:t>
      </w:r>
      <w:proofErr w:type="spellStart"/>
      <w:r>
        <w:rPr>
          <w:rStyle w:val="ad"/>
          <w:rFonts w:ascii="Book Antiqua" w:hAnsi="Book Antiqua" w:cs="Times New Roman"/>
          <w:sz w:val="24"/>
          <w:szCs w:val="24"/>
        </w:rPr>
        <w:t>sufentanil</w:t>
      </w:r>
      <w:proofErr w:type="spellEnd"/>
      <w:r>
        <w:rPr>
          <w:rStyle w:val="ad"/>
          <w:rFonts w:ascii="Book Antiqua" w:hAnsi="Book Antiqua" w:cs="Times New Roman"/>
          <w:sz w:val="24"/>
          <w:szCs w:val="24"/>
        </w:rPr>
        <w:t xml:space="preserve">, fentanyl, or saline.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was administered intravenously for </w:t>
      </w:r>
      <w:r>
        <w:rPr>
          <w:rStyle w:val="ad"/>
          <w:rFonts w:ascii="Book Antiqua" w:hAnsi="Book Antiqua" w:cs="Times New Roman"/>
          <w:sz w:val="24"/>
          <w:szCs w:val="24"/>
        </w:rPr>
        <w:t xml:space="preserve">induction and maintenance of </w:t>
      </w:r>
      <w:proofErr w:type="spellStart"/>
      <w:r>
        <w:rPr>
          <w:rStyle w:val="ad"/>
          <w:rFonts w:ascii="Book Antiqua" w:hAnsi="Book Antiqua" w:cs="Times New Roman"/>
          <w:sz w:val="24"/>
          <w:szCs w:val="24"/>
        </w:rPr>
        <w:t>anesthesia</w:t>
      </w:r>
      <w:proofErr w:type="spellEnd"/>
      <w:r>
        <w:rPr>
          <w:rStyle w:val="ad"/>
          <w:rFonts w:ascii="Book Antiqua" w:hAnsi="Book Antiqua" w:cs="Times New Roman"/>
          <w:sz w:val="24"/>
          <w:szCs w:val="24"/>
        </w:rPr>
        <w:t>.</w:t>
      </w:r>
    </w:p>
    <w:p w:rsidR="00A35F10" w:rsidRDefault="00A35F10">
      <w:pPr>
        <w:spacing w:after="0" w:line="360" w:lineRule="auto"/>
        <w:jc w:val="both"/>
        <w:rPr>
          <w:rStyle w:val="ad"/>
          <w:rFonts w:ascii="Book Antiqua" w:hAnsi="Book Antiqua" w:cs="Times New Roman"/>
          <w:sz w:val="24"/>
          <w:szCs w:val="24"/>
        </w:rPr>
      </w:pPr>
    </w:p>
    <w:p w:rsidR="00A35F10" w:rsidRDefault="00210629">
      <w:pPr>
        <w:spacing w:after="0" w:line="360" w:lineRule="auto"/>
        <w:jc w:val="both"/>
        <w:rPr>
          <w:rStyle w:val="ad"/>
          <w:rFonts w:ascii="Book Antiqua" w:hAnsi="Book Antiqua" w:cs="Times New Roman"/>
          <w:i/>
          <w:iCs/>
          <w:sz w:val="24"/>
          <w:szCs w:val="24"/>
        </w:rPr>
      </w:pPr>
      <w:r>
        <w:rPr>
          <w:rStyle w:val="ad"/>
          <w:rFonts w:ascii="Book Antiqua" w:hAnsi="Book Antiqua" w:cs="Times New Roman"/>
          <w:b/>
          <w:bCs/>
          <w:i/>
          <w:iCs/>
          <w:sz w:val="24"/>
          <w:szCs w:val="24"/>
        </w:rPr>
        <w:t>RESULTS</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The dosage of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was significantly lower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w:t>
      </w:r>
      <w:r>
        <w:rPr>
          <w:rStyle w:val="ad"/>
          <w:rFonts w:ascii="Book Antiqua" w:hAnsi="Book Antiqua" w:cs="Times New Roman"/>
          <w:sz w:val="24"/>
          <w:szCs w:val="24"/>
        </w:rPr>
        <w:t xml:space="preserve"> 0.01). </w:t>
      </w:r>
      <w:proofErr w:type="spellStart"/>
      <w:r>
        <w:rPr>
          <w:rStyle w:val="ad"/>
          <w:rFonts w:ascii="Book Antiqua" w:hAnsi="Book Antiqua" w:cs="Times New Roman"/>
          <w:sz w:val="24"/>
          <w:szCs w:val="24"/>
        </w:rPr>
        <w:t>Bispectral</w:t>
      </w:r>
      <w:proofErr w:type="spellEnd"/>
      <w:r>
        <w:rPr>
          <w:rStyle w:val="ad"/>
          <w:rFonts w:ascii="Book Antiqua" w:hAnsi="Book Antiqua" w:cs="Times New Roman"/>
          <w:sz w:val="24"/>
          <w:szCs w:val="24"/>
        </w:rPr>
        <w:t xml:space="preserve"> index and Steward score (0-6 points, an unresponsive, immobile patient whose airway requires maintenance to a fully recovered patient) after eye opening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significantly higher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 0.01</w:t>
      </w:r>
      <w:r>
        <w:rPr>
          <w:rStyle w:val="ad"/>
          <w:rFonts w:ascii="Book Antiqua" w:hAnsi="Book Antiqua" w:cs="Times New Roman"/>
          <w:sz w:val="24"/>
          <w:szCs w:val="24"/>
        </w:rPr>
        <w:t xml:space="preserve">). Awakening time and postoperative pain score (0-10 points, no pain to unbearable pain)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significantly lower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 0.01). Mean arterial pressure and pulse oxygen </w:t>
      </w:r>
      <w:r>
        <w:rPr>
          <w:rStyle w:val="ad"/>
          <w:rFonts w:ascii="Book Antiqua" w:hAnsi="Book Antiqua" w:cs="Times New Roman"/>
          <w:sz w:val="24"/>
          <w:szCs w:val="24"/>
        </w:rPr>
        <w:lastRenderedPageBreak/>
        <w:t xml:space="preserve">saturation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sig</w:t>
      </w:r>
      <w:r>
        <w:rPr>
          <w:rStyle w:val="ad"/>
          <w:rFonts w:ascii="Book Antiqua" w:hAnsi="Book Antiqua" w:cs="Times New Roman"/>
          <w:sz w:val="24"/>
          <w:szCs w:val="24"/>
        </w:rPr>
        <w:t>nificantly more stable at various time points (before dosing, disappearance of eyelash reflex, and wakeup) than those in other groups (</w:t>
      </w:r>
      <w:r>
        <w:rPr>
          <w:rStyle w:val="ad"/>
          <w:rFonts w:ascii="Book Antiqua" w:eastAsia="Calibri" w:hAnsi="Book Antiqua" w:cs="Times New Roman"/>
          <w:i/>
          <w:iCs/>
          <w:sz w:val="24"/>
          <w:szCs w:val="24"/>
        </w:rPr>
        <w:t>P</w:t>
      </w:r>
      <w:r>
        <w:rPr>
          <w:rStyle w:val="ad"/>
          <w:rFonts w:ascii="Book Antiqua" w:eastAsia="Calibri" w:hAnsi="Book Antiqua" w:cs="Times New Roman"/>
          <w:sz w:val="24"/>
          <w:szCs w:val="24"/>
        </w:rPr>
        <w:t xml:space="preserve"> &lt; 0.01</w:t>
      </w:r>
      <w:r>
        <w:rPr>
          <w:rStyle w:val="ad"/>
          <w:rFonts w:ascii="Book Antiqua" w:hAnsi="Book Antiqua" w:cs="Times New Roman"/>
          <w:sz w:val="24"/>
          <w:szCs w:val="24"/>
        </w:rPr>
        <w:t xml:space="preserve">). The rates of hypopnea, jaw thrust, body movements, and usage of vasoactive drugs in the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group were si</w:t>
      </w:r>
      <w:r>
        <w:rPr>
          <w:rStyle w:val="ad"/>
          <w:rFonts w:ascii="Book Antiqua" w:hAnsi="Book Antiqua" w:cs="Times New Roman"/>
          <w:sz w:val="24"/>
          <w:szCs w:val="24"/>
        </w:rPr>
        <w:t>gnificantly lower than those in other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&lt; 0.01). Additionally, the rates of reflex coughing, nausea, and vomiting were not statistically different between the four groups (</w:t>
      </w:r>
      <w:r>
        <w:rPr>
          <w:rStyle w:val="ad"/>
          <w:rFonts w:ascii="Book Antiqua" w:hAnsi="Book Antiqua" w:cs="Times New Roman"/>
          <w:i/>
          <w:iCs/>
          <w:sz w:val="24"/>
          <w:szCs w:val="24"/>
        </w:rPr>
        <w:t>P</w:t>
      </w:r>
      <w:r>
        <w:rPr>
          <w:rStyle w:val="ad"/>
          <w:rFonts w:ascii="Book Antiqua" w:hAnsi="Book Antiqua" w:cs="Times New Roman"/>
          <w:sz w:val="24"/>
          <w:szCs w:val="24"/>
        </w:rPr>
        <w:t xml:space="preserve"> &gt; 0.05).</w:t>
      </w:r>
    </w:p>
    <w:p w:rsidR="00A35F10" w:rsidRDefault="00A35F10">
      <w:pPr>
        <w:spacing w:after="0" w:line="360" w:lineRule="auto"/>
        <w:jc w:val="both"/>
        <w:rPr>
          <w:rStyle w:val="ad"/>
          <w:rFonts w:ascii="Book Antiqua" w:hAnsi="Book Antiqua" w:cs="Times New Roman"/>
          <w:sz w:val="24"/>
          <w:szCs w:val="24"/>
        </w:rPr>
      </w:pPr>
    </w:p>
    <w:p w:rsidR="00A35F10" w:rsidRDefault="00210629">
      <w:pPr>
        <w:spacing w:after="0" w:line="360" w:lineRule="auto"/>
        <w:jc w:val="both"/>
        <w:rPr>
          <w:rStyle w:val="ad"/>
          <w:rFonts w:ascii="Book Antiqua" w:hAnsi="Book Antiqua" w:cs="Times New Roman"/>
          <w:i/>
          <w:iCs/>
          <w:sz w:val="24"/>
          <w:szCs w:val="24"/>
        </w:rPr>
      </w:pPr>
      <w:r>
        <w:rPr>
          <w:rStyle w:val="ad"/>
          <w:rFonts w:ascii="Book Antiqua" w:hAnsi="Book Antiqua" w:cs="Times New Roman"/>
          <w:b/>
          <w:bCs/>
          <w:i/>
          <w:iCs/>
          <w:sz w:val="24"/>
          <w:szCs w:val="24"/>
        </w:rPr>
        <w:t>CONCLUSION</w:t>
      </w:r>
    </w:p>
    <w:p w:rsidR="00A35F10" w:rsidRDefault="00210629">
      <w:pPr>
        <w:spacing w:after="0" w:line="360" w:lineRule="auto"/>
        <w:jc w:val="both"/>
        <w:rPr>
          <w:rStyle w:val="ad"/>
          <w:rFonts w:ascii="Book Antiqua" w:hAnsi="Book Antiqua" w:cs="Times New Roman"/>
          <w:sz w:val="24"/>
          <w:szCs w:val="24"/>
        </w:rPr>
      </w:pPr>
      <w:r>
        <w:rPr>
          <w:rStyle w:val="ad"/>
          <w:rFonts w:ascii="Book Antiqua" w:hAnsi="Book Antiqua" w:cs="Times New Roman"/>
          <w:sz w:val="24"/>
          <w:szCs w:val="24"/>
        </w:rPr>
        <w:t xml:space="preserve">The combination of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and </w:t>
      </w:r>
      <w:proofErr w:type="spellStart"/>
      <w:r>
        <w:rPr>
          <w:rStyle w:val="ad"/>
          <w:rFonts w:ascii="Book Antiqua" w:hAnsi="Book Antiqua" w:cs="Times New Roman"/>
          <w:sz w:val="24"/>
          <w:szCs w:val="24"/>
        </w:rPr>
        <w:t>dezocine</w:t>
      </w:r>
      <w:proofErr w:type="spellEnd"/>
      <w:r>
        <w:rPr>
          <w:rStyle w:val="ad"/>
          <w:rFonts w:ascii="Book Antiqua" w:hAnsi="Book Antiqua" w:cs="Times New Roman"/>
          <w:sz w:val="24"/>
          <w:szCs w:val="24"/>
        </w:rPr>
        <w:t xml:space="preserve"> can decrease</w:t>
      </w:r>
      <w:r>
        <w:rPr>
          <w:rStyle w:val="ad"/>
          <w:rFonts w:ascii="Book Antiqua" w:hAnsi="Book Antiqua" w:cs="Times New Roman"/>
          <w:sz w:val="24"/>
          <w:szCs w:val="24"/>
        </w:rPr>
        <w:t xml:space="preserve"> </w:t>
      </w:r>
      <w:proofErr w:type="spellStart"/>
      <w:r>
        <w:rPr>
          <w:rStyle w:val="ad"/>
          <w:rFonts w:ascii="Book Antiqua" w:hAnsi="Book Antiqua" w:cs="Times New Roman"/>
          <w:sz w:val="24"/>
          <w:szCs w:val="24"/>
        </w:rPr>
        <w:t>propofol</w:t>
      </w:r>
      <w:proofErr w:type="spellEnd"/>
      <w:r>
        <w:rPr>
          <w:rStyle w:val="ad"/>
          <w:rFonts w:ascii="Book Antiqua" w:hAnsi="Book Antiqua" w:cs="Times New Roman"/>
          <w:sz w:val="24"/>
          <w:szCs w:val="24"/>
        </w:rPr>
        <w:t xml:space="preserve"> dosage, reduce the risk for the development of inhibitory effects on the respiratory and cardiovascular systems, increase analgesic effect, decrease body movement, shorten awakening time, and improve awakening quality.</w:t>
      </w:r>
      <w:bookmarkEnd w:id="9"/>
    </w:p>
    <w:p w:rsidR="00A35F10" w:rsidRDefault="00A35F10">
      <w:pPr>
        <w:spacing w:after="0" w:line="360" w:lineRule="auto"/>
        <w:jc w:val="both"/>
        <w:rPr>
          <w:rFonts w:ascii="Book Antiqua" w:hAnsi="Book Antiqua" w:cs="Times New Roman"/>
          <w:b/>
          <w:color w:val="000000" w:themeColor="text1"/>
          <w:sz w:val="24"/>
          <w:szCs w:val="24"/>
        </w:rPr>
      </w:pPr>
    </w:p>
    <w:p w:rsidR="00A35F10" w:rsidRDefault="00210629">
      <w:pPr>
        <w:spacing w:after="0" w:line="360" w:lineRule="auto"/>
        <w:jc w:val="both"/>
        <w:rPr>
          <w:rStyle w:val="ad"/>
          <w:rFonts w:ascii="Book Antiqua" w:hAnsi="Book Antiqua" w:cs="Times New Roman"/>
          <w:sz w:val="24"/>
          <w:szCs w:val="24"/>
        </w:rPr>
      </w:pPr>
      <w:r>
        <w:rPr>
          <w:rFonts w:ascii="Book Antiqua" w:hAnsi="Book Antiqua" w:cs="Times New Roman"/>
          <w:b/>
          <w:color w:val="000000" w:themeColor="text1"/>
          <w:sz w:val="24"/>
          <w:szCs w:val="24"/>
        </w:rPr>
        <w:t>Key words:</w:t>
      </w:r>
      <w:r>
        <w:rPr>
          <w:rStyle w:val="ad"/>
          <w:rFonts w:ascii="Book Antiqua" w:hAnsi="Book Antiqua" w:cs="Times New Roman"/>
          <w:sz w:val="24"/>
          <w:szCs w:val="24"/>
        </w:rPr>
        <w:t xml:space="preserve"> </w:t>
      </w:r>
      <w:bookmarkStart w:id="10" w:name="OLE_LINK45"/>
      <w:bookmarkStart w:id="11" w:name="OLE_LINK44"/>
      <w:proofErr w:type="spellStart"/>
      <w:r>
        <w:rPr>
          <w:rStyle w:val="ad"/>
          <w:rFonts w:ascii="Book Antiqua" w:hAnsi="Book Antiqua" w:cs="Times New Roman"/>
          <w:sz w:val="24"/>
          <w:szCs w:val="24"/>
        </w:rPr>
        <w:t>Anesthesia</w:t>
      </w:r>
      <w:bookmarkEnd w:id="10"/>
      <w:bookmarkEnd w:id="11"/>
      <w:proofErr w:type="spellEnd"/>
      <w:r>
        <w:rPr>
          <w:rStyle w:val="ad"/>
          <w:rFonts w:ascii="Book Antiqua" w:hAnsi="Book Antiqua" w:cs="Times New Roman"/>
          <w:sz w:val="24"/>
          <w:szCs w:val="24"/>
        </w:rPr>
        <w:t xml:space="preserve">; </w:t>
      </w:r>
      <w:bookmarkStart w:id="12" w:name="OLE_LINK46"/>
      <w:proofErr w:type="spellStart"/>
      <w:r>
        <w:rPr>
          <w:rStyle w:val="ad"/>
          <w:rFonts w:ascii="Book Antiqua" w:hAnsi="Book Antiqua" w:cs="Times New Roman"/>
          <w:sz w:val="24"/>
          <w:szCs w:val="24"/>
        </w:rPr>
        <w:t>Dez</w:t>
      </w:r>
      <w:r>
        <w:rPr>
          <w:rStyle w:val="ad"/>
          <w:rFonts w:ascii="Book Antiqua" w:hAnsi="Book Antiqua" w:cs="Times New Roman"/>
          <w:sz w:val="24"/>
          <w:szCs w:val="24"/>
        </w:rPr>
        <w:t>ocine</w:t>
      </w:r>
      <w:bookmarkEnd w:id="12"/>
      <w:proofErr w:type="spellEnd"/>
      <w:r>
        <w:rPr>
          <w:rStyle w:val="ad"/>
          <w:rFonts w:ascii="Book Antiqua" w:hAnsi="Book Antiqua" w:cs="Times New Roman"/>
          <w:sz w:val="24"/>
          <w:szCs w:val="24"/>
        </w:rPr>
        <w:t xml:space="preserve">; </w:t>
      </w:r>
      <w:bookmarkStart w:id="13" w:name="OLE_LINK47"/>
      <w:proofErr w:type="spellStart"/>
      <w:r>
        <w:rPr>
          <w:rStyle w:val="ad"/>
          <w:rFonts w:ascii="Book Antiqua" w:hAnsi="Book Antiqua" w:cs="Times New Roman"/>
          <w:sz w:val="24"/>
          <w:szCs w:val="24"/>
        </w:rPr>
        <w:t>Propofol</w:t>
      </w:r>
      <w:bookmarkEnd w:id="13"/>
      <w:proofErr w:type="spellEnd"/>
      <w:r>
        <w:rPr>
          <w:rStyle w:val="ad"/>
          <w:rFonts w:ascii="Book Antiqua" w:hAnsi="Book Antiqua" w:cs="Times New Roman"/>
          <w:sz w:val="24"/>
          <w:szCs w:val="24"/>
        </w:rPr>
        <w:t xml:space="preserve">; </w:t>
      </w:r>
      <w:bookmarkStart w:id="14" w:name="OLE_LINK48"/>
      <w:bookmarkStart w:id="15" w:name="OLE_LINK49"/>
      <w:r>
        <w:rPr>
          <w:rStyle w:val="ad"/>
          <w:rFonts w:ascii="Book Antiqua" w:hAnsi="Book Antiqua" w:cs="Times New Roman"/>
          <w:sz w:val="24"/>
          <w:szCs w:val="24"/>
        </w:rPr>
        <w:t>Gastroscopy</w:t>
      </w:r>
      <w:bookmarkEnd w:id="14"/>
      <w:bookmarkEnd w:id="15"/>
      <w:r>
        <w:rPr>
          <w:rStyle w:val="ad"/>
          <w:rFonts w:ascii="Book Antiqua" w:hAnsi="Book Antiqua" w:cs="Times New Roman"/>
          <w:sz w:val="24"/>
          <w:szCs w:val="24"/>
        </w:rPr>
        <w:t xml:space="preserve">; </w:t>
      </w:r>
      <w:bookmarkStart w:id="16" w:name="OLE_LINK50"/>
      <w:bookmarkStart w:id="17" w:name="OLE_LINK30"/>
      <w:r>
        <w:rPr>
          <w:rStyle w:val="ad"/>
          <w:rFonts w:ascii="Book Antiqua" w:hAnsi="Book Antiqua" w:cs="Times New Roman"/>
          <w:sz w:val="24"/>
          <w:szCs w:val="24"/>
        </w:rPr>
        <w:t>Colonoscopy</w:t>
      </w:r>
      <w:bookmarkEnd w:id="16"/>
      <w:bookmarkEnd w:id="17"/>
    </w:p>
    <w:p w:rsidR="00A35F10" w:rsidRDefault="00A35F10">
      <w:pPr>
        <w:spacing w:after="0" w:line="360" w:lineRule="auto"/>
        <w:jc w:val="both"/>
        <w:rPr>
          <w:rStyle w:val="ad"/>
          <w:rFonts w:ascii="Book Antiqua" w:hAnsi="Book Antiqua" w:cs="Times New Roman"/>
          <w:sz w:val="24"/>
          <w:szCs w:val="24"/>
        </w:rPr>
      </w:pPr>
    </w:p>
    <w:p w:rsidR="00A35F10" w:rsidRDefault="00210629">
      <w:pPr>
        <w:adjustRightInd w:val="0"/>
        <w:snapToGrid w:val="0"/>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t xml:space="preserve">© The Author(s) 2019. </w:t>
      </w:r>
      <w:r>
        <w:rPr>
          <w:rFonts w:ascii="Book Antiqua" w:hAnsi="Book Antiqua"/>
          <w:color w:val="000000" w:themeColor="text1"/>
          <w:sz w:val="24"/>
          <w:szCs w:val="24"/>
        </w:rPr>
        <w:t xml:space="preserve">Published by </w:t>
      </w:r>
      <w:proofErr w:type="spellStart"/>
      <w:r>
        <w:rPr>
          <w:rFonts w:ascii="Book Antiqua" w:hAnsi="Book Antiqua"/>
          <w:color w:val="000000" w:themeColor="text1"/>
          <w:sz w:val="24"/>
          <w:szCs w:val="24"/>
        </w:rPr>
        <w:t>Baishideng</w:t>
      </w:r>
      <w:proofErr w:type="spellEnd"/>
      <w:r>
        <w:rPr>
          <w:rFonts w:ascii="Book Antiqua" w:hAnsi="Book Antiqua"/>
          <w:color w:val="000000" w:themeColor="text1"/>
          <w:sz w:val="24"/>
          <w:szCs w:val="24"/>
        </w:rPr>
        <w:t xml:space="preserve"> Publishing Group Inc. All rights reserved.</w:t>
      </w:r>
    </w:p>
    <w:p w:rsidR="00A35F10" w:rsidRDefault="00A35F10">
      <w:pPr>
        <w:adjustRightInd w:val="0"/>
        <w:snapToGrid w:val="0"/>
        <w:spacing w:after="0" w:line="360" w:lineRule="auto"/>
        <w:jc w:val="both"/>
        <w:rPr>
          <w:rFonts w:ascii="Book Antiqua" w:hAnsi="Book Antiqua"/>
          <w:color w:val="000000" w:themeColor="text1"/>
          <w:sz w:val="24"/>
          <w:szCs w:val="24"/>
        </w:rPr>
      </w:pPr>
    </w:p>
    <w:p w:rsidR="00A35F10" w:rsidRDefault="00210629">
      <w:pPr>
        <w:spacing w:after="0" w:line="360" w:lineRule="auto"/>
        <w:jc w:val="both"/>
        <w:rPr>
          <w:rFonts w:ascii="Book Antiqua" w:eastAsia="Arial Unicode MS" w:hAnsi="Book Antiqua" w:cs="Times New Roman"/>
          <w:b/>
          <w:color w:val="000000" w:themeColor="text1"/>
          <w:sz w:val="24"/>
          <w:szCs w:val="24"/>
        </w:rPr>
      </w:pPr>
      <w:r>
        <w:rPr>
          <w:rFonts w:ascii="Book Antiqua" w:hAnsi="Book Antiqua"/>
          <w:b/>
          <w:color w:val="000000" w:themeColor="text1"/>
          <w:sz w:val="24"/>
          <w:szCs w:val="24"/>
        </w:rPr>
        <w:t xml:space="preserve">Core tip: </w:t>
      </w:r>
      <w:bookmarkStart w:id="18" w:name="OLE_LINK51"/>
      <w:r>
        <w:rPr>
          <w:rFonts w:ascii="Book Antiqua" w:hAnsi="Book Antiqua" w:cs="Times New Roman"/>
          <w:color w:val="000000" w:themeColor="text1"/>
          <w:sz w:val="24"/>
          <w:szCs w:val="24"/>
        </w:rPr>
        <w:t xml:space="preserve">This study aimed to identify a comparatively satisfactory anesthetization regimen for painless gastroscopy and </w:t>
      </w:r>
      <w:r>
        <w:rPr>
          <w:rFonts w:ascii="Book Antiqua" w:hAnsi="Book Antiqua" w:cs="Times New Roman"/>
          <w:color w:val="000000" w:themeColor="text1"/>
          <w:sz w:val="24"/>
          <w:szCs w:val="24"/>
        </w:rPr>
        <w:t xml:space="preserve">colonoscopy. The combination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can decrease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 reduce the risk for the development of inhibitory effects on the cardiovascular and respiratory systems, increase analgesic effect, decrease body movement, shorten awakenin</w:t>
      </w:r>
      <w:r>
        <w:rPr>
          <w:rFonts w:ascii="Book Antiqua" w:hAnsi="Book Antiqua" w:cs="Times New Roman"/>
          <w:color w:val="000000" w:themeColor="text1"/>
          <w:sz w:val="24"/>
          <w:szCs w:val="24"/>
        </w:rPr>
        <w:t xml:space="preserve">g time, and improve awakening quality.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with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is an adequate regimen of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and analgesia for gastroscopy and colonoscopy, which can increase the patient cooperation, quality and safety of the examination and</w:t>
      </w:r>
      <w:r>
        <w:rPr>
          <w:rFonts w:ascii="Book Antiqua" w:hAnsi="Book Antiqua" w:cs="Times New Roman"/>
          <w:color w:val="000000" w:themeColor="text1"/>
          <w:sz w:val="24"/>
          <w:szCs w:val="24"/>
        </w:rPr>
        <w:t xml:space="preserve"> treatment, and patient and physician satisfaction with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w:t>
      </w:r>
    </w:p>
    <w:bookmarkEnd w:id="18"/>
    <w:p w:rsidR="00A35F10" w:rsidRDefault="00A35F10">
      <w:pPr>
        <w:spacing w:after="0" w:line="360" w:lineRule="auto"/>
        <w:jc w:val="both"/>
        <w:rPr>
          <w:rStyle w:val="ad"/>
          <w:rFonts w:ascii="Book Antiqua" w:hAnsi="Book Antiqua" w:cs="Times New Roman"/>
          <w:sz w:val="24"/>
          <w:szCs w:val="24"/>
        </w:rPr>
      </w:pPr>
    </w:p>
    <w:p w:rsidR="00A35F10" w:rsidRDefault="00210629">
      <w:pPr>
        <w:spacing w:after="0" w:line="360" w:lineRule="auto"/>
        <w:ind w:rightChars="65" w:right="143"/>
        <w:jc w:val="both"/>
        <w:rPr>
          <w:rFonts w:ascii="Book Antiqua" w:hAnsi="Book Antiqua" w:cs="Times New Roman"/>
          <w:bCs/>
          <w:sz w:val="24"/>
          <w:szCs w:val="24"/>
        </w:rPr>
      </w:pPr>
      <w:r>
        <w:rPr>
          <w:rFonts w:ascii="Book Antiqua" w:hAnsi="Book Antiqua" w:cs="Times New Roman"/>
          <w:bCs/>
          <w:color w:val="000000" w:themeColor="text1"/>
          <w:sz w:val="24"/>
          <w:szCs w:val="24"/>
        </w:rPr>
        <w:lastRenderedPageBreak/>
        <w:t xml:space="preserve">Li XT, Ma CQ, Qi SH, Zhang LM. Combination of </w:t>
      </w:r>
      <w:proofErr w:type="spellStart"/>
      <w:r>
        <w:rPr>
          <w:rFonts w:ascii="Book Antiqua" w:hAnsi="Book Antiqua" w:cs="Times New Roman"/>
          <w:bCs/>
          <w:color w:val="000000" w:themeColor="text1"/>
          <w:sz w:val="24"/>
          <w:szCs w:val="24"/>
        </w:rPr>
        <w:t>propofol</w:t>
      </w:r>
      <w:proofErr w:type="spellEnd"/>
      <w:r>
        <w:rPr>
          <w:rFonts w:ascii="Book Antiqua" w:hAnsi="Book Antiqua" w:cs="Times New Roman"/>
          <w:bCs/>
          <w:color w:val="000000" w:themeColor="text1"/>
          <w:sz w:val="24"/>
          <w:szCs w:val="24"/>
        </w:rPr>
        <w:t xml:space="preserve"> and </w:t>
      </w:r>
      <w:proofErr w:type="spellStart"/>
      <w:r>
        <w:rPr>
          <w:rFonts w:ascii="Book Antiqua" w:hAnsi="Book Antiqua" w:cs="Times New Roman"/>
          <w:bCs/>
          <w:color w:val="000000" w:themeColor="text1"/>
          <w:sz w:val="24"/>
          <w:szCs w:val="24"/>
        </w:rPr>
        <w:t>dezocine</w:t>
      </w:r>
      <w:proofErr w:type="spellEnd"/>
      <w:r>
        <w:rPr>
          <w:rFonts w:ascii="Book Antiqua" w:hAnsi="Book Antiqua" w:cs="Times New Roman"/>
          <w:bCs/>
          <w:color w:val="000000" w:themeColor="text1"/>
          <w:sz w:val="24"/>
          <w:szCs w:val="24"/>
        </w:rPr>
        <w:t xml:space="preserve"> to improve safety and efficacy of </w:t>
      </w:r>
      <w:proofErr w:type="spellStart"/>
      <w:r>
        <w:rPr>
          <w:rFonts w:ascii="Book Antiqua" w:hAnsi="Book Antiqua" w:cs="Times New Roman"/>
          <w:bCs/>
          <w:color w:val="000000" w:themeColor="text1"/>
          <w:sz w:val="24"/>
          <w:szCs w:val="24"/>
        </w:rPr>
        <w:t>anesthesia</w:t>
      </w:r>
      <w:proofErr w:type="spellEnd"/>
      <w:r>
        <w:rPr>
          <w:rFonts w:ascii="Book Antiqua" w:hAnsi="Book Antiqua" w:cs="Times New Roman"/>
          <w:bCs/>
          <w:color w:val="000000" w:themeColor="text1"/>
          <w:sz w:val="24"/>
          <w:szCs w:val="24"/>
        </w:rPr>
        <w:t xml:space="preserve"> for gastroscopy and colonoscopy in adults: A randomized, double-blind, con</w:t>
      </w:r>
      <w:r>
        <w:rPr>
          <w:rFonts w:ascii="Book Antiqua" w:hAnsi="Book Antiqua" w:cs="Times New Roman"/>
          <w:bCs/>
          <w:color w:val="000000" w:themeColor="text1"/>
          <w:sz w:val="24"/>
          <w:szCs w:val="24"/>
        </w:rPr>
        <w:t xml:space="preserve">trolled trial. </w:t>
      </w:r>
      <w:bookmarkStart w:id="19" w:name="_Hlk17358615"/>
      <w:bookmarkStart w:id="20" w:name="_Hlk18051602"/>
      <w:r>
        <w:rPr>
          <w:rFonts w:ascii="Book Antiqua" w:eastAsia="Times New Roman" w:hAnsi="Book Antiqua"/>
          <w:bCs/>
          <w:i/>
          <w:sz w:val="24"/>
          <w:szCs w:val="24"/>
        </w:rPr>
        <w:t xml:space="preserve">World J </w:t>
      </w:r>
      <w:proofErr w:type="spellStart"/>
      <w:r>
        <w:rPr>
          <w:rFonts w:ascii="Book Antiqua" w:eastAsia="Times New Roman" w:hAnsi="Book Antiqua"/>
          <w:bCs/>
          <w:i/>
          <w:sz w:val="24"/>
          <w:szCs w:val="24"/>
        </w:rPr>
        <w:t>Clin</w:t>
      </w:r>
      <w:proofErr w:type="spellEnd"/>
      <w:r>
        <w:rPr>
          <w:rFonts w:ascii="Book Antiqua" w:eastAsia="Times New Roman" w:hAnsi="Book Antiqua"/>
          <w:bCs/>
          <w:i/>
          <w:sz w:val="24"/>
          <w:szCs w:val="24"/>
        </w:rPr>
        <w:t xml:space="preserve"> Cases</w:t>
      </w:r>
      <w:r>
        <w:rPr>
          <w:rFonts w:ascii="Book Antiqua" w:eastAsia="Times New Roman" w:hAnsi="Book Antiqua"/>
          <w:bCs/>
          <w:sz w:val="24"/>
          <w:szCs w:val="24"/>
        </w:rPr>
        <w:t xml:space="preserve"> 2019; </w:t>
      </w:r>
      <w:proofErr w:type="gramStart"/>
      <w:r>
        <w:rPr>
          <w:rFonts w:ascii="Book Antiqua" w:hAnsi="Book Antiqua"/>
          <w:bCs/>
          <w:iCs/>
          <w:sz w:val="24"/>
          <w:szCs w:val="24"/>
        </w:rPr>
        <w:t>In</w:t>
      </w:r>
      <w:proofErr w:type="gramEnd"/>
      <w:r>
        <w:rPr>
          <w:rFonts w:ascii="Book Antiqua" w:hAnsi="Book Antiqua"/>
          <w:bCs/>
          <w:iCs/>
          <w:sz w:val="24"/>
          <w:szCs w:val="24"/>
        </w:rPr>
        <w:t xml:space="preserve"> press</w:t>
      </w:r>
      <w:bookmarkEnd w:id="19"/>
      <w:bookmarkEnd w:id="20"/>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A35F10" w:rsidRDefault="00210629">
      <w:pPr>
        <w:spacing w:after="0" w:line="360" w:lineRule="auto"/>
        <w:jc w:val="both"/>
        <w:rPr>
          <w:rFonts w:ascii="Book Antiqua" w:hAnsi="Book Antiqua" w:cs="Times New Roman"/>
          <w:b/>
          <w:color w:val="000000" w:themeColor="text1"/>
          <w:sz w:val="24"/>
          <w:szCs w:val="24"/>
        </w:rPr>
      </w:pPr>
      <w:r>
        <w:rPr>
          <w:rStyle w:val="2Char"/>
          <w:rFonts w:ascii="Book Antiqua" w:hAnsi="Book Antiqua" w:cs="Times New Roman"/>
          <w:color w:val="000000" w:themeColor="text1"/>
          <w:sz w:val="24"/>
          <w:szCs w:val="24"/>
        </w:rPr>
        <w:lastRenderedPageBreak/>
        <w:t>INTRODUCTION</w:t>
      </w: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Gastroscopy and colonoscopy are important and common </w:t>
      </w:r>
      <w:bookmarkStart w:id="21" w:name="OLE_LINK24"/>
      <w:r>
        <w:rPr>
          <w:rFonts w:ascii="Book Antiqua" w:hAnsi="Book Antiqua" w:cs="Times New Roman"/>
          <w:color w:val="000000" w:themeColor="text1"/>
          <w:sz w:val="24"/>
          <w:szCs w:val="24"/>
        </w:rPr>
        <w:t>endoscop</w:t>
      </w:r>
      <w:bookmarkEnd w:id="21"/>
      <w:r>
        <w:rPr>
          <w:rFonts w:ascii="Book Antiqua" w:hAnsi="Book Antiqua" w:cs="Times New Roman"/>
          <w:color w:val="000000" w:themeColor="text1"/>
          <w:sz w:val="24"/>
          <w:szCs w:val="24"/>
        </w:rPr>
        <w:t xml:space="preserve">ic methods for the diagnosis and treatment of gastrointestinal and colorectal diseases. Gastroscopy is used to visualize the upper </w:t>
      </w:r>
      <w:r>
        <w:rPr>
          <w:rFonts w:ascii="Book Antiqua" w:hAnsi="Book Antiqua" w:cs="Times New Roman"/>
          <w:color w:val="000000" w:themeColor="text1"/>
          <w:sz w:val="24"/>
          <w:szCs w:val="24"/>
        </w:rPr>
        <w:t>part of the gastrointestinal tract (</w:t>
      </w:r>
      <w:r>
        <w:rPr>
          <w:rFonts w:ascii="Book Antiqua" w:hAnsi="Book Antiqua" w:cs="Times New Roman"/>
          <w:i/>
          <w:iCs/>
          <w:color w:val="000000" w:themeColor="text1"/>
          <w:sz w:val="24"/>
          <w:szCs w:val="24"/>
        </w:rPr>
        <w:t>i.e.</w:t>
      </w:r>
      <w:r>
        <w:rPr>
          <w:rFonts w:ascii="Book Antiqua" w:hAnsi="Book Antiqua" w:cs="Times New Roman"/>
          <w:color w:val="000000" w:themeColor="text1"/>
          <w:sz w:val="24"/>
          <w:szCs w:val="24"/>
        </w:rPr>
        <w:t>, up to the duodenum</w:t>
      </w:r>
      <w:proofErr w:type="gramStart"/>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1,2]</w:t>
      </w:r>
      <w:r>
        <w:rPr>
          <w:rFonts w:ascii="Book Antiqua" w:hAnsi="Book Antiqua" w:cs="Times New Roman"/>
          <w:color w:val="000000" w:themeColor="text1"/>
          <w:sz w:val="24"/>
          <w:szCs w:val="24"/>
        </w:rPr>
        <w:t>, while colonoscopy is used to examine the large intestine and the distal part of the small intestine</w:t>
      </w:r>
      <w:r>
        <w:rPr>
          <w:rFonts w:ascii="Book Antiqua" w:hAnsi="Book Antiqua" w:cs="Times New Roman"/>
          <w:color w:val="000000" w:themeColor="text1"/>
          <w:sz w:val="24"/>
          <w:szCs w:val="24"/>
          <w:vertAlign w:val="superscript"/>
        </w:rPr>
        <w:t>[3-6]</w:t>
      </w:r>
      <w:r>
        <w:rPr>
          <w:rFonts w:ascii="Book Antiqua" w:hAnsi="Book Antiqua" w:cs="Times New Roman"/>
          <w:color w:val="000000" w:themeColor="text1"/>
          <w:sz w:val="24"/>
          <w:szCs w:val="24"/>
        </w:rPr>
        <w:t xml:space="preserve">. However, endoscopy is usually associated with adverse reactions such as </w:t>
      </w:r>
      <w:r>
        <w:rPr>
          <w:rFonts w:ascii="Book Antiqua" w:hAnsi="Book Antiqua" w:cs="Times New Roman"/>
          <w:color w:val="000000" w:themeColor="text1"/>
          <w:sz w:val="24"/>
          <w:szCs w:val="24"/>
        </w:rPr>
        <w:t xml:space="preserve">nervousness, nausea, vomiting, choking cough, and </w:t>
      </w:r>
      <w:proofErr w:type="gramStart"/>
      <w:r>
        <w:rPr>
          <w:rFonts w:ascii="Book Antiqua" w:hAnsi="Book Antiqua" w:cs="Times New Roman"/>
          <w:color w:val="000000" w:themeColor="text1"/>
          <w:sz w:val="24"/>
          <w:szCs w:val="24"/>
        </w:rPr>
        <w:t>pain</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7,8]</w:t>
      </w:r>
      <w:r>
        <w:rPr>
          <w:rFonts w:ascii="Book Antiqua" w:hAnsi="Book Antiqua" w:cs="Times New Roman"/>
          <w:color w:val="000000" w:themeColor="text1"/>
          <w:sz w:val="24"/>
          <w:szCs w:val="24"/>
        </w:rPr>
        <w:t xml:space="preserve">. Severe </w:t>
      </w:r>
      <w:bookmarkStart w:id="22" w:name="OLE_LINK12"/>
      <w:r>
        <w:rPr>
          <w:rFonts w:ascii="Book Antiqua" w:hAnsi="Book Antiqua" w:cs="Times New Roman"/>
          <w:color w:val="000000" w:themeColor="text1"/>
          <w:sz w:val="24"/>
          <w:szCs w:val="24"/>
        </w:rPr>
        <w:t>discomfort</w:t>
      </w:r>
      <w:bookmarkEnd w:id="22"/>
      <w:r>
        <w:rPr>
          <w:rFonts w:ascii="Book Antiqua" w:hAnsi="Book Antiqua" w:cs="Times New Roman"/>
          <w:color w:val="000000" w:themeColor="text1"/>
          <w:sz w:val="24"/>
          <w:szCs w:val="24"/>
        </w:rPr>
        <w:t>, such as vomiting, coughing, or body movement, may lead to aggravation of a pre-existing condition or even interruption of examination or treatment, especially in some criticall</w:t>
      </w:r>
      <w:r>
        <w:rPr>
          <w:rFonts w:ascii="Book Antiqua" w:hAnsi="Book Antiqua" w:cs="Times New Roman"/>
          <w:color w:val="000000" w:themeColor="text1"/>
          <w:sz w:val="24"/>
          <w:szCs w:val="24"/>
        </w:rPr>
        <w:t>y ill patients with physiological dysfunction (</w:t>
      </w:r>
      <w:r>
        <w:rPr>
          <w:rFonts w:ascii="Book Antiqua" w:hAnsi="Book Antiqua" w:cs="Times New Roman"/>
          <w:i/>
          <w:iCs/>
          <w:color w:val="000000" w:themeColor="text1"/>
          <w:sz w:val="24"/>
          <w:szCs w:val="24"/>
        </w:rPr>
        <w:t>e.g.</w:t>
      </w:r>
      <w:r>
        <w:rPr>
          <w:rFonts w:ascii="Book Antiqua" w:hAnsi="Book Antiqua" w:cs="Times New Roman"/>
          <w:color w:val="000000" w:themeColor="text1"/>
          <w:sz w:val="24"/>
          <w:szCs w:val="24"/>
        </w:rPr>
        <w:t>, cardiovascular or respiratory disease)</w:t>
      </w:r>
      <w:r>
        <w:rPr>
          <w:rFonts w:ascii="Book Antiqua" w:hAnsi="Book Antiqua" w:cs="Times New Roman"/>
          <w:color w:val="000000" w:themeColor="text1"/>
          <w:sz w:val="24"/>
          <w:szCs w:val="24"/>
          <w:vertAlign w:val="superscript"/>
        </w:rPr>
        <w:t>[9]</w:t>
      </w:r>
      <w:r>
        <w:rPr>
          <w:rFonts w:ascii="Book Antiqua" w:hAnsi="Book Antiqua" w:cs="Times New Roman"/>
          <w:color w:val="000000" w:themeColor="text1"/>
          <w:sz w:val="24"/>
          <w:szCs w:val="24"/>
        </w:rPr>
        <w:t>. The optimal methods for inducing analgesia and sedation in gastroscopy and colonoscopy are areas of ongoing debate; nevertheless, determining an appropriate reg</w:t>
      </w:r>
      <w:r>
        <w:rPr>
          <w:rFonts w:ascii="Book Antiqua" w:hAnsi="Book Antiqua" w:cs="Times New Roman"/>
          <w:color w:val="000000" w:themeColor="text1"/>
          <w:sz w:val="24"/>
          <w:szCs w:val="24"/>
        </w:rPr>
        <w:t xml:space="preserve">imen of sedation and analgesia is important. It has been reported that the administration of intravenous </w:t>
      </w:r>
      <w:proofErr w:type="spellStart"/>
      <w:r>
        <w:rPr>
          <w:rFonts w:ascii="Book Antiqua" w:hAnsi="Book Antiqua" w:cs="Times New Roman"/>
          <w:color w:val="000000" w:themeColor="text1"/>
          <w:sz w:val="24"/>
          <w:szCs w:val="24"/>
        </w:rPr>
        <w:t>anesthetics</w:t>
      </w:r>
      <w:proofErr w:type="spellEnd"/>
      <w:r>
        <w:rPr>
          <w:rFonts w:ascii="Book Antiqua" w:hAnsi="Book Antiqua" w:cs="Times New Roman"/>
          <w:color w:val="000000" w:themeColor="text1"/>
          <w:sz w:val="24"/>
          <w:szCs w:val="24"/>
        </w:rPr>
        <w:t xml:space="preserve"> can effectively eliminate patient anxiety, inhibit upper airway reflex, and improve patient comfort during endoscopy, which has led to an i</w:t>
      </w:r>
      <w:r>
        <w:rPr>
          <w:rFonts w:ascii="Book Antiqua" w:hAnsi="Book Antiqua" w:cs="Times New Roman"/>
          <w:color w:val="000000" w:themeColor="text1"/>
          <w:sz w:val="24"/>
          <w:szCs w:val="24"/>
        </w:rPr>
        <w:t xml:space="preserve">ncrease in patient willingness to undergo follow-up endoscopic examination or </w:t>
      </w:r>
      <w:proofErr w:type="gramStart"/>
      <w:r>
        <w:rPr>
          <w:rFonts w:ascii="Book Antiqua" w:hAnsi="Book Antiqua" w:cs="Times New Roman"/>
          <w:color w:val="000000" w:themeColor="text1"/>
          <w:sz w:val="24"/>
          <w:szCs w:val="24"/>
        </w:rPr>
        <w:t>treatment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10]</w:t>
      </w:r>
      <w:r>
        <w:rPr>
          <w:rFonts w:ascii="Book Antiqua" w:hAnsi="Book Antiqua" w:cs="Times New Roman"/>
          <w:color w:val="000000" w:themeColor="text1"/>
          <w:sz w:val="24"/>
          <w:szCs w:val="24"/>
        </w:rPr>
        <w:t xml:space="preserve">. </w:t>
      </w:r>
      <w:bookmarkStart w:id="23" w:name="_Hlk6806420"/>
      <w:r>
        <w:rPr>
          <w:rFonts w:ascii="Book Antiqua" w:hAnsi="Book Antiqua" w:cs="Times New Roman"/>
          <w:color w:val="000000" w:themeColor="text1"/>
          <w:sz w:val="24"/>
          <w:szCs w:val="24"/>
        </w:rPr>
        <w:t xml:space="preserve">Previous studies have confirmed the efficacy of general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in endoscopy. </w:t>
      </w:r>
      <w:bookmarkEnd w:id="23"/>
      <w:r>
        <w:rPr>
          <w:rFonts w:ascii="Book Antiqua" w:hAnsi="Book Antiqua" w:cs="Times New Roman"/>
          <w:color w:val="000000" w:themeColor="text1"/>
          <w:sz w:val="24"/>
          <w:szCs w:val="24"/>
        </w:rPr>
        <w:t xml:space="preserve">The use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in combination with opioids has been reported to improve sedat</w:t>
      </w:r>
      <w:r>
        <w:rPr>
          <w:rFonts w:ascii="Book Antiqua" w:hAnsi="Book Antiqua" w:cs="Times New Roman"/>
          <w:color w:val="000000" w:themeColor="text1"/>
          <w:sz w:val="24"/>
          <w:szCs w:val="24"/>
        </w:rPr>
        <w:t xml:space="preserve">ion and analgesia with regard to recovery time, sedative effect, pain, and </w:t>
      </w:r>
      <w:proofErr w:type="gramStart"/>
      <w:r>
        <w:rPr>
          <w:rFonts w:ascii="Book Antiqua" w:hAnsi="Book Antiqua" w:cs="Times New Roman"/>
          <w:color w:val="000000" w:themeColor="text1"/>
          <w:sz w:val="24"/>
          <w:szCs w:val="24"/>
        </w:rPr>
        <w:t>discomfort</w:t>
      </w:r>
      <w:r>
        <w:rPr>
          <w:rFonts w:ascii="Book Antiqua" w:hAnsi="Book Antiqua" w:cs="Times New Roman"/>
          <w:color w:val="000000" w:themeColor="text1"/>
          <w:sz w:val="24"/>
          <w:szCs w:val="24"/>
          <w:vertAlign w:val="superscript"/>
        </w:rPr>
        <w:t>[</w:t>
      </w:r>
      <w:proofErr w:type="gramEnd"/>
      <w:r>
        <w:rPr>
          <w:rFonts w:ascii="Book Antiqua" w:hAnsi="Book Antiqua" w:cs="Times New Roman"/>
          <w:bCs/>
          <w:iCs/>
          <w:color w:val="000000" w:themeColor="text1"/>
          <w:sz w:val="24"/>
          <w:szCs w:val="24"/>
          <w:vertAlign w:val="superscript"/>
        </w:rPr>
        <w:t>11,12]</w:t>
      </w:r>
      <w:r>
        <w:rPr>
          <w:rFonts w:ascii="Book Antiqua" w:hAnsi="Book Antiqua" w:cs="Times New Roman"/>
          <w:color w:val="000000" w:themeColor="text1"/>
          <w:sz w:val="24"/>
          <w:szCs w:val="24"/>
        </w:rPr>
        <w:t xml:space="preserve">. The aim of the present trial was to evaluate the effects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or fentanyl in gastroscopy and colonoscopy. Based on nove</w:t>
      </w:r>
      <w:r>
        <w:rPr>
          <w:rFonts w:ascii="Book Antiqua" w:hAnsi="Book Antiqua" w:cs="Times New Roman"/>
          <w:color w:val="000000" w:themeColor="text1"/>
          <w:sz w:val="24"/>
          <w:szCs w:val="24"/>
        </w:rPr>
        <w:t xml:space="preserve">l molecular targets of </w:t>
      </w:r>
      <w:proofErr w:type="spellStart"/>
      <w:proofErr w:type="gram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xml:space="preserve"> and our preliminary observations in clinical practice, we hypothesized that a better performance may be achieved with a combination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We observed the incidence of reflex coughing, nausea, and vomi</w:t>
      </w:r>
      <w:r>
        <w:rPr>
          <w:rFonts w:ascii="Book Antiqua" w:hAnsi="Book Antiqua" w:cs="Times New Roman"/>
          <w:color w:val="000000" w:themeColor="text1"/>
          <w:sz w:val="24"/>
          <w:szCs w:val="24"/>
        </w:rPr>
        <w:t xml:space="preserve">ting, cardiovascular and respiratory depression, body movement under sedation, and recovery quality when using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alone or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or fentanyl.</w:t>
      </w:r>
    </w:p>
    <w:p w:rsidR="00A35F10" w:rsidRDefault="00A35F10">
      <w:pPr>
        <w:spacing w:after="0" w:line="360" w:lineRule="auto"/>
        <w:jc w:val="both"/>
        <w:rPr>
          <w:rFonts w:ascii="Book Antiqua" w:hAnsi="Book Antiqua" w:cs="Times New Roman"/>
          <w:color w:val="000000" w:themeColor="text1"/>
          <w:sz w:val="24"/>
          <w:szCs w:val="24"/>
        </w:rPr>
      </w:pPr>
    </w:p>
    <w:p w:rsidR="00A35F10" w:rsidRDefault="00210629">
      <w:pPr>
        <w:adjustRightInd w:val="0"/>
        <w:snapToGrid w:val="0"/>
        <w:spacing w:after="0" w:line="360" w:lineRule="auto"/>
        <w:jc w:val="both"/>
        <w:rPr>
          <w:rFonts w:ascii="Book Antiqua" w:hAnsi="Book Antiqua"/>
          <w:b/>
          <w:color w:val="000000" w:themeColor="text1"/>
          <w:sz w:val="24"/>
          <w:szCs w:val="24"/>
          <w:lang w:eastAsia="zh-CN"/>
        </w:rPr>
      </w:pPr>
      <w:r>
        <w:rPr>
          <w:rFonts w:ascii="Book Antiqua" w:hAnsi="Book Antiqua"/>
          <w:b/>
          <w:color w:val="000000" w:themeColor="text1"/>
          <w:sz w:val="24"/>
          <w:szCs w:val="24"/>
        </w:rPr>
        <w:t>MATERIALS AND METHODS</w:t>
      </w:r>
    </w:p>
    <w:p w:rsidR="00A35F10" w:rsidRDefault="00210629">
      <w:pPr>
        <w:adjustRightInd w:val="0"/>
        <w:snapToGrid w:val="0"/>
        <w:spacing w:after="0" w:line="360" w:lineRule="auto"/>
        <w:jc w:val="both"/>
        <w:rPr>
          <w:rFonts w:ascii="Book Antiqua" w:hAnsi="Book Antiqua"/>
          <w:b/>
          <w:color w:val="000000" w:themeColor="text1"/>
          <w:sz w:val="24"/>
          <w:szCs w:val="24"/>
        </w:rPr>
      </w:pPr>
      <w:r>
        <w:rPr>
          <w:rFonts w:ascii="Book Antiqua" w:hAnsi="Book Antiqua" w:cs="Times New Roman"/>
          <w:b/>
          <w:i/>
          <w:iCs/>
          <w:color w:val="000000" w:themeColor="text1"/>
          <w:sz w:val="24"/>
          <w:szCs w:val="24"/>
        </w:rPr>
        <w:lastRenderedPageBreak/>
        <w:t>Study design and setting</w:t>
      </w: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This prospective, randomized, </w:t>
      </w:r>
      <w:r>
        <w:rPr>
          <w:rFonts w:ascii="Book Antiqua" w:hAnsi="Book Antiqua" w:cs="Times New Roman"/>
          <w:color w:val="000000" w:themeColor="text1"/>
          <w:sz w:val="24"/>
          <w:szCs w:val="24"/>
        </w:rPr>
        <w:t xml:space="preserve">double-blind, controlled trial was conducted with the approval of the Medical Ethics Committee of the Fourth Affiliated Hospital of Harbin Medical University (Harbin, </w:t>
      </w:r>
      <w:proofErr w:type="spellStart"/>
      <w:r>
        <w:rPr>
          <w:rFonts w:ascii="Book Antiqua" w:hAnsi="Book Antiqua" w:cs="Times New Roman"/>
          <w:color w:val="000000" w:themeColor="text1"/>
          <w:sz w:val="24"/>
          <w:szCs w:val="24"/>
        </w:rPr>
        <w:t>Heilongjian</w:t>
      </w:r>
      <w:proofErr w:type="spellEnd"/>
      <w:r>
        <w:rPr>
          <w:rFonts w:ascii="Book Antiqua" w:hAnsi="Book Antiqua" w:cs="Times New Roman"/>
          <w:color w:val="000000" w:themeColor="text1"/>
          <w:sz w:val="24"/>
          <w:szCs w:val="24"/>
        </w:rPr>
        <w:t>, China), and was registered with the Chinese Clinical Trial Registry (http://</w:t>
      </w:r>
      <w:r>
        <w:rPr>
          <w:rFonts w:ascii="Book Antiqua" w:hAnsi="Book Antiqua" w:cs="Times New Roman"/>
          <w:color w:val="000000" w:themeColor="text1"/>
          <w:sz w:val="24"/>
          <w:szCs w:val="24"/>
        </w:rPr>
        <w:t>www.chictr.org.cn/index.aspx; Registration number ChiCTR1800017630; August 7, 2018). Stratified randomization was used to assign candidate subjects to one of four groups (Figure 1) according to sex and body mass index (BMI) (</w:t>
      </w:r>
      <w:bookmarkStart w:id="24" w:name="OLE_LINK6"/>
      <w:r>
        <w:rPr>
          <w:rFonts w:ascii="Book Antiqua" w:hAnsi="Book Antiqua" w:cs="Times New Roman"/>
          <w:color w:val="000000" w:themeColor="text1"/>
          <w:sz w:val="24"/>
          <w:szCs w:val="24"/>
        </w:rPr>
        <w:t>two groups</w:t>
      </w:r>
      <w:bookmarkEnd w:id="24"/>
      <w:r>
        <w:rPr>
          <w:rFonts w:ascii="Book Antiqua" w:hAnsi="Book Antiqua" w:cs="Times New Roman"/>
          <w:color w:val="000000" w:themeColor="text1"/>
          <w:sz w:val="24"/>
          <w:szCs w:val="24"/>
        </w:rPr>
        <w:t>). Computer-generated</w:t>
      </w:r>
      <w:r>
        <w:rPr>
          <w:rFonts w:ascii="Book Antiqua" w:hAnsi="Book Antiqua" w:cs="Times New Roman"/>
          <w:color w:val="000000" w:themeColor="text1"/>
          <w:sz w:val="24"/>
          <w:szCs w:val="24"/>
        </w:rPr>
        <w:t xml:space="preserve"> random group numbers were printed and placed into separate sealed envelopes. When recruiting a subject who met the inclusion criteria, the assistant </w:t>
      </w:r>
      <w:proofErr w:type="spellStart"/>
      <w:r>
        <w:rPr>
          <w:rFonts w:ascii="Book Antiqua" w:hAnsi="Book Antiqua" w:cs="Times New Roman"/>
          <w:color w:val="000000" w:themeColor="text1"/>
          <w:sz w:val="24"/>
          <w:szCs w:val="24"/>
        </w:rPr>
        <w:t>anesthetists</w:t>
      </w:r>
      <w:proofErr w:type="spellEnd"/>
      <w:r>
        <w:rPr>
          <w:rFonts w:ascii="Book Antiqua" w:hAnsi="Book Antiqua" w:cs="Times New Roman"/>
          <w:color w:val="000000" w:themeColor="text1"/>
          <w:sz w:val="24"/>
          <w:szCs w:val="24"/>
        </w:rPr>
        <w:t xml:space="preserve"> assigned the patient to a group according to the number in the envelope. Both </w:t>
      </w:r>
      <w:proofErr w:type="spellStart"/>
      <w:r>
        <w:rPr>
          <w:rFonts w:ascii="Book Antiqua" w:hAnsi="Book Antiqua" w:cs="Times New Roman"/>
          <w:color w:val="000000" w:themeColor="text1"/>
          <w:sz w:val="24"/>
          <w:szCs w:val="24"/>
        </w:rPr>
        <w:t>anesthesiologis</w:t>
      </w:r>
      <w:r>
        <w:rPr>
          <w:rFonts w:ascii="Book Antiqua" w:hAnsi="Book Antiqua" w:cs="Times New Roman"/>
          <w:color w:val="000000" w:themeColor="text1"/>
          <w:sz w:val="24"/>
          <w:szCs w:val="24"/>
        </w:rPr>
        <w:t>ts</w:t>
      </w:r>
      <w:proofErr w:type="spellEnd"/>
      <w:r>
        <w:rPr>
          <w:rFonts w:ascii="Book Antiqua" w:hAnsi="Book Antiqua" w:cs="Times New Roman"/>
          <w:color w:val="000000" w:themeColor="text1"/>
          <w:sz w:val="24"/>
          <w:szCs w:val="24"/>
        </w:rPr>
        <w:t xml:space="preserve"> and patients were blinded to the regimen. The drugs were prepared by </w:t>
      </w:r>
      <w:bookmarkStart w:id="25" w:name="OLE_LINK31"/>
      <w:r>
        <w:rPr>
          <w:rFonts w:ascii="Book Antiqua" w:hAnsi="Book Antiqua" w:cs="Times New Roman"/>
          <w:color w:val="000000" w:themeColor="text1"/>
          <w:sz w:val="24"/>
          <w:szCs w:val="24"/>
        </w:rPr>
        <w:t xml:space="preserve">the assistant </w:t>
      </w:r>
      <w:proofErr w:type="spellStart"/>
      <w:r>
        <w:rPr>
          <w:rFonts w:ascii="Book Antiqua" w:hAnsi="Book Antiqua" w:cs="Times New Roman"/>
          <w:color w:val="000000" w:themeColor="text1"/>
          <w:sz w:val="24"/>
          <w:szCs w:val="24"/>
        </w:rPr>
        <w:t>anesthetists</w:t>
      </w:r>
      <w:bookmarkEnd w:id="25"/>
      <w:proofErr w:type="spellEnd"/>
      <w:r>
        <w:rPr>
          <w:rFonts w:ascii="Book Antiqua" w:hAnsi="Book Antiqua" w:cs="Times New Roman"/>
          <w:color w:val="000000" w:themeColor="text1"/>
          <w:sz w:val="24"/>
          <w:szCs w:val="24"/>
        </w:rPr>
        <w:t xml:space="preserve">, labelled with numbers, and then injected by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was responsible for recording intraoperative and postoperative indexe</w:t>
      </w:r>
      <w:r>
        <w:rPr>
          <w:rFonts w:ascii="Book Antiqua" w:hAnsi="Book Antiqua" w:cs="Times New Roman"/>
          <w:color w:val="000000" w:themeColor="text1"/>
          <w:sz w:val="24"/>
          <w:szCs w:val="24"/>
        </w:rPr>
        <w:t xml:space="preserve">s. In cases of emergency,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was </w:t>
      </w:r>
      <w:bookmarkStart w:id="26" w:name="OLE_LINK32"/>
      <w:r>
        <w:rPr>
          <w:rFonts w:ascii="Book Antiqua" w:hAnsi="Book Antiqua" w:cs="Times New Roman"/>
          <w:color w:val="000000" w:themeColor="text1"/>
          <w:sz w:val="24"/>
          <w:szCs w:val="24"/>
        </w:rPr>
        <w:t>to be notified</w:t>
      </w:r>
      <w:bookmarkEnd w:id="26"/>
      <w:r>
        <w:rPr>
          <w:rFonts w:ascii="Book Antiqua" w:hAnsi="Book Antiqua" w:cs="Times New Roman"/>
          <w:color w:val="000000" w:themeColor="text1"/>
          <w:sz w:val="24"/>
          <w:szCs w:val="24"/>
        </w:rPr>
        <w:t xml:space="preserve"> of the study group to which the patient belonged by the assistant </w:t>
      </w:r>
      <w:proofErr w:type="spellStart"/>
      <w:r>
        <w:rPr>
          <w:rFonts w:ascii="Book Antiqua" w:hAnsi="Book Antiqua" w:cs="Times New Roman"/>
          <w:color w:val="000000" w:themeColor="text1"/>
          <w:sz w:val="24"/>
          <w:szCs w:val="24"/>
        </w:rPr>
        <w:t>anesthetist</w:t>
      </w:r>
      <w:proofErr w:type="spellEnd"/>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Patients with American Society of </w:t>
      </w:r>
      <w:proofErr w:type="spellStart"/>
      <w:r>
        <w:rPr>
          <w:rFonts w:ascii="Book Antiqua" w:hAnsi="Book Antiqua" w:cs="Times New Roman"/>
          <w:color w:val="000000" w:themeColor="text1"/>
          <w:sz w:val="24"/>
          <w:szCs w:val="24"/>
        </w:rPr>
        <w:t>Anesthesiologists</w:t>
      </w:r>
      <w:proofErr w:type="spellEnd"/>
      <w:r>
        <w:rPr>
          <w:rFonts w:ascii="Book Antiqua" w:hAnsi="Book Antiqua" w:cs="Times New Roman"/>
          <w:color w:val="000000" w:themeColor="text1"/>
          <w:sz w:val="24"/>
          <w:szCs w:val="24"/>
        </w:rPr>
        <w:t xml:space="preserve"> class I or II, 18-85 years of age, and undergoing</w:t>
      </w:r>
      <w:bookmarkStart w:id="27" w:name="OLE_LINK2"/>
      <w:r>
        <w:rPr>
          <w:rFonts w:ascii="Book Antiqua" w:hAnsi="Book Antiqua" w:cs="Times New Roman"/>
          <w:color w:val="000000" w:themeColor="text1"/>
          <w:sz w:val="24"/>
          <w:szCs w:val="24"/>
        </w:rPr>
        <w:t xml:space="preserve"> both gastroscopy and colonoscopy</w:t>
      </w:r>
      <w:bookmarkEnd w:id="27"/>
      <w:r>
        <w:rPr>
          <w:rFonts w:ascii="Book Antiqua" w:hAnsi="Book Antiqua" w:cs="Times New Roman"/>
          <w:color w:val="000000" w:themeColor="text1"/>
          <w:sz w:val="24"/>
          <w:szCs w:val="24"/>
        </w:rPr>
        <w:t xml:space="preserve"> were recruited. Written informed consent for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was obtained from each participant before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Individuals &gt;</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85 or &lt;</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18 years of age, and those who were pregnant, had a BMI &gt; 30 kg/m</w:t>
      </w:r>
      <w:r>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experienced active </w:t>
      </w:r>
      <w:r>
        <w:rPr>
          <w:rFonts w:ascii="Book Antiqua" w:hAnsi="Book Antiqua" w:cs="Times New Roman"/>
          <w:color w:val="000000" w:themeColor="text1"/>
          <w:sz w:val="24"/>
          <w:szCs w:val="24"/>
        </w:rPr>
        <w:t xml:space="preserve">gastrointestinal bleeding, had a history of bronchial asthma or chronic obstructive pulmonary disease, upper airway infection in the previous 2 weeks, or had impaired kidney or liver function, drug abuse, sleep </w:t>
      </w:r>
      <w:proofErr w:type="spellStart"/>
      <w:r>
        <w:rPr>
          <w:rFonts w:ascii="Book Antiqua" w:hAnsi="Book Antiqua" w:cs="Times New Roman"/>
          <w:color w:val="000000" w:themeColor="text1"/>
          <w:sz w:val="24"/>
          <w:szCs w:val="24"/>
        </w:rPr>
        <w:t>apnea</w:t>
      </w:r>
      <w:proofErr w:type="spellEnd"/>
      <w:r>
        <w:rPr>
          <w:rFonts w:ascii="Book Antiqua" w:hAnsi="Book Antiqua" w:cs="Times New Roman"/>
          <w:color w:val="000000" w:themeColor="text1"/>
          <w:sz w:val="24"/>
          <w:szCs w:val="24"/>
        </w:rPr>
        <w:t xml:space="preserve">, a known hypersensitivity to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o</w:t>
      </w:r>
      <w:r>
        <w:rPr>
          <w:rFonts w:ascii="Book Antiqua" w:hAnsi="Book Antiqua" w:cs="Times New Roman"/>
          <w:color w:val="000000" w:themeColor="text1"/>
          <w:sz w:val="24"/>
          <w:szCs w:val="24"/>
        </w:rPr>
        <w:t xml:space="preserve">r opioid, or an expected operation duration &gt; 60 min were excluded from the study. Furthermore, participants were excluded after recruitment if the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protocol or endoscopic procedure was changed - even temporarily - for any reason. The structure o</w:t>
      </w:r>
      <w:r>
        <w:rPr>
          <w:rFonts w:ascii="Book Antiqua" w:hAnsi="Book Antiqua" w:cs="Times New Roman"/>
          <w:color w:val="000000" w:themeColor="text1"/>
          <w:sz w:val="24"/>
          <w:szCs w:val="24"/>
        </w:rPr>
        <w:t>f the study is illustrated in Figure 1.</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proofErr w:type="spellStart"/>
      <w:r>
        <w:rPr>
          <w:rFonts w:ascii="Book Antiqua" w:hAnsi="Book Antiqua" w:cs="Times New Roman"/>
          <w:b/>
          <w:i/>
          <w:iCs/>
          <w:color w:val="000000" w:themeColor="text1"/>
          <w:sz w:val="24"/>
          <w:szCs w:val="24"/>
        </w:rPr>
        <w:t>Anesthesia</w:t>
      </w:r>
      <w:proofErr w:type="spellEnd"/>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The sample size was estimated according to the χ</w:t>
      </w:r>
      <w:r>
        <w:rPr>
          <w:rFonts w:ascii="Book Antiqua" w:hAnsi="Book Antiqua" w:cs="Times New Roman"/>
          <w:color w:val="000000" w:themeColor="text1"/>
          <w:sz w:val="24"/>
          <w:szCs w:val="24"/>
          <w:vertAlign w:val="superscript"/>
        </w:rPr>
        <w:t>2</w:t>
      </w:r>
      <w:r>
        <w:rPr>
          <w:rFonts w:ascii="Book Antiqua" w:hAnsi="Book Antiqua" w:cs="Times New Roman"/>
          <w:color w:val="000000" w:themeColor="text1"/>
          <w:sz w:val="24"/>
          <w:szCs w:val="24"/>
        </w:rPr>
        <w:t xml:space="preserve"> test of the incidence of the primary study end points</w:t>
      </w:r>
      <w:r w:rsidR="007519A4">
        <w:rPr>
          <w:rFonts w:ascii="Book Antiqua" w:hAnsi="Book Antiqua" w:cs="Times New Roman"/>
          <w:color w:val="000000" w:themeColor="text1"/>
          <w:sz w:val="24"/>
          <w:szCs w:val="24"/>
        </w:rPr>
        <w:t xml:space="preserve"> and</w:t>
      </w:r>
      <w:r>
        <w:rPr>
          <w:rFonts w:ascii="Book Antiqua" w:hAnsi="Book Antiqua" w:cs="Times New Roman"/>
          <w:color w:val="000000" w:themeColor="text1"/>
          <w:sz w:val="24"/>
          <w:szCs w:val="24"/>
        </w:rPr>
        <w:t xml:space="preserve"> the incidence of hypotension and hypoxemia (30%) during endoscopy. The number of observations allow</w:t>
      </w:r>
      <w:r>
        <w:rPr>
          <w:rFonts w:ascii="Book Antiqua" w:hAnsi="Book Antiqua" w:cs="Times New Roman"/>
          <w:color w:val="000000" w:themeColor="text1"/>
          <w:sz w:val="24"/>
          <w:szCs w:val="24"/>
        </w:rPr>
        <w:t>ed detection of a small to moderate effective size (approximately 20%) with a 5% chance of a type I error and 90% power. The test of power remained at 80% or higher if up to 20% of subjects drop out from the study.</w:t>
      </w:r>
    </w:p>
    <w:p w:rsidR="00A35F10" w:rsidRDefault="00210629">
      <w:pPr>
        <w:spacing w:after="0" w:line="360" w:lineRule="auto"/>
        <w:ind w:firstLineChars="100" w:firstLine="240"/>
        <w:jc w:val="both"/>
        <w:rPr>
          <w:rFonts w:ascii="Book Antiqua" w:hAnsi="Book Antiqua" w:cs="Times New Roman"/>
          <w:color w:val="000000" w:themeColor="text1"/>
          <w:sz w:val="24"/>
          <w:szCs w:val="24"/>
          <w:u w:val="single"/>
        </w:rPr>
      </w:pPr>
      <w:r>
        <w:rPr>
          <w:rFonts w:ascii="Book Antiqua" w:hAnsi="Book Antiqua" w:cs="Times New Roman"/>
          <w:color w:val="000000" w:themeColor="text1"/>
          <w:sz w:val="24"/>
          <w:szCs w:val="24"/>
        </w:rPr>
        <w:t>A total of 516 patients were recruited fo</w:t>
      </w:r>
      <w:r>
        <w:rPr>
          <w:rFonts w:ascii="Book Antiqua" w:hAnsi="Book Antiqua" w:cs="Times New Roman"/>
          <w:color w:val="000000" w:themeColor="text1"/>
          <w:sz w:val="24"/>
          <w:szCs w:val="24"/>
        </w:rPr>
        <w:t xml:space="preserve">r this study (Figure 1). After exclusion, 400 patients were randomly divided into one of four groups for sedation, </w:t>
      </w:r>
      <w:bookmarkStart w:id="28" w:name="OLE_LINK19"/>
      <w:r>
        <w:rPr>
          <w:rFonts w:ascii="Book Antiqua" w:hAnsi="Book Antiqua" w:cs="Times New Roman"/>
          <w:color w:val="000000" w:themeColor="text1"/>
          <w:sz w:val="24"/>
          <w:szCs w:val="24"/>
        </w:rPr>
        <w:t>with 100 subjects in each group</w:t>
      </w:r>
      <w:bookmarkEnd w:id="28"/>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(intravenous 1.0-2.5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+ 0.05 mg/kg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(1.0-2.5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+ 0.</w:t>
      </w:r>
      <w:r>
        <w:rPr>
          <w:rFonts w:ascii="Book Antiqua" w:hAnsi="Book Antiqua" w:cs="Times New Roman"/>
          <w:color w:val="000000" w:themeColor="text1"/>
          <w:sz w:val="24"/>
          <w:szCs w:val="24"/>
        </w:rPr>
        <w:t xml:space="preserve">10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 xml:space="preserve">/kg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fentanyl (1.0-2.5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+ 1.0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 xml:space="preserve">/kg fentanyl); and control (1.0-3.0 mg/kg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+ 2-3 mL </w:t>
      </w:r>
      <w:bookmarkStart w:id="29" w:name="OLE_LINK8"/>
      <w:r>
        <w:rPr>
          <w:rFonts w:ascii="Book Antiqua" w:hAnsi="Book Antiqua" w:cs="Times New Roman"/>
          <w:color w:val="000000" w:themeColor="text1"/>
          <w:sz w:val="24"/>
          <w:szCs w:val="24"/>
        </w:rPr>
        <w:t>saline</w:t>
      </w:r>
      <w:bookmarkEnd w:id="29"/>
      <w:r>
        <w:rPr>
          <w:rFonts w:ascii="Book Antiqua" w:hAnsi="Book Antiqua" w:cs="Times New Roman"/>
          <w:color w:val="000000" w:themeColor="text1"/>
          <w:sz w:val="24"/>
          <w:szCs w:val="24"/>
        </w:rPr>
        <w:t xml:space="preserve">). All drugs, except for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were diluted with saline.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was diluted to 1 mg/mL,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to 2.5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/mL, and fent</w:t>
      </w:r>
      <w:r>
        <w:rPr>
          <w:rFonts w:ascii="Book Antiqua" w:hAnsi="Book Antiqua" w:cs="Times New Roman"/>
          <w:color w:val="000000" w:themeColor="text1"/>
          <w:sz w:val="24"/>
          <w:szCs w:val="24"/>
        </w:rPr>
        <w:t xml:space="preserve">anyl to 20 </w:t>
      </w:r>
      <w:proofErr w:type="spellStart"/>
      <w:r>
        <w:rPr>
          <w:rFonts w:ascii="Book Antiqua" w:hAnsi="Book Antiqua" w:cs="Times New Roman"/>
          <w:color w:val="000000" w:themeColor="text1"/>
          <w:sz w:val="24"/>
          <w:szCs w:val="24"/>
        </w:rPr>
        <w:t>μg</w:t>
      </w:r>
      <w:proofErr w:type="spellEnd"/>
      <w:r>
        <w:rPr>
          <w:rFonts w:ascii="Book Antiqua" w:hAnsi="Book Antiqua" w:cs="Times New Roman"/>
          <w:color w:val="000000" w:themeColor="text1"/>
          <w:sz w:val="24"/>
          <w:szCs w:val="24"/>
        </w:rPr>
        <w:t>/</w:t>
      </w:r>
      <w:proofErr w:type="spellStart"/>
      <w:r>
        <w:rPr>
          <w:rFonts w:ascii="Book Antiqua" w:hAnsi="Book Antiqua" w:cs="Times New Roman"/>
          <w:color w:val="000000" w:themeColor="text1"/>
          <w:sz w:val="24"/>
          <w:szCs w:val="24"/>
        </w:rPr>
        <w:t>mL.</w:t>
      </w:r>
      <w:proofErr w:type="spellEnd"/>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Peripheral venous access was secured using a 22-gauge intravenous needle in the dorsum of the right hand before the patients entered the operating room. A left-side position was taken, oxygen </w:t>
      </w:r>
      <w:r>
        <w:rPr>
          <w:rFonts w:ascii="Book Antiqua" w:hAnsi="Book Antiqua" w:cs="Times New Roman"/>
          <w:i/>
          <w:color w:val="000000" w:themeColor="text1"/>
          <w:sz w:val="24"/>
          <w:szCs w:val="24"/>
        </w:rPr>
        <w:t>via</w:t>
      </w:r>
      <w:r>
        <w:rPr>
          <w:rFonts w:ascii="Book Antiqua" w:hAnsi="Book Antiqua" w:cs="Times New Roman"/>
          <w:color w:val="000000" w:themeColor="text1"/>
          <w:sz w:val="24"/>
          <w:szCs w:val="24"/>
        </w:rPr>
        <w:t xml:space="preserve"> a nasal cannula (3 L/min) was administered, and normal saline was infused at a rate of 10 mL/kg/h in the operating room. The </w:t>
      </w:r>
      <w:proofErr w:type="spellStart"/>
      <w:r>
        <w:rPr>
          <w:rFonts w:ascii="Book Antiqua" w:hAnsi="Book Antiqua" w:cs="Times New Roman"/>
          <w:color w:val="000000" w:themeColor="text1"/>
          <w:sz w:val="24"/>
          <w:szCs w:val="24"/>
        </w:rPr>
        <w:t>bispectral</w:t>
      </w:r>
      <w:proofErr w:type="spellEnd"/>
      <w:r>
        <w:rPr>
          <w:rFonts w:ascii="Book Antiqua" w:hAnsi="Book Antiqua" w:cs="Times New Roman"/>
          <w:color w:val="000000" w:themeColor="text1"/>
          <w:sz w:val="24"/>
          <w:szCs w:val="24"/>
        </w:rPr>
        <w:t xml:space="preserve"> index (BIS), electrocardiogram, non-invasive blood pressure, and pulse oxygen saturation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were continuously monit</w:t>
      </w:r>
      <w:r>
        <w:rPr>
          <w:rFonts w:ascii="Book Antiqua" w:hAnsi="Book Antiqua" w:cs="Times New Roman"/>
          <w:color w:val="000000" w:themeColor="text1"/>
          <w:sz w:val="24"/>
          <w:szCs w:val="24"/>
        </w:rPr>
        <w:t>ored.</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After entering the operating room, the patients were administered one of the three opioids or saline. Ten minutes later, </w:t>
      </w:r>
      <w:bookmarkStart w:id="30" w:name="OLE_LINK14"/>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was administered intravenously for </w:t>
      </w:r>
      <w:bookmarkStart w:id="31" w:name="OLE_LINK23"/>
      <w:r>
        <w:rPr>
          <w:rFonts w:ascii="Book Antiqua" w:hAnsi="Book Antiqua" w:cs="Times New Roman"/>
          <w:color w:val="000000" w:themeColor="text1"/>
          <w:sz w:val="24"/>
          <w:szCs w:val="24"/>
        </w:rPr>
        <w:t xml:space="preserve">induction and maintenance of </w:t>
      </w:r>
      <w:proofErr w:type="spellStart"/>
      <w:r>
        <w:rPr>
          <w:rFonts w:ascii="Book Antiqua" w:hAnsi="Book Antiqua" w:cs="Times New Roman"/>
          <w:color w:val="000000" w:themeColor="text1"/>
          <w:sz w:val="24"/>
          <w:szCs w:val="24"/>
        </w:rPr>
        <w:t>anesthesia</w:t>
      </w:r>
      <w:bookmarkEnd w:id="31"/>
      <w:proofErr w:type="spellEnd"/>
      <w:r>
        <w:rPr>
          <w:rFonts w:ascii="Book Antiqua" w:hAnsi="Book Antiqua" w:cs="Times New Roman"/>
          <w:color w:val="000000" w:themeColor="text1"/>
          <w:sz w:val="24"/>
          <w:szCs w:val="24"/>
        </w:rPr>
        <w:t>.</w:t>
      </w:r>
      <w:bookmarkEnd w:id="30"/>
      <w:r>
        <w:rPr>
          <w:rFonts w:ascii="Book Antiqua" w:hAnsi="Book Antiqua" w:cs="Times New Roman"/>
          <w:color w:val="000000" w:themeColor="text1"/>
          <w:sz w:val="24"/>
          <w:szCs w:val="24"/>
        </w:rPr>
        <w:t xml:space="preserve"> When the eyelash-conditioned reflex disappea</w:t>
      </w:r>
      <w:r>
        <w:rPr>
          <w:rFonts w:ascii="Book Antiqua" w:hAnsi="Book Antiqua" w:cs="Times New Roman"/>
          <w:color w:val="000000" w:themeColor="text1"/>
          <w:sz w:val="24"/>
          <w:szCs w:val="24"/>
        </w:rPr>
        <w:t xml:space="preserve">red, the entire body relaxed, and BIS reached 40-60, gastroscopy was performed. A </w:t>
      </w:r>
      <w:bookmarkStart w:id="32" w:name="OLE_LINK34"/>
      <w:r>
        <w:rPr>
          <w:rFonts w:ascii="Book Antiqua" w:hAnsi="Book Antiqua" w:cs="Times New Roman"/>
          <w:color w:val="000000" w:themeColor="text1"/>
          <w:sz w:val="24"/>
          <w:szCs w:val="24"/>
        </w:rPr>
        <w:t>BIS of 40-60</w:t>
      </w:r>
      <w:bookmarkEnd w:id="32"/>
      <w:r>
        <w:rPr>
          <w:rFonts w:ascii="Book Antiqua" w:hAnsi="Book Antiqua" w:cs="Times New Roman"/>
          <w:color w:val="000000" w:themeColor="text1"/>
          <w:sz w:val="24"/>
          <w:szCs w:val="24"/>
        </w:rPr>
        <w:t xml:space="preserve"> is usually considered to indicate sufficient depth of general anaesthesia. All patients underwent colonoscopy after gastroscopy. During the course of the procedu</w:t>
      </w:r>
      <w:r>
        <w:rPr>
          <w:rFonts w:ascii="Book Antiqua" w:hAnsi="Book Antiqua" w:cs="Times New Roman"/>
          <w:color w:val="000000" w:themeColor="text1"/>
          <w:sz w:val="24"/>
          <w:szCs w:val="24"/>
        </w:rPr>
        <w:t xml:space="preserve">re, no opioids were administered intraoperatively, and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depth (BIS 40-60) was mainly </w:t>
      </w:r>
      <w:bookmarkStart w:id="33" w:name="OLE_LINK26"/>
      <w:r>
        <w:rPr>
          <w:rFonts w:ascii="Book Antiqua" w:hAnsi="Book Antiqua" w:cs="Times New Roman"/>
          <w:color w:val="000000" w:themeColor="text1"/>
          <w:sz w:val="24"/>
          <w:szCs w:val="24"/>
        </w:rPr>
        <w:t>controlled</w:t>
      </w:r>
      <w:bookmarkEnd w:id="33"/>
      <w:r>
        <w:rPr>
          <w:rFonts w:ascii="Book Antiqua" w:hAnsi="Book Antiqua" w:cs="Times New Roman"/>
          <w:color w:val="000000" w:themeColor="text1"/>
          <w:sz w:val="24"/>
          <w:szCs w:val="24"/>
        </w:rPr>
        <w:t xml:space="preserve"> using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During the course of the procedure, </w:t>
      </w:r>
      <w:bookmarkStart w:id="34" w:name="OLE_LINK38"/>
      <w:r>
        <w:rPr>
          <w:rFonts w:ascii="Book Antiqua" w:hAnsi="Book Antiqua" w:cs="Times New Roman"/>
          <w:color w:val="000000" w:themeColor="text1"/>
          <w:sz w:val="24"/>
          <w:szCs w:val="24"/>
        </w:rPr>
        <w:t>vasoactive drugs were used</w:t>
      </w:r>
      <w:bookmarkEnd w:id="34"/>
      <w:r>
        <w:rPr>
          <w:rFonts w:ascii="Book Antiqua" w:hAnsi="Book Antiqua" w:cs="Times New Roman"/>
          <w:color w:val="000000" w:themeColor="text1"/>
          <w:sz w:val="24"/>
          <w:szCs w:val="24"/>
        </w:rPr>
        <w:t xml:space="preserve"> to maintain the variation range of mean arterial pressure (MAP) and hea</w:t>
      </w:r>
      <w:r>
        <w:rPr>
          <w:rFonts w:ascii="Book Antiqua" w:hAnsi="Book Antiqua" w:cs="Times New Roman"/>
          <w:color w:val="000000" w:themeColor="text1"/>
          <w:sz w:val="24"/>
          <w:szCs w:val="24"/>
        </w:rPr>
        <w:t>rt rate (HR) less than 20% of pre-induction values.</w:t>
      </w:r>
    </w:p>
    <w:p w:rsidR="00A35F10" w:rsidRDefault="00210629">
      <w:pPr>
        <w:spacing w:after="0" w:line="360" w:lineRule="auto"/>
        <w:ind w:firstLineChars="100" w:firstLine="240"/>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lastRenderedPageBreak/>
        <w:t xml:space="preserve">Intraoperative indexes included the induction time it took for the patient to lose consciousness (from injection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until the eyelash conditioned reflex disappeared), the induction dosage of </w:t>
      </w:r>
      <w:proofErr w:type="spellStart"/>
      <w:r>
        <w:rPr>
          <w:rFonts w:ascii="Book Antiqua" w:hAnsi="Book Antiqua" w:cs="Times New Roman"/>
          <w:color w:val="000000" w:themeColor="text1"/>
          <w:sz w:val="24"/>
          <w:szCs w:val="24"/>
        </w:rPr>
        <w:t>prop</w:t>
      </w:r>
      <w:r>
        <w:rPr>
          <w:rFonts w:ascii="Book Antiqua" w:hAnsi="Book Antiqua" w:cs="Times New Roman"/>
          <w:color w:val="000000" w:themeColor="text1"/>
          <w:sz w:val="24"/>
          <w:szCs w:val="24"/>
        </w:rPr>
        <w:t>ofol</w:t>
      </w:r>
      <w:proofErr w:type="spellEnd"/>
      <w:r>
        <w:rPr>
          <w:rFonts w:ascii="Book Antiqua" w:hAnsi="Book Antiqua" w:cs="Times New Roman"/>
          <w:color w:val="000000" w:themeColor="text1"/>
          <w:sz w:val="24"/>
          <w:szCs w:val="24"/>
        </w:rPr>
        <w:t xml:space="preserve">, additional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the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the incidence of </w:t>
      </w:r>
      <w:bookmarkStart w:id="35" w:name="OLE_LINK15"/>
      <w:r>
        <w:rPr>
          <w:rFonts w:ascii="Book Antiqua" w:hAnsi="Book Antiqua" w:cs="Times New Roman"/>
          <w:color w:val="000000" w:themeColor="text1"/>
          <w:sz w:val="24"/>
          <w:szCs w:val="24"/>
        </w:rPr>
        <w:t>reflex coughing</w:t>
      </w:r>
      <w:bookmarkEnd w:id="35"/>
      <w:r>
        <w:rPr>
          <w:rFonts w:ascii="Book Antiqua" w:hAnsi="Book Antiqua" w:cs="Times New Roman"/>
          <w:color w:val="000000" w:themeColor="text1"/>
          <w:sz w:val="24"/>
          <w:szCs w:val="24"/>
        </w:rPr>
        <w:t>, body movement, respiratory depression, the use of jaw thrust, the need for vasoactive drugs, duration of the procedure, and Steward score [0-6 points: an u</w:t>
      </w:r>
      <w:r>
        <w:rPr>
          <w:rFonts w:ascii="Book Antiqua" w:hAnsi="Book Antiqua" w:cs="Times New Roman"/>
          <w:color w:val="000000" w:themeColor="text1"/>
          <w:sz w:val="24"/>
          <w:szCs w:val="24"/>
        </w:rPr>
        <w:t>nresponsive immobile patient whose airway requires maintenance (score = 0) to a fully recovered patient (score = 6)]</w:t>
      </w:r>
      <w:r>
        <w:rPr>
          <w:rFonts w:ascii="Book Antiqua" w:hAnsi="Book Antiqua" w:cs="Times New Roman"/>
          <w:color w:val="000000" w:themeColor="text1"/>
          <w:sz w:val="24"/>
          <w:szCs w:val="24"/>
          <w:vertAlign w:val="superscript"/>
        </w:rPr>
        <w:t>[14]</w:t>
      </w:r>
      <w:r>
        <w:rPr>
          <w:rFonts w:ascii="Book Antiqua" w:hAnsi="Book Antiqua" w:cs="Times New Roman"/>
          <w:color w:val="000000" w:themeColor="text1"/>
          <w:sz w:val="24"/>
          <w:szCs w:val="24"/>
        </w:rPr>
        <w:t xml:space="preserve"> when </w:t>
      </w:r>
      <w:bookmarkStart w:id="36" w:name="OLE_LINK10"/>
      <w:r>
        <w:rPr>
          <w:rFonts w:ascii="Book Antiqua" w:hAnsi="Book Antiqua" w:cs="Times New Roman"/>
          <w:color w:val="000000" w:themeColor="text1"/>
          <w:sz w:val="24"/>
          <w:szCs w:val="24"/>
        </w:rPr>
        <w:t>the patient</w:t>
      </w:r>
      <w:bookmarkEnd w:id="36"/>
      <w:r>
        <w:rPr>
          <w:rFonts w:ascii="Book Antiqua" w:hAnsi="Book Antiqua" w:cs="Times New Roman"/>
          <w:color w:val="000000" w:themeColor="text1"/>
          <w:sz w:val="24"/>
          <w:szCs w:val="24"/>
        </w:rPr>
        <w:t xml:space="preserve"> wake up (open eyes as the </w:t>
      </w:r>
      <w:proofErr w:type="spellStart"/>
      <w:r>
        <w:rPr>
          <w:rFonts w:ascii="Book Antiqua" w:hAnsi="Book Antiqua" w:cs="Times New Roman"/>
          <w:color w:val="000000" w:themeColor="text1"/>
          <w:sz w:val="24"/>
          <w:szCs w:val="24"/>
        </w:rPr>
        <w:t>anesthesiologist</w:t>
      </w:r>
      <w:proofErr w:type="spellEnd"/>
      <w:r>
        <w:rPr>
          <w:rFonts w:ascii="Book Antiqua" w:hAnsi="Book Antiqua" w:cs="Times New Roman"/>
          <w:color w:val="000000" w:themeColor="text1"/>
          <w:sz w:val="24"/>
          <w:szCs w:val="24"/>
        </w:rPr>
        <w:t xml:space="preserve"> called the patient’s name or lightly tapped the patient on the shoulder). T</w:t>
      </w:r>
      <w:r>
        <w:rPr>
          <w:rFonts w:ascii="Book Antiqua" w:hAnsi="Book Antiqua" w:cs="Times New Roman"/>
          <w:color w:val="000000" w:themeColor="text1"/>
          <w:sz w:val="24"/>
          <w:szCs w:val="24"/>
        </w:rPr>
        <w:t xml:space="preserve">he postoperative indexes included </w:t>
      </w:r>
      <w:bookmarkStart w:id="37" w:name="OLE_LINK25"/>
      <w:r>
        <w:rPr>
          <w:rFonts w:ascii="Book Antiqua" w:hAnsi="Book Antiqua" w:cs="Times New Roman"/>
          <w:color w:val="000000" w:themeColor="text1"/>
          <w:sz w:val="24"/>
          <w:szCs w:val="24"/>
        </w:rPr>
        <w:t>awakening time</w:t>
      </w:r>
      <w:bookmarkEnd w:id="37"/>
      <w:r>
        <w:rPr>
          <w:rFonts w:ascii="Book Antiqua" w:hAnsi="Book Antiqua" w:cs="Times New Roman"/>
          <w:color w:val="000000" w:themeColor="text1"/>
          <w:sz w:val="24"/>
          <w:szCs w:val="24"/>
        </w:rPr>
        <w:t xml:space="preserve"> from pulling out the </w:t>
      </w:r>
      <w:proofErr w:type="spellStart"/>
      <w:r>
        <w:rPr>
          <w:rFonts w:ascii="Book Antiqua" w:hAnsi="Book Antiqua" w:cs="Times New Roman"/>
          <w:color w:val="000000" w:themeColor="text1"/>
          <w:sz w:val="24"/>
          <w:szCs w:val="24"/>
        </w:rPr>
        <w:t>colonoscope</w:t>
      </w:r>
      <w:proofErr w:type="spellEnd"/>
      <w:r>
        <w:rPr>
          <w:rFonts w:ascii="Book Antiqua" w:hAnsi="Book Antiqua" w:cs="Times New Roman"/>
          <w:color w:val="000000" w:themeColor="text1"/>
          <w:sz w:val="24"/>
          <w:szCs w:val="24"/>
        </w:rPr>
        <w:t xml:space="preserve"> to waking up of the patient, the patient’s postoperative pain score [0-10 points, no pain (score = 0) to unbearable pain (score = 10)] at 30 min in the observation room, and </w:t>
      </w:r>
      <w:r>
        <w:rPr>
          <w:rFonts w:ascii="Book Antiqua" w:hAnsi="Book Antiqua" w:cs="Times New Roman"/>
          <w:color w:val="000000" w:themeColor="text1"/>
          <w:sz w:val="24"/>
          <w:szCs w:val="24"/>
        </w:rPr>
        <w:t xml:space="preserve">the incidence of nausea and vomiting within a 24-h period. BIS, MAP, HR, </w:t>
      </w:r>
      <w:bookmarkStart w:id="38" w:name="_Hlk6809879"/>
      <w:r>
        <w:rPr>
          <w:rFonts w:ascii="Book Antiqua" w:hAnsi="Book Antiqua" w:cs="Times New Roman"/>
          <w:color w:val="000000" w:themeColor="text1"/>
          <w:sz w:val="24"/>
          <w:szCs w:val="24"/>
        </w:rPr>
        <w:t>SpO</w:t>
      </w:r>
      <w:r>
        <w:rPr>
          <w:rFonts w:ascii="Book Antiqua" w:hAnsi="Book Antiqua" w:cs="Times New Roman"/>
          <w:color w:val="000000" w:themeColor="text1"/>
          <w:sz w:val="24"/>
          <w:szCs w:val="24"/>
          <w:vertAlign w:val="subscript"/>
        </w:rPr>
        <w:t>2</w:t>
      </w:r>
      <w:bookmarkEnd w:id="38"/>
      <w:r>
        <w:rPr>
          <w:rFonts w:ascii="Book Antiqua" w:hAnsi="Book Antiqua" w:cs="Times New Roman"/>
          <w:color w:val="000000" w:themeColor="text1"/>
          <w:sz w:val="24"/>
          <w:szCs w:val="24"/>
        </w:rPr>
        <w:t>, and respiratory rate (RR) were recorded at time points T1 (before dosing), T2 (disappearance of eyelash reflex), and T3 (</w:t>
      </w:r>
      <w:bookmarkStart w:id="39" w:name="OLE_LINK7"/>
      <w:r>
        <w:rPr>
          <w:rFonts w:ascii="Book Antiqua" w:hAnsi="Book Antiqua" w:cs="Times New Roman"/>
          <w:color w:val="000000" w:themeColor="text1"/>
          <w:sz w:val="24"/>
          <w:szCs w:val="24"/>
        </w:rPr>
        <w:t>patient waking up</w:t>
      </w:r>
      <w:bookmarkEnd w:id="39"/>
      <w:r>
        <w:rPr>
          <w:rFonts w:ascii="Book Antiqua" w:hAnsi="Book Antiqua" w:cs="Times New Roman"/>
          <w:color w:val="000000" w:themeColor="text1"/>
          <w:sz w:val="24"/>
          <w:szCs w:val="24"/>
        </w:rPr>
        <w:t>).</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iCs/>
          <w:color w:val="000000" w:themeColor="text1"/>
          <w:sz w:val="24"/>
          <w:szCs w:val="24"/>
        </w:rPr>
        <w:t>Statistical analysis</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Data were </w:t>
      </w:r>
      <w:proofErr w:type="spellStart"/>
      <w:r>
        <w:rPr>
          <w:rFonts w:ascii="Book Antiqua" w:hAnsi="Book Antiqua" w:cs="Times New Roman"/>
          <w:color w:val="000000" w:themeColor="text1"/>
          <w:sz w:val="24"/>
          <w:szCs w:val="24"/>
        </w:rPr>
        <w:t>analyzed</w:t>
      </w:r>
      <w:proofErr w:type="spellEnd"/>
      <w:r>
        <w:rPr>
          <w:rFonts w:ascii="Book Antiqua" w:hAnsi="Book Antiqua" w:cs="Times New Roman"/>
          <w:color w:val="000000" w:themeColor="text1"/>
          <w:sz w:val="24"/>
          <w:szCs w:val="24"/>
        </w:rPr>
        <w:t xml:space="preserve"> using SPSS version 22.0 (IBM Corporation, Armonk, NY, United States) for Windows (Microsoft Corporation, Redmond, WA, United States), and are expressed as the mean ± </w:t>
      </w:r>
      <w:r>
        <w:rPr>
          <w:rFonts w:ascii="Book Antiqua" w:hAnsi="Book Antiqua" w:cs="Times New Roman" w:hint="eastAsia"/>
          <w:color w:val="000000" w:themeColor="text1"/>
          <w:sz w:val="24"/>
          <w:szCs w:val="24"/>
          <w:lang w:eastAsia="zh-CN"/>
        </w:rPr>
        <w:t>SD</w:t>
      </w:r>
      <w:r>
        <w:rPr>
          <w:rFonts w:ascii="Book Antiqua" w:hAnsi="Book Antiqua" w:cs="Times New Roman"/>
          <w:color w:val="000000" w:themeColor="text1"/>
          <w:sz w:val="24"/>
          <w:szCs w:val="24"/>
        </w:rPr>
        <w:t xml:space="preserve">, or number and percentage. Group comparisons regarding age, weight, </w:t>
      </w:r>
      <w:r>
        <w:rPr>
          <w:rFonts w:ascii="Book Antiqua" w:hAnsi="Book Antiqua" w:cs="Times New Roman"/>
          <w:color w:val="000000" w:themeColor="text1"/>
          <w:sz w:val="24"/>
          <w:szCs w:val="24"/>
        </w:rPr>
        <w:t xml:space="preserve">height, operation duration, </w:t>
      </w:r>
      <w:bookmarkStart w:id="40" w:name="OLE_LINK42"/>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w:t>
      </w:r>
      <w:bookmarkEnd w:id="40"/>
      <w:r>
        <w:rPr>
          <w:rFonts w:ascii="Book Antiqua" w:hAnsi="Book Antiqua" w:cs="Times New Roman"/>
          <w:color w:val="000000" w:themeColor="text1"/>
          <w:sz w:val="24"/>
          <w:szCs w:val="24"/>
        </w:rPr>
        <w:t>, and awakening time were performed using one-way analysis of variance (ANOVA). Values of MAP, HR, and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xml:space="preserve"> were compared using repeated-measures ANOVA. Categorical data were compared using the chi-squared test or</w:t>
      </w:r>
      <w:r>
        <w:rPr>
          <w:rFonts w:ascii="Book Antiqua" w:hAnsi="Book Antiqua" w:cs="Times New Roman"/>
          <w:color w:val="000000" w:themeColor="text1"/>
          <w:sz w:val="24"/>
          <w:szCs w:val="24"/>
        </w:rPr>
        <w:t xml:space="preserve"> Fisher’s exact test. Correlation analysis was conducted on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 and some additional clinical benefits. </w:t>
      </w:r>
      <w:r>
        <w:rPr>
          <w:rFonts w:ascii="Book Antiqua" w:hAnsi="Book Antiqua" w:cs="Times New Roman"/>
          <w:i/>
          <w:color w:val="000000" w:themeColor="text1"/>
          <w:sz w:val="24"/>
          <w:szCs w:val="24"/>
        </w:rPr>
        <w:t>P</w:t>
      </w:r>
      <w:r>
        <w:rPr>
          <w:rFonts w:ascii="Book Antiqua" w:hAnsi="Book Antiqua" w:cs="Times New Roman"/>
          <w:color w:val="000000" w:themeColor="text1"/>
          <w:sz w:val="24"/>
          <w:szCs w:val="24"/>
        </w:rPr>
        <w:t xml:space="preserve"> &lt; 0.05 was considered to be statistically significant.</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RESULTS</w:t>
      </w:r>
    </w:p>
    <w:p w:rsidR="00A35F10" w:rsidRDefault="00210629">
      <w:pPr>
        <w:spacing w:after="0" w:line="360" w:lineRule="auto"/>
        <w:jc w:val="both"/>
        <w:rPr>
          <w:rFonts w:ascii="Book Antiqua" w:hAnsi="Book Antiqua" w:cs="Times New Roman"/>
          <w:bCs/>
          <w:color w:val="000000" w:themeColor="text1"/>
          <w:sz w:val="24"/>
          <w:szCs w:val="24"/>
          <w:lang w:eastAsia="zh-CN"/>
        </w:rPr>
      </w:pPr>
      <w:r>
        <w:rPr>
          <w:rFonts w:ascii="Book Antiqua" w:hAnsi="Book Antiqua" w:cs="Times New Roman"/>
          <w:bCs/>
          <w:color w:val="000000" w:themeColor="text1"/>
          <w:sz w:val="24"/>
          <w:szCs w:val="24"/>
        </w:rPr>
        <w:t xml:space="preserve">A total of 516 patients scheduled to undergo </w:t>
      </w:r>
      <w:r>
        <w:rPr>
          <w:rFonts w:ascii="Book Antiqua" w:hAnsi="Book Antiqua" w:cs="Times New Roman"/>
          <w:color w:val="000000" w:themeColor="text1"/>
          <w:sz w:val="24"/>
          <w:szCs w:val="24"/>
        </w:rPr>
        <w:t>selective painless gastroscopy</w:t>
      </w:r>
      <w:r>
        <w:rPr>
          <w:rFonts w:ascii="Book Antiqua" w:hAnsi="Book Antiqua" w:cs="Times New Roman"/>
          <w:color w:val="000000" w:themeColor="text1"/>
          <w:sz w:val="24"/>
          <w:szCs w:val="24"/>
        </w:rPr>
        <w:t xml:space="preserve"> and colonoscopy</w:t>
      </w:r>
      <w:r>
        <w:rPr>
          <w:rFonts w:ascii="Book Antiqua" w:hAnsi="Book Antiqua" w:cs="Times New Roman"/>
          <w:bCs/>
          <w:color w:val="000000" w:themeColor="text1"/>
          <w:sz w:val="24"/>
          <w:szCs w:val="24"/>
        </w:rPr>
        <w:t xml:space="preserve"> were initially assessed for eligibility between August 13, 2018 and March </w:t>
      </w:r>
      <w:r>
        <w:rPr>
          <w:rFonts w:ascii="Book Antiqua" w:hAnsi="Book Antiqua" w:cs="Times New Roman"/>
          <w:bCs/>
          <w:color w:val="000000" w:themeColor="text1"/>
          <w:sz w:val="24"/>
          <w:szCs w:val="24"/>
        </w:rPr>
        <w:lastRenderedPageBreak/>
        <w:t>30, 2019. Of these, 116 patients were excluded for the following reasons: &gt;85 years of age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26); &lt;18 years of age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8); body weight &gt; 30% of ideal body weight</w:t>
      </w:r>
      <w:r>
        <w:rPr>
          <w:rFonts w:ascii="Book Antiqua" w:hAnsi="Book Antiqua" w:cs="Times New Roman"/>
          <w:bCs/>
          <w:color w:val="000000" w:themeColor="text1"/>
          <w:sz w:val="24"/>
          <w:szCs w:val="24"/>
        </w:rPr>
        <w:t xml:space="preserve">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12); tachycardia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19</w:t>
      </w:r>
      <w:bookmarkStart w:id="41" w:name="OLE_LINK3"/>
      <w:r>
        <w:rPr>
          <w:rFonts w:ascii="Book Antiqua" w:hAnsi="Book Antiqua" w:cs="Times New Roman"/>
          <w:bCs/>
          <w:color w:val="000000" w:themeColor="text1"/>
          <w:sz w:val="24"/>
          <w:szCs w:val="24"/>
        </w:rPr>
        <w:t xml:space="preserve">); </w:t>
      </w:r>
      <w:bookmarkEnd w:id="41"/>
      <w:r>
        <w:rPr>
          <w:rFonts w:ascii="Book Antiqua" w:hAnsi="Book Antiqua" w:cs="Times New Roman"/>
          <w:bCs/>
          <w:color w:val="000000" w:themeColor="text1"/>
          <w:sz w:val="24"/>
          <w:szCs w:val="24"/>
        </w:rPr>
        <w:t>bradycardia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25); and upper airway infection in the previous 2 </w:t>
      </w:r>
      <w:proofErr w:type="spellStart"/>
      <w:r>
        <w:rPr>
          <w:rFonts w:ascii="Book Antiqua" w:hAnsi="Book Antiqua" w:cs="Times New Roman"/>
          <w:bCs/>
          <w:color w:val="000000" w:themeColor="text1"/>
          <w:sz w:val="24"/>
          <w:szCs w:val="24"/>
        </w:rPr>
        <w:t>wk</w:t>
      </w:r>
      <w:proofErr w:type="spellEnd"/>
      <w:r>
        <w:rPr>
          <w:rFonts w:ascii="Book Antiqua" w:hAnsi="Book Antiqua" w:cs="Times New Roman"/>
          <w:bCs/>
          <w:color w:val="000000" w:themeColor="text1"/>
          <w:sz w:val="24"/>
          <w:szCs w:val="24"/>
        </w:rPr>
        <w:t xml:space="preserve">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26). No severe adverse event leading to study withdrawal was observed. Ultimately, a total of 400 patients (</w:t>
      </w:r>
      <w:r>
        <w:rPr>
          <w:rFonts w:ascii="Book Antiqua" w:hAnsi="Book Antiqua" w:cs="Times New Roman"/>
          <w:bCs/>
          <w:i/>
          <w:iCs/>
          <w:color w:val="000000" w:themeColor="text1"/>
          <w:sz w:val="24"/>
          <w:szCs w:val="24"/>
        </w:rPr>
        <w:t>n</w:t>
      </w:r>
      <w:r>
        <w:rPr>
          <w:rFonts w:ascii="Book Antiqua" w:hAnsi="Book Antiqua" w:cs="Times New Roman"/>
          <w:bCs/>
          <w:color w:val="000000" w:themeColor="text1"/>
          <w:sz w:val="24"/>
          <w:szCs w:val="24"/>
        </w:rPr>
        <w:t xml:space="preserve"> = 100 in each group) were enrolled in </w:t>
      </w:r>
      <w:r>
        <w:rPr>
          <w:rFonts w:ascii="Book Antiqua" w:hAnsi="Book Antiqua" w:cs="Times New Roman"/>
          <w:bCs/>
          <w:color w:val="000000" w:themeColor="text1"/>
          <w:sz w:val="24"/>
          <w:szCs w:val="24"/>
        </w:rPr>
        <w:t>this study (Figure 1).</w:t>
      </w:r>
    </w:p>
    <w:p w:rsidR="00A35F10" w:rsidRDefault="00A35F10">
      <w:pPr>
        <w:spacing w:after="0" w:line="360" w:lineRule="auto"/>
        <w:jc w:val="both"/>
        <w:rPr>
          <w:rFonts w:ascii="Book Antiqua" w:hAnsi="Book Antiqua" w:cs="Times New Roman"/>
          <w:bCs/>
          <w:color w:val="000000" w:themeColor="text1"/>
          <w:sz w:val="24"/>
          <w:szCs w:val="24"/>
          <w:lang w:eastAsia="zh-CN"/>
        </w:rPr>
      </w:pPr>
    </w:p>
    <w:p w:rsidR="00A35F10" w:rsidRDefault="00210629">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i/>
          <w:iCs/>
          <w:color w:val="000000" w:themeColor="text1"/>
          <w:sz w:val="24"/>
          <w:szCs w:val="24"/>
        </w:rPr>
        <w:t>Demographic information</w:t>
      </w:r>
    </w:p>
    <w:p w:rsidR="00A35F10" w:rsidRDefault="00210629">
      <w:pPr>
        <w:spacing w:after="0" w:line="360" w:lineRule="auto"/>
        <w:jc w:val="both"/>
        <w:rPr>
          <w:rFonts w:ascii="Book Antiqua" w:hAnsi="Book Antiqua" w:cs="Times New Roman"/>
          <w:bCs/>
          <w:color w:val="000000" w:themeColor="text1"/>
          <w:sz w:val="24"/>
          <w:szCs w:val="24"/>
          <w:lang w:eastAsia="zh-CN"/>
        </w:rPr>
      </w:pPr>
      <w:r>
        <w:rPr>
          <w:rFonts w:ascii="Book Antiqua" w:hAnsi="Book Antiqua" w:cs="Times New Roman"/>
          <w:bCs/>
          <w:color w:val="000000" w:themeColor="text1"/>
          <w:sz w:val="24"/>
          <w:szCs w:val="24"/>
        </w:rPr>
        <w:t xml:space="preserve">Demographic information, including sex, age, weight, height, and operation duration, </w:t>
      </w:r>
      <w:bookmarkStart w:id="42" w:name="OLE_LINK33"/>
      <w:r>
        <w:rPr>
          <w:rFonts w:ascii="Book Antiqua" w:hAnsi="Book Antiqua" w:cs="Times New Roman"/>
          <w:bCs/>
          <w:color w:val="000000" w:themeColor="text1"/>
          <w:sz w:val="24"/>
          <w:szCs w:val="24"/>
        </w:rPr>
        <w:t>were similar among the groups (</w:t>
      </w:r>
      <w:r>
        <w:rPr>
          <w:rFonts w:ascii="Book Antiqua" w:hAnsi="Book Antiqua" w:cs="Times New Roman"/>
          <w:bCs/>
          <w:i/>
          <w:iCs/>
          <w:color w:val="000000" w:themeColor="text1"/>
          <w:sz w:val="24"/>
          <w:szCs w:val="24"/>
        </w:rPr>
        <w:t xml:space="preserve">P </w:t>
      </w:r>
      <w:r>
        <w:rPr>
          <w:rFonts w:ascii="Book Antiqua" w:hAnsi="Book Antiqua" w:cs="Times New Roman"/>
          <w:bCs/>
          <w:color w:val="000000" w:themeColor="text1"/>
          <w:sz w:val="24"/>
          <w:szCs w:val="24"/>
        </w:rPr>
        <w:t>&gt; 0.05)</w:t>
      </w:r>
      <w:bookmarkEnd w:id="42"/>
      <w:r>
        <w:rPr>
          <w:rFonts w:ascii="Book Antiqua" w:hAnsi="Book Antiqua" w:cs="Times New Roman"/>
          <w:bCs/>
          <w:color w:val="000000" w:themeColor="text1"/>
          <w:sz w:val="24"/>
          <w:szCs w:val="24"/>
        </w:rPr>
        <w:t xml:space="preserve"> (Table 1). The size, shape, location, and number of polyps were similar among the groups (</w:t>
      </w:r>
      <w:r>
        <w:rPr>
          <w:rFonts w:ascii="Book Antiqua" w:hAnsi="Book Antiqua" w:cs="Times New Roman"/>
          <w:bCs/>
          <w:i/>
          <w:iCs/>
          <w:color w:val="000000" w:themeColor="text1"/>
          <w:sz w:val="24"/>
          <w:szCs w:val="24"/>
        </w:rPr>
        <w:t xml:space="preserve">P </w:t>
      </w:r>
      <w:r>
        <w:rPr>
          <w:rFonts w:ascii="Book Antiqua" w:hAnsi="Book Antiqua" w:cs="Times New Roman"/>
          <w:bCs/>
          <w:color w:val="000000" w:themeColor="text1"/>
          <w:sz w:val="24"/>
          <w:szCs w:val="24"/>
        </w:rPr>
        <w:t xml:space="preserve">&gt; 0.05). The </w:t>
      </w:r>
      <w:proofErr w:type="spellStart"/>
      <w:r>
        <w:rPr>
          <w:rFonts w:ascii="Book Antiqua" w:hAnsi="Book Antiqua" w:cs="Times New Roman"/>
          <w:bCs/>
          <w:color w:val="000000" w:themeColor="text1"/>
          <w:sz w:val="24"/>
          <w:szCs w:val="24"/>
        </w:rPr>
        <w:t>endoscopists</w:t>
      </w:r>
      <w:proofErr w:type="spellEnd"/>
      <w:r>
        <w:rPr>
          <w:rFonts w:ascii="Book Antiqua" w:hAnsi="Book Antiqua" w:cs="Times New Roman"/>
          <w:bCs/>
          <w:color w:val="000000" w:themeColor="text1"/>
          <w:sz w:val="24"/>
          <w:szCs w:val="24"/>
        </w:rPr>
        <w:t xml:space="preserve"> were equally skilled and were similar among the groups (</w:t>
      </w:r>
      <w:r>
        <w:rPr>
          <w:rFonts w:ascii="Book Antiqua" w:hAnsi="Book Antiqua" w:cs="Times New Roman"/>
          <w:bCs/>
          <w:i/>
          <w:iCs/>
          <w:color w:val="000000" w:themeColor="text1"/>
          <w:sz w:val="24"/>
          <w:szCs w:val="24"/>
        </w:rPr>
        <w:t xml:space="preserve">P </w:t>
      </w:r>
      <w:r>
        <w:rPr>
          <w:rFonts w:ascii="Book Antiqua" w:hAnsi="Book Antiqua" w:cs="Times New Roman"/>
          <w:bCs/>
          <w:color w:val="000000" w:themeColor="text1"/>
          <w:sz w:val="24"/>
          <w:szCs w:val="24"/>
        </w:rPr>
        <w:t>&gt; 0.05).</w:t>
      </w:r>
    </w:p>
    <w:p w:rsidR="00A35F10" w:rsidRDefault="00A35F10">
      <w:pPr>
        <w:spacing w:after="0" w:line="360" w:lineRule="auto"/>
        <w:jc w:val="both"/>
        <w:rPr>
          <w:rFonts w:ascii="Book Antiqua" w:hAnsi="Book Antiqua" w:cs="Times New Roman"/>
          <w:bCs/>
          <w:color w:val="000000" w:themeColor="text1"/>
          <w:sz w:val="24"/>
          <w:szCs w:val="24"/>
          <w:lang w:eastAsia="zh-CN"/>
        </w:rPr>
      </w:pPr>
    </w:p>
    <w:p w:rsidR="00A35F10" w:rsidRDefault="00210629">
      <w:pPr>
        <w:spacing w:after="0" w:line="360" w:lineRule="auto"/>
        <w:jc w:val="both"/>
        <w:rPr>
          <w:rFonts w:ascii="Book Antiqua" w:hAnsi="Book Antiqua" w:cs="Times New Roman"/>
          <w:b/>
          <w:bCs/>
          <w:color w:val="000000" w:themeColor="text1"/>
          <w:sz w:val="24"/>
          <w:szCs w:val="24"/>
        </w:rPr>
      </w:pPr>
      <w:proofErr w:type="spellStart"/>
      <w:r>
        <w:rPr>
          <w:rFonts w:ascii="Book Antiqua" w:hAnsi="Book Antiqua" w:cs="Times New Roman"/>
          <w:b/>
          <w:i/>
          <w:iCs/>
          <w:color w:val="000000" w:themeColor="text1"/>
          <w:sz w:val="24"/>
          <w:szCs w:val="24"/>
        </w:rPr>
        <w:t>Propofol</w:t>
      </w:r>
      <w:proofErr w:type="spellEnd"/>
      <w:r>
        <w:rPr>
          <w:rFonts w:ascii="Book Antiqua" w:hAnsi="Book Antiqua" w:cs="Times New Roman"/>
          <w:b/>
          <w:i/>
          <w:iCs/>
          <w:color w:val="000000" w:themeColor="text1"/>
          <w:sz w:val="24"/>
          <w:szCs w:val="24"/>
        </w:rPr>
        <w:t xml:space="preserve"> dosage, awakening time, Steward </w:t>
      </w:r>
      <w:proofErr w:type="gramStart"/>
      <w:r>
        <w:rPr>
          <w:rFonts w:ascii="Book Antiqua" w:hAnsi="Book Antiqua" w:cs="Times New Roman"/>
          <w:b/>
          <w:i/>
          <w:iCs/>
          <w:color w:val="000000" w:themeColor="text1"/>
          <w:sz w:val="24"/>
          <w:szCs w:val="24"/>
        </w:rPr>
        <w:t>score</w:t>
      </w:r>
      <w:proofErr w:type="gramEnd"/>
      <w:r>
        <w:rPr>
          <w:rFonts w:ascii="Book Antiqua" w:hAnsi="Book Antiqua" w:cs="Times New Roman"/>
          <w:b/>
          <w:i/>
          <w:iCs/>
          <w:color w:val="000000" w:themeColor="text1"/>
          <w:sz w:val="24"/>
          <w:szCs w:val="24"/>
        </w:rPr>
        <w:t>, and postoperative pai</w:t>
      </w:r>
      <w:r>
        <w:rPr>
          <w:rFonts w:ascii="Book Antiqua" w:hAnsi="Book Antiqua" w:cs="Times New Roman"/>
          <w:b/>
          <w:i/>
          <w:iCs/>
          <w:color w:val="000000" w:themeColor="text1"/>
          <w:sz w:val="24"/>
          <w:szCs w:val="24"/>
        </w:rPr>
        <w:t>n score</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As shown in Table 2</w:t>
      </w:r>
      <w:r w:rsidR="007519A4">
        <w:rPr>
          <w:rFonts w:ascii="Book Antiqua" w:hAnsi="Book Antiqua" w:cs="Times New Roman"/>
          <w:color w:val="000000" w:themeColor="text1"/>
          <w:sz w:val="24"/>
          <w:szCs w:val="24"/>
        </w:rPr>
        <w:t xml:space="preserve"> and</w:t>
      </w:r>
      <w:r>
        <w:rPr>
          <w:rFonts w:ascii="Book Antiqua" w:hAnsi="Book Antiqua" w:cs="Times New Roman"/>
          <w:color w:val="000000" w:themeColor="text1"/>
          <w:sz w:val="24"/>
          <w:szCs w:val="24"/>
        </w:rPr>
        <w:t xml:space="preserve"> Figure</w:t>
      </w:r>
      <w:r w:rsidR="007519A4">
        <w:rPr>
          <w:rFonts w:ascii="Book Antiqua" w:hAnsi="Book Antiqua" w:cs="Times New Roman"/>
          <w:color w:val="000000" w:themeColor="text1"/>
          <w:sz w:val="24"/>
          <w:szCs w:val="24"/>
        </w:rPr>
        <w:t>s</w:t>
      </w:r>
      <w:r>
        <w:rPr>
          <w:rFonts w:ascii="Book Antiqua" w:hAnsi="Book Antiqua" w:cs="Times New Roman"/>
          <w:color w:val="000000" w:themeColor="text1"/>
          <w:sz w:val="24"/>
          <w:szCs w:val="24"/>
        </w:rPr>
        <w:t xml:space="preserve"> 2</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and</w:t>
      </w:r>
      <w:r w:rsidR="007519A4">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 xml:space="preserve">3, the induction dosages, </w:t>
      </w:r>
      <w:bookmarkStart w:id="43" w:name="_GoBack"/>
      <w:bookmarkEnd w:id="43"/>
      <w:r>
        <w:rPr>
          <w:rFonts w:ascii="Book Antiqua" w:hAnsi="Book Antiqua" w:cs="Times New Roman"/>
          <w:color w:val="000000" w:themeColor="text1"/>
          <w:sz w:val="24"/>
          <w:szCs w:val="24"/>
        </w:rPr>
        <w:t xml:space="preserve">additional dosages, and total dosages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and fentanyl groups were </w:t>
      </w:r>
      <w:bookmarkStart w:id="44" w:name="OLE_LINK5"/>
      <w:r>
        <w:rPr>
          <w:rFonts w:ascii="Book Antiqua" w:hAnsi="Book Antiqua" w:cs="Times New Roman"/>
          <w:color w:val="000000" w:themeColor="text1"/>
          <w:sz w:val="24"/>
          <w:szCs w:val="24"/>
        </w:rPr>
        <w:t>significantly</w:t>
      </w:r>
      <w:bookmarkEnd w:id="44"/>
      <w:r>
        <w:rPr>
          <w:rFonts w:ascii="Book Antiqua" w:hAnsi="Book Antiqua" w:cs="Times New Roman"/>
          <w:color w:val="000000" w:themeColor="text1"/>
          <w:sz w:val="24"/>
          <w:szCs w:val="24"/>
        </w:rPr>
        <w:t xml:space="preserve"> lower than </w:t>
      </w:r>
      <w:bookmarkStart w:id="45" w:name="OLE_LINK4"/>
      <w:r>
        <w:rPr>
          <w:rFonts w:ascii="Book Antiqua" w:hAnsi="Book Antiqua" w:cs="Times New Roman"/>
          <w:color w:val="000000" w:themeColor="text1"/>
          <w:sz w:val="24"/>
          <w:szCs w:val="24"/>
        </w:rPr>
        <w:t>those in the control</w:t>
      </w:r>
      <w:bookmarkEnd w:id="45"/>
      <w:r>
        <w:rPr>
          <w:rFonts w:ascii="Book Antiqua" w:hAnsi="Book Antiqua" w:cs="Times New Roman"/>
          <w:color w:val="000000" w:themeColor="text1"/>
          <w:sz w:val="24"/>
          <w:szCs w:val="24"/>
        </w:rPr>
        <w:t xml:space="preserve"> group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The </w:t>
      </w:r>
      <w:r>
        <w:rPr>
          <w:rFonts w:ascii="Book Antiqua" w:hAnsi="Book Antiqua" w:cs="Times New Roman"/>
          <w:color w:val="000000" w:themeColor="text1"/>
          <w:sz w:val="24"/>
          <w:szCs w:val="24"/>
        </w:rPr>
        <w:t xml:space="preserve">additional dosage and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were significantly lower than those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and fentanyl groups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The awakening time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groups was significantly shorter compared with the </w:t>
      </w:r>
      <w:r>
        <w:rPr>
          <w:rFonts w:ascii="Book Antiqua" w:hAnsi="Book Antiqua" w:cs="Times New Roman"/>
          <w:color w:val="000000" w:themeColor="text1"/>
          <w:sz w:val="24"/>
          <w:szCs w:val="24"/>
        </w:rPr>
        <w:t>control group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and the awakening time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was significantly shorter than that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&lt; 0.01). Steward scores after eye opening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groups were significantly higher compared with th</w:t>
      </w:r>
      <w:r>
        <w:rPr>
          <w:rFonts w:ascii="Book Antiqua" w:hAnsi="Book Antiqua" w:cs="Times New Roman"/>
          <w:color w:val="000000" w:themeColor="text1"/>
          <w:sz w:val="24"/>
          <w:szCs w:val="24"/>
        </w:rPr>
        <w:t>e control group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and Steward score after eye opening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was significantly higher than that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Postoperative pain scores in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group were significantly lower than those in other groups</w:t>
      </w:r>
      <w:r>
        <w:rPr>
          <w:rFonts w:ascii="Book Antiqua" w:hAnsi="Book Antiqua" w:cs="Times New Roman"/>
          <w:color w:val="000000" w:themeColor="text1"/>
          <w:sz w:val="24"/>
          <w:szCs w:val="24"/>
        </w:rPr>
        <w:t xml:space="preserve">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Postoperative pain scores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and fentanyl groups were significantly lower than those in the control group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However, there were no statistical differences in awakening time or Steward </w:t>
      </w:r>
      <w:proofErr w:type="gramStart"/>
      <w:r>
        <w:rPr>
          <w:rFonts w:ascii="Book Antiqua" w:hAnsi="Book Antiqua" w:cs="Times New Roman"/>
          <w:color w:val="000000" w:themeColor="text1"/>
          <w:sz w:val="24"/>
          <w:szCs w:val="24"/>
        </w:rPr>
        <w:t>score</w:t>
      </w:r>
      <w:proofErr w:type="gramEnd"/>
      <w:r>
        <w:rPr>
          <w:rFonts w:ascii="Book Antiqua" w:hAnsi="Book Antiqua" w:cs="Times New Roman"/>
          <w:color w:val="000000" w:themeColor="text1"/>
          <w:sz w:val="24"/>
          <w:szCs w:val="24"/>
        </w:rPr>
        <w:t xml:space="preserve"> after eye opening between th</w:t>
      </w:r>
      <w:r>
        <w:rPr>
          <w:rFonts w:ascii="Book Antiqua" w:hAnsi="Book Antiqua" w:cs="Times New Roman"/>
          <w:color w:val="000000" w:themeColor="text1"/>
          <w:sz w:val="24"/>
          <w:szCs w:val="24"/>
        </w:rPr>
        <w:t>e fentanyl and control groups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 xml:space="preserve">&gt; 0.05). Moreover, correlation analysis showed </w:t>
      </w:r>
      <w:r>
        <w:rPr>
          <w:rFonts w:ascii="Book Antiqua" w:hAnsi="Book Antiqua" w:cs="Times New Roman"/>
          <w:color w:val="000000" w:themeColor="text1"/>
          <w:sz w:val="24"/>
          <w:szCs w:val="24"/>
        </w:rPr>
        <w:lastRenderedPageBreak/>
        <w:t xml:space="preserve">that awakening time (r = 0.392,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0.001) and Steward score (r = -0.306,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0.001) were correlated to the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iCs/>
          <w:color w:val="000000" w:themeColor="text1"/>
          <w:sz w:val="24"/>
          <w:szCs w:val="24"/>
        </w:rPr>
        <w:t>BIS, MAP, HR, SpO</w:t>
      </w:r>
      <w:r>
        <w:rPr>
          <w:rFonts w:ascii="Book Antiqua" w:hAnsi="Book Antiqua" w:cs="Times New Roman"/>
          <w:b/>
          <w:i/>
          <w:iCs/>
          <w:color w:val="000000" w:themeColor="text1"/>
          <w:sz w:val="24"/>
          <w:szCs w:val="24"/>
          <w:vertAlign w:val="subscript"/>
        </w:rPr>
        <w:t>2</w:t>
      </w:r>
      <w:r>
        <w:rPr>
          <w:rFonts w:ascii="Book Antiqua" w:hAnsi="Book Antiqua" w:cs="Times New Roman"/>
          <w:b/>
          <w:i/>
          <w:iCs/>
          <w:color w:val="000000" w:themeColor="text1"/>
          <w:sz w:val="24"/>
          <w:szCs w:val="24"/>
        </w:rPr>
        <w:t xml:space="preserve">, and RR among the </w:t>
      </w:r>
      <w:r>
        <w:rPr>
          <w:rFonts w:ascii="Book Antiqua" w:hAnsi="Book Antiqua" w:cs="Times New Roman"/>
          <w:b/>
          <w:i/>
          <w:iCs/>
          <w:color w:val="000000" w:themeColor="text1"/>
          <w:sz w:val="24"/>
          <w:szCs w:val="24"/>
        </w:rPr>
        <w:t>groups</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eastAsia="TbptpbAdvTT86d47313" w:hAnsi="Book Antiqua" w:cs="Times New Roman"/>
          <w:color w:val="000000" w:themeColor="text1"/>
          <w:sz w:val="24"/>
          <w:szCs w:val="24"/>
        </w:rPr>
        <w:t xml:space="preserve">Compared with the </w:t>
      </w:r>
      <w:proofErr w:type="spellStart"/>
      <w:r>
        <w:rPr>
          <w:rFonts w:ascii="Book Antiqua" w:eastAsia="TbptpbAdvTT86d47313" w:hAnsi="Book Antiqua" w:cs="Times New Roman"/>
          <w:color w:val="000000" w:themeColor="text1"/>
          <w:sz w:val="24"/>
          <w:szCs w:val="24"/>
        </w:rPr>
        <w:t>dezocine</w:t>
      </w:r>
      <w:proofErr w:type="spellEnd"/>
      <w:r>
        <w:rPr>
          <w:rFonts w:ascii="Book Antiqua" w:eastAsia="TbptpbAdvTT86d47313" w:hAnsi="Book Antiqua" w:cs="Times New Roman"/>
          <w:color w:val="000000" w:themeColor="text1"/>
          <w:sz w:val="24"/>
          <w:szCs w:val="24"/>
        </w:rPr>
        <w:t xml:space="preserve"> group, </w:t>
      </w:r>
      <w:r>
        <w:rPr>
          <w:rFonts w:ascii="Book Antiqua" w:hAnsi="Book Antiqua" w:cs="Times New Roman"/>
          <w:color w:val="000000" w:themeColor="text1"/>
          <w:sz w:val="24"/>
          <w:szCs w:val="24"/>
        </w:rPr>
        <w:t>BIS</w:t>
      </w:r>
      <w:r>
        <w:rPr>
          <w:rFonts w:ascii="Book Antiqua" w:eastAsia="TbptpbAdvTT86d47313" w:hAnsi="Book Antiqua" w:cs="Times New Roman"/>
          <w:color w:val="000000" w:themeColor="text1"/>
          <w:sz w:val="24"/>
          <w:szCs w:val="24"/>
        </w:rPr>
        <w:t xml:space="preserve"> w</w:t>
      </w:r>
      <w:r>
        <w:rPr>
          <w:rFonts w:ascii="Book Antiqua" w:hAnsi="Book Antiqua" w:cs="Times New Roman"/>
          <w:color w:val="000000" w:themeColor="text1"/>
          <w:sz w:val="24"/>
          <w:szCs w:val="24"/>
        </w:rPr>
        <w:t>as</w:t>
      </w:r>
      <w:r>
        <w:rPr>
          <w:rFonts w:ascii="Book Antiqua" w:eastAsia="TbptpbAdvTT86d47313" w:hAnsi="Book Antiqua" w:cs="Times New Roman"/>
          <w:color w:val="000000" w:themeColor="text1"/>
          <w:sz w:val="24"/>
          <w:szCs w:val="24"/>
        </w:rPr>
        <w:t xml:space="preserve"> comparatively lower at T</w:t>
      </w:r>
      <w:r>
        <w:rPr>
          <w:rFonts w:ascii="Book Antiqua" w:hAnsi="Book Antiqua" w:cs="Times New Roman"/>
          <w:color w:val="000000" w:themeColor="text1"/>
          <w:sz w:val="24"/>
          <w:szCs w:val="24"/>
        </w:rPr>
        <w:t>3</w:t>
      </w:r>
      <w:r>
        <w:rPr>
          <w:rFonts w:ascii="Book Antiqua" w:eastAsia="TbptpbAdvTT86d47313" w:hAnsi="Book Antiqua" w:cs="Times New Roman"/>
          <w:color w:val="000000" w:themeColor="text1"/>
          <w:sz w:val="24"/>
          <w:szCs w:val="24"/>
        </w:rPr>
        <w:t xml:space="preserve"> in the </w:t>
      </w:r>
      <w:proofErr w:type="spellStart"/>
      <w:r>
        <w:rPr>
          <w:rFonts w:ascii="Book Antiqua" w:eastAsia="TbptpbAdvTT86d47313" w:hAnsi="Book Antiqua" w:cs="Times New Roman"/>
          <w:color w:val="000000" w:themeColor="text1"/>
          <w:sz w:val="24"/>
          <w:szCs w:val="24"/>
        </w:rPr>
        <w:t>sufentanil</w:t>
      </w:r>
      <w:proofErr w:type="spellEnd"/>
      <w:r>
        <w:rPr>
          <w:rFonts w:ascii="Book Antiqua" w:eastAsia="TbptpbAdvTT86d47313" w:hAnsi="Book Antiqua" w:cs="Times New Roman"/>
          <w:color w:val="000000" w:themeColor="text1"/>
          <w:sz w:val="24"/>
          <w:szCs w:val="24"/>
        </w:rPr>
        <w:t>, fentanyl, and control groups (</w:t>
      </w:r>
      <w:r>
        <w:rPr>
          <w:rFonts w:ascii="Book Antiqua" w:eastAsia="TbptpbAdvTT86d47313" w:hAnsi="Book Antiqua" w:cs="Times New Roman"/>
          <w:i/>
          <w:iCs/>
          <w:color w:val="000000" w:themeColor="text1"/>
          <w:sz w:val="24"/>
          <w:szCs w:val="24"/>
        </w:rPr>
        <w:t>P</w:t>
      </w:r>
      <w:r>
        <w:rPr>
          <w:rFonts w:ascii="Book Antiqua" w:eastAsia="TbptpbAdvTT86d47313" w:hAnsi="Book Antiqua" w:cs="Times New Roman"/>
          <w:color w:val="000000" w:themeColor="text1"/>
          <w:sz w:val="24"/>
          <w:szCs w:val="24"/>
        </w:rPr>
        <w:t xml:space="preserve"> &lt; 0.01) (Table 3; Figure </w:t>
      </w:r>
      <w:r>
        <w:rPr>
          <w:rFonts w:ascii="Book Antiqua" w:hAnsi="Book Antiqua" w:cs="Times New Roman"/>
          <w:color w:val="000000" w:themeColor="text1"/>
          <w:sz w:val="24"/>
          <w:szCs w:val="24"/>
        </w:rPr>
        <w:t>4A</w:t>
      </w:r>
      <w:r>
        <w:rPr>
          <w:rFonts w:ascii="Book Antiqua" w:eastAsia="TbptpbAdvTT86d47313" w:hAnsi="Book Antiqua" w:cs="Times New Roman"/>
          <w:color w:val="000000" w:themeColor="text1"/>
          <w:sz w:val="24"/>
          <w:szCs w:val="24"/>
        </w:rPr>
        <w:t>).</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Compared with T</w:t>
      </w:r>
      <w:r>
        <w:rPr>
          <w:rFonts w:ascii="Book Antiqua" w:hAnsi="Book Antiqua" w:cs="Times New Roman"/>
          <w:color w:val="000000" w:themeColor="text1"/>
          <w:sz w:val="24"/>
          <w:szCs w:val="24"/>
        </w:rPr>
        <w:t>1</w:t>
      </w:r>
      <w:r>
        <w:rPr>
          <w:rFonts w:ascii="Book Antiqua" w:eastAsia="TbptpbAdvTT86d47313" w:hAnsi="Book Antiqua" w:cs="Times New Roman"/>
          <w:color w:val="000000" w:themeColor="text1"/>
          <w:sz w:val="24"/>
          <w:szCs w:val="24"/>
        </w:rPr>
        <w:t xml:space="preserve">, MAP </w:t>
      </w:r>
      <w:r>
        <w:rPr>
          <w:rFonts w:ascii="Book Antiqua" w:hAnsi="Book Antiqua" w:cs="Times New Roman"/>
          <w:color w:val="000000" w:themeColor="text1"/>
          <w:sz w:val="24"/>
          <w:szCs w:val="24"/>
        </w:rPr>
        <w:t>and HR</w:t>
      </w:r>
      <w:bookmarkStart w:id="46" w:name="OLE_LINK21"/>
      <w:r>
        <w:rPr>
          <w:rFonts w:ascii="Book Antiqua" w:hAnsi="Book Antiqua" w:cs="Times New Roman"/>
          <w:color w:val="000000" w:themeColor="text1"/>
          <w:sz w:val="24"/>
          <w:szCs w:val="24"/>
        </w:rPr>
        <w:t xml:space="preserve"> </w:t>
      </w:r>
      <w:bookmarkEnd w:id="46"/>
      <w:r>
        <w:rPr>
          <w:rFonts w:ascii="Book Antiqua" w:eastAsia="TbptpbAdvTT86d47313" w:hAnsi="Book Antiqua" w:cs="Times New Roman"/>
          <w:color w:val="000000" w:themeColor="text1"/>
          <w:sz w:val="24"/>
          <w:szCs w:val="24"/>
        </w:rPr>
        <w:t xml:space="preserve">decreased after </w:t>
      </w:r>
      <w:proofErr w:type="spellStart"/>
      <w:r>
        <w:rPr>
          <w:rFonts w:ascii="Book Antiqua" w:eastAsia="TbptpbAdvTT86d47313"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induction in the </w:t>
      </w:r>
      <w:r>
        <w:rPr>
          <w:rFonts w:ascii="Book Antiqua" w:hAnsi="Book Antiqua" w:cs="Times New Roman"/>
          <w:color w:val="000000" w:themeColor="text1"/>
          <w:sz w:val="24"/>
          <w:szCs w:val="24"/>
        </w:rPr>
        <w:t>fentanyl and control</w:t>
      </w:r>
      <w:r>
        <w:rPr>
          <w:rFonts w:ascii="Book Antiqua" w:eastAsia="TbptpbAdvTT86d47313" w:hAnsi="Book Antiqua" w:cs="Times New Roman"/>
          <w:color w:val="000000" w:themeColor="text1"/>
          <w:sz w:val="24"/>
          <w:szCs w:val="24"/>
        </w:rPr>
        <w:t xml:space="preserve"> groups</w:t>
      </w:r>
      <w:r>
        <w:rPr>
          <w:rFonts w:ascii="Book Antiqua" w:hAnsi="Book Antiqua" w:cs="Times New Roman"/>
          <w:color w:val="000000" w:themeColor="text1"/>
          <w:sz w:val="24"/>
          <w:szCs w:val="24"/>
        </w:rPr>
        <w:t xml:space="preserve"> at T2 </w:t>
      </w:r>
      <w:r>
        <w:rPr>
          <w:rFonts w:ascii="Book Antiqua" w:eastAsia="TbptpbAdvTT86d47313" w:hAnsi="Book Antiqua" w:cs="Times New Roman"/>
          <w:color w:val="000000" w:themeColor="text1"/>
          <w:sz w:val="24"/>
          <w:szCs w:val="24"/>
        </w:rPr>
        <w:t>(</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 0.01), and gradually increased</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as the operation progressed</w:t>
      </w:r>
      <w:r>
        <w:rPr>
          <w:rFonts w:ascii="Book Antiqua" w:hAnsi="Book Antiqua" w:cs="Times New Roman"/>
          <w:color w:val="000000" w:themeColor="text1"/>
          <w:sz w:val="24"/>
          <w:szCs w:val="24"/>
        </w:rPr>
        <w:t>,</w:t>
      </w:r>
      <w:r>
        <w:rPr>
          <w:rFonts w:ascii="Book Antiqua" w:eastAsia="TbptpbAdvTT86d47313" w:hAnsi="Book Antiqua" w:cs="Times New Roman"/>
          <w:color w:val="000000" w:themeColor="text1"/>
          <w:sz w:val="24"/>
          <w:szCs w:val="24"/>
        </w:rPr>
        <w:t xml:space="preserve"> but was still lower than the</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baseline value</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in the </w:t>
      </w:r>
      <w:r>
        <w:rPr>
          <w:rFonts w:ascii="Book Antiqua" w:hAnsi="Book Antiqua" w:cs="Times New Roman"/>
          <w:color w:val="000000" w:themeColor="text1"/>
          <w:sz w:val="24"/>
          <w:szCs w:val="24"/>
        </w:rPr>
        <w:t>fentanyl and control</w:t>
      </w:r>
      <w:r>
        <w:rPr>
          <w:rFonts w:ascii="Book Antiqua" w:eastAsia="TbptpbAdvTT86d47313" w:hAnsi="Book Antiqua" w:cs="Times New Roman"/>
          <w:color w:val="000000" w:themeColor="text1"/>
          <w:sz w:val="24"/>
          <w:szCs w:val="24"/>
        </w:rPr>
        <w:t xml:space="preserve"> groups at T</w:t>
      </w:r>
      <w:r>
        <w:rPr>
          <w:rFonts w:ascii="Book Antiqua" w:hAnsi="Book Antiqua" w:cs="Times New Roman"/>
          <w:color w:val="000000" w:themeColor="text1"/>
          <w:sz w:val="24"/>
          <w:szCs w:val="24"/>
        </w:rPr>
        <w:t xml:space="preserve">3 </w:t>
      </w:r>
      <w:r>
        <w:rPr>
          <w:rFonts w:ascii="Book Antiqua" w:eastAsia="TbptpbAdvTT86d47313" w:hAnsi="Book Antiqua" w:cs="Times New Roman"/>
          <w:color w:val="000000" w:themeColor="text1"/>
          <w:sz w:val="24"/>
          <w:szCs w:val="24"/>
        </w:rPr>
        <w:t>(</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0.01). Compared with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xml:space="preserve"> groups</w:t>
      </w:r>
      <w:r>
        <w:rPr>
          <w:rFonts w:ascii="Book Antiqua" w:eastAsia="TbptpbAdvTT86d47313" w:hAnsi="Book Antiqua" w:cs="Times New Roman"/>
          <w:color w:val="000000" w:themeColor="text1"/>
          <w:sz w:val="24"/>
          <w:szCs w:val="24"/>
        </w:rPr>
        <w:t>, MAP was comparatively lower</w:t>
      </w:r>
      <w:r>
        <w:rPr>
          <w:rFonts w:ascii="Book Antiqua" w:hAnsi="Book Antiqua" w:cs="Times New Roman"/>
          <w:color w:val="000000" w:themeColor="text1"/>
          <w:sz w:val="24"/>
          <w:szCs w:val="24"/>
        </w:rPr>
        <w:t xml:space="preserve"> in the fentanyl and control</w:t>
      </w:r>
      <w:r>
        <w:rPr>
          <w:rFonts w:ascii="Book Antiqua" w:eastAsia="TbptpbAdvTT86d47313" w:hAnsi="Book Antiqua" w:cs="Times New Roman"/>
          <w:color w:val="000000" w:themeColor="text1"/>
          <w:sz w:val="24"/>
          <w:szCs w:val="24"/>
        </w:rPr>
        <w:t xml:space="preserve"> groups at T</w:t>
      </w:r>
      <w:r>
        <w:rPr>
          <w:rFonts w:ascii="Book Antiqua" w:hAnsi="Book Antiqua" w:cs="Times New Roman"/>
          <w:color w:val="000000" w:themeColor="text1"/>
          <w:sz w:val="24"/>
          <w:szCs w:val="24"/>
        </w:rPr>
        <w:t>2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0.01) (Table 3; Figure 4B </w:t>
      </w:r>
      <w:proofErr w:type="spellStart"/>
      <w:r>
        <w:rPr>
          <w:rFonts w:ascii="Book Antiqua" w:hAnsi="Book Antiqua" w:cs="Times New Roman"/>
          <w:color w:val="000000" w:themeColor="text1"/>
          <w:sz w:val="24"/>
          <w:szCs w:val="24"/>
        </w:rPr>
        <w:t>andC</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Compared with T</w:t>
      </w:r>
      <w:r>
        <w:rPr>
          <w:rFonts w:ascii="Book Antiqua" w:hAnsi="Book Antiqua" w:cs="Times New Roman"/>
          <w:color w:val="000000" w:themeColor="text1"/>
          <w:sz w:val="24"/>
          <w:szCs w:val="24"/>
        </w:rPr>
        <w:t>1</w:t>
      </w:r>
      <w:r>
        <w:rPr>
          <w:rFonts w:ascii="Book Antiqua" w:eastAsia="TbptpbAdvTT86d47313" w:hAnsi="Book Antiqua" w:cs="Times New Roman"/>
          <w:color w:val="000000" w:themeColor="text1"/>
          <w:sz w:val="24"/>
          <w:szCs w:val="24"/>
        </w:rPr>
        <w:t>,</w:t>
      </w:r>
      <w:r>
        <w:rPr>
          <w:rFonts w:ascii="Book Antiqua" w:hAnsi="Book Antiqua" w:cs="Times New Roman"/>
          <w:color w:val="000000" w:themeColor="text1"/>
          <w:sz w:val="24"/>
          <w:szCs w:val="24"/>
        </w:rPr>
        <w:t xml:space="preserve">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xml:space="preserve"> and RR </w:t>
      </w:r>
      <w:r>
        <w:rPr>
          <w:rFonts w:ascii="Book Antiqua" w:eastAsia="TbptpbAdvTT86d47313" w:hAnsi="Book Antiqua" w:cs="Times New Roman"/>
          <w:color w:val="000000" w:themeColor="text1"/>
          <w:sz w:val="24"/>
          <w:szCs w:val="24"/>
        </w:rPr>
        <w:t xml:space="preserve">decreased after </w:t>
      </w:r>
      <w:proofErr w:type="spellStart"/>
      <w:r>
        <w:rPr>
          <w:rFonts w:ascii="Book Antiqua" w:eastAsia="TbptpbAdvTT86d47313"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 xml:space="preserve">induction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fentanyl, and control</w:t>
      </w:r>
      <w:r>
        <w:rPr>
          <w:rFonts w:ascii="Book Antiqua" w:eastAsia="TbptpbAdvTT86d47313" w:hAnsi="Book Antiqua" w:cs="Times New Roman"/>
          <w:color w:val="000000" w:themeColor="text1"/>
          <w:sz w:val="24"/>
          <w:szCs w:val="24"/>
        </w:rPr>
        <w:t xml:space="preserve"> groups</w:t>
      </w:r>
      <w:r>
        <w:rPr>
          <w:rFonts w:ascii="Book Antiqua" w:hAnsi="Book Antiqua" w:cs="Times New Roman"/>
          <w:color w:val="000000" w:themeColor="text1"/>
          <w:sz w:val="24"/>
          <w:szCs w:val="24"/>
        </w:rPr>
        <w:t xml:space="preserve"> at T2</w:t>
      </w:r>
      <w:r>
        <w:rPr>
          <w:rFonts w:ascii="Book Antiqua" w:eastAsia="TbptpbAdvTT86d47313" w:hAnsi="Book Antiqua" w:cs="Times New Roman"/>
          <w:color w:val="000000" w:themeColor="text1"/>
          <w:sz w:val="24"/>
          <w:szCs w:val="24"/>
        </w:rPr>
        <w:t xml:space="preserve"> (</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 0.01),</w:t>
      </w:r>
      <w:r>
        <w:rPr>
          <w:rFonts w:ascii="Book Antiqua" w:hAnsi="Book Antiqua" w:cs="Times New Roman"/>
          <w:color w:val="000000" w:themeColor="text1"/>
          <w:sz w:val="24"/>
          <w:szCs w:val="24"/>
        </w:rPr>
        <w:t xml:space="preserve"> and gradually increased as the operation progressed; however, there were no </w:t>
      </w:r>
      <w:bookmarkStart w:id="47" w:name="OLE_LINK22"/>
      <w:r>
        <w:rPr>
          <w:rFonts w:ascii="Book Antiqua" w:hAnsi="Book Antiqua" w:cs="Times New Roman"/>
          <w:color w:val="000000" w:themeColor="text1"/>
          <w:sz w:val="24"/>
          <w:szCs w:val="24"/>
        </w:rPr>
        <w:t>significant</w:t>
      </w:r>
      <w:bookmarkEnd w:id="47"/>
      <w:r>
        <w:rPr>
          <w:rFonts w:ascii="Book Antiqua" w:hAnsi="Book Antiqua" w:cs="Times New Roman"/>
          <w:color w:val="000000" w:themeColor="text1"/>
          <w:sz w:val="24"/>
          <w:szCs w:val="24"/>
        </w:rPr>
        <w:t xml:space="preserve"> statistical differences among the four groups at T3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&gt; 0.05). </w:t>
      </w:r>
      <w:bookmarkStart w:id="48" w:name="OLE_LINK40"/>
      <w:r>
        <w:rPr>
          <w:rFonts w:ascii="Book Antiqua" w:eastAsia="TbptpbAdvTT86d47313" w:hAnsi="Book Antiqua" w:cs="Times New Roman"/>
          <w:color w:val="000000" w:themeColor="text1"/>
          <w:sz w:val="24"/>
          <w:szCs w:val="24"/>
        </w:rPr>
        <w:t xml:space="preserve">Compared with the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group</w:t>
      </w:r>
      <w:r>
        <w:rPr>
          <w:rFonts w:ascii="Book Antiqua" w:hAnsi="Book Antiqua" w:cs="Times New Roman"/>
          <w:color w:val="000000" w:themeColor="text1"/>
          <w:sz w:val="24"/>
          <w:szCs w:val="24"/>
        </w:rPr>
        <w:t>, SpO</w:t>
      </w:r>
      <w:r>
        <w:rPr>
          <w:rFonts w:ascii="Book Antiqua" w:hAnsi="Book Antiqua" w:cs="Times New Roman"/>
          <w:color w:val="000000" w:themeColor="text1"/>
          <w:sz w:val="24"/>
          <w:szCs w:val="24"/>
          <w:vertAlign w:val="subscript"/>
        </w:rPr>
        <w:t>2</w:t>
      </w:r>
      <w:r>
        <w:rPr>
          <w:rFonts w:ascii="Book Antiqua" w:hAnsi="Book Antiqua" w:cs="Times New Roman"/>
          <w:color w:val="000000" w:themeColor="text1"/>
          <w:sz w:val="24"/>
          <w:szCs w:val="24"/>
        </w:rPr>
        <w:t xml:space="preserve"> and RR were comparatively lower at T2 in the </w:t>
      </w:r>
      <w:proofErr w:type="spellStart"/>
      <w:r>
        <w:rPr>
          <w:rFonts w:ascii="Book Antiqua" w:hAnsi="Book Antiqua" w:cs="Times New Roman"/>
          <w:color w:val="000000" w:themeColor="text1"/>
          <w:sz w:val="24"/>
          <w:szCs w:val="24"/>
        </w:rPr>
        <w:t>sufentanil</w:t>
      </w:r>
      <w:proofErr w:type="spellEnd"/>
      <w:r>
        <w:rPr>
          <w:rFonts w:ascii="Book Antiqua" w:hAnsi="Book Antiqua" w:cs="Times New Roman"/>
          <w:color w:val="000000" w:themeColor="text1"/>
          <w:sz w:val="24"/>
          <w:szCs w:val="24"/>
        </w:rPr>
        <w:t>, fentany</w:t>
      </w:r>
      <w:r>
        <w:rPr>
          <w:rFonts w:ascii="Book Antiqua" w:hAnsi="Book Antiqua" w:cs="Times New Roman"/>
          <w:color w:val="000000" w:themeColor="text1"/>
          <w:sz w:val="24"/>
          <w:szCs w:val="24"/>
        </w:rPr>
        <w:t>l, and control</w:t>
      </w:r>
      <w:r>
        <w:rPr>
          <w:rFonts w:ascii="Book Antiqua" w:eastAsia="TbptpbAdvTT86d47313" w:hAnsi="Book Antiqua" w:cs="Times New Roman"/>
          <w:color w:val="000000" w:themeColor="text1"/>
          <w:sz w:val="24"/>
          <w:szCs w:val="24"/>
        </w:rPr>
        <w:t xml:space="preserve"> groups (</w:t>
      </w:r>
      <w:r>
        <w:rPr>
          <w:rFonts w:ascii="Book Antiqua" w:eastAsia="DdtxqxAdvTT8861b38f . I" w:hAnsi="Book Antiqua" w:cs="Times New Roman"/>
          <w:i/>
          <w:iCs/>
          <w:color w:val="000000" w:themeColor="text1"/>
          <w:sz w:val="24"/>
          <w:szCs w:val="24"/>
        </w:rPr>
        <w:t>P</w:t>
      </w:r>
      <w:r>
        <w:rPr>
          <w:rFonts w:ascii="Book Antiqua" w:hAnsi="Book Antiqua" w:cs="Times New Roman"/>
          <w:i/>
          <w:iCs/>
          <w:color w:val="000000" w:themeColor="text1"/>
          <w:sz w:val="24"/>
          <w:szCs w:val="24"/>
        </w:rPr>
        <w:t xml:space="preserve"> </w:t>
      </w:r>
      <w:r>
        <w:rPr>
          <w:rFonts w:ascii="Book Antiqua" w:eastAsia="TbptpbAdvTT86d47313" w:hAnsi="Book Antiqua" w:cs="Times New Roman"/>
          <w:color w:val="000000" w:themeColor="text1"/>
          <w:sz w:val="24"/>
          <w:szCs w:val="24"/>
        </w:rPr>
        <w:t>&lt;</w:t>
      </w:r>
      <w:r>
        <w:rPr>
          <w:rFonts w:ascii="Book Antiqua" w:hAnsi="Book Antiqua" w:cs="Times New Roman"/>
          <w:color w:val="000000" w:themeColor="text1"/>
          <w:sz w:val="24"/>
          <w:szCs w:val="24"/>
        </w:rPr>
        <w:t xml:space="preserve"> </w:t>
      </w:r>
      <w:r>
        <w:rPr>
          <w:rFonts w:ascii="Book Antiqua" w:eastAsia="TbptpbAdvTT86d47313" w:hAnsi="Book Antiqua" w:cs="Times New Roman"/>
          <w:color w:val="000000" w:themeColor="text1"/>
          <w:sz w:val="24"/>
          <w:szCs w:val="24"/>
        </w:rPr>
        <w:t>0.01)</w:t>
      </w:r>
      <w:r>
        <w:rPr>
          <w:rFonts w:ascii="Book Antiqua" w:hAnsi="Book Antiqua" w:cs="Times New Roman"/>
          <w:color w:val="000000" w:themeColor="text1"/>
          <w:sz w:val="24"/>
          <w:szCs w:val="24"/>
        </w:rPr>
        <w:t xml:space="preserve"> (Table 3; Figure 4D and E).</w:t>
      </w:r>
      <w:bookmarkEnd w:id="48"/>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i/>
          <w:iCs/>
          <w:color w:val="000000" w:themeColor="text1"/>
          <w:sz w:val="24"/>
          <w:szCs w:val="24"/>
        </w:rPr>
        <w:t>Use of vasoactive drugs and side effects</w:t>
      </w:r>
    </w:p>
    <w:p w:rsidR="00A35F10" w:rsidRDefault="00210629">
      <w:pPr>
        <w:spacing w:after="0" w:line="360" w:lineRule="auto"/>
        <w:jc w:val="both"/>
        <w:rPr>
          <w:rFonts w:ascii="Book Antiqua" w:hAnsi="Book Antiqua" w:cs="Times New Roman"/>
          <w:color w:val="000000" w:themeColor="text1"/>
          <w:sz w:val="24"/>
          <w:szCs w:val="24"/>
          <w:lang w:eastAsia="zh-CN"/>
        </w:rPr>
      </w:pPr>
      <w:r>
        <w:rPr>
          <w:rFonts w:ascii="Book Antiqua" w:hAnsi="Book Antiqua" w:cs="Times New Roman"/>
          <w:color w:val="000000" w:themeColor="text1"/>
          <w:sz w:val="24"/>
          <w:szCs w:val="24"/>
        </w:rPr>
        <w:t xml:space="preserve">As shown in Table 4, </w:t>
      </w:r>
      <w:r>
        <w:rPr>
          <w:rFonts w:ascii="Book Antiqua" w:hAnsi="Book Antiqua" w:cs="Times New Roman"/>
          <w:sz w:val="24"/>
          <w:szCs w:val="24"/>
        </w:rPr>
        <w:t xml:space="preserve">usage of vasoactive drugs, rates of hypopnea, jaw thrust, and body movement in the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 were significantly lower than </w:t>
      </w:r>
      <w:r>
        <w:rPr>
          <w:rFonts w:ascii="Book Antiqua" w:hAnsi="Book Antiqua" w:cs="Times New Roman"/>
          <w:sz w:val="24"/>
          <w:szCs w:val="24"/>
        </w:rPr>
        <w:t>those of other groups (</w:t>
      </w:r>
      <w:r>
        <w:rPr>
          <w:rFonts w:ascii="Book Antiqua" w:hAnsi="Book Antiqua" w:cs="Times New Roman"/>
          <w:i/>
          <w:iCs/>
          <w:sz w:val="24"/>
          <w:szCs w:val="24"/>
        </w:rPr>
        <w:t>P</w:t>
      </w:r>
      <w:r>
        <w:rPr>
          <w:rFonts w:ascii="Book Antiqua" w:hAnsi="Book Antiqua" w:cs="Times New Roman"/>
          <w:sz w:val="24"/>
          <w:szCs w:val="24"/>
        </w:rPr>
        <w:t xml:space="preserve"> &lt; 0.01).</w:t>
      </w:r>
      <w:r>
        <w:rPr>
          <w:rFonts w:ascii="Book Antiqua" w:hAnsi="Book Antiqua" w:cs="Times New Roman"/>
          <w:color w:val="000000" w:themeColor="text1"/>
          <w:sz w:val="24"/>
          <w:szCs w:val="24"/>
        </w:rPr>
        <w:t xml:space="preserve"> Moreover, correlation analysis showed that usage of vasoactive drugs was correlated to total dosage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(r = 0.204, </w:t>
      </w:r>
      <w:r>
        <w:rPr>
          <w:rFonts w:ascii="Book Antiqua" w:hAnsi="Book Antiqua" w:cs="Times New Roman"/>
          <w:i/>
          <w:iCs/>
          <w:color w:val="000000" w:themeColor="text1"/>
          <w:sz w:val="24"/>
          <w:szCs w:val="24"/>
        </w:rPr>
        <w:t>P</w:t>
      </w:r>
      <w:r>
        <w:rPr>
          <w:rFonts w:ascii="Book Antiqua" w:hAnsi="Book Antiqua" w:cs="Times New Roman"/>
          <w:color w:val="000000" w:themeColor="text1"/>
          <w:sz w:val="24"/>
          <w:szCs w:val="24"/>
        </w:rPr>
        <w:t xml:space="preserve"> &lt; 0.001). However, no statistically significant differences in reflex coughing, nausea, or vomit</w:t>
      </w:r>
      <w:r>
        <w:rPr>
          <w:rFonts w:ascii="Book Antiqua" w:hAnsi="Book Antiqua" w:cs="Times New Roman"/>
          <w:color w:val="000000" w:themeColor="text1"/>
          <w:sz w:val="24"/>
          <w:szCs w:val="24"/>
        </w:rPr>
        <w:t>ing were observed among the four groups (</w:t>
      </w:r>
      <w:r>
        <w:rPr>
          <w:rFonts w:ascii="Book Antiqua" w:hAnsi="Book Antiqua" w:cs="Times New Roman"/>
          <w:i/>
          <w:iCs/>
          <w:color w:val="000000" w:themeColor="text1"/>
          <w:sz w:val="24"/>
          <w:szCs w:val="24"/>
        </w:rPr>
        <w:t xml:space="preserve">P </w:t>
      </w:r>
      <w:r>
        <w:rPr>
          <w:rFonts w:ascii="Book Antiqua" w:hAnsi="Book Antiqua" w:cs="Times New Roman"/>
          <w:color w:val="000000" w:themeColor="text1"/>
          <w:sz w:val="24"/>
          <w:szCs w:val="24"/>
        </w:rPr>
        <w:t>&gt; 0.05). Furthermore, no patient in any group experienced therapy interruption, aspiration, or intra-operative awareness.</w:t>
      </w:r>
    </w:p>
    <w:p w:rsidR="00A35F10" w:rsidRDefault="00A35F10">
      <w:pPr>
        <w:spacing w:after="0" w:line="360" w:lineRule="auto"/>
        <w:jc w:val="both"/>
        <w:rPr>
          <w:rFonts w:ascii="Book Antiqua" w:hAnsi="Book Antiqua" w:cs="Times New Roman"/>
          <w:color w:val="000000" w:themeColor="text1"/>
          <w:sz w:val="24"/>
          <w:szCs w:val="24"/>
          <w:lang w:eastAsia="zh-CN"/>
        </w:rPr>
      </w:pPr>
    </w:p>
    <w:p w:rsidR="00A35F10" w:rsidRDefault="00210629">
      <w:pPr>
        <w:spacing w:after="0" w:line="360" w:lineRule="auto"/>
        <w:jc w:val="both"/>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t>DISCUSSION</w:t>
      </w:r>
    </w:p>
    <w:p w:rsidR="00A35F10" w:rsidRDefault="00210629">
      <w:pPr>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This study aimed to </w:t>
      </w:r>
      <w:bookmarkStart w:id="49" w:name="OLE_LINK37"/>
      <w:r>
        <w:rPr>
          <w:rFonts w:ascii="Book Antiqua" w:hAnsi="Book Antiqua" w:cs="Times New Roman"/>
          <w:color w:val="000000" w:themeColor="text1"/>
          <w:sz w:val="24"/>
          <w:szCs w:val="24"/>
        </w:rPr>
        <w:t>identify</w:t>
      </w:r>
      <w:bookmarkEnd w:id="49"/>
      <w:r>
        <w:rPr>
          <w:rFonts w:ascii="Book Antiqua" w:hAnsi="Book Antiqua" w:cs="Times New Roman"/>
          <w:color w:val="000000" w:themeColor="text1"/>
          <w:sz w:val="24"/>
          <w:szCs w:val="24"/>
        </w:rPr>
        <w:t xml:space="preserve"> a comparatively satisfactory anesthetization regimen for painless gastroscopy and </w:t>
      </w:r>
      <w:bookmarkStart w:id="50" w:name="OLE_LINK11"/>
      <w:r>
        <w:rPr>
          <w:rFonts w:ascii="Book Antiqua" w:hAnsi="Book Antiqua" w:cs="Times New Roman"/>
          <w:color w:val="000000" w:themeColor="text1"/>
          <w:sz w:val="24"/>
          <w:szCs w:val="24"/>
        </w:rPr>
        <w:t>colonoscopy</w:t>
      </w:r>
      <w:bookmarkEnd w:id="50"/>
      <w:r>
        <w:rPr>
          <w:rFonts w:ascii="Book Antiqua" w:hAnsi="Book Antiqua" w:cs="Times New Roman"/>
          <w:color w:val="000000" w:themeColor="text1"/>
          <w:sz w:val="24"/>
          <w:szCs w:val="24"/>
        </w:rPr>
        <w:t xml:space="preserve">. </w:t>
      </w:r>
      <w:bookmarkStart w:id="51" w:name="OLE_LINK9"/>
      <w:r>
        <w:rPr>
          <w:rFonts w:ascii="Book Antiqua" w:hAnsi="Book Antiqua" w:cs="Times New Roman"/>
          <w:color w:val="000000" w:themeColor="text1"/>
          <w:sz w:val="24"/>
          <w:szCs w:val="24"/>
        </w:rPr>
        <w:t xml:space="preserve">The combination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and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lastRenderedPageBreak/>
        <w:t xml:space="preserve">can decrease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dosage, reduce the risk for the development of inhibitory effects on the cardiovascular and respi</w:t>
      </w:r>
      <w:r>
        <w:rPr>
          <w:rFonts w:ascii="Book Antiqua" w:hAnsi="Book Antiqua" w:cs="Times New Roman"/>
          <w:color w:val="000000" w:themeColor="text1"/>
          <w:sz w:val="24"/>
          <w:szCs w:val="24"/>
        </w:rPr>
        <w:t>ratory systems, increase analgesic effect, decrease body movement, shorten awakening time, and improve awakening quality.</w:t>
      </w:r>
      <w:bookmarkEnd w:id="51"/>
    </w:p>
    <w:p w:rsidR="00A35F10" w:rsidRDefault="00210629">
      <w:pPr>
        <w:spacing w:after="0" w:line="360" w:lineRule="auto"/>
        <w:ind w:firstLineChars="100" w:firstLine="240"/>
        <w:jc w:val="both"/>
        <w:rPr>
          <w:rFonts w:ascii="Book Antiqua" w:hAnsi="Book Antiqua" w:cs="Times New Roman"/>
          <w:color w:val="000000" w:themeColor="text1"/>
          <w:sz w:val="24"/>
          <w:szCs w:val="24"/>
          <w:u w:val="single"/>
        </w:rPr>
      </w:pPr>
      <w:r>
        <w:rPr>
          <w:rFonts w:ascii="Book Antiqua" w:hAnsi="Book Antiqua" w:cs="Times New Roman"/>
          <w:color w:val="000000" w:themeColor="text1"/>
          <w:sz w:val="24"/>
          <w:szCs w:val="24"/>
        </w:rPr>
        <w:t xml:space="preserve">The duration of gastroscopy and colonoscopy is typically approximately 45 min, and addition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is needed. </w:t>
      </w:r>
      <w:bookmarkStart w:id="52" w:name="OLE_LINK17"/>
      <w:r>
        <w:rPr>
          <w:rFonts w:ascii="Book Antiqua" w:hAnsi="Book Antiqua" w:cs="Times New Roman"/>
          <w:color w:val="000000" w:themeColor="text1"/>
          <w:sz w:val="24"/>
          <w:szCs w:val="24"/>
        </w:rPr>
        <w:t>However</w:t>
      </w:r>
      <w:bookmarkEnd w:id="52"/>
      <w:r>
        <w:rPr>
          <w:rFonts w:ascii="Book Antiqua" w:hAnsi="Book Antiqua" w:cs="Times New Roman"/>
          <w:color w:val="000000" w:themeColor="text1"/>
          <w:sz w:val="24"/>
          <w:szCs w:val="24"/>
        </w:rPr>
        <w:t xml:space="preserve">, </w:t>
      </w:r>
      <w:bookmarkStart w:id="53" w:name="OLE_LINK16"/>
      <w:r>
        <w:rPr>
          <w:rFonts w:ascii="Book Antiqua" w:hAnsi="Book Antiqua" w:cs="Times New Roman"/>
          <w:color w:val="000000" w:themeColor="text1"/>
          <w:sz w:val="24"/>
          <w:szCs w:val="24"/>
        </w:rPr>
        <w:t>high addit</w:t>
      </w:r>
      <w:r>
        <w:rPr>
          <w:rFonts w:ascii="Book Antiqua" w:hAnsi="Book Antiqua" w:cs="Times New Roman"/>
          <w:color w:val="000000" w:themeColor="text1"/>
          <w:sz w:val="24"/>
          <w:szCs w:val="24"/>
        </w:rPr>
        <w:t xml:space="preserve">ional dosage of </w:t>
      </w:r>
      <w:proofErr w:type="spellStart"/>
      <w:r>
        <w:rPr>
          <w:rFonts w:ascii="Book Antiqua" w:hAnsi="Book Antiqua" w:cs="Times New Roman"/>
          <w:color w:val="000000" w:themeColor="text1"/>
          <w:sz w:val="24"/>
          <w:szCs w:val="24"/>
        </w:rPr>
        <w:t>propofol</w:t>
      </w:r>
      <w:bookmarkEnd w:id="53"/>
      <w:proofErr w:type="spellEnd"/>
      <w:r>
        <w:rPr>
          <w:rFonts w:ascii="Book Antiqua" w:hAnsi="Book Antiqua" w:cs="Times New Roman"/>
          <w:color w:val="000000" w:themeColor="text1"/>
          <w:sz w:val="24"/>
          <w:szCs w:val="24"/>
        </w:rPr>
        <w:t xml:space="preserve"> can significantly prolong recovery time, increase the risk for post-procedure respiratory depression and hypoxemia, and the workload for recovery management.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can also decrease the additional dosage of </w:t>
      </w:r>
      <w:bookmarkStart w:id="54" w:name="OLE_LINK18"/>
      <w:proofErr w:type="spellStart"/>
      <w:r>
        <w:rPr>
          <w:rFonts w:ascii="Book Antiqua" w:hAnsi="Book Antiqua" w:cs="Times New Roman"/>
          <w:color w:val="000000" w:themeColor="text1"/>
          <w:sz w:val="24"/>
          <w:szCs w:val="24"/>
        </w:rPr>
        <w:t>propofol</w:t>
      </w:r>
      <w:bookmarkEnd w:id="54"/>
      <w:proofErr w:type="spellEnd"/>
      <w:r>
        <w:rPr>
          <w:rFonts w:ascii="Book Antiqua" w:hAnsi="Book Antiqua" w:cs="Times New Roman"/>
          <w:color w:val="000000" w:themeColor="text1"/>
          <w:sz w:val="24"/>
          <w:szCs w:val="24"/>
        </w:rPr>
        <w:t xml:space="preserve"> in patients </w:t>
      </w:r>
      <w:r>
        <w:rPr>
          <w:rFonts w:ascii="Book Antiqua" w:hAnsi="Book Antiqua" w:cs="Times New Roman"/>
          <w:color w:val="000000" w:themeColor="text1"/>
          <w:sz w:val="24"/>
          <w:szCs w:val="24"/>
        </w:rPr>
        <w:t xml:space="preserve">undergoing gastroscopy and colonoscopy, and reduce the side effects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In recent years, painless electronic endoscopy has been widely used in clinical practice, reducing discomfort and suffering in patients undergoing gastroscopy or </w:t>
      </w:r>
      <w:proofErr w:type="gramStart"/>
      <w:r>
        <w:rPr>
          <w:rFonts w:ascii="Book Antiqua" w:hAnsi="Book Antiqua" w:cs="Times New Roman"/>
          <w:color w:val="000000" w:themeColor="text1"/>
          <w:sz w:val="24"/>
          <w:szCs w:val="24"/>
        </w:rPr>
        <w:t>colonoscopy</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w:t>
      </w:r>
      <w:r>
        <w:rPr>
          <w:rFonts w:ascii="Book Antiqua" w:hAnsi="Book Antiqua" w:cs="Times New Roman"/>
          <w:color w:val="000000" w:themeColor="text1"/>
          <w:sz w:val="24"/>
          <w:szCs w:val="24"/>
          <w:vertAlign w:val="superscript"/>
        </w:rPr>
        <w:t>,3]</w:t>
      </w:r>
      <w:r>
        <w:rPr>
          <w:rFonts w:ascii="Book Antiqua" w:hAnsi="Book Antiqua" w:cs="Times New Roman"/>
          <w:color w:val="000000" w:themeColor="text1"/>
          <w:sz w:val="24"/>
          <w:szCs w:val="24"/>
        </w:rPr>
        <w:t xml:space="preserve">. Presently, the generally used </w:t>
      </w:r>
      <w:proofErr w:type="spellStart"/>
      <w:r>
        <w:rPr>
          <w:rFonts w:ascii="Book Antiqua" w:hAnsi="Book Antiqua" w:cs="Times New Roman"/>
          <w:color w:val="000000" w:themeColor="text1"/>
          <w:sz w:val="24"/>
          <w:szCs w:val="24"/>
        </w:rPr>
        <w:t>anesthetic</w:t>
      </w:r>
      <w:proofErr w:type="spellEnd"/>
      <w:r>
        <w:rPr>
          <w:rFonts w:ascii="Book Antiqua" w:hAnsi="Book Antiqua" w:cs="Times New Roman"/>
          <w:color w:val="000000" w:themeColor="text1"/>
          <w:sz w:val="24"/>
          <w:szCs w:val="24"/>
        </w:rPr>
        <w:t xml:space="preserve"> drug is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which is an intravenously administered sedative with a favourable sedative effect, rapid onset, and short duration of action, which results in a decreased level of consciousness and lack of me</w:t>
      </w:r>
      <w:r>
        <w:rPr>
          <w:rFonts w:ascii="Book Antiqua" w:hAnsi="Book Antiqua" w:cs="Times New Roman"/>
          <w:color w:val="000000" w:themeColor="text1"/>
          <w:sz w:val="24"/>
          <w:szCs w:val="24"/>
        </w:rPr>
        <w:t xml:space="preserve">mory of </w:t>
      </w:r>
      <w:proofErr w:type="gramStart"/>
      <w:r>
        <w:rPr>
          <w:rFonts w:ascii="Book Antiqua" w:hAnsi="Book Antiqua" w:cs="Times New Roman"/>
          <w:color w:val="000000" w:themeColor="text1"/>
          <w:sz w:val="24"/>
          <w:szCs w:val="24"/>
        </w:rPr>
        <w:t>events</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4,11,12,15]</w:t>
      </w:r>
      <w:r>
        <w:rPr>
          <w:rFonts w:ascii="Book Antiqua" w:hAnsi="Book Antiqua" w:cs="Times New Roman"/>
          <w:color w:val="000000" w:themeColor="text1"/>
          <w:sz w:val="24"/>
          <w:szCs w:val="24"/>
        </w:rPr>
        <w:t xml:space="preserve">.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also strongly inhibits the contraction of gastrointestinal smooth muscle, antagonizes the vomiting reflex, and reduces cough and physical </w:t>
      </w:r>
      <w:proofErr w:type="gramStart"/>
      <w:r>
        <w:rPr>
          <w:rFonts w:ascii="Book Antiqua" w:hAnsi="Book Antiqua" w:cs="Times New Roman"/>
          <w:color w:val="000000" w:themeColor="text1"/>
          <w:sz w:val="24"/>
          <w:szCs w:val="24"/>
        </w:rPr>
        <w:t>movement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3,16-18]</w:t>
      </w:r>
      <w:r>
        <w:rPr>
          <w:rFonts w:ascii="Book Antiqua" w:hAnsi="Book Antiqua" w:cs="Times New Roman"/>
          <w:color w:val="000000" w:themeColor="text1"/>
          <w:sz w:val="24"/>
          <w:szCs w:val="24"/>
        </w:rPr>
        <w:t>. However, because it lacks an obvious analgesic effect, the dos</w:t>
      </w:r>
      <w:r>
        <w:rPr>
          <w:rFonts w:ascii="Book Antiqua" w:hAnsi="Book Antiqua" w:cs="Times New Roman"/>
          <w:color w:val="000000" w:themeColor="text1"/>
          <w:sz w:val="24"/>
          <w:szCs w:val="24"/>
        </w:rPr>
        <w:t xml:space="preserve">ages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are relatively high in painless gastroscopy and colonoscopy. High dosages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usually cause inhibitory effects on the cardiovascular and respiratory systems. Similar to other opioids,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has been reported to decrease </w:t>
      </w:r>
      <w:proofErr w:type="spellStart"/>
      <w:r>
        <w:rPr>
          <w:rFonts w:ascii="Book Antiqua" w:hAnsi="Book Antiqua" w:cs="Times New Roman"/>
          <w:color w:val="000000" w:themeColor="text1"/>
          <w:sz w:val="24"/>
          <w:szCs w:val="24"/>
        </w:rPr>
        <w:t>anesthet</w:t>
      </w:r>
      <w:r>
        <w:rPr>
          <w:rFonts w:ascii="Book Antiqua" w:hAnsi="Book Antiqua" w:cs="Times New Roman"/>
          <w:color w:val="000000" w:themeColor="text1"/>
          <w:sz w:val="24"/>
          <w:szCs w:val="24"/>
        </w:rPr>
        <w:t>ic</w:t>
      </w:r>
      <w:proofErr w:type="spellEnd"/>
      <w:r>
        <w:rPr>
          <w:rFonts w:ascii="Book Antiqua" w:hAnsi="Book Antiqua" w:cs="Times New Roman"/>
          <w:color w:val="000000" w:themeColor="text1"/>
          <w:sz w:val="24"/>
          <w:szCs w:val="24"/>
        </w:rPr>
        <w:t xml:space="preserve"> requirements by up to 50</w:t>
      </w:r>
      <w:proofErr w:type="gramStart"/>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19]</w:t>
      </w:r>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belongs to a class of opioid receptor agonist and antagonist drugs that exhibit strong affinity for both the mu and kappa receptors, but relatively weak interactions with the delta receptor</w:t>
      </w:r>
      <w:r>
        <w:rPr>
          <w:rFonts w:ascii="Book Antiqua" w:hAnsi="Book Antiqua" w:cs="Times New Roman"/>
          <w:color w:val="000000" w:themeColor="text1"/>
          <w:sz w:val="24"/>
          <w:szCs w:val="24"/>
          <w:vertAlign w:val="superscript"/>
        </w:rPr>
        <w:t>[13,20,21]</w:t>
      </w:r>
      <w:r>
        <w:rPr>
          <w:rFonts w:ascii="Book Antiqua" w:hAnsi="Book Antiqua" w:cs="Times New Roman"/>
          <w:color w:val="000000" w:themeColor="text1"/>
          <w:sz w:val="24"/>
          <w:szCs w:val="24"/>
        </w:rPr>
        <w:t>, and has been</w:t>
      </w:r>
      <w:r>
        <w:rPr>
          <w:rFonts w:ascii="Book Antiqua" w:hAnsi="Book Antiqua" w:cs="Times New Roman"/>
          <w:color w:val="000000" w:themeColor="text1"/>
          <w:sz w:val="24"/>
          <w:szCs w:val="24"/>
        </w:rPr>
        <w:t xml:space="preserve"> used in procedures requiring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sedation</w:t>
      </w:r>
      <w:r>
        <w:rPr>
          <w:rFonts w:ascii="Book Antiqua" w:hAnsi="Book Antiqua" w:cs="Times New Roman"/>
          <w:color w:val="000000" w:themeColor="text1"/>
          <w:sz w:val="24"/>
          <w:szCs w:val="24"/>
          <w:vertAlign w:val="superscript"/>
        </w:rPr>
        <w:t>[22]</w:t>
      </w:r>
      <w:r>
        <w:rPr>
          <w:rFonts w:ascii="Book Antiqua" w:hAnsi="Book Antiqua" w:cs="Times New Roman"/>
          <w:color w:val="000000" w:themeColor="text1"/>
          <w:sz w:val="24"/>
          <w:szCs w:val="24"/>
        </w:rPr>
        <w:t xml:space="preserve"> and postoperative pain management</w:t>
      </w:r>
      <w:r>
        <w:rPr>
          <w:rFonts w:ascii="Book Antiqua" w:hAnsi="Book Antiqua" w:cs="Times New Roman"/>
          <w:color w:val="000000" w:themeColor="text1"/>
          <w:sz w:val="24"/>
          <w:szCs w:val="24"/>
          <w:vertAlign w:val="superscript"/>
        </w:rPr>
        <w:t>[20]</w:t>
      </w:r>
      <w:r>
        <w:rPr>
          <w:rFonts w:ascii="Book Antiqua" w:hAnsi="Book Antiqua" w:cs="Times New Roman"/>
          <w:color w:val="000000" w:themeColor="text1"/>
          <w:sz w:val="24"/>
          <w:szCs w:val="24"/>
        </w:rPr>
        <w:t xml:space="preserve">. Because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is a partial mu receptor agonist and a kappa receptor </w:t>
      </w:r>
      <w:proofErr w:type="gramStart"/>
      <w:r>
        <w:rPr>
          <w:rFonts w:ascii="Book Antiqua" w:hAnsi="Book Antiqua" w:cs="Times New Roman"/>
          <w:color w:val="000000" w:themeColor="text1"/>
          <w:sz w:val="24"/>
          <w:szCs w:val="24"/>
        </w:rPr>
        <w:t>antagonist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13,23]</w:t>
      </w:r>
      <w:r>
        <w:rPr>
          <w:rFonts w:ascii="Book Antiqua" w:hAnsi="Book Antiqua" w:cs="Times New Roman"/>
          <w:color w:val="000000" w:themeColor="text1"/>
          <w:sz w:val="24"/>
          <w:szCs w:val="24"/>
        </w:rPr>
        <w:t xml:space="preserve">, </w:t>
      </w:r>
      <w:bookmarkStart w:id="55" w:name="OLE_LINK20"/>
      <w:r>
        <w:rPr>
          <w:rFonts w:ascii="Book Antiqua" w:hAnsi="Book Antiqua" w:cs="Times New Roman"/>
          <w:color w:val="000000" w:themeColor="text1"/>
          <w:sz w:val="24"/>
          <w:szCs w:val="24"/>
        </w:rPr>
        <w:t>common side effects</w:t>
      </w:r>
      <w:bookmarkEnd w:id="55"/>
      <w:r>
        <w:rPr>
          <w:rFonts w:ascii="Book Antiqua" w:hAnsi="Book Antiqua" w:cs="Times New Roman"/>
          <w:color w:val="000000" w:themeColor="text1"/>
          <w:sz w:val="24"/>
          <w:szCs w:val="24"/>
        </w:rPr>
        <w:t xml:space="preserve"> observed in opioids with full </w:t>
      </w:r>
      <w:proofErr w:type="spellStart"/>
      <w:r>
        <w:rPr>
          <w:rFonts w:ascii="Book Antiqua" w:hAnsi="Book Antiqua" w:cs="Times New Roman"/>
          <w:color w:val="000000" w:themeColor="text1"/>
          <w:sz w:val="24"/>
          <w:szCs w:val="24"/>
        </w:rPr>
        <w:t>agonism</w:t>
      </w:r>
      <w:proofErr w:type="spellEnd"/>
      <w:r>
        <w:rPr>
          <w:rFonts w:ascii="Book Antiqua" w:hAnsi="Book Antiqua" w:cs="Times New Roman"/>
          <w:color w:val="000000" w:themeColor="text1"/>
          <w:sz w:val="24"/>
          <w:szCs w:val="24"/>
        </w:rPr>
        <w:t xml:space="preserve">, such as </w:t>
      </w:r>
      <w:proofErr w:type="spellStart"/>
      <w:r>
        <w:rPr>
          <w:rFonts w:ascii="Book Antiqua" w:hAnsi="Book Antiqua" w:cs="Times New Roman"/>
          <w:color w:val="000000" w:themeColor="text1"/>
          <w:sz w:val="24"/>
          <w:szCs w:val="24"/>
        </w:rPr>
        <w:t>sufentan</w:t>
      </w:r>
      <w:r>
        <w:rPr>
          <w:rFonts w:ascii="Book Antiqua" w:hAnsi="Book Antiqua" w:cs="Times New Roman"/>
          <w:color w:val="000000" w:themeColor="text1"/>
          <w:sz w:val="24"/>
          <w:szCs w:val="24"/>
        </w:rPr>
        <w:t>il</w:t>
      </w:r>
      <w:proofErr w:type="spellEnd"/>
      <w:r>
        <w:rPr>
          <w:rFonts w:ascii="Book Antiqua" w:hAnsi="Book Antiqua" w:cs="Times New Roman"/>
          <w:color w:val="000000" w:themeColor="text1"/>
          <w:sz w:val="24"/>
          <w:szCs w:val="24"/>
        </w:rPr>
        <w:t xml:space="preserve"> and fentanyl, are significantly reduced.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however, exhibits a “ceiling effect” for respiratory depression (a notorious and fatal side effect caused by commonly used clinical opiates). In an </w:t>
      </w:r>
      <w:r>
        <w:rPr>
          <w:rFonts w:ascii="Book Antiqua" w:hAnsi="Book Antiqua" w:cs="Times New Roman"/>
          <w:i/>
          <w:color w:val="000000" w:themeColor="text1"/>
          <w:sz w:val="24"/>
          <w:szCs w:val="24"/>
        </w:rPr>
        <w:t>in vitro</w:t>
      </w:r>
      <w:r>
        <w:rPr>
          <w:rFonts w:ascii="Book Antiqua" w:hAnsi="Book Antiqua" w:cs="Times New Roman"/>
          <w:color w:val="000000" w:themeColor="text1"/>
          <w:sz w:val="24"/>
          <w:szCs w:val="24"/>
        </w:rPr>
        <w:t xml:space="preserve"> study,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inhibited norepinephrine and serotonin </w:t>
      </w:r>
      <w:r>
        <w:rPr>
          <w:rFonts w:ascii="Book Antiqua" w:hAnsi="Book Antiqua" w:cs="Times New Roman"/>
          <w:color w:val="000000" w:themeColor="text1"/>
          <w:sz w:val="24"/>
          <w:szCs w:val="24"/>
        </w:rPr>
        <w:lastRenderedPageBreak/>
        <w:t>reuptake in a concentration-dependent manner through two novel molecular targets (the norepinephrine transporter and serotonin transporter</w:t>
      </w:r>
      <w:proofErr w:type="gramStart"/>
      <w:r>
        <w:rPr>
          <w:rFonts w:ascii="Book Antiqua" w:hAnsi="Book Antiqua" w:cs="Times New Roman"/>
          <w:color w:val="000000" w:themeColor="text1"/>
          <w:sz w:val="24"/>
          <w:szCs w:val="24"/>
        </w:rPr>
        <w:t>)</w:t>
      </w:r>
      <w:r>
        <w:rPr>
          <w:rFonts w:ascii="Book Antiqua" w:hAnsi="Book Antiqua" w:cs="Times New Roman"/>
          <w:color w:val="000000" w:themeColor="text1"/>
          <w:sz w:val="24"/>
          <w:szCs w:val="24"/>
          <w:vertAlign w:val="superscript"/>
        </w:rPr>
        <w:t>[</w:t>
      </w:r>
      <w:proofErr w:type="gramEnd"/>
      <w:r>
        <w:rPr>
          <w:rFonts w:ascii="Book Antiqua" w:hAnsi="Book Antiqua" w:cs="Times New Roman"/>
          <w:color w:val="000000" w:themeColor="text1"/>
          <w:sz w:val="24"/>
          <w:szCs w:val="24"/>
          <w:vertAlign w:val="superscript"/>
        </w:rPr>
        <w:t>13]</w:t>
      </w:r>
      <w:r>
        <w:rPr>
          <w:rFonts w:ascii="Book Antiqua" w:hAnsi="Book Antiqua" w:cs="Times New Roman"/>
          <w:color w:val="000000" w:themeColor="text1"/>
          <w:sz w:val="24"/>
          <w:szCs w:val="24"/>
        </w:rPr>
        <w:t xml:space="preserve">. The interaction of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with three major opioid rec</w:t>
      </w:r>
      <w:r>
        <w:rPr>
          <w:rFonts w:ascii="Book Antiqua" w:hAnsi="Book Antiqua" w:cs="Times New Roman"/>
          <w:color w:val="000000" w:themeColor="text1"/>
          <w:sz w:val="24"/>
          <w:szCs w:val="24"/>
        </w:rPr>
        <w:t xml:space="preserve">eptors and two novel molecular targets helped to elucidate the mechanisms underlying the pharmacological effects of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eastAsia="Times-Roman" w:hAnsi="Book Antiqua" w:cs="Times New Roman"/>
          <w:color w:val="000000"/>
          <w:sz w:val="24"/>
          <w:szCs w:val="24"/>
        </w:rPr>
        <w:t xml:space="preserve">The major limitation of this study </w:t>
      </w:r>
      <w:r>
        <w:rPr>
          <w:rFonts w:ascii="Book Antiqua" w:hAnsi="Book Antiqua" w:cs="Times New Roman"/>
          <w:color w:val="000000" w:themeColor="text1"/>
          <w:sz w:val="24"/>
          <w:szCs w:val="24"/>
        </w:rPr>
        <w:t>was its single-</w:t>
      </w:r>
      <w:proofErr w:type="spellStart"/>
      <w:r>
        <w:rPr>
          <w:rFonts w:ascii="Book Antiqua" w:hAnsi="Book Antiqua" w:cs="Times New Roman"/>
          <w:color w:val="000000" w:themeColor="text1"/>
          <w:sz w:val="24"/>
          <w:szCs w:val="24"/>
        </w:rPr>
        <w:t>center</w:t>
      </w:r>
      <w:proofErr w:type="spellEnd"/>
      <w:r>
        <w:rPr>
          <w:rFonts w:ascii="Book Antiqua" w:hAnsi="Book Antiqua" w:cs="Times New Roman"/>
          <w:color w:val="000000" w:themeColor="text1"/>
          <w:sz w:val="24"/>
          <w:szCs w:val="24"/>
        </w:rPr>
        <w:t xml:space="preserve"> design, which may limit the generalizability of the results. Therefore, </w:t>
      </w:r>
      <w:proofErr w:type="spellStart"/>
      <w:r>
        <w:rPr>
          <w:rFonts w:ascii="Book Antiqua" w:hAnsi="Book Antiqua" w:cs="Times New Roman"/>
          <w:color w:val="000000" w:themeColor="text1"/>
          <w:sz w:val="24"/>
          <w:szCs w:val="24"/>
        </w:rPr>
        <w:t>m</w:t>
      </w:r>
      <w:r>
        <w:rPr>
          <w:rFonts w:ascii="Book Antiqua" w:hAnsi="Book Antiqua" w:cs="Times New Roman"/>
          <w:color w:val="000000" w:themeColor="text1"/>
          <w:sz w:val="24"/>
          <w:szCs w:val="24"/>
        </w:rPr>
        <w:t>ulticenter</w:t>
      </w:r>
      <w:proofErr w:type="spellEnd"/>
      <w:r>
        <w:rPr>
          <w:rFonts w:ascii="Book Antiqua" w:hAnsi="Book Antiqua" w:cs="Times New Roman"/>
          <w:color w:val="000000" w:themeColor="text1"/>
          <w:sz w:val="24"/>
          <w:szCs w:val="24"/>
        </w:rPr>
        <w:t xml:space="preserve">, prospective, randomized studies will be needed to further assess the clinical effect of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in painless gastroscopy and colonoscopy.</w:t>
      </w:r>
    </w:p>
    <w:p w:rsidR="00A35F10" w:rsidRDefault="00210629">
      <w:pPr>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In conclusion, this study demonstrated that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with </w:t>
      </w:r>
      <w:proofErr w:type="spellStart"/>
      <w:r>
        <w:rPr>
          <w:rFonts w:ascii="Book Antiqua" w:hAnsi="Book Antiqua" w:cs="Times New Roman"/>
          <w:color w:val="000000" w:themeColor="text1"/>
          <w:sz w:val="24"/>
          <w:szCs w:val="24"/>
        </w:rPr>
        <w:t>propofol</w:t>
      </w:r>
      <w:proofErr w:type="spellEnd"/>
      <w:r>
        <w:rPr>
          <w:rFonts w:ascii="Book Antiqua" w:hAnsi="Book Antiqua" w:cs="Times New Roman"/>
          <w:color w:val="000000" w:themeColor="text1"/>
          <w:sz w:val="24"/>
          <w:szCs w:val="24"/>
        </w:rPr>
        <w:t xml:space="preserve"> combined with </w:t>
      </w:r>
      <w:proofErr w:type="spellStart"/>
      <w:r>
        <w:rPr>
          <w:rFonts w:ascii="Book Antiqua" w:hAnsi="Book Antiqua" w:cs="Times New Roman"/>
          <w:color w:val="000000" w:themeColor="text1"/>
          <w:sz w:val="24"/>
          <w:szCs w:val="24"/>
        </w:rPr>
        <w:t>dezocine</w:t>
      </w:r>
      <w:proofErr w:type="spellEnd"/>
      <w:r>
        <w:rPr>
          <w:rFonts w:ascii="Book Antiqua" w:hAnsi="Book Antiqua" w:cs="Times New Roman"/>
          <w:color w:val="000000" w:themeColor="text1"/>
          <w:sz w:val="24"/>
          <w:szCs w:val="24"/>
        </w:rPr>
        <w:t xml:space="preserve"> is an adequate regimen of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 xml:space="preserve"> and analgesia for gastroscopy and colonoscopy, which can increase the patient cooperation, quality and safety of the examination and treatment, and patient and physician satisfaction with </w:t>
      </w:r>
      <w:proofErr w:type="spellStart"/>
      <w:r>
        <w:rPr>
          <w:rFonts w:ascii="Book Antiqua" w:hAnsi="Book Antiqua" w:cs="Times New Roman"/>
          <w:color w:val="000000" w:themeColor="text1"/>
          <w:sz w:val="24"/>
          <w:szCs w:val="24"/>
        </w:rPr>
        <w:t>anesthesia</w:t>
      </w:r>
      <w:proofErr w:type="spellEnd"/>
      <w:r>
        <w:rPr>
          <w:rFonts w:ascii="Book Antiqua" w:hAnsi="Book Antiqua" w:cs="Times New Roman"/>
          <w:color w:val="000000" w:themeColor="text1"/>
          <w:sz w:val="24"/>
          <w:szCs w:val="24"/>
        </w:rPr>
        <w:t>.</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210629">
      <w:pPr>
        <w:snapToGrid w:val="0"/>
        <w:spacing w:after="0" w:line="360" w:lineRule="auto"/>
        <w:jc w:val="both"/>
        <w:rPr>
          <w:rFonts w:ascii="Book Antiqua" w:hAnsi="Book Antiqua" w:cs="Times New Roman"/>
          <w:b/>
          <w:caps/>
          <w:sz w:val="24"/>
          <w:szCs w:val="24"/>
        </w:rPr>
      </w:pPr>
      <w:r>
        <w:rPr>
          <w:rFonts w:ascii="Book Antiqua" w:hAnsi="Book Antiqua" w:cs="Times New Roman"/>
          <w:b/>
          <w:caps/>
          <w:sz w:val="24"/>
          <w:szCs w:val="24"/>
          <w:shd w:val="clear" w:color="auto" w:fill="FFFFFF"/>
        </w:rPr>
        <w:t>Article H</w:t>
      </w:r>
      <w:r>
        <w:rPr>
          <w:rFonts w:ascii="Book Antiqua" w:hAnsi="Book Antiqua" w:cs="Times New Roman"/>
          <w:b/>
          <w:caps/>
          <w:sz w:val="24"/>
          <w:szCs w:val="24"/>
          <w:shd w:val="clear" w:color="auto" w:fill="FFFFFF"/>
        </w:rPr>
        <w:t>ighlights</w:t>
      </w: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background</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Endoscopy is usually associated with severe adverse reactions.</w:t>
      </w:r>
    </w:p>
    <w:p w:rsidR="00A35F10" w:rsidRDefault="00A35F10">
      <w:pPr>
        <w:adjustRightInd w:val="0"/>
        <w:snapToGrid w:val="0"/>
        <w:spacing w:after="0" w:line="360" w:lineRule="auto"/>
        <w:jc w:val="both"/>
        <w:rPr>
          <w:rFonts w:ascii="Book Antiqua" w:hAnsi="Book Antiqua" w:cs="Times New Roman"/>
          <w:b/>
          <w:i/>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motivation</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The optimal methods for inducing analgesia and sedation in endoscopy are areas of ongoing debate.</w:t>
      </w:r>
    </w:p>
    <w:p w:rsidR="00A35F10" w:rsidRDefault="00A35F10">
      <w:pPr>
        <w:adjustRightInd w:val="0"/>
        <w:snapToGrid w:val="0"/>
        <w:spacing w:after="0" w:line="360" w:lineRule="auto"/>
        <w:jc w:val="both"/>
        <w:rPr>
          <w:rFonts w:ascii="Book Antiqua" w:hAnsi="Book Antiqua" w:cs="Times New Roman"/>
          <w:b/>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objectives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To evaluate the effects</w:t>
      </w:r>
      <w:r>
        <w:rPr>
          <w:rFonts w:ascii="Book Antiqua" w:hAnsi="Book Antiqua" w:cs="Times New Roman"/>
          <w:bCs/>
          <w:iCs/>
          <w:color w:val="000000"/>
          <w:sz w:val="24"/>
          <w:szCs w:val="24"/>
        </w:rPr>
        <w:t xml:space="preserve"> of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combined with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w:t>
      </w:r>
      <w:proofErr w:type="spellStart"/>
      <w:r>
        <w:rPr>
          <w:rFonts w:ascii="Book Antiqua" w:hAnsi="Book Antiqua" w:cs="Times New Roman"/>
          <w:bCs/>
          <w:iCs/>
          <w:color w:val="000000"/>
          <w:sz w:val="24"/>
          <w:szCs w:val="24"/>
        </w:rPr>
        <w:t>sufentanil</w:t>
      </w:r>
      <w:proofErr w:type="spellEnd"/>
      <w:r>
        <w:rPr>
          <w:rFonts w:ascii="Book Antiqua" w:hAnsi="Book Antiqua" w:cs="Times New Roman"/>
          <w:bCs/>
          <w:iCs/>
          <w:color w:val="000000"/>
          <w:sz w:val="24"/>
          <w:szCs w:val="24"/>
        </w:rPr>
        <w:t>, or fentanyl in painless gastroscopy and colonoscopy.</w:t>
      </w:r>
    </w:p>
    <w:p w:rsidR="00A35F10" w:rsidRDefault="00A35F10">
      <w:pPr>
        <w:adjustRightInd w:val="0"/>
        <w:snapToGrid w:val="0"/>
        <w:spacing w:after="0" w:line="360" w:lineRule="auto"/>
        <w:jc w:val="both"/>
        <w:rPr>
          <w:rFonts w:ascii="Book Antiqua" w:hAnsi="Book Antiqua" w:cs="Times New Roman"/>
          <w:bCs/>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methods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 xml:space="preserve">Patients were randomly assigned to one of four groups for </w:t>
      </w: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 xml:space="preserve">: intravenous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w:t>
      </w:r>
      <w:proofErr w:type="spellStart"/>
      <w:r>
        <w:rPr>
          <w:rFonts w:ascii="Book Antiqua" w:hAnsi="Book Antiqua" w:cs="Times New Roman"/>
          <w:bCs/>
          <w:iCs/>
          <w:color w:val="000000"/>
          <w:sz w:val="24"/>
          <w:szCs w:val="24"/>
        </w:rPr>
        <w:t>sufentanil</w:t>
      </w:r>
      <w:proofErr w:type="spellEnd"/>
      <w:r>
        <w:rPr>
          <w:rFonts w:ascii="Book Antiqua" w:hAnsi="Book Antiqua" w:cs="Times New Roman"/>
          <w:bCs/>
          <w:iCs/>
          <w:color w:val="000000"/>
          <w:sz w:val="24"/>
          <w:szCs w:val="24"/>
        </w:rPr>
        <w:t>, fentanyl, or saline.</w:t>
      </w:r>
    </w:p>
    <w:p w:rsidR="00A35F10" w:rsidRDefault="00A35F10">
      <w:pPr>
        <w:adjustRightInd w:val="0"/>
        <w:snapToGrid w:val="0"/>
        <w:spacing w:after="0" w:line="360" w:lineRule="auto"/>
        <w:jc w:val="both"/>
        <w:rPr>
          <w:rFonts w:ascii="Book Antiqua" w:hAnsi="Book Antiqua" w:cs="Times New Roman"/>
          <w:bCs/>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r</w:t>
      </w:r>
      <w:r>
        <w:rPr>
          <w:rFonts w:ascii="Book Antiqua" w:hAnsi="Book Antiqua" w:cs="Times New Roman"/>
          <w:b/>
          <w:i/>
          <w:color w:val="000000"/>
          <w:sz w:val="24"/>
          <w:szCs w:val="24"/>
        </w:rPr>
        <w:t>esults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proofErr w:type="spellStart"/>
      <w:r>
        <w:rPr>
          <w:rFonts w:ascii="Book Antiqua" w:hAnsi="Book Antiqua" w:cs="Times New Roman"/>
          <w:bCs/>
          <w:iCs/>
          <w:color w:val="000000"/>
          <w:sz w:val="24"/>
          <w:szCs w:val="24"/>
        </w:rPr>
        <w:lastRenderedPageBreak/>
        <w:t>Propofol</w:t>
      </w:r>
      <w:proofErr w:type="spellEnd"/>
      <w:r>
        <w:rPr>
          <w:rFonts w:ascii="Book Antiqua" w:hAnsi="Book Antiqua" w:cs="Times New Roman"/>
          <w:bCs/>
          <w:iCs/>
          <w:color w:val="000000"/>
          <w:sz w:val="24"/>
          <w:szCs w:val="24"/>
        </w:rPr>
        <w:t xml:space="preserve"> dosage, </w:t>
      </w:r>
      <w:proofErr w:type="spellStart"/>
      <w:r>
        <w:rPr>
          <w:rFonts w:ascii="Book Antiqua" w:hAnsi="Book Antiqua" w:cs="Times New Roman"/>
          <w:bCs/>
          <w:iCs/>
          <w:color w:val="000000"/>
          <w:sz w:val="24"/>
          <w:szCs w:val="24"/>
        </w:rPr>
        <w:t>bispectral</w:t>
      </w:r>
      <w:proofErr w:type="spellEnd"/>
      <w:r>
        <w:rPr>
          <w:rFonts w:ascii="Book Antiqua" w:hAnsi="Book Antiqua" w:cs="Times New Roman"/>
          <w:bCs/>
          <w:iCs/>
          <w:color w:val="000000"/>
          <w:sz w:val="24"/>
          <w:szCs w:val="24"/>
        </w:rPr>
        <w:t xml:space="preserve"> index, Steward score, awakening time, postoperative pain score, mean arterial pressure, pulse oxygen saturation, rates of hypopnea, jaw thrust, body movements, and usage of vasoactive drugs in the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group were </w:t>
      </w:r>
      <w:r>
        <w:rPr>
          <w:rFonts w:ascii="Book Antiqua" w:hAnsi="Book Antiqua" w:cs="Times New Roman"/>
          <w:bCs/>
          <w:iCs/>
          <w:color w:val="000000"/>
          <w:sz w:val="24"/>
          <w:szCs w:val="24"/>
        </w:rPr>
        <w:t>significantly better than those of the other three groups.</w:t>
      </w:r>
    </w:p>
    <w:p w:rsidR="00A35F10" w:rsidRDefault="00A35F10">
      <w:pPr>
        <w:adjustRightInd w:val="0"/>
        <w:snapToGrid w:val="0"/>
        <w:spacing w:after="0" w:line="360" w:lineRule="auto"/>
        <w:jc w:val="both"/>
        <w:rPr>
          <w:rFonts w:ascii="Book Antiqua" w:hAnsi="Book Antiqua" w:cs="Times New Roman"/>
          <w:b/>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conclusions</w:t>
      </w:r>
    </w:p>
    <w:p w:rsidR="00A35F10" w:rsidRDefault="00210629">
      <w:pPr>
        <w:adjustRightInd w:val="0"/>
        <w:snapToGrid w:val="0"/>
        <w:spacing w:after="0" w:line="360" w:lineRule="auto"/>
        <w:jc w:val="both"/>
        <w:rPr>
          <w:rFonts w:ascii="Book Antiqua" w:hAnsi="Book Antiqua" w:cs="Times New Roman"/>
          <w:bCs/>
          <w:iCs/>
          <w:color w:val="000000"/>
          <w:sz w:val="24"/>
          <w:szCs w:val="24"/>
        </w:rPr>
      </w:pPr>
      <w:r>
        <w:rPr>
          <w:rFonts w:ascii="Book Antiqua" w:hAnsi="Book Antiqua" w:cs="Times New Roman"/>
          <w:bCs/>
          <w:iCs/>
          <w:color w:val="000000"/>
          <w:sz w:val="24"/>
          <w:szCs w:val="24"/>
        </w:rPr>
        <w:t xml:space="preserve">The combination of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and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can decrease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dosage, reduce the risk for the development of inhibitory effects on the respiratory and cardiovascular systems,</w:t>
      </w:r>
      <w:r>
        <w:rPr>
          <w:rFonts w:ascii="Book Antiqua" w:hAnsi="Book Antiqua" w:cs="Times New Roman"/>
          <w:bCs/>
          <w:iCs/>
          <w:color w:val="000000"/>
          <w:sz w:val="24"/>
          <w:szCs w:val="24"/>
        </w:rPr>
        <w:t xml:space="preserve"> increase analgesic effect, decrease body movement, shorten awakening time, and improve awakening quality.</w:t>
      </w:r>
    </w:p>
    <w:p w:rsidR="00A35F10" w:rsidRDefault="00A35F10">
      <w:pPr>
        <w:adjustRightInd w:val="0"/>
        <w:snapToGrid w:val="0"/>
        <w:spacing w:after="0" w:line="360" w:lineRule="auto"/>
        <w:jc w:val="both"/>
        <w:rPr>
          <w:rFonts w:ascii="Book Antiqua" w:hAnsi="Book Antiqua" w:cs="Times New Roman"/>
          <w:bCs/>
          <w:iCs/>
          <w:color w:val="000000"/>
          <w:sz w:val="24"/>
          <w:szCs w:val="24"/>
        </w:rPr>
      </w:pPr>
    </w:p>
    <w:p w:rsidR="00A35F10" w:rsidRDefault="00210629">
      <w:pPr>
        <w:adjustRightInd w:val="0"/>
        <w:snapToGrid w:val="0"/>
        <w:spacing w:after="0" w:line="360" w:lineRule="auto"/>
        <w:jc w:val="both"/>
        <w:rPr>
          <w:rFonts w:ascii="Book Antiqua" w:hAnsi="Book Antiqua" w:cs="Times New Roman"/>
          <w:b/>
          <w:i/>
          <w:color w:val="000000"/>
          <w:sz w:val="24"/>
          <w:szCs w:val="24"/>
        </w:rPr>
      </w:pPr>
      <w:r>
        <w:rPr>
          <w:rFonts w:ascii="Book Antiqua" w:hAnsi="Book Antiqua" w:cs="Times New Roman"/>
          <w:b/>
          <w:i/>
          <w:color w:val="000000"/>
          <w:sz w:val="24"/>
          <w:szCs w:val="24"/>
        </w:rPr>
        <w:t>Research perspectives</w:t>
      </w:r>
    </w:p>
    <w:p w:rsidR="00A35F10" w:rsidRDefault="00210629">
      <w:pPr>
        <w:adjustRightInd w:val="0"/>
        <w:snapToGrid w:val="0"/>
        <w:spacing w:after="0" w:line="360" w:lineRule="auto"/>
        <w:jc w:val="both"/>
        <w:rPr>
          <w:rFonts w:ascii="Book Antiqua" w:hAnsi="Book Antiqua" w:cs="Times New Roman"/>
          <w:b/>
          <w:iCs/>
          <w:color w:val="000000"/>
          <w:sz w:val="24"/>
          <w:szCs w:val="24"/>
        </w:rPr>
      </w:pP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 xml:space="preserve"> with </w:t>
      </w:r>
      <w:proofErr w:type="spellStart"/>
      <w:r>
        <w:rPr>
          <w:rFonts w:ascii="Book Antiqua" w:hAnsi="Book Antiqua" w:cs="Times New Roman"/>
          <w:bCs/>
          <w:iCs/>
          <w:color w:val="000000"/>
          <w:sz w:val="24"/>
          <w:szCs w:val="24"/>
        </w:rPr>
        <w:t>propofol</w:t>
      </w:r>
      <w:proofErr w:type="spellEnd"/>
      <w:r>
        <w:rPr>
          <w:rFonts w:ascii="Book Antiqua" w:hAnsi="Book Antiqua" w:cs="Times New Roman"/>
          <w:bCs/>
          <w:iCs/>
          <w:color w:val="000000"/>
          <w:sz w:val="24"/>
          <w:szCs w:val="24"/>
        </w:rPr>
        <w:t xml:space="preserve"> combined with </w:t>
      </w:r>
      <w:proofErr w:type="spellStart"/>
      <w:r>
        <w:rPr>
          <w:rFonts w:ascii="Book Antiqua" w:hAnsi="Book Antiqua" w:cs="Times New Roman"/>
          <w:bCs/>
          <w:iCs/>
          <w:color w:val="000000"/>
          <w:sz w:val="24"/>
          <w:szCs w:val="24"/>
        </w:rPr>
        <w:t>dezocine</w:t>
      </w:r>
      <w:proofErr w:type="spellEnd"/>
      <w:r>
        <w:rPr>
          <w:rFonts w:ascii="Book Antiqua" w:hAnsi="Book Antiqua" w:cs="Times New Roman"/>
          <w:bCs/>
          <w:iCs/>
          <w:color w:val="000000"/>
          <w:sz w:val="24"/>
          <w:szCs w:val="24"/>
        </w:rPr>
        <w:t xml:space="preserve"> is an adequate regimen of </w:t>
      </w: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 xml:space="preserve"> and analgesia for gastroscopy and colonos</w:t>
      </w:r>
      <w:r>
        <w:rPr>
          <w:rFonts w:ascii="Book Antiqua" w:hAnsi="Book Antiqua" w:cs="Times New Roman"/>
          <w:bCs/>
          <w:iCs/>
          <w:color w:val="000000"/>
          <w:sz w:val="24"/>
          <w:szCs w:val="24"/>
        </w:rPr>
        <w:t xml:space="preserve">copy, which can increase the patient cooperation, quality and safety of the examination and treatment, and patient and physician satisfaction with </w:t>
      </w:r>
      <w:proofErr w:type="spellStart"/>
      <w:r>
        <w:rPr>
          <w:rFonts w:ascii="Book Antiqua" w:hAnsi="Book Antiqua" w:cs="Times New Roman"/>
          <w:bCs/>
          <w:iCs/>
          <w:color w:val="000000"/>
          <w:sz w:val="24"/>
          <w:szCs w:val="24"/>
        </w:rPr>
        <w:t>anesthesia</w:t>
      </w:r>
      <w:proofErr w:type="spellEnd"/>
      <w:r>
        <w:rPr>
          <w:rFonts w:ascii="Book Antiqua" w:hAnsi="Book Antiqua" w:cs="Times New Roman"/>
          <w:bCs/>
          <w:iCs/>
          <w:color w:val="000000"/>
          <w:sz w:val="24"/>
          <w:szCs w:val="24"/>
        </w:rPr>
        <w:t>.</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210629">
      <w:pPr>
        <w:spacing w:after="0" w:line="360" w:lineRule="auto"/>
        <w:jc w:val="both"/>
        <w:rPr>
          <w:rStyle w:val="ad"/>
          <w:rFonts w:ascii="Book Antiqua" w:hAnsi="Book Antiqua" w:cs="Times New Roman"/>
          <w:sz w:val="24"/>
          <w:szCs w:val="24"/>
        </w:rPr>
      </w:pPr>
      <w:r>
        <w:rPr>
          <w:rFonts w:ascii="Book Antiqua" w:hAnsi="Book Antiqua" w:cs="Times New Roman"/>
          <w:b/>
          <w:bCs/>
          <w:color w:val="000000" w:themeColor="text1"/>
          <w:sz w:val="24"/>
          <w:szCs w:val="24"/>
        </w:rPr>
        <w:t>ACKNOWLEDGEMENTS</w:t>
      </w:r>
    </w:p>
    <w:p w:rsidR="00A35F10" w:rsidRDefault="00210629">
      <w:pPr>
        <w:spacing w:after="0" w:line="360" w:lineRule="auto"/>
        <w:jc w:val="both"/>
        <w:rPr>
          <w:rStyle w:val="ad"/>
          <w:rFonts w:ascii="Book Antiqua" w:hAnsi="Book Antiqua" w:cs="Times New Roman"/>
          <w:sz w:val="24"/>
          <w:szCs w:val="24"/>
          <w:lang w:eastAsia="zh-CN"/>
        </w:rPr>
      </w:pPr>
      <w:bookmarkStart w:id="56" w:name="OLE_LINK39"/>
      <w:r>
        <w:rPr>
          <w:rStyle w:val="ad"/>
          <w:rFonts w:ascii="Book Antiqua" w:hAnsi="Book Antiqua" w:cs="Times New Roman"/>
          <w:sz w:val="24"/>
          <w:szCs w:val="24"/>
        </w:rPr>
        <w:t xml:space="preserve">The authors are grateful to their colleagues in the Department of Gastroenterology </w:t>
      </w:r>
      <w:r>
        <w:rPr>
          <w:rFonts w:ascii="Book Antiqua" w:hAnsi="Book Antiqua" w:cs="Times New Roman"/>
          <w:color w:val="000000"/>
          <w:sz w:val="24"/>
          <w:szCs w:val="24"/>
        </w:rPr>
        <w:t>for their help</w:t>
      </w:r>
      <w:r>
        <w:rPr>
          <w:rStyle w:val="ad"/>
          <w:rFonts w:ascii="Book Antiqua" w:hAnsi="Book Antiqua" w:cs="Times New Roman"/>
          <w:sz w:val="24"/>
          <w:szCs w:val="24"/>
        </w:rPr>
        <w:t>.</w:t>
      </w:r>
      <w:bookmarkEnd w:id="56"/>
    </w:p>
    <w:p w:rsidR="00A35F10" w:rsidRDefault="00A35F10">
      <w:pPr>
        <w:spacing w:after="0" w:line="360" w:lineRule="auto"/>
        <w:jc w:val="both"/>
        <w:rPr>
          <w:rFonts w:ascii="Book Antiqua" w:hAnsi="Book Antiqua" w:cs="Times New Roman"/>
          <w:b/>
          <w:bCs/>
          <w:color w:val="000000" w:themeColor="text1"/>
          <w:sz w:val="24"/>
          <w:szCs w:val="24"/>
          <w:lang w:eastAsia="zh-CN"/>
        </w:rPr>
      </w:pPr>
    </w:p>
    <w:p w:rsidR="00A35F10" w:rsidRDefault="00210629">
      <w:pPr>
        <w:numPr>
          <w:ilvl w:val="255"/>
          <w:numId w:val="0"/>
        </w:num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REFERENCES</w:t>
      </w:r>
    </w:p>
    <w:p w:rsidR="00A35F10" w:rsidRDefault="00210629">
      <w:pPr>
        <w:spacing w:after="0" w:line="360" w:lineRule="auto"/>
        <w:jc w:val="both"/>
        <w:rPr>
          <w:rFonts w:ascii="Book Antiqua" w:eastAsiaTheme="minorEastAsia" w:hAnsi="Book Antiqua" w:cstheme="minorBidi"/>
          <w:sz w:val="24"/>
          <w:szCs w:val="24"/>
        </w:rPr>
      </w:pPr>
      <w:r>
        <w:rPr>
          <w:rFonts w:ascii="Book Antiqua" w:hAnsi="Book Antiqua"/>
          <w:sz w:val="24"/>
          <w:szCs w:val="24"/>
        </w:rPr>
        <w:t xml:space="preserve">1 </w:t>
      </w:r>
      <w:r>
        <w:rPr>
          <w:rFonts w:ascii="Book Antiqua" w:hAnsi="Book Antiqua"/>
          <w:b/>
          <w:sz w:val="24"/>
          <w:szCs w:val="24"/>
        </w:rPr>
        <w:t>Kim JH</w:t>
      </w:r>
      <w:r>
        <w:rPr>
          <w:rFonts w:ascii="Book Antiqua" w:hAnsi="Book Antiqua"/>
          <w:sz w:val="24"/>
          <w:szCs w:val="24"/>
        </w:rPr>
        <w:t xml:space="preserve">, </w:t>
      </w:r>
      <w:proofErr w:type="spellStart"/>
      <w:r>
        <w:rPr>
          <w:rFonts w:ascii="Book Antiqua" w:hAnsi="Book Antiqua"/>
          <w:sz w:val="24"/>
          <w:szCs w:val="24"/>
        </w:rPr>
        <w:t>Eun</w:t>
      </w:r>
      <w:proofErr w:type="spellEnd"/>
      <w:r>
        <w:rPr>
          <w:rFonts w:ascii="Book Antiqua" w:hAnsi="Book Antiqua"/>
          <w:sz w:val="24"/>
          <w:szCs w:val="24"/>
        </w:rPr>
        <w:t xml:space="preserve"> HW, Hong SS, </w:t>
      </w:r>
      <w:proofErr w:type="spellStart"/>
      <w:r>
        <w:rPr>
          <w:rFonts w:ascii="Book Antiqua" w:hAnsi="Book Antiqua"/>
          <w:sz w:val="24"/>
          <w:szCs w:val="24"/>
        </w:rPr>
        <w:t>Auh</w:t>
      </w:r>
      <w:proofErr w:type="spellEnd"/>
      <w:r>
        <w:rPr>
          <w:rFonts w:ascii="Book Antiqua" w:hAnsi="Book Antiqua"/>
          <w:sz w:val="24"/>
          <w:szCs w:val="24"/>
        </w:rPr>
        <w:t xml:space="preserve"> YH. Early gastric cancer: virtual gastroscopy. </w:t>
      </w:r>
      <w:proofErr w:type="spellStart"/>
      <w:r>
        <w:rPr>
          <w:rFonts w:ascii="Book Antiqua" w:hAnsi="Book Antiqua"/>
          <w:i/>
          <w:sz w:val="24"/>
          <w:szCs w:val="24"/>
        </w:rPr>
        <w:t>Abdom</w:t>
      </w:r>
      <w:proofErr w:type="spellEnd"/>
      <w:r>
        <w:rPr>
          <w:rFonts w:ascii="Book Antiqua" w:hAnsi="Book Antiqua"/>
          <w:i/>
          <w:sz w:val="24"/>
          <w:szCs w:val="24"/>
        </w:rPr>
        <w:t xml:space="preserve"> Imaging</w:t>
      </w:r>
      <w:r>
        <w:rPr>
          <w:rFonts w:ascii="Book Antiqua" w:hAnsi="Book Antiqua"/>
          <w:sz w:val="24"/>
          <w:szCs w:val="24"/>
        </w:rPr>
        <w:t xml:space="preserve"> 2006; </w:t>
      </w:r>
      <w:r>
        <w:rPr>
          <w:rFonts w:ascii="Book Antiqua" w:hAnsi="Book Antiqua"/>
          <w:b/>
          <w:sz w:val="24"/>
          <w:szCs w:val="24"/>
        </w:rPr>
        <w:t>31</w:t>
      </w:r>
      <w:r>
        <w:rPr>
          <w:rFonts w:ascii="Book Antiqua" w:hAnsi="Book Antiqua"/>
          <w:sz w:val="24"/>
          <w:szCs w:val="24"/>
        </w:rPr>
        <w:t>: 507-513 [PMID: 16465579 DOI: 10.1007/s00261</w:t>
      </w:r>
      <w:r>
        <w:rPr>
          <w:rFonts w:ascii="Book Antiqua" w:hAnsi="Book Antiqua"/>
          <w:sz w:val="24"/>
          <w:szCs w:val="24"/>
        </w:rPr>
        <w:t>-005-0183-1]</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Liu J</w:t>
      </w:r>
      <w:r>
        <w:rPr>
          <w:rFonts w:ascii="Book Antiqua" w:hAnsi="Book Antiqua"/>
          <w:sz w:val="24"/>
          <w:szCs w:val="24"/>
        </w:rPr>
        <w:t xml:space="preserve">, Wang B, Hu W, Sun P, Li J, </w:t>
      </w:r>
      <w:proofErr w:type="spellStart"/>
      <w:r>
        <w:rPr>
          <w:rFonts w:ascii="Book Antiqua" w:hAnsi="Book Antiqua"/>
          <w:sz w:val="24"/>
          <w:szCs w:val="24"/>
        </w:rPr>
        <w:t>Duan</w:t>
      </w:r>
      <w:proofErr w:type="spellEnd"/>
      <w:r>
        <w:rPr>
          <w:rFonts w:ascii="Book Antiqua" w:hAnsi="Book Antiqua"/>
          <w:sz w:val="24"/>
          <w:szCs w:val="24"/>
        </w:rPr>
        <w:t xml:space="preserve"> H, Si J. Global and Local Panoramic Views for Gastroscopy: An Assisted Method of Gastroscopic Lesion Surveillance. </w:t>
      </w:r>
      <w:r>
        <w:rPr>
          <w:rFonts w:ascii="Book Antiqua" w:hAnsi="Book Antiqua"/>
          <w:i/>
          <w:sz w:val="24"/>
          <w:szCs w:val="24"/>
        </w:rPr>
        <w:t xml:space="preserve">IEEE Trans Biomed </w:t>
      </w:r>
      <w:proofErr w:type="spellStart"/>
      <w:r>
        <w:rPr>
          <w:rFonts w:ascii="Book Antiqua" w:hAnsi="Book Antiqua"/>
          <w:i/>
          <w:sz w:val="24"/>
          <w:szCs w:val="24"/>
        </w:rPr>
        <w:t>Eng</w:t>
      </w:r>
      <w:proofErr w:type="spellEnd"/>
      <w:r>
        <w:rPr>
          <w:rFonts w:ascii="Book Antiqua" w:hAnsi="Book Antiqua"/>
          <w:sz w:val="24"/>
          <w:szCs w:val="24"/>
        </w:rPr>
        <w:t xml:space="preserve"> 2015; </w:t>
      </w:r>
      <w:r>
        <w:rPr>
          <w:rFonts w:ascii="Book Antiqua" w:hAnsi="Book Antiqua"/>
          <w:b/>
          <w:sz w:val="24"/>
          <w:szCs w:val="24"/>
        </w:rPr>
        <w:t>62</w:t>
      </w:r>
      <w:r>
        <w:rPr>
          <w:rFonts w:ascii="Book Antiqua" w:hAnsi="Book Antiqua"/>
          <w:sz w:val="24"/>
          <w:szCs w:val="24"/>
        </w:rPr>
        <w:t xml:space="preserve">: 2296-2307 [PMID: 25910000 DOI: </w:t>
      </w:r>
      <w:r>
        <w:rPr>
          <w:rFonts w:ascii="Book Antiqua" w:hAnsi="Book Antiqua"/>
          <w:sz w:val="24"/>
          <w:szCs w:val="24"/>
        </w:rPr>
        <w:t>10.1109/TBME.2015.2424438]</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3 </w:t>
      </w:r>
      <w:proofErr w:type="spellStart"/>
      <w:r>
        <w:rPr>
          <w:rFonts w:ascii="Book Antiqua" w:hAnsi="Book Antiqua"/>
          <w:b/>
          <w:sz w:val="24"/>
          <w:szCs w:val="24"/>
        </w:rPr>
        <w:t>Triantafillidis</w:t>
      </w:r>
      <w:proofErr w:type="spellEnd"/>
      <w:r>
        <w:rPr>
          <w:rFonts w:ascii="Book Antiqua" w:hAnsi="Book Antiqua"/>
          <w:b/>
          <w:sz w:val="24"/>
          <w:szCs w:val="24"/>
        </w:rPr>
        <w:t xml:space="preserve"> JK</w:t>
      </w:r>
      <w:r>
        <w:rPr>
          <w:rFonts w:ascii="Book Antiqua" w:hAnsi="Book Antiqua"/>
          <w:sz w:val="24"/>
          <w:szCs w:val="24"/>
        </w:rPr>
        <w:t xml:space="preserve">, </w:t>
      </w:r>
      <w:proofErr w:type="spellStart"/>
      <w:r>
        <w:rPr>
          <w:rFonts w:ascii="Book Antiqua" w:hAnsi="Book Antiqua"/>
          <w:sz w:val="24"/>
          <w:szCs w:val="24"/>
        </w:rPr>
        <w:t>Merikas</w:t>
      </w:r>
      <w:proofErr w:type="spellEnd"/>
      <w:r>
        <w:rPr>
          <w:rFonts w:ascii="Book Antiqua" w:hAnsi="Book Antiqua"/>
          <w:sz w:val="24"/>
          <w:szCs w:val="24"/>
        </w:rPr>
        <w:t xml:space="preserve"> E, </w:t>
      </w:r>
      <w:proofErr w:type="spellStart"/>
      <w:r>
        <w:rPr>
          <w:rFonts w:ascii="Book Antiqua" w:hAnsi="Book Antiqua"/>
          <w:sz w:val="24"/>
          <w:szCs w:val="24"/>
        </w:rPr>
        <w:t>Nikolakis</w:t>
      </w:r>
      <w:proofErr w:type="spellEnd"/>
      <w:r>
        <w:rPr>
          <w:rFonts w:ascii="Book Antiqua" w:hAnsi="Book Antiqua"/>
          <w:sz w:val="24"/>
          <w:szCs w:val="24"/>
        </w:rPr>
        <w:t xml:space="preserve"> D, </w:t>
      </w:r>
      <w:proofErr w:type="spellStart"/>
      <w:r>
        <w:rPr>
          <w:rFonts w:ascii="Book Antiqua" w:hAnsi="Book Antiqua"/>
          <w:sz w:val="24"/>
          <w:szCs w:val="24"/>
        </w:rPr>
        <w:t>Papalois</w:t>
      </w:r>
      <w:proofErr w:type="spellEnd"/>
      <w:r>
        <w:rPr>
          <w:rFonts w:ascii="Book Antiqua" w:hAnsi="Book Antiqua"/>
          <w:sz w:val="24"/>
          <w:szCs w:val="24"/>
        </w:rPr>
        <w:t xml:space="preserve"> AE. Sedation in gastrointestinal endoscopy: current issues.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2013; </w:t>
      </w:r>
      <w:r>
        <w:rPr>
          <w:rFonts w:ascii="Book Antiqua" w:hAnsi="Book Antiqua"/>
          <w:b/>
          <w:sz w:val="24"/>
          <w:szCs w:val="24"/>
        </w:rPr>
        <w:t>19</w:t>
      </w:r>
      <w:r>
        <w:rPr>
          <w:rFonts w:ascii="Book Antiqua" w:hAnsi="Book Antiqua"/>
          <w:sz w:val="24"/>
          <w:szCs w:val="24"/>
        </w:rPr>
        <w:t>: 463-481 [PMID: 23382625 DOI: 10.3748/wjg.v19.i4.463]</w:t>
      </w:r>
    </w:p>
    <w:p w:rsidR="00A35F10" w:rsidRDefault="00210629">
      <w:pPr>
        <w:spacing w:after="0" w:line="360" w:lineRule="auto"/>
        <w:jc w:val="both"/>
        <w:rPr>
          <w:rFonts w:ascii="Book Antiqua" w:hAnsi="Book Antiqua"/>
          <w:sz w:val="24"/>
          <w:szCs w:val="24"/>
        </w:rPr>
      </w:pPr>
      <w:r>
        <w:rPr>
          <w:rFonts w:ascii="Book Antiqua" w:hAnsi="Book Antiqua"/>
          <w:sz w:val="24"/>
          <w:szCs w:val="24"/>
        </w:rPr>
        <w:lastRenderedPageBreak/>
        <w:t xml:space="preserve">4 </w:t>
      </w:r>
      <w:proofErr w:type="spellStart"/>
      <w:r>
        <w:rPr>
          <w:rFonts w:ascii="Book Antiqua" w:hAnsi="Book Antiqua"/>
          <w:b/>
          <w:sz w:val="24"/>
          <w:szCs w:val="24"/>
        </w:rPr>
        <w:t>Gasparovi</w:t>
      </w:r>
      <w:r>
        <w:rPr>
          <w:rFonts w:ascii="Book Antiqua" w:hAnsi="Book Antiqua" w:cs="Cambria"/>
          <w:b/>
          <w:sz w:val="24"/>
          <w:szCs w:val="24"/>
        </w:rPr>
        <w:t>ć</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Rustemovi</w:t>
      </w:r>
      <w:r>
        <w:rPr>
          <w:rFonts w:ascii="Book Antiqua" w:hAnsi="Book Antiqua" w:cs="Cambria"/>
          <w:sz w:val="24"/>
          <w:szCs w:val="24"/>
        </w:rPr>
        <w:t>ć</w:t>
      </w:r>
      <w:proofErr w:type="spellEnd"/>
      <w:r>
        <w:rPr>
          <w:rFonts w:ascii="Book Antiqua" w:hAnsi="Book Antiqua"/>
          <w:sz w:val="24"/>
          <w:szCs w:val="24"/>
        </w:rPr>
        <w:t xml:space="preserve"> N,</w:t>
      </w:r>
      <w:r>
        <w:rPr>
          <w:rFonts w:ascii="Book Antiqua" w:hAnsi="Book Antiqua"/>
          <w:sz w:val="24"/>
          <w:szCs w:val="24"/>
        </w:rPr>
        <w:t xml:space="preserve"> </w:t>
      </w:r>
      <w:proofErr w:type="spellStart"/>
      <w:r>
        <w:rPr>
          <w:rFonts w:ascii="Book Antiqua" w:hAnsi="Book Antiqua"/>
          <w:sz w:val="24"/>
          <w:szCs w:val="24"/>
        </w:rPr>
        <w:t>Opaci</w:t>
      </w:r>
      <w:r>
        <w:rPr>
          <w:rFonts w:ascii="Book Antiqua" w:hAnsi="Book Antiqua" w:cs="Cambria"/>
          <w:sz w:val="24"/>
          <w:szCs w:val="24"/>
        </w:rPr>
        <w:t>ć</w:t>
      </w:r>
      <w:proofErr w:type="spellEnd"/>
      <w:r>
        <w:rPr>
          <w:rFonts w:ascii="Book Antiqua" w:hAnsi="Book Antiqua"/>
          <w:sz w:val="24"/>
          <w:szCs w:val="24"/>
        </w:rPr>
        <w:t xml:space="preserve"> M, </w:t>
      </w:r>
      <w:proofErr w:type="spellStart"/>
      <w:r>
        <w:rPr>
          <w:rFonts w:ascii="Book Antiqua" w:hAnsi="Book Antiqua"/>
          <w:sz w:val="24"/>
          <w:szCs w:val="24"/>
        </w:rPr>
        <w:t>Premuzi</w:t>
      </w:r>
      <w:r>
        <w:rPr>
          <w:rFonts w:ascii="Book Antiqua" w:hAnsi="Book Antiqua" w:cs="Cambria"/>
          <w:sz w:val="24"/>
          <w:szCs w:val="24"/>
        </w:rPr>
        <w:t>ć</w:t>
      </w:r>
      <w:proofErr w:type="spellEnd"/>
      <w:r>
        <w:rPr>
          <w:rFonts w:ascii="Book Antiqua" w:hAnsi="Book Antiqua"/>
          <w:sz w:val="24"/>
          <w:szCs w:val="24"/>
        </w:rPr>
        <w:t xml:space="preserve"> M, </w:t>
      </w:r>
      <w:proofErr w:type="spellStart"/>
      <w:r>
        <w:rPr>
          <w:rFonts w:ascii="Book Antiqua" w:hAnsi="Book Antiqua"/>
          <w:sz w:val="24"/>
          <w:szCs w:val="24"/>
        </w:rPr>
        <w:t>Korusi</w:t>
      </w:r>
      <w:r>
        <w:rPr>
          <w:rFonts w:ascii="Book Antiqua" w:hAnsi="Book Antiqua" w:cs="Cambria"/>
          <w:sz w:val="24"/>
          <w:szCs w:val="24"/>
        </w:rPr>
        <w:t>ć</w:t>
      </w:r>
      <w:proofErr w:type="spellEnd"/>
      <w:r>
        <w:rPr>
          <w:rFonts w:ascii="Book Antiqua" w:hAnsi="Book Antiqua"/>
          <w:sz w:val="24"/>
          <w:szCs w:val="24"/>
        </w:rPr>
        <w:t xml:space="preserve"> A, </w:t>
      </w:r>
      <w:proofErr w:type="spellStart"/>
      <w:r>
        <w:rPr>
          <w:rFonts w:ascii="Book Antiqua" w:hAnsi="Book Antiqua"/>
          <w:sz w:val="24"/>
          <w:szCs w:val="24"/>
        </w:rPr>
        <w:t>Bozikov</w:t>
      </w:r>
      <w:proofErr w:type="spellEnd"/>
      <w:r>
        <w:rPr>
          <w:rFonts w:ascii="Book Antiqua" w:hAnsi="Book Antiqua"/>
          <w:sz w:val="24"/>
          <w:szCs w:val="24"/>
        </w:rPr>
        <w:t xml:space="preserve"> J, Bates T. Clinical analysis of </w:t>
      </w:r>
      <w:proofErr w:type="spellStart"/>
      <w:r>
        <w:rPr>
          <w:rFonts w:ascii="Book Antiqua" w:hAnsi="Book Antiqua"/>
          <w:sz w:val="24"/>
          <w:szCs w:val="24"/>
        </w:rPr>
        <w:t>propofol</w:t>
      </w:r>
      <w:proofErr w:type="spellEnd"/>
      <w:r>
        <w:rPr>
          <w:rFonts w:ascii="Book Antiqua" w:hAnsi="Book Antiqua"/>
          <w:sz w:val="24"/>
          <w:szCs w:val="24"/>
        </w:rPr>
        <w:t xml:space="preserve"> deep sedation for 1,104 patients undergoing gastrointestinal endoscopic procedures: a three year prospective study.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2006; </w:t>
      </w:r>
      <w:r>
        <w:rPr>
          <w:rFonts w:ascii="Book Antiqua" w:hAnsi="Book Antiqua"/>
          <w:b/>
          <w:sz w:val="24"/>
          <w:szCs w:val="24"/>
        </w:rPr>
        <w:t>12</w:t>
      </w:r>
      <w:r>
        <w:rPr>
          <w:rFonts w:ascii="Book Antiqua" w:hAnsi="Book Antiqua"/>
          <w:sz w:val="24"/>
          <w:szCs w:val="24"/>
        </w:rPr>
        <w:t xml:space="preserve">: 327-330 [PMID: 16482639 </w:t>
      </w:r>
      <w:r>
        <w:rPr>
          <w:rFonts w:ascii="Book Antiqua" w:hAnsi="Book Antiqua"/>
          <w:sz w:val="24"/>
          <w:szCs w:val="24"/>
        </w:rPr>
        <w:t>DOI: 10.3748/wjg.v12.i2.327]</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5 </w:t>
      </w:r>
      <w:proofErr w:type="spellStart"/>
      <w:r>
        <w:rPr>
          <w:rFonts w:ascii="Book Antiqua" w:hAnsi="Book Antiqua"/>
          <w:b/>
          <w:sz w:val="24"/>
          <w:szCs w:val="24"/>
        </w:rPr>
        <w:t>IJspeert</w:t>
      </w:r>
      <w:proofErr w:type="spellEnd"/>
      <w:r>
        <w:rPr>
          <w:rFonts w:ascii="Book Antiqua" w:hAnsi="Book Antiqua"/>
          <w:b/>
          <w:sz w:val="24"/>
          <w:szCs w:val="24"/>
        </w:rPr>
        <w:t xml:space="preserve"> JEG</w:t>
      </w:r>
      <w:r>
        <w:rPr>
          <w:rFonts w:ascii="Book Antiqua" w:hAnsi="Book Antiqua"/>
          <w:sz w:val="24"/>
          <w:szCs w:val="24"/>
        </w:rPr>
        <w:t xml:space="preserve">, Bevan R, </w:t>
      </w:r>
      <w:proofErr w:type="spellStart"/>
      <w:r>
        <w:rPr>
          <w:rFonts w:ascii="Book Antiqua" w:hAnsi="Book Antiqua"/>
          <w:sz w:val="24"/>
          <w:szCs w:val="24"/>
        </w:rPr>
        <w:t>Senore</w:t>
      </w:r>
      <w:proofErr w:type="spellEnd"/>
      <w:r>
        <w:rPr>
          <w:rFonts w:ascii="Book Antiqua" w:hAnsi="Book Antiqua"/>
          <w:sz w:val="24"/>
          <w:szCs w:val="24"/>
        </w:rPr>
        <w:t xml:space="preserve"> C, Kaminski MF, </w:t>
      </w:r>
      <w:proofErr w:type="spellStart"/>
      <w:r>
        <w:rPr>
          <w:rFonts w:ascii="Book Antiqua" w:hAnsi="Book Antiqua"/>
          <w:sz w:val="24"/>
          <w:szCs w:val="24"/>
        </w:rPr>
        <w:t>Kuipers</w:t>
      </w:r>
      <w:proofErr w:type="spellEnd"/>
      <w:r>
        <w:rPr>
          <w:rFonts w:ascii="Book Antiqua" w:hAnsi="Book Antiqua"/>
          <w:sz w:val="24"/>
          <w:szCs w:val="24"/>
        </w:rPr>
        <w:t xml:space="preserve"> EJ, </w:t>
      </w:r>
      <w:proofErr w:type="spellStart"/>
      <w:r>
        <w:rPr>
          <w:rFonts w:ascii="Book Antiqua" w:hAnsi="Book Antiqua"/>
          <w:sz w:val="24"/>
          <w:szCs w:val="24"/>
        </w:rPr>
        <w:t>Mroz</w:t>
      </w:r>
      <w:proofErr w:type="spellEnd"/>
      <w:r>
        <w:rPr>
          <w:rFonts w:ascii="Book Antiqua" w:hAnsi="Book Antiqua"/>
          <w:sz w:val="24"/>
          <w:szCs w:val="24"/>
        </w:rPr>
        <w:t xml:space="preserve"> A, </w:t>
      </w:r>
      <w:proofErr w:type="spellStart"/>
      <w:r>
        <w:rPr>
          <w:rFonts w:ascii="Book Antiqua" w:hAnsi="Book Antiqua"/>
          <w:sz w:val="24"/>
          <w:szCs w:val="24"/>
        </w:rPr>
        <w:t>Bessa</w:t>
      </w:r>
      <w:proofErr w:type="spellEnd"/>
      <w:r>
        <w:rPr>
          <w:rFonts w:ascii="Book Antiqua" w:hAnsi="Book Antiqua"/>
          <w:sz w:val="24"/>
          <w:szCs w:val="24"/>
        </w:rPr>
        <w:t xml:space="preserve"> X, </w:t>
      </w:r>
      <w:proofErr w:type="spellStart"/>
      <w:r>
        <w:rPr>
          <w:rFonts w:ascii="Book Antiqua" w:hAnsi="Book Antiqua"/>
          <w:sz w:val="24"/>
          <w:szCs w:val="24"/>
        </w:rPr>
        <w:t>Cassoni</w:t>
      </w:r>
      <w:proofErr w:type="spellEnd"/>
      <w:r>
        <w:rPr>
          <w:rFonts w:ascii="Book Antiqua" w:hAnsi="Book Antiqua"/>
          <w:sz w:val="24"/>
          <w:szCs w:val="24"/>
        </w:rPr>
        <w:t xml:space="preserve"> P, Hassan C, </w:t>
      </w:r>
      <w:proofErr w:type="spellStart"/>
      <w:r>
        <w:rPr>
          <w:rFonts w:ascii="Book Antiqua" w:hAnsi="Book Antiqua"/>
          <w:sz w:val="24"/>
          <w:szCs w:val="24"/>
        </w:rPr>
        <w:t>Repici</w:t>
      </w:r>
      <w:proofErr w:type="spellEnd"/>
      <w:r>
        <w:rPr>
          <w:rFonts w:ascii="Book Antiqua" w:hAnsi="Book Antiqua"/>
          <w:sz w:val="24"/>
          <w:szCs w:val="24"/>
        </w:rPr>
        <w:t xml:space="preserve"> A, </w:t>
      </w:r>
      <w:proofErr w:type="spellStart"/>
      <w:r>
        <w:rPr>
          <w:rFonts w:ascii="Book Antiqua" w:hAnsi="Book Antiqua"/>
          <w:sz w:val="24"/>
          <w:szCs w:val="24"/>
        </w:rPr>
        <w:t>Balaguer</w:t>
      </w:r>
      <w:proofErr w:type="spellEnd"/>
      <w:r>
        <w:rPr>
          <w:rFonts w:ascii="Book Antiqua" w:hAnsi="Book Antiqua"/>
          <w:sz w:val="24"/>
          <w:szCs w:val="24"/>
        </w:rPr>
        <w:t xml:space="preserve"> F, Rees CJ, Dekker E. Detection rate of serrated polyps and serrated polyposis syndrome in colorectal cancer s</w:t>
      </w:r>
      <w:r>
        <w:rPr>
          <w:rFonts w:ascii="Book Antiqua" w:hAnsi="Book Antiqua"/>
          <w:sz w:val="24"/>
          <w:szCs w:val="24"/>
        </w:rPr>
        <w:t xml:space="preserve">creening cohorts: a European overview. </w:t>
      </w:r>
      <w:r>
        <w:rPr>
          <w:rFonts w:ascii="Book Antiqua" w:hAnsi="Book Antiqua"/>
          <w:i/>
          <w:sz w:val="24"/>
          <w:szCs w:val="24"/>
        </w:rPr>
        <w:t>Gut</w:t>
      </w:r>
      <w:r>
        <w:rPr>
          <w:rFonts w:ascii="Book Antiqua" w:hAnsi="Book Antiqua"/>
          <w:sz w:val="24"/>
          <w:szCs w:val="24"/>
        </w:rPr>
        <w:t xml:space="preserve"> 2017; </w:t>
      </w:r>
      <w:r>
        <w:rPr>
          <w:rFonts w:ascii="Book Antiqua" w:hAnsi="Book Antiqua"/>
          <w:b/>
          <w:sz w:val="24"/>
          <w:szCs w:val="24"/>
        </w:rPr>
        <w:t>66</w:t>
      </w:r>
      <w:r>
        <w:rPr>
          <w:rFonts w:ascii="Book Antiqua" w:hAnsi="Book Antiqua"/>
          <w:sz w:val="24"/>
          <w:szCs w:val="24"/>
        </w:rPr>
        <w:t>: 1225-1232 [PMID: 26911398 DOI: 10.1136/gutjnl-2015-310784]</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6 </w:t>
      </w:r>
      <w:proofErr w:type="spellStart"/>
      <w:r>
        <w:rPr>
          <w:rFonts w:ascii="Book Antiqua" w:hAnsi="Book Antiqua"/>
          <w:b/>
          <w:sz w:val="24"/>
          <w:szCs w:val="24"/>
        </w:rPr>
        <w:t>Repici</w:t>
      </w:r>
      <w:proofErr w:type="spellEnd"/>
      <w:r>
        <w:rPr>
          <w:rFonts w:ascii="Book Antiqua" w:hAnsi="Book Antiqua"/>
          <w:b/>
          <w:sz w:val="24"/>
          <w:szCs w:val="24"/>
        </w:rPr>
        <w:t xml:space="preserve"> A</w:t>
      </w:r>
      <w:r>
        <w:rPr>
          <w:rFonts w:ascii="Book Antiqua" w:hAnsi="Book Antiqua"/>
          <w:sz w:val="24"/>
          <w:szCs w:val="24"/>
        </w:rPr>
        <w:t xml:space="preserve">, Pagano N, Hassan C, </w:t>
      </w:r>
      <w:proofErr w:type="spellStart"/>
      <w:r>
        <w:rPr>
          <w:rFonts w:ascii="Book Antiqua" w:hAnsi="Book Antiqua"/>
          <w:sz w:val="24"/>
          <w:szCs w:val="24"/>
        </w:rPr>
        <w:t>Carlino</w:t>
      </w:r>
      <w:proofErr w:type="spellEnd"/>
      <w:r>
        <w:rPr>
          <w:rFonts w:ascii="Book Antiqua" w:hAnsi="Book Antiqua"/>
          <w:sz w:val="24"/>
          <w:szCs w:val="24"/>
        </w:rPr>
        <w:t xml:space="preserve"> A, Rando G, </w:t>
      </w:r>
      <w:proofErr w:type="spellStart"/>
      <w:r>
        <w:rPr>
          <w:rFonts w:ascii="Book Antiqua" w:hAnsi="Book Antiqua"/>
          <w:sz w:val="24"/>
          <w:szCs w:val="24"/>
        </w:rPr>
        <w:t>Strangio</w:t>
      </w:r>
      <w:proofErr w:type="spellEnd"/>
      <w:r>
        <w:rPr>
          <w:rFonts w:ascii="Book Antiqua" w:hAnsi="Book Antiqua"/>
          <w:sz w:val="24"/>
          <w:szCs w:val="24"/>
        </w:rPr>
        <w:t xml:space="preserve"> G, Romeo F, </w:t>
      </w:r>
      <w:proofErr w:type="spellStart"/>
      <w:r>
        <w:rPr>
          <w:rFonts w:ascii="Book Antiqua" w:hAnsi="Book Antiqua"/>
          <w:sz w:val="24"/>
          <w:szCs w:val="24"/>
        </w:rPr>
        <w:t>Zullo</w:t>
      </w:r>
      <w:proofErr w:type="spellEnd"/>
      <w:r>
        <w:rPr>
          <w:rFonts w:ascii="Book Antiqua" w:hAnsi="Book Antiqua"/>
          <w:sz w:val="24"/>
          <w:szCs w:val="24"/>
        </w:rPr>
        <w:t xml:space="preserve"> A, Ferrara E, </w:t>
      </w:r>
      <w:proofErr w:type="spellStart"/>
      <w:r>
        <w:rPr>
          <w:rFonts w:ascii="Book Antiqua" w:hAnsi="Book Antiqua"/>
          <w:sz w:val="24"/>
          <w:szCs w:val="24"/>
        </w:rPr>
        <w:t>Vitetta</w:t>
      </w:r>
      <w:proofErr w:type="spellEnd"/>
      <w:r>
        <w:rPr>
          <w:rFonts w:ascii="Book Antiqua" w:hAnsi="Book Antiqua"/>
          <w:sz w:val="24"/>
          <w:szCs w:val="24"/>
        </w:rPr>
        <w:t xml:space="preserve"> E, Ferreira </w:t>
      </w:r>
      <w:proofErr w:type="spellStart"/>
      <w:r>
        <w:rPr>
          <w:rFonts w:ascii="Book Antiqua" w:hAnsi="Book Antiqua"/>
          <w:sz w:val="24"/>
          <w:szCs w:val="24"/>
        </w:rPr>
        <w:t>Dde</w:t>
      </w:r>
      <w:proofErr w:type="spellEnd"/>
      <w:r>
        <w:rPr>
          <w:rFonts w:ascii="Book Antiqua" w:hAnsi="Book Antiqua"/>
          <w:sz w:val="24"/>
          <w:szCs w:val="24"/>
        </w:rPr>
        <w:t xml:space="preserve"> P, </w:t>
      </w:r>
      <w:proofErr w:type="spellStart"/>
      <w:r>
        <w:rPr>
          <w:rFonts w:ascii="Book Antiqua" w:hAnsi="Book Antiqua"/>
          <w:sz w:val="24"/>
          <w:szCs w:val="24"/>
        </w:rPr>
        <w:t>Danese</w:t>
      </w:r>
      <w:proofErr w:type="spellEnd"/>
      <w:r>
        <w:rPr>
          <w:rFonts w:ascii="Book Antiqua" w:hAnsi="Book Antiqua"/>
          <w:sz w:val="24"/>
          <w:szCs w:val="24"/>
        </w:rPr>
        <w:t xml:space="preserve"> S, </w:t>
      </w:r>
      <w:proofErr w:type="spellStart"/>
      <w:r>
        <w:rPr>
          <w:rFonts w:ascii="Book Antiqua" w:hAnsi="Book Antiqua"/>
          <w:sz w:val="24"/>
          <w:szCs w:val="24"/>
        </w:rPr>
        <w:t>Arosio</w:t>
      </w:r>
      <w:proofErr w:type="spellEnd"/>
      <w:r>
        <w:rPr>
          <w:rFonts w:ascii="Book Antiqua" w:hAnsi="Book Antiqua"/>
          <w:sz w:val="24"/>
          <w:szCs w:val="24"/>
        </w:rPr>
        <w:t xml:space="preserve"> M, </w:t>
      </w:r>
      <w:proofErr w:type="spellStart"/>
      <w:r>
        <w:rPr>
          <w:rFonts w:ascii="Book Antiqua" w:hAnsi="Book Antiqua"/>
          <w:sz w:val="24"/>
          <w:szCs w:val="24"/>
        </w:rPr>
        <w:t>Male</w:t>
      </w:r>
      <w:r>
        <w:rPr>
          <w:rFonts w:ascii="Book Antiqua" w:hAnsi="Book Antiqua"/>
          <w:sz w:val="24"/>
          <w:szCs w:val="24"/>
        </w:rPr>
        <w:t>sci</w:t>
      </w:r>
      <w:proofErr w:type="spellEnd"/>
      <w:r>
        <w:rPr>
          <w:rFonts w:ascii="Book Antiqua" w:hAnsi="Book Antiqua"/>
          <w:sz w:val="24"/>
          <w:szCs w:val="24"/>
        </w:rPr>
        <w:t xml:space="preserve"> A. Balanced </w:t>
      </w:r>
      <w:proofErr w:type="spellStart"/>
      <w:r>
        <w:rPr>
          <w:rFonts w:ascii="Book Antiqua" w:hAnsi="Book Antiqua"/>
          <w:sz w:val="24"/>
          <w:szCs w:val="24"/>
        </w:rPr>
        <w:t>propofol</w:t>
      </w:r>
      <w:proofErr w:type="spellEnd"/>
      <w:r>
        <w:rPr>
          <w:rFonts w:ascii="Book Antiqua" w:hAnsi="Book Antiqua"/>
          <w:sz w:val="24"/>
          <w:szCs w:val="24"/>
        </w:rPr>
        <w:t xml:space="preserve"> sedation administered by </w:t>
      </w:r>
      <w:proofErr w:type="spellStart"/>
      <w:r>
        <w:rPr>
          <w:rFonts w:ascii="Book Antiqua" w:hAnsi="Book Antiqua"/>
          <w:sz w:val="24"/>
          <w:szCs w:val="24"/>
        </w:rPr>
        <w:t>nonanesthesiologists</w:t>
      </w:r>
      <w:proofErr w:type="spellEnd"/>
      <w:r>
        <w:rPr>
          <w:rFonts w:ascii="Book Antiqua" w:hAnsi="Book Antiqua"/>
          <w:sz w:val="24"/>
          <w:szCs w:val="24"/>
        </w:rPr>
        <w:t xml:space="preserve">: The first Italian experience.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2011; </w:t>
      </w:r>
      <w:r>
        <w:rPr>
          <w:rFonts w:ascii="Book Antiqua" w:hAnsi="Book Antiqua"/>
          <w:b/>
          <w:sz w:val="24"/>
          <w:szCs w:val="24"/>
        </w:rPr>
        <w:t>17</w:t>
      </w:r>
      <w:r>
        <w:rPr>
          <w:rFonts w:ascii="Book Antiqua" w:hAnsi="Book Antiqua"/>
          <w:sz w:val="24"/>
          <w:szCs w:val="24"/>
        </w:rPr>
        <w:t>: 3818-3823 [PMID: 21987624 DOI: 10.3748/wjg.v17.i33.3818]</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Xiao Q</w:t>
      </w:r>
      <w:r>
        <w:rPr>
          <w:rFonts w:ascii="Book Antiqua" w:hAnsi="Book Antiqua"/>
          <w:sz w:val="24"/>
          <w:szCs w:val="24"/>
        </w:rPr>
        <w:t xml:space="preserve">, Yang Y, Zhou Y, </w:t>
      </w:r>
      <w:proofErr w:type="spellStart"/>
      <w:r>
        <w:rPr>
          <w:rFonts w:ascii="Book Antiqua" w:hAnsi="Book Antiqua"/>
          <w:sz w:val="24"/>
          <w:szCs w:val="24"/>
        </w:rPr>
        <w:t>Guo</w:t>
      </w:r>
      <w:proofErr w:type="spellEnd"/>
      <w:r>
        <w:rPr>
          <w:rFonts w:ascii="Book Antiqua" w:hAnsi="Book Antiqua"/>
          <w:sz w:val="24"/>
          <w:szCs w:val="24"/>
        </w:rPr>
        <w:t xml:space="preserve"> Y, </w:t>
      </w:r>
      <w:proofErr w:type="spellStart"/>
      <w:r>
        <w:rPr>
          <w:rFonts w:ascii="Book Antiqua" w:hAnsi="Book Antiqua"/>
          <w:sz w:val="24"/>
          <w:szCs w:val="24"/>
        </w:rPr>
        <w:t>Ao</w:t>
      </w:r>
      <w:proofErr w:type="spellEnd"/>
      <w:r>
        <w:rPr>
          <w:rFonts w:ascii="Book Antiqua" w:hAnsi="Book Antiqua"/>
          <w:sz w:val="24"/>
          <w:szCs w:val="24"/>
        </w:rPr>
        <w:t xml:space="preserve"> X, Han R, Hu J, Chen D, Lan C</w:t>
      </w:r>
      <w:r>
        <w:rPr>
          <w:rFonts w:ascii="Book Antiqua" w:hAnsi="Book Antiqua"/>
          <w:sz w:val="24"/>
          <w:szCs w:val="24"/>
        </w:rPr>
        <w:t xml:space="preserve">. Comparison of Nasopharyngeal Airway Device and Nasal Oxygen Tube in Obese Patients Undergoing Intravenous </w:t>
      </w:r>
      <w:proofErr w:type="spellStart"/>
      <w:r>
        <w:rPr>
          <w:rFonts w:ascii="Book Antiqua" w:hAnsi="Book Antiqua"/>
          <w:sz w:val="24"/>
          <w:szCs w:val="24"/>
        </w:rPr>
        <w:t>Anesthesia</w:t>
      </w:r>
      <w:proofErr w:type="spellEnd"/>
      <w:r>
        <w:rPr>
          <w:rFonts w:ascii="Book Antiqua" w:hAnsi="Book Antiqua"/>
          <w:sz w:val="24"/>
          <w:szCs w:val="24"/>
        </w:rPr>
        <w:t xml:space="preserve"> for Gastroscopy: A Prospective and Randomized Study. </w:t>
      </w:r>
      <w:proofErr w:type="spellStart"/>
      <w:r>
        <w:rPr>
          <w:rFonts w:ascii="Book Antiqua" w:hAnsi="Book Antiqua"/>
          <w:i/>
          <w:sz w:val="24"/>
          <w:szCs w:val="24"/>
        </w:rPr>
        <w:t>Gastroenterol</w:t>
      </w:r>
      <w:proofErr w:type="spellEnd"/>
      <w:r>
        <w:rPr>
          <w:rFonts w:ascii="Book Antiqua" w:hAnsi="Book Antiqua"/>
          <w:i/>
          <w:sz w:val="24"/>
          <w:szCs w:val="24"/>
        </w:rPr>
        <w:t xml:space="preserve"> Res </w:t>
      </w:r>
      <w:proofErr w:type="spellStart"/>
      <w:r>
        <w:rPr>
          <w:rFonts w:ascii="Book Antiqua" w:hAnsi="Book Antiqua"/>
          <w:i/>
          <w:sz w:val="24"/>
          <w:szCs w:val="24"/>
        </w:rPr>
        <w:t>Pract</w:t>
      </w:r>
      <w:proofErr w:type="spellEnd"/>
      <w:r>
        <w:rPr>
          <w:rFonts w:ascii="Book Antiqua" w:hAnsi="Book Antiqua"/>
          <w:sz w:val="24"/>
          <w:szCs w:val="24"/>
        </w:rPr>
        <w:t xml:space="preserve"> 2016; </w:t>
      </w:r>
      <w:r>
        <w:rPr>
          <w:rFonts w:ascii="Book Antiqua" w:hAnsi="Book Antiqua"/>
          <w:b/>
          <w:sz w:val="24"/>
          <w:szCs w:val="24"/>
        </w:rPr>
        <w:t>2016</w:t>
      </w:r>
      <w:r>
        <w:rPr>
          <w:rFonts w:ascii="Book Antiqua" w:hAnsi="Book Antiqua"/>
          <w:sz w:val="24"/>
          <w:szCs w:val="24"/>
        </w:rPr>
        <w:t>: 2641257 [PMID: 26997951 DOI: 10.1155/2016/264125</w:t>
      </w:r>
      <w:r>
        <w:rPr>
          <w:rFonts w:ascii="Book Antiqua" w:hAnsi="Book Antiqua"/>
          <w:sz w:val="24"/>
          <w:szCs w:val="24"/>
        </w:rPr>
        <w:t>7]</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8 </w:t>
      </w:r>
      <w:proofErr w:type="spellStart"/>
      <w:r>
        <w:rPr>
          <w:rFonts w:ascii="Book Antiqua" w:hAnsi="Book Antiqua"/>
          <w:b/>
          <w:sz w:val="24"/>
          <w:szCs w:val="24"/>
        </w:rPr>
        <w:t>Meining</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Semmler</w:t>
      </w:r>
      <w:proofErr w:type="spellEnd"/>
      <w:r>
        <w:rPr>
          <w:rFonts w:ascii="Book Antiqua" w:hAnsi="Book Antiqua"/>
          <w:sz w:val="24"/>
          <w:szCs w:val="24"/>
        </w:rPr>
        <w:t xml:space="preserve"> V, </w:t>
      </w:r>
      <w:proofErr w:type="spellStart"/>
      <w:r>
        <w:rPr>
          <w:rFonts w:ascii="Book Antiqua" w:hAnsi="Book Antiqua"/>
          <w:sz w:val="24"/>
          <w:szCs w:val="24"/>
        </w:rPr>
        <w:t>Kassem</w:t>
      </w:r>
      <w:proofErr w:type="spellEnd"/>
      <w:r>
        <w:rPr>
          <w:rFonts w:ascii="Book Antiqua" w:hAnsi="Book Antiqua"/>
          <w:sz w:val="24"/>
          <w:szCs w:val="24"/>
        </w:rPr>
        <w:t xml:space="preserve"> AM, Sander R, </w:t>
      </w:r>
      <w:proofErr w:type="spellStart"/>
      <w:r>
        <w:rPr>
          <w:rFonts w:ascii="Book Antiqua" w:hAnsi="Book Antiqua"/>
          <w:sz w:val="24"/>
          <w:szCs w:val="24"/>
        </w:rPr>
        <w:t>Frankenberger</w:t>
      </w:r>
      <w:proofErr w:type="spellEnd"/>
      <w:r>
        <w:rPr>
          <w:rFonts w:ascii="Book Antiqua" w:hAnsi="Book Antiqua"/>
          <w:sz w:val="24"/>
          <w:szCs w:val="24"/>
        </w:rPr>
        <w:t xml:space="preserve"> U, </w:t>
      </w:r>
      <w:proofErr w:type="spellStart"/>
      <w:r>
        <w:rPr>
          <w:rFonts w:ascii="Book Antiqua" w:hAnsi="Book Antiqua"/>
          <w:sz w:val="24"/>
          <w:szCs w:val="24"/>
        </w:rPr>
        <w:t>Burzin</w:t>
      </w:r>
      <w:proofErr w:type="spellEnd"/>
      <w:r>
        <w:rPr>
          <w:rFonts w:ascii="Book Antiqua" w:hAnsi="Book Antiqua"/>
          <w:sz w:val="24"/>
          <w:szCs w:val="24"/>
        </w:rPr>
        <w:t xml:space="preserve"> M, </w:t>
      </w:r>
      <w:proofErr w:type="spellStart"/>
      <w:r>
        <w:rPr>
          <w:rFonts w:ascii="Book Antiqua" w:hAnsi="Book Antiqua"/>
          <w:sz w:val="24"/>
          <w:szCs w:val="24"/>
        </w:rPr>
        <w:t>Reichenberger</w:t>
      </w:r>
      <w:proofErr w:type="spellEnd"/>
      <w:r>
        <w:rPr>
          <w:rFonts w:ascii="Book Antiqua" w:hAnsi="Book Antiqua"/>
          <w:sz w:val="24"/>
          <w:szCs w:val="24"/>
        </w:rPr>
        <w:t xml:space="preserve"> J, </w:t>
      </w:r>
      <w:proofErr w:type="spellStart"/>
      <w:r>
        <w:rPr>
          <w:rFonts w:ascii="Book Antiqua" w:hAnsi="Book Antiqua"/>
          <w:sz w:val="24"/>
          <w:szCs w:val="24"/>
        </w:rPr>
        <w:t>Bajbouj</w:t>
      </w:r>
      <w:proofErr w:type="spellEnd"/>
      <w:r>
        <w:rPr>
          <w:rFonts w:ascii="Book Antiqua" w:hAnsi="Book Antiqua"/>
          <w:sz w:val="24"/>
          <w:szCs w:val="24"/>
        </w:rPr>
        <w:t xml:space="preserve"> M, </w:t>
      </w:r>
      <w:proofErr w:type="spellStart"/>
      <w:r>
        <w:rPr>
          <w:rFonts w:ascii="Book Antiqua" w:hAnsi="Book Antiqua"/>
          <w:sz w:val="24"/>
          <w:szCs w:val="24"/>
        </w:rPr>
        <w:t>Prinz</w:t>
      </w:r>
      <w:proofErr w:type="spellEnd"/>
      <w:r>
        <w:rPr>
          <w:rFonts w:ascii="Book Antiqua" w:hAnsi="Book Antiqua"/>
          <w:sz w:val="24"/>
          <w:szCs w:val="24"/>
        </w:rPr>
        <w:t xml:space="preserve"> C, </w:t>
      </w:r>
      <w:proofErr w:type="spellStart"/>
      <w:r>
        <w:rPr>
          <w:rFonts w:ascii="Book Antiqua" w:hAnsi="Book Antiqua"/>
          <w:sz w:val="24"/>
          <w:szCs w:val="24"/>
        </w:rPr>
        <w:t>Schmid</w:t>
      </w:r>
      <w:proofErr w:type="spellEnd"/>
      <w:r>
        <w:rPr>
          <w:rFonts w:ascii="Book Antiqua" w:hAnsi="Book Antiqua"/>
          <w:sz w:val="24"/>
          <w:szCs w:val="24"/>
        </w:rPr>
        <w:t xml:space="preserve"> RM. The effect of sedation on the quality of upper gastrointestinal endoscopy: an investigator-blinded, randomized study comparing </w:t>
      </w:r>
      <w:proofErr w:type="spellStart"/>
      <w:r>
        <w:rPr>
          <w:rFonts w:ascii="Book Antiqua" w:hAnsi="Book Antiqua"/>
          <w:sz w:val="24"/>
          <w:szCs w:val="24"/>
        </w:rPr>
        <w:t>propof</w:t>
      </w:r>
      <w:r>
        <w:rPr>
          <w:rFonts w:ascii="Book Antiqua" w:hAnsi="Book Antiqua"/>
          <w:sz w:val="24"/>
          <w:szCs w:val="24"/>
        </w:rPr>
        <w:t>ol</w:t>
      </w:r>
      <w:proofErr w:type="spellEnd"/>
      <w:r>
        <w:rPr>
          <w:rFonts w:ascii="Book Antiqua" w:hAnsi="Book Antiqua"/>
          <w:sz w:val="24"/>
          <w:szCs w:val="24"/>
        </w:rPr>
        <w:t xml:space="preserve"> with midazolam. </w:t>
      </w:r>
      <w:r>
        <w:rPr>
          <w:rFonts w:ascii="Book Antiqua" w:hAnsi="Book Antiqua"/>
          <w:i/>
          <w:sz w:val="24"/>
          <w:szCs w:val="24"/>
        </w:rPr>
        <w:t>Endoscopy</w:t>
      </w:r>
      <w:r>
        <w:rPr>
          <w:rFonts w:ascii="Book Antiqua" w:hAnsi="Book Antiqua"/>
          <w:sz w:val="24"/>
          <w:szCs w:val="24"/>
        </w:rPr>
        <w:t xml:space="preserve"> 2007; </w:t>
      </w:r>
      <w:r>
        <w:rPr>
          <w:rFonts w:ascii="Book Antiqua" w:hAnsi="Book Antiqua"/>
          <w:b/>
          <w:sz w:val="24"/>
          <w:szCs w:val="24"/>
        </w:rPr>
        <w:t>39</w:t>
      </w:r>
      <w:r>
        <w:rPr>
          <w:rFonts w:ascii="Book Antiqua" w:hAnsi="Book Antiqua"/>
          <w:sz w:val="24"/>
          <w:szCs w:val="24"/>
        </w:rPr>
        <w:t>: 345-349 [PMID: 17285514 DOI: 10.1055/s-2006-945195]</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Shen XC</w:t>
      </w:r>
      <w:r>
        <w:rPr>
          <w:rFonts w:ascii="Book Antiqua" w:hAnsi="Book Antiqua"/>
          <w:sz w:val="24"/>
          <w:szCs w:val="24"/>
        </w:rPr>
        <w:t xml:space="preserve">, </w:t>
      </w:r>
      <w:proofErr w:type="spellStart"/>
      <w:r>
        <w:rPr>
          <w:rFonts w:ascii="Book Antiqua" w:hAnsi="Book Antiqua"/>
          <w:sz w:val="24"/>
          <w:szCs w:val="24"/>
        </w:rPr>
        <w:t>Ao</w:t>
      </w:r>
      <w:proofErr w:type="spellEnd"/>
      <w:r>
        <w:rPr>
          <w:rFonts w:ascii="Book Antiqua" w:hAnsi="Book Antiqua"/>
          <w:sz w:val="24"/>
          <w:szCs w:val="24"/>
        </w:rPr>
        <w:t xml:space="preserve"> X, Cao Y, Lan L, Liu XM, Sun WJ, Li P, </w:t>
      </w:r>
      <w:proofErr w:type="gramStart"/>
      <w:r>
        <w:rPr>
          <w:rFonts w:ascii="Book Antiqua" w:hAnsi="Book Antiqua"/>
          <w:sz w:val="24"/>
          <w:szCs w:val="24"/>
        </w:rPr>
        <w:t>Lan</w:t>
      </w:r>
      <w:proofErr w:type="gramEnd"/>
      <w:r>
        <w:rPr>
          <w:rFonts w:ascii="Book Antiqua" w:hAnsi="Book Antiqua"/>
          <w:sz w:val="24"/>
          <w:szCs w:val="24"/>
        </w:rPr>
        <w:t xml:space="preserve"> CH. Etomidate-remifentanil is more suitable for monitored </w:t>
      </w:r>
      <w:proofErr w:type="spellStart"/>
      <w:r>
        <w:rPr>
          <w:rFonts w:ascii="Book Antiqua" w:hAnsi="Book Antiqua"/>
          <w:sz w:val="24"/>
          <w:szCs w:val="24"/>
        </w:rPr>
        <w:t>anesthesia</w:t>
      </w:r>
      <w:proofErr w:type="spellEnd"/>
      <w:r>
        <w:rPr>
          <w:rFonts w:ascii="Book Antiqua" w:hAnsi="Book Antiqua"/>
          <w:sz w:val="24"/>
          <w:szCs w:val="24"/>
        </w:rPr>
        <w:t xml:space="preserve"> care during gastroscopy in older patien</w:t>
      </w:r>
      <w:r>
        <w:rPr>
          <w:rFonts w:ascii="Book Antiqua" w:hAnsi="Book Antiqua"/>
          <w:sz w:val="24"/>
          <w:szCs w:val="24"/>
        </w:rPr>
        <w:t xml:space="preserve">ts than </w:t>
      </w:r>
      <w:proofErr w:type="spellStart"/>
      <w:r>
        <w:rPr>
          <w:rFonts w:ascii="Book Antiqua" w:hAnsi="Book Antiqua"/>
          <w:sz w:val="24"/>
          <w:szCs w:val="24"/>
        </w:rPr>
        <w:t>propofol</w:t>
      </w:r>
      <w:proofErr w:type="spellEnd"/>
      <w:r>
        <w:rPr>
          <w:rFonts w:ascii="Book Antiqua" w:hAnsi="Book Antiqua"/>
          <w:sz w:val="24"/>
          <w:szCs w:val="24"/>
        </w:rPr>
        <w:t xml:space="preserve">-remifentanil. </w:t>
      </w:r>
      <w:r>
        <w:rPr>
          <w:rFonts w:ascii="Book Antiqua" w:hAnsi="Book Antiqua"/>
          <w:i/>
          <w:sz w:val="24"/>
          <w:szCs w:val="24"/>
        </w:rPr>
        <w:t xml:space="preserve">Med </w:t>
      </w:r>
      <w:proofErr w:type="spellStart"/>
      <w:r>
        <w:rPr>
          <w:rFonts w:ascii="Book Antiqua" w:hAnsi="Book Antiqua"/>
          <w:i/>
          <w:sz w:val="24"/>
          <w:szCs w:val="24"/>
        </w:rPr>
        <w:t>Sci</w:t>
      </w:r>
      <w:proofErr w:type="spellEnd"/>
      <w:r>
        <w:rPr>
          <w:rFonts w:ascii="Book Antiqua" w:hAnsi="Book Antiqua"/>
          <w:i/>
          <w:sz w:val="24"/>
          <w:szCs w:val="24"/>
        </w:rPr>
        <w:t xml:space="preserve"> </w:t>
      </w:r>
      <w:proofErr w:type="spellStart"/>
      <w:r>
        <w:rPr>
          <w:rFonts w:ascii="Book Antiqua" w:hAnsi="Book Antiqua"/>
          <w:i/>
          <w:sz w:val="24"/>
          <w:szCs w:val="24"/>
        </w:rPr>
        <w:t>Monit</w:t>
      </w:r>
      <w:proofErr w:type="spellEnd"/>
      <w:r>
        <w:rPr>
          <w:rFonts w:ascii="Book Antiqua" w:hAnsi="Book Antiqua"/>
          <w:sz w:val="24"/>
          <w:szCs w:val="24"/>
        </w:rPr>
        <w:t xml:space="preserve"> 2015; </w:t>
      </w:r>
      <w:r>
        <w:rPr>
          <w:rFonts w:ascii="Book Antiqua" w:hAnsi="Book Antiqua"/>
          <w:b/>
          <w:sz w:val="24"/>
          <w:szCs w:val="24"/>
        </w:rPr>
        <w:t>21</w:t>
      </w:r>
      <w:r>
        <w:rPr>
          <w:rFonts w:ascii="Book Antiqua" w:hAnsi="Book Antiqua"/>
          <w:sz w:val="24"/>
          <w:szCs w:val="24"/>
        </w:rPr>
        <w:t>: 1-8 [PMID: 25553506 DOI: 10.12659/MSM.891183]</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Adams MA</w:t>
      </w:r>
      <w:r>
        <w:rPr>
          <w:rFonts w:ascii="Book Antiqua" w:hAnsi="Book Antiqua"/>
          <w:sz w:val="24"/>
          <w:szCs w:val="24"/>
        </w:rPr>
        <w:t xml:space="preserve">, </w:t>
      </w:r>
      <w:proofErr w:type="spellStart"/>
      <w:r>
        <w:rPr>
          <w:rFonts w:ascii="Book Antiqua" w:hAnsi="Book Antiqua"/>
          <w:sz w:val="24"/>
          <w:szCs w:val="24"/>
        </w:rPr>
        <w:t>Prenovost</w:t>
      </w:r>
      <w:proofErr w:type="spellEnd"/>
      <w:r>
        <w:rPr>
          <w:rFonts w:ascii="Book Antiqua" w:hAnsi="Book Antiqua"/>
          <w:sz w:val="24"/>
          <w:szCs w:val="24"/>
        </w:rPr>
        <w:t xml:space="preserve"> KM, </w:t>
      </w:r>
      <w:proofErr w:type="spellStart"/>
      <w:r>
        <w:rPr>
          <w:rFonts w:ascii="Book Antiqua" w:hAnsi="Book Antiqua"/>
          <w:sz w:val="24"/>
          <w:szCs w:val="24"/>
        </w:rPr>
        <w:t>Dominitz</w:t>
      </w:r>
      <w:proofErr w:type="spellEnd"/>
      <w:r>
        <w:rPr>
          <w:rFonts w:ascii="Book Antiqua" w:hAnsi="Book Antiqua"/>
          <w:sz w:val="24"/>
          <w:szCs w:val="24"/>
        </w:rPr>
        <w:t xml:space="preserve"> JA, Kerr EA, </w:t>
      </w:r>
      <w:proofErr w:type="spellStart"/>
      <w:r>
        <w:rPr>
          <w:rFonts w:ascii="Book Antiqua" w:hAnsi="Book Antiqua"/>
          <w:sz w:val="24"/>
          <w:szCs w:val="24"/>
        </w:rPr>
        <w:t>Krein</w:t>
      </w:r>
      <w:proofErr w:type="spellEnd"/>
      <w:r>
        <w:rPr>
          <w:rFonts w:ascii="Book Antiqua" w:hAnsi="Book Antiqua"/>
          <w:sz w:val="24"/>
          <w:szCs w:val="24"/>
        </w:rPr>
        <w:t xml:space="preserve"> SL, Saini SD, Rubenstein JH. National Trends in Use of Monitored </w:t>
      </w:r>
      <w:proofErr w:type="spellStart"/>
      <w:r>
        <w:rPr>
          <w:rFonts w:ascii="Book Antiqua" w:hAnsi="Book Antiqua"/>
          <w:sz w:val="24"/>
          <w:szCs w:val="24"/>
        </w:rPr>
        <w:t>Anesthesia</w:t>
      </w:r>
      <w:proofErr w:type="spellEnd"/>
      <w:r>
        <w:rPr>
          <w:rFonts w:ascii="Book Antiqua" w:hAnsi="Book Antiqua"/>
          <w:sz w:val="24"/>
          <w:szCs w:val="24"/>
        </w:rPr>
        <w:t xml:space="preserve"> Care for Outpatient </w:t>
      </w:r>
      <w:r>
        <w:rPr>
          <w:rFonts w:ascii="Book Antiqua" w:hAnsi="Book Antiqua"/>
          <w:sz w:val="24"/>
          <w:szCs w:val="24"/>
        </w:rPr>
        <w:lastRenderedPageBreak/>
        <w:t>Gast</w:t>
      </w:r>
      <w:r>
        <w:rPr>
          <w:rFonts w:ascii="Book Antiqua" w:hAnsi="Book Antiqua"/>
          <w:sz w:val="24"/>
          <w:szCs w:val="24"/>
        </w:rPr>
        <w:t xml:space="preserve">rointestinal Endoscopy in the Veterans Health Administration. </w:t>
      </w:r>
      <w:r>
        <w:rPr>
          <w:rFonts w:ascii="Book Antiqua" w:hAnsi="Book Antiqua"/>
          <w:i/>
          <w:sz w:val="24"/>
          <w:szCs w:val="24"/>
        </w:rPr>
        <w:t>JAMA Intern Med</w:t>
      </w:r>
      <w:r>
        <w:rPr>
          <w:rFonts w:ascii="Book Antiqua" w:hAnsi="Book Antiqua"/>
          <w:sz w:val="24"/>
          <w:szCs w:val="24"/>
        </w:rPr>
        <w:t xml:space="preserve"> 2017; </w:t>
      </w:r>
      <w:r>
        <w:rPr>
          <w:rFonts w:ascii="Book Antiqua" w:hAnsi="Book Antiqua"/>
          <w:b/>
          <w:sz w:val="24"/>
          <w:szCs w:val="24"/>
        </w:rPr>
        <w:t>177</w:t>
      </w:r>
      <w:r>
        <w:rPr>
          <w:rFonts w:ascii="Book Antiqua" w:hAnsi="Book Antiqua"/>
          <w:sz w:val="24"/>
          <w:szCs w:val="24"/>
        </w:rPr>
        <w:t>: 436-438 [PMID: 28114670 DOI: 10.1001/jamainternmed.2016.8566]</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11 </w:t>
      </w:r>
      <w:proofErr w:type="spellStart"/>
      <w:r>
        <w:rPr>
          <w:rFonts w:ascii="Book Antiqua" w:hAnsi="Book Antiqua"/>
          <w:b/>
          <w:sz w:val="24"/>
          <w:szCs w:val="24"/>
        </w:rPr>
        <w:t>Ho</w:t>
      </w:r>
      <w:proofErr w:type="spellEnd"/>
      <w:r>
        <w:rPr>
          <w:rFonts w:ascii="Book Antiqua" w:hAnsi="Book Antiqua"/>
          <w:b/>
          <w:sz w:val="24"/>
          <w:szCs w:val="24"/>
        </w:rPr>
        <w:t xml:space="preserve"> WM</w:t>
      </w:r>
      <w:r>
        <w:rPr>
          <w:rFonts w:ascii="Book Antiqua" w:hAnsi="Book Antiqua"/>
          <w:sz w:val="24"/>
          <w:szCs w:val="24"/>
        </w:rPr>
        <w:t xml:space="preserve">, Yen CM, Lan CH, Lin CY, Yong SB, Hwang KL, Chou MC. Comparison between the recovery time of </w:t>
      </w:r>
      <w:proofErr w:type="spellStart"/>
      <w:r>
        <w:rPr>
          <w:rFonts w:ascii="Book Antiqua" w:hAnsi="Book Antiqua"/>
          <w:sz w:val="24"/>
          <w:szCs w:val="24"/>
        </w:rPr>
        <w:t>alfentanil</w:t>
      </w:r>
      <w:proofErr w:type="spellEnd"/>
      <w:r>
        <w:rPr>
          <w:rFonts w:ascii="Book Antiqua" w:hAnsi="Book Antiqua"/>
          <w:sz w:val="24"/>
          <w:szCs w:val="24"/>
        </w:rPr>
        <w:t xml:space="preserve"> and fentanyl in balanced </w:t>
      </w:r>
      <w:proofErr w:type="spellStart"/>
      <w:r>
        <w:rPr>
          <w:rFonts w:ascii="Book Antiqua" w:hAnsi="Book Antiqua"/>
          <w:sz w:val="24"/>
          <w:szCs w:val="24"/>
        </w:rPr>
        <w:t>propofol</w:t>
      </w:r>
      <w:proofErr w:type="spellEnd"/>
      <w:r>
        <w:rPr>
          <w:rFonts w:ascii="Book Antiqua" w:hAnsi="Book Antiqua"/>
          <w:sz w:val="24"/>
          <w:szCs w:val="24"/>
        </w:rPr>
        <w:t xml:space="preserve"> sedation for gastrointestinal and colonoscopy: a prospective, randomized study. </w:t>
      </w:r>
      <w:r>
        <w:rPr>
          <w:rFonts w:ascii="Book Antiqua" w:hAnsi="Book Antiqua"/>
          <w:i/>
          <w:sz w:val="24"/>
          <w:szCs w:val="24"/>
        </w:rPr>
        <w:t xml:space="preserve">BMC </w:t>
      </w:r>
      <w:proofErr w:type="spellStart"/>
      <w:r>
        <w:rPr>
          <w:rFonts w:ascii="Book Antiqua" w:hAnsi="Book Antiqua"/>
          <w:i/>
          <w:sz w:val="24"/>
          <w:szCs w:val="24"/>
        </w:rPr>
        <w:t>Gastroenterol</w:t>
      </w:r>
      <w:proofErr w:type="spellEnd"/>
      <w:r>
        <w:rPr>
          <w:rFonts w:ascii="Book Antiqua" w:hAnsi="Book Antiqua"/>
          <w:sz w:val="24"/>
          <w:szCs w:val="24"/>
        </w:rPr>
        <w:t xml:space="preserve"> 2012; </w:t>
      </w:r>
      <w:r>
        <w:rPr>
          <w:rFonts w:ascii="Book Antiqua" w:hAnsi="Book Antiqua"/>
          <w:b/>
          <w:sz w:val="24"/>
          <w:szCs w:val="24"/>
        </w:rPr>
        <w:t>12</w:t>
      </w:r>
      <w:r>
        <w:rPr>
          <w:rFonts w:ascii="Book Antiqua" w:hAnsi="Book Antiqua"/>
          <w:sz w:val="24"/>
          <w:szCs w:val="24"/>
        </w:rPr>
        <w:t>: 164 [PMID</w:t>
      </w:r>
      <w:r>
        <w:rPr>
          <w:rFonts w:ascii="Book Antiqua" w:hAnsi="Book Antiqua"/>
          <w:sz w:val="24"/>
          <w:szCs w:val="24"/>
        </w:rPr>
        <w:t>: 23170921 DOI: 10.1186/1471-230X-12-164]</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12 </w:t>
      </w:r>
      <w:proofErr w:type="spellStart"/>
      <w:r>
        <w:rPr>
          <w:rFonts w:ascii="Book Antiqua" w:hAnsi="Book Antiqua"/>
          <w:b/>
          <w:sz w:val="24"/>
          <w:szCs w:val="24"/>
        </w:rPr>
        <w:t>LaPierre</w:t>
      </w:r>
      <w:proofErr w:type="spellEnd"/>
      <w:r>
        <w:rPr>
          <w:rFonts w:ascii="Book Antiqua" w:hAnsi="Book Antiqua"/>
          <w:b/>
          <w:sz w:val="24"/>
          <w:szCs w:val="24"/>
        </w:rPr>
        <w:t xml:space="preserve"> CD</w:t>
      </w:r>
      <w:r>
        <w:rPr>
          <w:rFonts w:ascii="Book Antiqua" w:hAnsi="Book Antiqua"/>
          <w:sz w:val="24"/>
          <w:szCs w:val="24"/>
        </w:rPr>
        <w:t xml:space="preserve">, Johnson KB, Randall BR, Egan TD. A simulation study of common </w:t>
      </w:r>
      <w:proofErr w:type="spellStart"/>
      <w:r>
        <w:rPr>
          <w:rFonts w:ascii="Book Antiqua" w:hAnsi="Book Antiqua"/>
          <w:sz w:val="24"/>
          <w:szCs w:val="24"/>
        </w:rPr>
        <w:t>propofol</w:t>
      </w:r>
      <w:proofErr w:type="spellEnd"/>
      <w:r>
        <w:rPr>
          <w:rFonts w:ascii="Book Antiqua" w:hAnsi="Book Antiqua"/>
          <w:sz w:val="24"/>
          <w:szCs w:val="24"/>
        </w:rPr>
        <w:t xml:space="preserve"> and </w:t>
      </w:r>
      <w:proofErr w:type="spellStart"/>
      <w:r>
        <w:rPr>
          <w:rFonts w:ascii="Book Antiqua" w:hAnsi="Book Antiqua"/>
          <w:sz w:val="24"/>
          <w:szCs w:val="24"/>
        </w:rPr>
        <w:t>propofol</w:t>
      </w:r>
      <w:proofErr w:type="spellEnd"/>
      <w:r>
        <w:rPr>
          <w:rFonts w:ascii="Book Antiqua" w:hAnsi="Book Antiqua"/>
          <w:sz w:val="24"/>
          <w:szCs w:val="24"/>
        </w:rPr>
        <w:t xml:space="preserve">-opioid dosing regimens for upper endoscopy: implications on the time course of recovery. </w:t>
      </w:r>
      <w:proofErr w:type="spellStart"/>
      <w:r>
        <w:rPr>
          <w:rFonts w:ascii="Book Antiqua" w:hAnsi="Book Antiqua"/>
          <w:i/>
          <w:sz w:val="24"/>
          <w:szCs w:val="24"/>
        </w:rPr>
        <w:t>Anesthesiology</w:t>
      </w:r>
      <w:proofErr w:type="spellEnd"/>
      <w:r>
        <w:rPr>
          <w:rFonts w:ascii="Book Antiqua" w:hAnsi="Book Antiqua"/>
          <w:sz w:val="24"/>
          <w:szCs w:val="24"/>
        </w:rPr>
        <w:t xml:space="preserve"> 2012; </w:t>
      </w:r>
      <w:r>
        <w:rPr>
          <w:rFonts w:ascii="Book Antiqua" w:hAnsi="Book Antiqua"/>
          <w:b/>
          <w:sz w:val="24"/>
          <w:szCs w:val="24"/>
        </w:rPr>
        <w:t>117</w:t>
      </w:r>
      <w:r>
        <w:rPr>
          <w:rFonts w:ascii="Book Antiqua" w:hAnsi="Book Antiqua"/>
          <w:sz w:val="24"/>
          <w:szCs w:val="24"/>
        </w:rPr>
        <w:t>:</w:t>
      </w:r>
      <w:r>
        <w:rPr>
          <w:rFonts w:ascii="Book Antiqua" w:hAnsi="Book Antiqua"/>
          <w:sz w:val="24"/>
          <w:szCs w:val="24"/>
        </w:rPr>
        <w:t xml:space="preserve"> 252-262 [PMID: 22728781 DOI: 10.1097/ALN.0b013e31825fb1b2]</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Liu R</w:t>
      </w:r>
      <w:r>
        <w:rPr>
          <w:rFonts w:ascii="Book Antiqua" w:hAnsi="Book Antiqua"/>
          <w:sz w:val="24"/>
          <w:szCs w:val="24"/>
        </w:rPr>
        <w:t xml:space="preserve">, Huang XP, </w:t>
      </w:r>
      <w:proofErr w:type="spellStart"/>
      <w:r>
        <w:rPr>
          <w:rFonts w:ascii="Book Antiqua" w:hAnsi="Book Antiqua"/>
          <w:sz w:val="24"/>
          <w:szCs w:val="24"/>
        </w:rPr>
        <w:t>Yeliseev</w:t>
      </w:r>
      <w:proofErr w:type="spellEnd"/>
      <w:r>
        <w:rPr>
          <w:rFonts w:ascii="Book Antiqua" w:hAnsi="Book Antiqua"/>
          <w:sz w:val="24"/>
          <w:szCs w:val="24"/>
        </w:rPr>
        <w:t xml:space="preserve"> A, Xi J, Roth BL. Novel molecular targets of </w:t>
      </w:r>
      <w:proofErr w:type="spellStart"/>
      <w:r>
        <w:rPr>
          <w:rFonts w:ascii="Book Antiqua" w:hAnsi="Book Antiqua"/>
          <w:sz w:val="24"/>
          <w:szCs w:val="24"/>
        </w:rPr>
        <w:t>dezocine</w:t>
      </w:r>
      <w:proofErr w:type="spellEnd"/>
      <w:r>
        <w:rPr>
          <w:rFonts w:ascii="Book Antiqua" w:hAnsi="Book Antiqua"/>
          <w:sz w:val="24"/>
          <w:szCs w:val="24"/>
        </w:rPr>
        <w:t xml:space="preserve"> and their clinical implications. </w:t>
      </w:r>
      <w:proofErr w:type="spellStart"/>
      <w:r>
        <w:rPr>
          <w:rFonts w:ascii="Book Antiqua" w:hAnsi="Book Antiqua"/>
          <w:i/>
          <w:sz w:val="24"/>
          <w:szCs w:val="24"/>
        </w:rPr>
        <w:t>Anesthesiology</w:t>
      </w:r>
      <w:proofErr w:type="spellEnd"/>
      <w:r>
        <w:rPr>
          <w:rFonts w:ascii="Book Antiqua" w:hAnsi="Book Antiqua"/>
          <w:sz w:val="24"/>
          <w:szCs w:val="24"/>
        </w:rPr>
        <w:t xml:space="preserve"> 2014; </w:t>
      </w:r>
      <w:r>
        <w:rPr>
          <w:rFonts w:ascii="Book Antiqua" w:hAnsi="Book Antiqua"/>
          <w:b/>
          <w:sz w:val="24"/>
          <w:szCs w:val="24"/>
        </w:rPr>
        <w:t>120</w:t>
      </w:r>
      <w:r>
        <w:rPr>
          <w:rFonts w:ascii="Book Antiqua" w:hAnsi="Book Antiqua"/>
          <w:sz w:val="24"/>
          <w:szCs w:val="24"/>
        </w:rPr>
        <w:t>: 714-723 [PMID: 24263237 DOI: 10.1097/ALN.0000000000000</w:t>
      </w:r>
      <w:r>
        <w:rPr>
          <w:rFonts w:ascii="Book Antiqua" w:hAnsi="Book Antiqua"/>
          <w:sz w:val="24"/>
          <w:szCs w:val="24"/>
        </w:rPr>
        <w:t>076]</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Steward DJ</w:t>
      </w:r>
      <w:r>
        <w:rPr>
          <w:rFonts w:ascii="Book Antiqua" w:hAnsi="Book Antiqua"/>
          <w:sz w:val="24"/>
          <w:szCs w:val="24"/>
        </w:rPr>
        <w:t xml:space="preserve">. A simplified scoring system for the post-operative recovery room. </w:t>
      </w:r>
      <w:r>
        <w:rPr>
          <w:rFonts w:ascii="Book Antiqua" w:hAnsi="Book Antiqua"/>
          <w:i/>
          <w:sz w:val="24"/>
          <w:szCs w:val="24"/>
        </w:rPr>
        <w:t xml:space="preserve">Can </w:t>
      </w:r>
      <w:proofErr w:type="spellStart"/>
      <w:r>
        <w:rPr>
          <w:rFonts w:ascii="Book Antiqua" w:hAnsi="Book Antiqua"/>
          <w:i/>
          <w:sz w:val="24"/>
          <w:szCs w:val="24"/>
        </w:rPr>
        <w:t>Anaesth</w:t>
      </w:r>
      <w:proofErr w:type="spellEnd"/>
      <w:r>
        <w:rPr>
          <w:rFonts w:ascii="Book Antiqua" w:hAnsi="Book Antiqua"/>
          <w:i/>
          <w:sz w:val="24"/>
          <w:szCs w:val="24"/>
        </w:rPr>
        <w:t xml:space="preserve"> </w:t>
      </w:r>
      <w:proofErr w:type="spellStart"/>
      <w:r>
        <w:rPr>
          <w:rFonts w:ascii="Book Antiqua" w:hAnsi="Book Antiqua"/>
          <w:i/>
          <w:sz w:val="24"/>
          <w:szCs w:val="24"/>
        </w:rPr>
        <w:t>Soc</w:t>
      </w:r>
      <w:proofErr w:type="spellEnd"/>
      <w:r>
        <w:rPr>
          <w:rFonts w:ascii="Book Antiqua" w:hAnsi="Book Antiqua"/>
          <w:i/>
          <w:sz w:val="24"/>
          <w:szCs w:val="24"/>
        </w:rPr>
        <w:t xml:space="preserve"> J</w:t>
      </w:r>
      <w:r>
        <w:rPr>
          <w:rFonts w:ascii="Book Antiqua" w:hAnsi="Book Antiqua"/>
          <w:sz w:val="24"/>
          <w:szCs w:val="24"/>
        </w:rPr>
        <w:t xml:space="preserve"> 1975; </w:t>
      </w:r>
      <w:r>
        <w:rPr>
          <w:rFonts w:ascii="Book Antiqua" w:hAnsi="Book Antiqua"/>
          <w:b/>
          <w:sz w:val="24"/>
          <w:szCs w:val="24"/>
        </w:rPr>
        <w:t>22</w:t>
      </w:r>
      <w:r>
        <w:rPr>
          <w:rFonts w:ascii="Book Antiqua" w:hAnsi="Book Antiqua"/>
          <w:sz w:val="24"/>
          <w:szCs w:val="24"/>
        </w:rPr>
        <w:t>: 111-113 [PMID: 1109700 DOI: 10.1007/BF03004827]</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15 </w:t>
      </w:r>
      <w:proofErr w:type="spellStart"/>
      <w:r>
        <w:rPr>
          <w:rFonts w:ascii="Book Antiqua" w:hAnsi="Book Antiqua"/>
          <w:b/>
          <w:sz w:val="24"/>
          <w:szCs w:val="24"/>
        </w:rPr>
        <w:t>Kiriyama</w:t>
      </w:r>
      <w:proofErr w:type="spellEnd"/>
      <w:r>
        <w:rPr>
          <w:rFonts w:ascii="Book Antiqua" w:hAnsi="Book Antiqua"/>
          <w:b/>
          <w:sz w:val="24"/>
          <w:szCs w:val="24"/>
        </w:rPr>
        <w:t xml:space="preserve"> S</w:t>
      </w:r>
      <w:r>
        <w:rPr>
          <w:rFonts w:ascii="Book Antiqua" w:hAnsi="Book Antiqua"/>
          <w:sz w:val="24"/>
          <w:szCs w:val="24"/>
        </w:rPr>
        <w:t xml:space="preserve">, </w:t>
      </w:r>
      <w:proofErr w:type="spellStart"/>
      <w:r>
        <w:rPr>
          <w:rFonts w:ascii="Book Antiqua" w:hAnsi="Book Antiqua"/>
          <w:sz w:val="24"/>
          <w:szCs w:val="24"/>
        </w:rPr>
        <w:t>Naitoh</w:t>
      </w:r>
      <w:proofErr w:type="spellEnd"/>
      <w:r>
        <w:rPr>
          <w:rFonts w:ascii="Book Antiqua" w:hAnsi="Book Antiqua"/>
          <w:sz w:val="24"/>
          <w:szCs w:val="24"/>
        </w:rPr>
        <w:t xml:space="preserve"> H, </w:t>
      </w:r>
      <w:proofErr w:type="spellStart"/>
      <w:r>
        <w:rPr>
          <w:rFonts w:ascii="Book Antiqua" w:hAnsi="Book Antiqua"/>
          <w:sz w:val="24"/>
          <w:szCs w:val="24"/>
        </w:rPr>
        <w:t>Kuwano</w:t>
      </w:r>
      <w:proofErr w:type="spellEnd"/>
      <w:r>
        <w:rPr>
          <w:rFonts w:ascii="Book Antiqua" w:hAnsi="Book Antiqua"/>
          <w:sz w:val="24"/>
          <w:szCs w:val="24"/>
        </w:rPr>
        <w:t xml:space="preserve"> H. </w:t>
      </w:r>
      <w:proofErr w:type="spellStart"/>
      <w:r>
        <w:rPr>
          <w:rFonts w:ascii="Book Antiqua" w:hAnsi="Book Antiqua"/>
          <w:sz w:val="24"/>
          <w:szCs w:val="24"/>
        </w:rPr>
        <w:t>Propofol</w:t>
      </w:r>
      <w:proofErr w:type="spellEnd"/>
      <w:r>
        <w:rPr>
          <w:rFonts w:ascii="Book Antiqua" w:hAnsi="Book Antiqua"/>
          <w:sz w:val="24"/>
          <w:szCs w:val="24"/>
        </w:rPr>
        <w:t xml:space="preserve"> sedation during endoscopic treatment for early gastric cancer compared to midazolam. </w:t>
      </w:r>
      <w:r>
        <w:rPr>
          <w:rFonts w:ascii="Book Antiqua" w:hAnsi="Book Antiqua"/>
          <w:i/>
          <w:sz w:val="24"/>
          <w:szCs w:val="24"/>
        </w:rPr>
        <w:t xml:space="preserve">World J </w:t>
      </w:r>
      <w:proofErr w:type="spellStart"/>
      <w:r>
        <w:rPr>
          <w:rFonts w:ascii="Book Antiqua" w:hAnsi="Book Antiqua"/>
          <w:i/>
          <w:sz w:val="24"/>
          <w:szCs w:val="24"/>
        </w:rPr>
        <w:t>Gastroenterol</w:t>
      </w:r>
      <w:proofErr w:type="spellEnd"/>
      <w:r>
        <w:rPr>
          <w:rFonts w:ascii="Book Antiqua" w:hAnsi="Book Antiqua"/>
          <w:sz w:val="24"/>
          <w:szCs w:val="24"/>
        </w:rPr>
        <w:t xml:space="preserve"> 2014; </w:t>
      </w:r>
      <w:r>
        <w:rPr>
          <w:rFonts w:ascii="Book Antiqua" w:hAnsi="Book Antiqua"/>
          <w:b/>
          <w:sz w:val="24"/>
          <w:szCs w:val="24"/>
        </w:rPr>
        <w:t>20</w:t>
      </w:r>
      <w:r>
        <w:rPr>
          <w:rFonts w:ascii="Book Antiqua" w:hAnsi="Book Antiqua"/>
          <w:sz w:val="24"/>
          <w:szCs w:val="24"/>
        </w:rPr>
        <w:t>: 11985-11990 [PMID: 25232235 DOI: 10.3748/wjg.v20.i34.11985]</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Cohen LB</w:t>
      </w:r>
      <w:r>
        <w:rPr>
          <w:rFonts w:ascii="Book Antiqua" w:hAnsi="Book Antiqua"/>
          <w:sz w:val="24"/>
          <w:szCs w:val="24"/>
        </w:rPr>
        <w:t xml:space="preserve">, </w:t>
      </w:r>
      <w:proofErr w:type="spellStart"/>
      <w:r>
        <w:rPr>
          <w:rFonts w:ascii="Book Antiqua" w:hAnsi="Book Antiqua"/>
          <w:sz w:val="24"/>
          <w:szCs w:val="24"/>
        </w:rPr>
        <w:t>Delegge</w:t>
      </w:r>
      <w:proofErr w:type="spellEnd"/>
      <w:r>
        <w:rPr>
          <w:rFonts w:ascii="Book Antiqua" w:hAnsi="Book Antiqua"/>
          <w:sz w:val="24"/>
          <w:szCs w:val="24"/>
        </w:rPr>
        <w:t xml:space="preserve"> MH, </w:t>
      </w:r>
      <w:proofErr w:type="spellStart"/>
      <w:r>
        <w:rPr>
          <w:rFonts w:ascii="Book Antiqua" w:hAnsi="Book Antiqua"/>
          <w:sz w:val="24"/>
          <w:szCs w:val="24"/>
        </w:rPr>
        <w:t>Aisenberg</w:t>
      </w:r>
      <w:proofErr w:type="spellEnd"/>
      <w:r>
        <w:rPr>
          <w:rFonts w:ascii="Book Antiqua" w:hAnsi="Book Antiqua"/>
          <w:sz w:val="24"/>
          <w:szCs w:val="24"/>
        </w:rPr>
        <w:t xml:space="preserve"> J, Brill JV, </w:t>
      </w:r>
      <w:proofErr w:type="spellStart"/>
      <w:r>
        <w:rPr>
          <w:rFonts w:ascii="Book Antiqua" w:hAnsi="Book Antiqua"/>
          <w:sz w:val="24"/>
          <w:szCs w:val="24"/>
        </w:rPr>
        <w:t>Inadomi</w:t>
      </w:r>
      <w:proofErr w:type="spellEnd"/>
      <w:r>
        <w:rPr>
          <w:rFonts w:ascii="Book Antiqua" w:hAnsi="Book Antiqua"/>
          <w:sz w:val="24"/>
          <w:szCs w:val="24"/>
        </w:rPr>
        <w:t xml:space="preserve"> JM, </w:t>
      </w:r>
      <w:proofErr w:type="spellStart"/>
      <w:r>
        <w:rPr>
          <w:rFonts w:ascii="Book Antiqua" w:hAnsi="Book Antiqua"/>
          <w:sz w:val="24"/>
          <w:szCs w:val="24"/>
        </w:rPr>
        <w:t>Kochman</w:t>
      </w:r>
      <w:proofErr w:type="spellEnd"/>
      <w:r>
        <w:rPr>
          <w:rFonts w:ascii="Book Antiqua" w:hAnsi="Book Antiqua"/>
          <w:sz w:val="24"/>
          <w:szCs w:val="24"/>
        </w:rPr>
        <w:t xml:space="preserve"> ML, </w:t>
      </w:r>
      <w:proofErr w:type="spellStart"/>
      <w:r>
        <w:rPr>
          <w:rFonts w:ascii="Book Antiqua" w:hAnsi="Book Antiqua"/>
          <w:sz w:val="24"/>
          <w:szCs w:val="24"/>
        </w:rPr>
        <w:t>Piorkowski</w:t>
      </w:r>
      <w:proofErr w:type="spellEnd"/>
      <w:r>
        <w:rPr>
          <w:rFonts w:ascii="Book Antiqua" w:hAnsi="Book Antiqua"/>
          <w:sz w:val="24"/>
          <w:szCs w:val="24"/>
        </w:rPr>
        <w:t xml:space="preserve"> JD Jr; AGA Institute. AGA Institute review of endoscopic sedation. </w:t>
      </w:r>
      <w:r>
        <w:rPr>
          <w:rFonts w:ascii="Book Antiqua" w:hAnsi="Book Antiqua"/>
          <w:i/>
          <w:sz w:val="24"/>
          <w:szCs w:val="24"/>
        </w:rPr>
        <w:t>Gastroenterology</w:t>
      </w:r>
      <w:r>
        <w:rPr>
          <w:rFonts w:ascii="Book Antiqua" w:hAnsi="Book Antiqua"/>
          <w:sz w:val="24"/>
          <w:szCs w:val="24"/>
        </w:rPr>
        <w:t xml:space="preserve"> 2007; </w:t>
      </w:r>
      <w:r>
        <w:rPr>
          <w:rFonts w:ascii="Book Antiqua" w:hAnsi="Book Antiqua"/>
          <w:b/>
          <w:sz w:val="24"/>
          <w:szCs w:val="24"/>
        </w:rPr>
        <w:t>133</w:t>
      </w:r>
      <w:r>
        <w:rPr>
          <w:rFonts w:ascii="Book Antiqua" w:hAnsi="Book Antiqua"/>
          <w:sz w:val="24"/>
          <w:szCs w:val="24"/>
        </w:rPr>
        <w:t>: 675-701 [PMID: 17681185 DOI: 10.1053/j.gastro.2007.06.002]</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Lee TL</w:t>
      </w:r>
      <w:r>
        <w:rPr>
          <w:rFonts w:ascii="Book Antiqua" w:hAnsi="Book Antiqua"/>
          <w:sz w:val="24"/>
          <w:szCs w:val="24"/>
        </w:rPr>
        <w:t xml:space="preserve">, </w:t>
      </w:r>
      <w:proofErr w:type="spellStart"/>
      <w:r>
        <w:rPr>
          <w:rFonts w:ascii="Book Antiqua" w:hAnsi="Book Antiqua"/>
          <w:sz w:val="24"/>
          <w:szCs w:val="24"/>
        </w:rPr>
        <w:t>Ang</w:t>
      </w:r>
      <w:proofErr w:type="spellEnd"/>
      <w:r>
        <w:rPr>
          <w:rFonts w:ascii="Book Antiqua" w:hAnsi="Book Antiqua"/>
          <w:sz w:val="24"/>
          <w:szCs w:val="24"/>
        </w:rPr>
        <w:t xml:space="preserve"> SB, </w:t>
      </w:r>
      <w:proofErr w:type="spellStart"/>
      <w:r>
        <w:rPr>
          <w:rFonts w:ascii="Book Antiqua" w:hAnsi="Book Antiqua"/>
          <w:sz w:val="24"/>
          <w:szCs w:val="24"/>
        </w:rPr>
        <w:t>Dambisya</w:t>
      </w:r>
      <w:proofErr w:type="spellEnd"/>
      <w:r>
        <w:rPr>
          <w:rFonts w:ascii="Book Antiqua" w:hAnsi="Book Antiqua"/>
          <w:sz w:val="24"/>
          <w:szCs w:val="24"/>
        </w:rPr>
        <w:t xml:space="preserve"> YM, </w:t>
      </w:r>
      <w:proofErr w:type="spellStart"/>
      <w:r>
        <w:rPr>
          <w:rFonts w:ascii="Book Antiqua" w:hAnsi="Book Antiqua"/>
          <w:sz w:val="24"/>
          <w:szCs w:val="24"/>
        </w:rPr>
        <w:t>Adaikan</w:t>
      </w:r>
      <w:proofErr w:type="spellEnd"/>
      <w:r>
        <w:rPr>
          <w:rFonts w:ascii="Book Antiqua" w:hAnsi="Book Antiqua"/>
          <w:sz w:val="24"/>
          <w:szCs w:val="24"/>
        </w:rPr>
        <w:t xml:space="preserve"> GP, Lau LC. The effect of </w:t>
      </w:r>
      <w:proofErr w:type="spellStart"/>
      <w:r>
        <w:rPr>
          <w:rFonts w:ascii="Book Antiqua" w:hAnsi="Book Antiqua"/>
          <w:sz w:val="24"/>
          <w:szCs w:val="24"/>
        </w:rPr>
        <w:t>p</w:t>
      </w:r>
      <w:r>
        <w:rPr>
          <w:rFonts w:ascii="Book Antiqua" w:hAnsi="Book Antiqua"/>
          <w:sz w:val="24"/>
          <w:szCs w:val="24"/>
        </w:rPr>
        <w:t>ropofol</w:t>
      </w:r>
      <w:proofErr w:type="spellEnd"/>
      <w:r>
        <w:rPr>
          <w:rFonts w:ascii="Book Antiqua" w:hAnsi="Book Antiqua"/>
          <w:sz w:val="24"/>
          <w:szCs w:val="24"/>
        </w:rPr>
        <w:t xml:space="preserve"> on human gastric and colonic muscle contractions. </w:t>
      </w:r>
      <w:proofErr w:type="spellStart"/>
      <w:r>
        <w:rPr>
          <w:rFonts w:ascii="Book Antiqua" w:hAnsi="Book Antiqua"/>
          <w:i/>
          <w:sz w:val="24"/>
          <w:szCs w:val="24"/>
        </w:rPr>
        <w:t>Anesth</w:t>
      </w:r>
      <w:proofErr w:type="spellEnd"/>
      <w:r>
        <w:rPr>
          <w:rFonts w:ascii="Book Antiqua" w:hAnsi="Book Antiqua"/>
          <w:i/>
          <w:sz w:val="24"/>
          <w:szCs w:val="24"/>
        </w:rPr>
        <w:t xml:space="preserve"> </w:t>
      </w:r>
      <w:proofErr w:type="spellStart"/>
      <w:r>
        <w:rPr>
          <w:rFonts w:ascii="Book Antiqua" w:hAnsi="Book Antiqua"/>
          <w:i/>
          <w:sz w:val="24"/>
          <w:szCs w:val="24"/>
        </w:rPr>
        <w:t>Analg</w:t>
      </w:r>
      <w:proofErr w:type="spellEnd"/>
      <w:r>
        <w:rPr>
          <w:rFonts w:ascii="Book Antiqua" w:hAnsi="Book Antiqua"/>
          <w:sz w:val="24"/>
          <w:szCs w:val="24"/>
        </w:rPr>
        <w:t xml:space="preserve"> 1999; </w:t>
      </w:r>
      <w:r>
        <w:rPr>
          <w:rFonts w:ascii="Book Antiqua" w:hAnsi="Book Antiqua"/>
          <w:b/>
          <w:sz w:val="24"/>
          <w:szCs w:val="24"/>
        </w:rPr>
        <w:t>89</w:t>
      </w:r>
      <w:r>
        <w:rPr>
          <w:rFonts w:ascii="Book Antiqua" w:hAnsi="Book Antiqua"/>
          <w:sz w:val="24"/>
          <w:szCs w:val="24"/>
        </w:rPr>
        <w:t>: 1246-1249 [PMID: 10553844 DOI: 10.1097/00000539-199911000-00031]</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Fanti L</w:t>
      </w:r>
      <w:r>
        <w:rPr>
          <w:rFonts w:ascii="Book Antiqua" w:hAnsi="Book Antiqua"/>
          <w:sz w:val="24"/>
          <w:szCs w:val="24"/>
        </w:rPr>
        <w:t xml:space="preserve">, </w:t>
      </w:r>
      <w:proofErr w:type="spellStart"/>
      <w:r>
        <w:rPr>
          <w:rFonts w:ascii="Book Antiqua" w:hAnsi="Book Antiqua"/>
          <w:sz w:val="24"/>
          <w:szCs w:val="24"/>
        </w:rPr>
        <w:t>Testoni</w:t>
      </w:r>
      <w:proofErr w:type="spellEnd"/>
      <w:r>
        <w:rPr>
          <w:rFonts w:ascii="Book Antiqua" w:hAnsi="Book Antiqua"/>
          <w:sz w:val="24"/>
          <w:szCs w:val="24"/>
        </w:rPr>
        <w:t xml:space="preserve"> PA. Sedation and analgesia in gastrointestinal endoscopy: what's new? </w:t>
      </w:r>
      <w:r>
        <w:rPr>
          <w:rFonts w:ascii="Book Antiqua" w:hAnsi="Book Antiqua"/>
          <w:i/>
          <w:sz w:val="24"/>
          <w:szCs w:val="24"/>
        </w:rPr>
        <w:t xml:space="preserve">World J </w:t>
      </w:r>
      <w:proofErr w:type="spellStart"/>
      <w:r>
        <w:rPr>
          <w:rFonts w:ascii="Book Antiqua" w:hAnsi="Book Antiqua"/>
          <w:i/>
          <w:sz w:val="24"/>
          <w:szCs w:val="24"/>
        </w:rPr>
        <w:t>Gastroentero</w:t>
      </w:r>
      <w:r>
        <w:rPr>
          <w:rFonts w:ascii="Book Antiqua" w:hAnsi="Book Antiqua"/>
          <w:i/>
          <w:sz w:val="24"/>
          <w:szCs w:val="24"/>
        </w:rPr>
        <w:t>l</w:t>
      </w:r>
      <w:proofErr w:type="spellEnd"/>
      <w:r>
        <w:rPr>
          <w:rFonts w:ascii="Book Antiqua" w:hAnsi="Book Antiqua"/>
          <w:sz w:val="24"/>
          <w:szCs w:val="24"/>
        </w:rPr>
        <w:t xml:space="preserve"> 2010; </w:t>
      </w:r>
      <w:r>
        <w:rPr>
          <w:rFonts w:ascii="Book Antiqua" w:hAnsi="Book Antiqua"/>
          <w:b/>
          <w:sz w:val="24"/>
          <w:szCs w:val="24"/>
        </w:rPr>
        <w:t>16</w:t>
      </w:r>
      <w:r>
        <w:rPr>
          <w:rFonts w:ascii="Book Antiqua" w:hAnsi="Book Antiqua"/>
          <w:sz w:val="24"/>
          <w:szCs w:val="24"/>
        </w:rPr>
        <w:t>: 2451-2457 [PMID: 20503443 DOI: 10.3748/wjg.v16.i20.2451]</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19 </w:t>
      </w:r>
      <w:proofErr w:type="spellStart"/>
      <w:r>
        <w:rPr>
          <w:rFonts w:ascii="Book Antiqua" w:hAnsi="Book Antiqua"/>
          <w:b/>
          <w:sz w:val="24"/>
          <w:szCs w:val="24"/>
        </w:rPr>
        <w:t>Rowlingson</w:t>
      </w:r>
      <w:proofErr w:type="spellEnd"/>
      <w:r>
        <w:rPr>
          <w:rFonts w:ascii="Book Antiqua" w:hAnsi="Book Antiqua"/>
          <w:b/>
          <w:sz w:val="24"/>
          <w:szCs w:val="24"/>
        </w:rPr>
        <w:t xml:space="preserve"> JC</w:t>
      </w:r>
      <w:r>
        <w:rPr>
          <w:rFonts w:ascii="Book Antiqua" w:hAnsi="Book Antiqua"/>
          <w:sz w:val="24"/>
          <w:szCs w:val="24"/>
        </w:rPr>
        <w:t xml:space="preserve">, </w:t>
      </w:r>
      <w:proofErr w:type="spellStart"/>
      <w:r>
        <w:rPr>
          <w:rFonts w:ascii="Book Antiqua" w:hAnsi="Book Antiqua"/>
          <w:sz w:val="24"/>
          <w:szCs w:val="24"/>
        </w:rPr>
        <w:t>Moscicki</w:t>
      </w:r>
      <w:proofErr w:type="spellEnd"/>
      <w:r>
        <w:rPr>
          <w:rFonts w:ascii="Book Antiqua" w:hAnsi="Book Antiqua"/>
          <w:sz w:val="24"/>
          <w:szCs w:val="24"/>
        </w:rPr>
        <w:t xml:space="preserve"> JC, </w:t>
      </w:r>
      <w:proofErr w:type="spellStart"/>
      <w:r>
        <w:rPr>
          <w:rFonts w:ascii="Book Antiqua" w:hAnsi="Book Antiqua"/>
          <w:sz w:val="24"/>
          <w:szCs w:val="24"/>
        </w:rPr>
        <w:t>DiFazio</w:t>
      </w:r>
      <w:proofErr w:type="spellEnd"/>
      <w:r>
        <w:rPr>
          <w:rFonts w:ascii="Book Antiqua" w:hAnsi="Book Antiqua"/>
          <w:sz w:val="24"/>
          <w:szCs w:val="24"/>
        </w:rPr>
        <w:t xml:space="preserve"> CA. </w:t>
      </w:r>
      <w:proofErr w:type="spellStart"/>
      <w:r>
        <w:rPr>
          <w:rFonts w:ascii="Book Antiqua" w:hAnsi="Book Antiqua"/>
          <w:sz w:val="24"/>
          <w:szCs w:val="24"/>
        </w:rPr>
        <w:t>Anesthetic</w:t>
      </w:r>
      <w:proofErr w:type="spellEnd"/>
      <w:r>
        <w:rPr>
          <w:rFonts w:ascii="Book Antiqua" w:hAnsi="Book Antiqua"/>
          <w:sz w:val="24"/>
          <w:szCs w:val="24"/>
        </w:rPr>
        <w:t xml:space="preserve"> potency of </w:t>
      </w:r>
      <w:proofErr w:type="spellStart"/>
      <w:r>
        <w:rPr>
          <w:rFonts w:ascii="Book Antiqua" w:hAnsi="Book Antiqua"/>
          <w:sz w:val="24"/>
          <w:szCs w:val="24"/>
        </w:rPr>
        <w:t>dezocine</w:t>
      </w:r>
      <w:proofErr w:type="spellEnd"/>
      <w:r>
        <w:rPr>
          <w:rFonts w:ascii="Book Antiqua" w:hAnsi="Book Antiqua"/>
          <w:sz w:val="24"/>
          <w:szCs w:val="24"/>
        </w:rPr>
        <w:t xml:space="preserve"> and its interaction with morphine in rats. </w:t>
      </w:r>
      <w:proofErr w:type="spellStart"/>
      <w:r>
        <w:rPr>
          <w:rFonts w:ascii="Book Antiqua" w:hAnsi="Book Antiqua"/>
          <w:i/>
          <w:sz w:val="24"/>
          <w:szCs w:val="24"/>
        </w:rPr>
        <w:t>Anesth</w:t>
      </w:r>
      <w:proofErr w:type="spellEnd"/>
      <w:r>
        <w:rPr>
          <w:rFonts w:ascii="Book Antiqua" w:hAnsi="Book Antiqua"/>
          <w:i/>
          <w:sz w:val="24"/>
          <w:szCs w:val="24"/>
        </w:rPr>
        <w:t xml:space="preserve"> </w:t>
      </w:r>
      <w:proofErr w:type="spellStart"/>
      <w:r>
        <w:rPr>
          <w:rFonts w:ascii="Book Antiqua" w:hAnsi="Book Antiqua"/>
          <w:i/>
          <w:sz w:val="24"/>
          <w:szCs w:val="24"/>
        </w:rPr>
        <w:t>Analg</w:t>
      </w:r>
      <w:proofErr w:type="spellEnd"/>
      <w:r>
        <w:rPr>
          <w:rFonts w:ascii="Book Antiqua" w:hAnsi="Book Antiqua"/>
          <w:sz w:val="24"/>
          <w:szCs w:val="24"/>
        </w:rPr>
        <w:t xml:space="preserve"> 1983; </w:t>
      </w:r>
      <w:r>
        <w:rPr>
          <w:rFonts w:ascii="Book Antiqua" w:hAnsi="Book Antiqua"/>
          <w:b/>
          <w:sz w:val="24"/>
          <w:szCs w:val="24"/>
        </w:rPr>
        <w:t>62</w:t>
      </w:r>
      <w:r>
        <w:rPr>
          <w:rFonts w:ascii="Book Antiqua" w:hAnsi="Book Antiqua"/>
          <w:sz w:val="24"/>
          <w:szCs w:val="24"/>
        </w:rPr>
        <w:t xml:space="preserve">: 899-902 [PMID: 6412596 DOI: </w:t>
      </w:r>
      <w:hyperlink r:id="rId9" w:tgtFrame="_blank" w:history="1">
        <w:r>
          <w:rPr>
            <w:rFonts w:ascii="Book Antiqua" w:hAnsi="Book Antiqua"/>
            <w:color w:val="auto"/>
            <w:sz w:val="24"/>
            <w:szCs w:val="24"/>
          </w:rPr>
          <w:t>10.1213/00000539-198310000-00008</w:t>
        </w:r>
      </w:hyperlink>
      <w:r>
        <w:rPr>
          <w:rFonts w:ascii="Book Antiqua" w:hAnsi="Book Antiqua"/>
          <w:sz w:val="24"/>
          <w:szCs w:val="24"/>
        </w:rPr>
        <w:t>]</w:t>
      </w:r>
    </w:p>
    <w:p w:rsidR="00A35F10" w:rsidRDefault="00210629">
      <w:pPr>
        <w:spacing w:after="0" w:line="360" w:lineRule="auto"/>
        <w:jc w:val="both"/>
        <w:rPr>
          <w:rFonts w:ascii="Book Antiqua" w:hAnsi="Book Antiqua"/>
          <w:sz w:val="24"/>
          <w:szCs w:val="24"/>
        </w:rPr>
      </w:pPr>
      <w:r>
        <w:rPr>
          <w:rFonts w:ascii="Book Antiqua" w:hAnsi="Book Antiqua"/>
          <w:sz w:val="24"/>
          <w:szCs w:val="24"/>
        </w:rPr>
        <w:lastRenderedPageBreak/>
        <w:t xml:space="preserve">20 </w:t>
      </w:r>
      <w:proofErr w:type="spellStart"/>
      <w:r>
        <w:rPr>
          <w:rFonts w:ascii="Book Antiqua" w:hAnsi="Book Antiqua"/>
          <w:b/>
          <w:sz w:val="24"/>
          <w:szCs w:val="24"/>
        </w:rPr>
        <w:t>Fragen</w:t>
      </w:r>
      <w:proofErr w:type="spellEnd"/>
      <w:r>
        <w:rPr>
          <w:rFonts w:ascii="Book Antiqua" w:hAnsi="Book Antiqua"/>
          <w:b/>
          <w:sz w:val="24"/>
          <w:szCs w:val="24"/>
        </w:rPr>
        <w:t xml:space="preserve"> RJ</w:t>
      </w:r>
      <w:r>
        <w:rPr>
          <w:rFonts w:ascii="Book Antiqua" w:hAnsi="Book Antiqua"/>
          <w:sz w:val="24"/>
          <w:szCs w:val="24"/>
        </w:rPr>
        <w:t xml:space="preserve">, Caldwell N. Comparison of </w:t>
      </w:r>
      <w:proofErr w:type="spellStart"/>
      <w:r>
        <w:rPr>
          <w:rFonts w:ascii="Book Antiqua" w:hAnsi="Book Antiqua"/>
          <w:sz w:val="24"/>
          <w:szCs w:val="24"/>
        </w:rPr>
        <w:t>dezocine</w:t>
      </w:r>
      <w:proofErr w:type="spellEnd"/>
      <w:r>
        <w:rPr>
          <w:rFonts w:ascii="Book Antiqua" w:hAnsi="Book Antiqua"/>
          <w:sz w:val="24"/>
          <w:szCs w:val="24"/>
        </w:rPr>
        <w:t xml:space="preserve"> (WY 16, 225) and meperidine as postoperative analgesics. </w:t>
      </w:r>
      <w:proofErr w:type="spellStart"/>
      <w:r>
        <w:rPr>
          <w:rFonts w:ascii="Book Antiqua" w:hAnsi="Book Antiqua"/>
          <w:i/>
          <w:sz w:val="24"/>
          <w:szCs w:val="24"/>
        </w:rPr>
        <w:t>Anesth</w:t>
      </w:r>
      <w:proofErr w:type="spellEnd"/>
      <w:r>
        <w:rPr>
          <w:rFonts w:ascii="Book Antiqua" w:hAnsi="Book Antiqua"/>
          <w:i/>
          <w:sz w:val="24"/>
          <w:szCs w:val="24"/>
        </w:rPr>
        <w:t xml:space="preserve"> </w:t>
      </w:r>
      <w:proofErr w:type="spellStart"/>
      <w:r>
        <w:rPr>
          <w:rFonts w:ascii="Book Antiqua" w:hAnsi="Book Antiqua"/>
          <w:i/>
          <w:sz w:val="24"/>
          <w:szCs w:val="24"/>
        </w:rPr>
        <w:t>Analg</w:t>
      </w:r>
      <w:proofErr w:type="spellEnd"/>
      <w:r>
        <w:rPr>
          <w:rFonts w:ascii="Book Antiqua" w:hAnsi="Book Antiqua"/>
          <w:sz w:val="24"/>
          <w:szCs w:val="24"/>
        </w:rPr>
        <w:t xml:space="preserve"> 1978; </w:t>
      </w:r>
      <w:r>
        <w:rPr>
          <w:rFonts w:ascii="Book Antiqua" w:hAnsi="Book Antiqua"/>
          <w:b/>
          <w:sz w:val="24"/>
          <w:szCs w:val="24"/>
        </w:rPr>
        <w:t>57</w:t>
      </w:r>
      <w:r>
        <w:rPr>
          <w:rFonts w:ascii="Book Antiqua" w:hAnsi="Book Antiqua"/>
          <w:sz w:val="24"/>
          <w:szCs w:val="24"/>
        </w:rPr>
        <w:t xml:space="preserve">: 563-566 [PMID: 30343 DOI: </w:t>
      </w:r>
      <w:hyperlink r:id="rId10" w:tgtFrame="_blank" w:history="1">
        <w:r>
          <w:rPr>
            <w:rFonts w:ascii="Book Antiqua" w:hAnsi="Book Antiqua"/>
            <w:color w:val="auto"/>
            <w:sz w:val="24"/>
            <w:szCs w:val="24"/>
          </w:rPr>
          <w:t>10.1213/00000539-197857050-00010</w:t>
        </w:r>
      </w:hyperlink>
      <w:r>
        <w:rPr>
          <w:rFonts w:ascii="Book Antiqua" w:hAnsi="Book Antiqua"/>
          <w:sz w:val="24"/>
          <w:szCs w:val="24"/>
        </w:rPr>
        <w:t>]</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O'Brien JJ</w:t>
      </w:r>
      <w:r>
        <w:rPr>
          <w:rFonts w:ascii="Book Antiqua" w:hAnsi="Book Antiqua"/>
          <w:sz w:val="24"/>
          <w:szCs w:val="24"/>
        </w:rPr>
        <w:t xml:space="preserve">, Benfield P. </w:t>
      </w:r>
      <w:proofErr w:type="spellStart"/>
      <w:r>
        <w:rPr>
          <w:rFonts w:ascii="Book Antiqua" w:hAnsi="Book Antiqua"/>
          <w:sz w:val="24"/>
          <w:szCs w:val="24"/>
        </w:rPr>
        <w:t>Dezocine</w:t>
      </w:r>
      <w:proofErr w:type="spellEnd"/>
      <w:r>
        <w:rPr>
          <w:rFonts w:ascii="Book Antiqua" w:hAnsi="Book Antiqua"/>
          <w:sz w:val="24"/>
          <w:szCs w:val="24"/>
        </w:rPr>
        <w:t xml:space="preserve">. A preliminary review of its </w:t>
      </w:r>
      <w:proofErr w:type="spellStart"/>
      <w:r>
        <w:rPr>
          <w:rFonts w:ascii="Book Antiqua" w:hAnsi="Book Antiqua"/>
          <w:sz w:val="24"/>
          <w:szCs w:val="24"/>
        </w:rPr>
        <w:t>pharmacodynamic</w:t>
      </w:r>
      <w:proofErr w:type="spellEnd"/>
      <w:r>
        <w:rPr>
          <w:rFonts w:ascii="Book Antiqua" w:hAnsi="Book Antiqua"/>
          <w:sz w:val="24"/>
          <w:szCs w:val="24"/>
        </w:rPr>
        <w:t xml:space="preserve"> and pharmacokinetic properties, and therapeutic efficacy. </w:t>
      </w:r>
      <w:r>
        <w:rPr>
          <w:rFonts w:ascii="Book Antiqua" w:hAnsi="Book Antiqua"/>
          <w:i/>
          <w:sz w:val="24"/>
          <w:szCs w:val="24"/>
        </w:rPr>
        <w:t>Drugs</w:t>
      </w:r>
      <w:r>
        <w:rPr>
          <w:rFonts w:ascii="Book Antiqua" w:hAnsi="Book Antiqua"/>
          <w:sz w:val="24"/>
          <w:szCs w:val="24"/>
        </w:rPr>
        <w:t xml:space="preserve"> </w:t>
      </w:r>
      <w:r>
        <w:rPr>
          <w:rFonts w:ascii="Book Antiqua" w:hAnsi="Book Antiqua"/>
          <w:sz w:val="24"/>
          <w:szCs w:val="24"/>
        </w:rPr>
        <w:t xml:space="preserve">1989; </w:t>
      </w:r>
      <w:r>
        <w:rPr>
          <w:rFonts w:ascii="Book Antiqua" w:hAnsi="Book Antiqua"/>
          <w:b/>
          <w:sz w:val="24"/>
          <w:szCs w:val="24"/>
        </w:rPr>
        <w:t>38</w:t>
      </w:r>
      <w:r>
        <w:rPr>
          <w:rFonts w:ascii="Book Antiqua" w:hAnsi="Book Antiqua"/>
          <w:sz w:val="24"/>
          <w:szCs w:val="24"/>
        </w:rPr>
        <w:t>: 226-248 [PMID: 2670517 DOI: 10.2165/00003495-198938020-00005]</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Ramirez-Ruiz M</w:t>
      </w:r>
      <w:r>
        <w:rPr>
          <w:rFonts w:ascii="Book Antiqua" w:hAnsi="Book Antiqua"/>
          <w:sz w:val="24"/>
          <w:szCs w:val="24"/>
        </w:rPr>
        <w:t xml:space="preserve">, Smith I, White PF. Use of analgesics during </w:t>
      </w:r>
      <w:proofErr w:type="spellStart"/>
      <w:r>
        <w:rPr>
          <w:rFonts w:ascii="Book Antiqua" w:hAnsi="Book Antiqua"/>
          <w:sz w:val="24"/>
          <w:szCs w:val="24"/>
        </w:rPr>
        <w:t>propofol</w:t>
      </w:r>
      <w:proofErr w:type="spellEnd"/>
      <w:r>
        <w:rPr>
          <w:rFonts w:ascii="Book Antiqua" w:hAnsi="Book Antiqua"/>
          <w:sz w:val="24"/>
          <w:szCs w:val="24"/>
        </w:rPr>
        <w:t xml:space="preserve"> sedation: a comparison of ketorolac, </w:t>
      </w:r>
      <w:proofErr w:type="spellStart"/>
      <w:r>
        <w:rPr>
          <w:rFonts w:ascii="Book Antiqua" w:hAnsi="Book Antiqua"/>
          <w:sz w:val="24"/>
          <w:szCs w:val="24"/>
        </w:rPr>
        <w:t>dezocine</w:t>
      </w:r>
      <w:proofErr w:type="spellEnd"/>
      <w:r>
        <w:rPr>
          <w:rFonts w:ascii="Book Antiqua" w:hAnsi="Book Antiqua"/>
          <w:sz w:val="24"/>
          <w:szCs w:val="24"/>
        </w:rPr>
        <w:t xml:space="preserve">, and fentanyl. </w:t>
      </w:r>
      <w:r>
        <w:rPr>
          <w:rFonts w:ascii="Book Antiqua" w:hAnsi="Book Antiqua"/>
          <w:i/>
          <w:sz w:val="24"/>
          <w:szCs w:val="24"/>
        </w:rPr>
        <w:t xml:space="preserve">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Anesth</w:t>
      </w:r>
      <w:proofErr w:type="spellEnd"/>
      <w:r>
        <w:rPr>
          <w:rFonts w:ascii="Book Antiqua" w:hAnsi="Book Antiqua"/>
          <w:sz w:val="24"/>
          <w:szCs w:val="24"/>
        </w:rPr>
        <w:t xml:space="preserve"> 1995; </w:t>
      </w:r>
      <w:r>
        <w:rPr>
          <w:rFonts w:ascii="Book Antiqua" w:hAnsi="Book Antiqua"/>
          <w:b/>
          <w:sz w:val="24"/>
          <w:szCs w:val="24"/>
        </w:rPr>
        <w:t>7</w:t>
      </w:r>
      <w:r>
        <w:rPr>
          <w:rFonts w:ascii="Book Antiqua" w:hAnsi="Book Antiqua"/>
          <w:sz w:val="24"/>
          <w:szCs w:val="24"/>
        </w:rPr>
        <w:t xml:space="preserve">: 481-485 [PMID: 8534465 DOI: </w:t>
      </w:r>
      <w:hyperlink r:id="rId11" w:tgtFrame="_blank" w:history="1">
        <w:r>
          <w:rPr>
            <w:rFonts w:ascii="Book Antiqua" w:hAnsi="Book Antiqua"/>
            <w:color w:val="auto"/>
            <w:sz w:val="24"/>
            <w:szCs w:val="24"/>
          </w:rPr>
          <w:t>10.1016/0952-8180(95)00058-P</w:t>
        </w:r>
      </w:hyperlink>
      <w:r>
        <w:rPr>
          <w:rFonts w:ascii="Book Antiqua" w:hAnsi="Book Antiqua"/>
          <w:sz w:val="24"/>
          <w:szCs w:val="24"/>
        </w:rPr>
        <w:t>]</w:t>
      </w:r>
    </w:p>
    <w:p w:rsidR="00A35F10" w:rsidRDefault="00210629">
      <w:pPr>
        <w:spacing w:after="0" w:line="360" w:lineRule="auto"/>
        <w:jc w:val="both"/>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Chen JC</w:t>
      </w:r>
      <w:r>
        <w:rPr>
          <w:rFonts w:ascii="Book Antiqua" w:hAnsi="Book Antiqua"/>
          <w:sz w:val="24"/>
          <w:szCs w:val="24"/>
        </w:rPr>
        <w:t xml:space="preserve">, Smith ER, Cahill M, Cohen R, Fishman JB. The opioid receptor binding of </w:t>
      </w:r>
      <w:proofErr w:type="spellStart"/>
      <w:r>
        <w:rPr>
          <w:rFonts w:ascii="Book Antiqua" w:hAnsi="Book Antiqua"/>
          <w:sz w:val="24"/>
          <w:szCs w:val="24"/>
        </w:rPr>
        <w:t>dezocine</w:t>
      </w:r>
      <w:proofErr w:type="spellEnd"/>
      <w:r>
        <w:rPr>
          <w:rFonts w:ascii="Book Antiqua" w:hAnsi="Book Antiqua"/>
          <w:sz w:val="24"/>
          <w:szCs w:val="24"/>
        </w:rPr>
        <w:t xml:space="preserve">, morphine, fentanyl, </w:t>
      </w:r>
      <w:proofErr w:type="spellStart"/>
      <w:r>
        <w:rPr>
          <w:rFonts w:ascii="Book Antiqua" w:hAnsi="Book Antiqua"/>
          <w:sz w:val="24"/>
          <w:szCs w:val="24"/>
        </w:rPr>
        <w:t>butorphanol</w:t>
      </w:r>
      <w:proofErr w:type="spellEnd"/>
      <w:r>
        <w:rPr>
          <w:rFonts w:ascii="Book Antiqua" w:hAnsi="Book Antiqua"/>
          <w:sz w:val="24"/>
          <w:szCs w:val="24"/>
        </w:rPr>
        <w:t xml:space="preserve"> and </w:t>
      </w:r>
      <w:proofErr w:type="spellStart"/>
      <w:r>
        <w:rPr>
          <w:rFonts w:ascii="Book Antiqua" w:hAnsi="Book Antiqua"/>
          <w:sz w:val="24"/>
          <w:szCs w:val="24"/>
        </w:rPr>
        <w:t>nalbuphine</w:t>
      </w:r>
      <w:proofErr w:type="spellEnd"/>
      <w:r>
        <w:rPr>
          <w:rFonts w:ascii="Book Antiqua" w:hAnsi="Book Antiqua"/>
          <w:sz w:val="24"/>
          <w:szCs w:val="24"/>
        </w:rPr>
        <w:t xml:space="preserve">. </w:t>
      </w:r>
      <w:r>
        <w:rPr>
          <w:rFonts w:ascii="Book Antiqua" w:hAnsi="Book Antiqua"/>
          <w:i/>
          <w:sz w:val="24"/>
          <w:szCs w:val="24"/>
        </w:rPr>
        <w:t xml:space="preserve">Life </w:t>
      </w:r>
      <w:proofErr w:type="spellStart"/>
      <w:r>
        <w:rPr>
          <w:rFonts w:ascii="Book Antiqua" w:hAnsi="Book Antiqua"/>
          <w:i/>
          <w:sz w:val="24"/>
          <w:szCs w:val="24"/>
        </w:rPr>
        <w:t>Sci</w:t>
      </w:r>
      <w:proofErr w:type="spellEnd"/>
      <w:r>
        <w:rPr>
          <w:rFonts w:ascii="Book Antiqua" w:hAnsi="Book Antiqua"/>
          <w:sz w:val="24"/>
          <w:szCs w:val="24"/>
        </w:rPr>
        <w:t xml:space="preserve"> 19</w:t>
      </w:r>
      <w:r>
        <w:rPr>
          <w:rFonts w:ascii="Book Antiqua" w:hAnsi="Book Antiqua"/>
          <w:sz w:val="24"/>
          <w:szCs w:val="24"/>
        </w:rPr>
        <w:t xml:space="preserve">93; </w:t>
      </w:r>
      <w:r>
        <w:rPr>
          <w:rFonts w:ascii="Book Antiqua" w:hAnsi="Book Antiqua"/>
          <w:b/>
          <w:sz w:val="24"/>
          <w:szCs w:val="24"/>
        </w:rPr>
        <w:t>52</w:t>
      </w:r>
      <w:r>
        <w:rPr>
          <w:rFonts w:ascii="Book Antiqua" w:hAnsi="Book Antiqua"/>
          <w:sz w:val="24"/>
          <w:szCs w:val="24"/>
        </w:rPr>
        <w:t xml:space="preserve">: 389-396 [PMID: 8093631 DOI: </w:t>
      </w:r>
      <w:hyperlink r:id="rId12" w:tgtFrame="_blank" w:history="1">
        <w:r>
          <w:rPr>
            <w:rFonts w:ascii="Book Antiqua" w:hAnsi="Book Antiqua"/>
            <w:color w:val="auto"/>
            <w:sz w:val="24"/>
            <w:szCs w:val="24"/>
          </w:rPr>
          <w:t>10.1016/0024-3205(93)90152-S</w:t>
        </w:r>
      </w:hyperlink>
      <w:r>
        <w:rPr>
          <w:rFonts w:ascii="Book Antiqua" w:hAnsi="Book Antiqua"/>
          <w:sz w:val="24"/>
          <w:szCs w:val="24"/>
        </w:rPr>
        <w:t>]</w:t>
      </w:r>
    </w:p>
    <w:p w:rsidR="00A35F10" w:rsidRDefault="00A35F10">
      <w:pPr>
        <w:spacing w:after="0" w:line="360" w:lineRule="auto"/>
        <w:ind w:left="720" w:hanging="720"/>
        <w:contextualSpacing/>
        <w:jc w:val="both"/>
        <w:rPr>
          <w:rFonts w:ascii="Book Antiqua" w:hAnsi="Book Antiqua"/>
          <w:sz w:val="24"/>
          <w:szCs w:val="24"/>
        </w:rPr>
      </w:pPr>
    </w:p>
    <w:p w:rsidR="00A35F10" w:rsidRDefault="00210629">
      <w:pPr>
        <w:wordWrap w:val="0"/>
        <w:spacing w:line="360" w:lineRule="auto"/>
        <w:ind w:right="120"/>
        <w:jc w:val="right"/>
        <w:rPr>
          <w:rFonts w:ascii="Book Antiqua" w:hAnsi="Book Antiqua" w:cs="Mangal"/>
          <w:b/>
          <w:bCs/>
          <w:color w:val="auto"/>
          <w:sz w:val="24"/>
          <w:lang w:val="it-IT" w:eastAsia="zh-CN" w:bidi="hi-IN"/>
        </w:rPr>
      </w:pPr>
      <w:bookmarkStart w:id="57" w:name="OLE_LINK502"/>
      <w:bookmarkStart w:id="58" w:name="OLE_LINK480"/>
      <w:bookmarkStart w:id="59" w:name="OLE_LINK1962"/>
      <w:bookmarkStart w:id="60" w:name="OLE_LINK1813"/>
      <w:bookmarkStart w:id="61" w:name="OLE_LINK1812"/>
      <w:bookmarkStart w:id="62" w:name="OLE_LINK1811"/>
      <w:bookmarkStart w:id="63" w:name="OLE_LINK2090"/>
      <w:bookmarkStart w:id="64" w:name="OLE_LINK2200"/>
      <w:bookmarkStart w:id="65" w:name="OLE_LINK2198"/>
      <w:bookmarkStart w:id="66" w:name="OLE_LINK2162"/>
      <w:bookmarkStart w:id="67" w:name="OLE_LINK2199"/>
      <w:bookmarkStart w:id="68" w:name="OLE_LINK1963"/>
      <w:bookmarkStart w:id="69" w:name="OLE_LINK1260"/>
      <w:bookmarkStart w:id="70" w:name="OLE_LINK1636"/>
      <w:bookmarkStart w:id="71" w:name="OLE_LINK968"/>
      <w:bookmarkStart w:id="72" w:name="OLE_LINK1043"/>
      <w:bookmarkStart w:id="73" w:name="OLE_LINK1806"/>
      <w:bookmarkStart w:id="74" w:name="OLE_LINK1041"/>
      <w:bookmarkStart w:id="75" w:name="OLE_LINK1844"/>
      <w:bookmarkStart w:id="76" w:name="OLE_LINK1845"/>
      <w:bookmarkStart w:id="77" w:name="OLE_LINK1040"/>
      <w:bookmarkStart w:id="78" w:name="OLE_LINK1800"/>
      <w:bookmarkStart w:id="79" w:name="OLE_LINK1282"/>
      <w:bookmarkStart w:id="80" w:name="OLE_LINK1037"/>
      <w:bookmarkStart w:id="81" w:name="OLE_LINK1261"/>
      <w:bookmarkStart w:id="82" w:name="OLE_LINK1036"/>
      <w:bookmarkStart w:id="83" w:name="OLE_LINK1755"/>
      <w:bookmarkStart w:id="84" w:name="OLE_LINK1071"/>
      <w:bookmarkStart w:id="85" w:name="OLE_LINK1039"/>
      <w:bookmarkStart w:id="86" w:name="OLE_LINK1038"/>
      <w:bookmarkStart w:id="87" w:name="OLE_LINK1035"/>
      <w:bookmarkStart w:id="88" w:name="OLE_LINK987"/>
      <w:bookmarkStart w:id="89" w:name="OLE_LINK947"/>
      <w:bookmarkStart w:id="90" w:name="OLE_LINK1807"/>
      <w:bookmarkStart w:id="91" w:name="OLE_LINK1803"/>
      <w:bookmarkStart w:id="92" w:name="OLE_LINK1264"/>
      <w:bookmarkStart w:id="93" w:name="OLE_LINK946"/>
      <w:bookmarkStart w:id="94" w:name="OLE_LINK1843"/>
      <w:bookmarkStart w:id="95" w:name="OLE_LINK1266"/>
      <w:bookmarkStart w:id="96" w:name="OLE_LINK1072"/>
      <w:bookmarkStart w:id="97" w:name="OLE_LINK1801"/>
      <w:bookmarkStart w:id="98" w:name="OLE_LINK1042"/>
      <w:bookmarkStart w:id="99" w:name="OLE_LINK1802"/>
      <w:bookmarkStart w:id="100" w:name="OLE_LINK1044"/>
      <w:bookmarkStart w:id="101" w:name="OLE_LINK1064"/>
      <w:bookmarkStart w:id="102" w:name="OLE_LINK1022"/>
      <w:bookmarkStart w:id="103" w:name="OLE_LINK1156"/>
      <w:bookmarkStart w:id="104" w:name="OLE_LINK958"/>
      <w:bookmarkStart w:id="105" w:name="OLE_LINK1021"/>
      <w:bookmarkStart w:id="106" w:name="OLE_LINK945"/>
      <w:bookmarkStart w:id="107" w:name="OLE_LINK1157"/>
      <w:bookmarkStart w:id="108" w:name="OLE_LINK2181"/>
      <w:bookmarkStart w:id="109" w:name="OLE_LINK1023"/>
      <w:bookmarkStart w:id="110" w:name="OLE_LINK2182"/>
      <w:bookmarkStart w:id="111" w:name="OLE_LINK962"/>
      <w:bookmarkStart w:id="112" w:name="OLE_LINK2183"/>
      <w:bookmarkStart w:id="113" w:name="OLE_LINK1158"/>
      <w:bookmarkStart w:id="114" w:name="OLE_LINK1185"/>
      <w:bookmarkStart w:id="115" w:name="OLE_LINK959"/>
      <w:bookmarkStart w:id="116" w:name="OLE_LINK1159"/>
      <w:bookmarkStart w:id="117" w:name="OLE_LINK1127"/>
      <w:bookmarkStart w:id="118" w:name="OLE_LINK1065"/>
      <w:r>
        <w:rPr>
          <w:rFonts w:ascii="Book Antiqua" w:eastAsia="Lucida Sans Unicode" w:hAnsi="Book Antiqua" w:cs="Arial"/>
          <w:b/>
          <w:sz w:val="24"/>
          <w:lang w:val="it-IT" w:eastAsia="hi-IN" w:bidi="hi-IN"/>
        </w:rPr>
        <w:t>P-Reviewer</w:t>
      </w:r>
      <w:r>
        <w:rPr>
          <w:rFonts w:ascii="Book Antiqua" w:hAnsi="Book Antiqua" w:cs="Arial"/>
          <w:b/>
          <w:sz w:val="24"/>
          <w:lang w:val="it-IT" w:bidi="hi-IN"/>
        </w:rPr>
        <w:t>:</w:t>
      </w:r>
      <w:r>
        <w:rPr>
          <w:rFonts w:ascii="Book Antiqua" w:hAnsi="Book Antiqua"/>
          <w:sz w:val="24"/>
          <w:lang w:val="it-IT"/>
        </w:rPr>
        <w:t xml:space="preserve"> Poskus T, Yeoh SW</w:t>
      </w:r>
      <w:r>
        <w:rPr>
          <w:rFonts w:ascii="Book Antiqua" w:eastAsia="Lucida Sans Unicode" w:hAnsi="Book Antiqua" w:cs="Mangal"/>
          <w:bCs/>
          <w:sz w:val="24"/>
          <w:lang w:val="it-IT" w:eastAsia="hi-IN" w:bidi="hi-IN"/>
        </w:rPr>
        <w:t xml:space="preserve"> </w:t>
      </w:r>
      <w:r>
        <w:rPr>
          <w:rFonts w:ascii="Book Antiqua" w:eastAsia="Lucida Sans Unicode" w:hAnsi="Book Antiqua" w:cs="Mangal"/>
          <w:b/>
          <w:bCs/>
          <w:sz w:val="24"/>
          <w:lang w:val="it-IT" w:eastAsia="hi-IN" w:bidi="hi-IN"/>
        </w:rPr>
        <w:t>S-Editor</w:t>
      </w:r>
      <w:r>
        <w:rPr>
          <w:rFonts w:ascii="Book Antiqua" w:hAnsi="Book Antiqua" w:cs="Mangal"/>
          <w:b/>
          <w:bCs/>
          <w:sz w:val="24"/>
          <w:lang w:val="it-IT" w:bidi="hi-IN"/>
        </w:rPr>
        <w:t>:</w:t>
      </w:r>
      <w:r>
        <w:rPr>
          <w:rFonts w:ascii="Book Antiqua" w:eastAsia="Lucida Sans Unicode" w:hAnsi="Book Antiqua" w:cs="Mangal"/>
          <w:bCs/>
          <w:sz w:val="24"/>
          <w:lang w:val="it-IT" w:eastAsia="hi-IN" w:bidi="hi-IN"/>
        </w:rPr>
        <w:t xml:space="preserve"> </w:t>
      </w:r>
      <w:r>
        <w:rPr>
          <w:rFonts w:ascii="Book Antiqua" w:hAnsi="Book Antiqua" w:cs="Mangal"/>
          <w:bCs/>
          <w:sz w:val="24"/>
          <w:lang w:val="it-IT" w:bidi="hi-IN"/>
        </w:rPr>
        <w:t>Dou Y</w:t>
      </w:r>
      <w:r>
        <w:rPr>
          <w:rFonts w:ascii="Book Antiqua" w:eastAsia="Lucida Sans Unicode" w:hAnsi="Book Antiqua" w:cs="Mangal"/>
          <w:b/>
          <w:bCs/>
          <w:sz w:val="24"/>
          <w:lang w:val="it-IT" w:eastAsia="hi-IN" w:bidi="hi-IN"/>
        </w:rPr>
        <w:t xml:space="preserve"> L-Editor</w:t>
      </w:r>
      <w:r>
        <w:rPr>
          <w:rFonts w:ascii="Book Antiqua" w:hAnsi="Book Antiqua" w:cs="Mangal"/>
          <w:b/>
          <w:bCs/>
          <w:sz w:val="24"/>
          <w:lang w:val="it-IT" w:bidi="hi-IN"/>
        </w:rPr>
        <w:t>:</w:t>
      </w:r>
      <w:r>
        <w:rPr>
          <w:rFonts w:ascii="Book Antiqua" w:eastAsia="Lucida Sans Unicode" w:hAnsi="Book Antiqua" w:cs="Mangal"/>
          <w:b/>
          <w:bCs/>
          <w:sz w:val="24"/>
          <w:lang w:val="it-IT" w:eastAsia="hi-IN" w:bidi="hi-IN"/>
        </w:rPr>
        <w:t xml:space="preserve"> </w:t>
      </w:r>
      <w:r>
        <w:rPr>
          <w:rFonts w:ascii="Book Antiqua" w:eastAsia="Lucida Sans Unicode" w:hAnsi="Book Antiqua" w:cs="Mangal"/>
          <w:bCs/>
          <w:sz w:val="24"/>
          <w:lang w:val="it-IT" w:eastAsia="hi-IN" w:bidi="hi-IN"/>
        </w:rPr>
        <w:t>Wang TQ</w:t>
      </w:r>
      <w:r>
        <w:rPr>
          <w:rFonts w:ascii="Book Antiqua" w:eastAsia="Lucida Sans Unicode" w:hAnsi="Book Antiqua" w:cs="Mangal"/>
          <w:b/>
          <w:bCs/>
          <w:sz w:val="24"/>
          <w:lang w:val="it-IT" w:eastAsia="hi-IN" w:bidi="hi-IN"/>
        </w:rPr>
        <w:t xml:space="preserve"> E-Editor</w:t>
      </w:r>
      <w:r>
        <w:rPr>
          <w:rFonts w:ascii="Book Antiqua" w:hAnsi="Book Antiqua" w:cs="Mangal"/>
          <w:b/>
          <w:bCs/>
          <w:sz w:val="24"/>
          <w:lang w:val="it-IT" w:bidi="hi-IN"/>
        </w:rPr>
        <w:t>:</w:t>
      </w:r>
    </w:p>
    <w:p w:rsidR="00A35F10" w:rsidRDefault="00210629">
      <w:pPr>
        <w:shd w:val="clear" w:color="auto" w:fill="FFFFFF"/>
        <w:spacing w:after="0" w:line="360" w:lineRule="auto"/>
        <w:rPr>
          <w:rFonts w:ascii="Book Antiqua" w:hAnsi="Book Antiqua" w:cs="Helvetica"/>
          <w:b/>
          <w:sz w:val="24"/>
          <w:lang w:val="en-US"/>
        </w:rPr>
      </w:pPr>
      <w:r>
        <w:rPr>
          <w:rFonts w:ascii="Book Antiqua" w:hAnsi="Book Antiqua" w:cs="Helvetica"/>
          <w:b/>
          <w:sz w:val="24"/>
        </w:rPr>
        <w:t xml:space="preserve">Specialty type: </w:t>
      </w:r>
      <w:r>
        <w:rPr>
          <w:rFonts w:ascii="Book Antiqua" w:eastAsia="微软雅黑" w:hAnsi="Book Antiqua" w:cs="宋体"/>
          <w:sz w:val="24"/>
        </w:rPr>
        <w:t xml:space="preserve">Medicine, Research and </w:t>
      </w:r>
      <w:r>
        <w:rPr>
          <w:rFonts w:ascii="Book Antiqua" w:eastAsia="微软雅黑" w:hAnsi="Book Antiqua" w:cs="宋体"/>
          <w:sz w:val="24"/>
        </w:rPr>
        <w:t>Experimental</w:t>
      </w:r>
    </w:p>
    <w:p w:rsidR="00A35F10" w:rsidRDefault="00210629">
      <w:pPr>
        <w:shd w:val="clear" w:color="auto" w:fill="FFFFFF"/>
        <w:spacing w:after="0"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rsidR="00A35F10" w:rsidRDefault="00210629">
      <w:pPr>
        <w:shd w:val="clear" w:color="auto" w:fill="FFFFFF"/>
        <w:spacing w:after="0" w:line="360" w:lineRule="auto"/>
        <w:rPr>
          <w:rFonts w:ascii="Book Antiqua" w:hAnsi="Book Antiqua" w:cs="Helvetica"/>
          <w:b/>
          <w:sz w:val="24"/>
        </w:rPr>
      </w:pPr>
      <w:r>
        <w:rPr>
          <w:rFonts w:ascii="Book Antiqua" w:hAnsi="Book Antiqua" w:cs="Helvetica"/>
          <w:b/>
          <w:sz w:val="24"/>
        </w:rPr>
        <w:t>Peer-review report classification</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 xml:space="preserve">Grade </w:t>
      </w:r>
      <w:proofErr w:type="gramStart"/>
      <w:r>
        <w:rPr>
          <w:rFonts w:ascii="Book Antiqua" w:hAnsi="Book Antiqua" w:cs="Helvetica"/>
          <w:sz w:val="24"/>
        </w:rPr>
        <w:t>A</w:t>
      </w:r>
      <w:proofErr w:type="gramEnd"/>
      <w:r>
        <w:rPr>
          <w:rFonts w:ascii="Book Antiqua" w:hAnsi="Book Antiqua" w:cs="Helvetica"/>
          <w:sz w:val="24"/>
        </w:rPr>
        <w:t xml:space="preserve"> (Excellent): 0</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Grade B (Very good): 0</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Grade C (Good): C, C</w:t>
      </w:r>
    </w:p>
    <w:p w:rsidR="00A35F10" w:rsidRDefault="00210629">
      <w:pPr>
        <w:shd w:val="clear" w:color="auto" w:fill="FFFFFF"/>
        <w:spacing w:after="0" w:line="360" w:lineRule="auto"/>
        <w:rPr>
          <w:rFonts w:ascii="Book Antiqua" w:hAnsi="Book Antiqua" w:cs="Helvetica"/>
          <w:sz w:val="24"/>
        </w:rPr>
      </w:pPr>
      <w:r>
        <w:rPr>
          <w:rFonts w:ascii="Book Antiqua" w:hAnsi="Book Antiqua" w:cs="Helvetica"/>
          <w:sz w:val="24"/>
        </w:rPr>
        <w:t xml:space="preserve">Grade D (Fair): </w:t>
      </w:r>
      <w:bookmarkEnd w:id="57"/>
      <w:bookmarkEnd w:id="58"/>
      <w:r>
        <w:rPr>
          <w:rFonts w:ascii="Book Antiqua" w:hAnsi="Book Antiqua" w:cs="Helvetica"/>
          <w:sz w:val="24"/>
        </w:rPr>
        <w:t>0</w:t>
      </w:r>
    </w:p>
    <w:p w:rsidR="00A35F10" w:rsidRDefault="00210629">
      <w:pPr>
        <w:shd w:val="clear" w:color="auto" w:fill="FFFFFF"/>
        <w:spacing w:after="0" w:line="360" w:lineRule="auto"/>
        <w:rPr>
          <w:rFonts w:ascii="Book Antiqua" w:hAnsi="Book Antiqua" w:cs="Helvetica"/>
          <w:sz w:val="24"/>
          <w:lang w:val="de-DE"/>
        </w:rPr>
      </w:pPr>
      <w:r>
        <w:rPr>
          <w:rFonts w:ascii="Book Antiqua" w:hAnsi="Book Antiqua" w:cs="Helvetica"/>
          <w:sz w:val="24"/>
        </w:rPr>
        <w:t>Grade E (Poor): 0</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A35F10" w:rsidRDefault="00A35F10">
      <w:pPr>
        <w:spacing w:after="0" w:line="360" w:lineRule="auto"/>
        <w:ind w:left="720" w:hanging="720"/>
        <w:contextualSpacing/>
        <w:jc w:val="both"/>
        <w:rPr>
          <w:rFonts w:ascii="Book Antiqua" w:eastAsiaTheme="minorEastAsia" w:hAnsi="Book Antiqua" w:cstheme="minorBidi"/>
          <w:color w:val="auto"/>
          <w:sz w:val="24"/>
          <w:szCs w:val="24"/>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footerReference w:type="default" r:id="rId13"/>
          <w:pgSz w:w="11906" w:h="16838"/>
          <w:pgMar w:top="1440" w:right="1474" w:bottom="1440" w:left="1474" w:header="851" w:footer="992" w:gutter="0"/>
          <w:cols w:space="425"/>
          <w:docGrid w:type="lines" w:linePitch="312"/>
        </w:sectPr>
      </w:pPr>
    </w:p>
    <w:p w:rsidR="00A35F10" w:rsidRDefault="00210629">
      <w:pPr>
        <w:spacing w:after="0" w:line="360" w:lineRule="auto"/>
        <w:jc w:val="both"/>
        <w:rPr>
          <w:rFonts w:ascii="Book Antiqua" w:hAnsi="Book Antiqua" w:cs="Times New Roman"/>
          <w:b/>
          <w:bCs/>
          <w:sz w:val="24"/>
          <w:szCs w:val="24"/>
          <w:lang w:val="en-US"/>
        </w:rPr>
      </w:pPr>
      <w:r>
        <w:rPr>
          <w:rFonts w:ascii="Book Antiqua" w:hAnsi="Book Antiqua" w:cs="Times New Roman"/>
          <w:b/>
          <w:bCs/>
          <w:sz w:val="24"/>
          <w:szCs w:val="24"/>
        </w:rPr>
        <w:lastRenderedPageBreak/>
        <w:t>Table 1</w:t>
      </w:r>
      <w:r>
        <w:rPr>
          <w:rFonts w:ascii="Book Antiqua" w:hAnsi="Book Antiqua" w:cs="Times New Roman"/>
          <w:sz w:val="24"/>
          <w:szCs w:val="24"/>
        </w:rPr>
        <w:t xml:space="preserve"> </w:t>
      </w:r>
      <w:r>
        <w:rPr>
          <w:rFonts w:ascii="Book Antiqua" w:hAnsi="Book Antiqua" w:cs="Times New Roman"/>
          <w:b/>
          <w:bCs/>
          <w:sz w:val="24"/>
          <w:szCs w:val="24"/>
        </w:rPr>
        <w:t>Demographics of the four groups</w:t>
      </w:r>
    </w:p>
    <w:tbl>
      <w:tblPr>
        <w:tblStyle w:val="aa"/>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358"/>
        <w:gridCol w:w="2536"/>
        <w:gridCol w:w="2269"/>
        <w:gridCol w:w="2126"/>
        <w:gridCol w:w="1258"/>
      </w:tblGrid>
      <w:tr w:rsidR="00A35F10">
        <w:tc>
          <w:tcPr>
            <w:tcW w:w="121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844"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90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813"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762"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51"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121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Sex, male/female</w:t>
            </w:r>
          </w:p>
        </w:tc>
        <w:tc>
          <w:tcPr>
            <w:tcW w:w="844"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48/52</w:t>
            </w:r>
          </w:p>
        </w:tc>
        <w:tc>
          <w:tcPr>
            <w:tcW w:w="90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53/47</w:t>
            </w:r>
          </w:p>
        </w:tc>
        <w:tc>
          <w:tcPr>
            <w:tcW w:w="813"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51/49</w:t>
            </w:r>
          </w:p>
        </w:tc>
        <w:tc>
          <w:tcPr>
            <w:tcW w:w="762"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49/51</w:t>
            </w:r>
          </w:p>
        </w:tc>
        <w:tc>
          <w:tcPr>
            <w:tcW w:w="451"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0.899</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Age, </w:t>
            </w:r>
            <w:proofErr w:type="spellStart"/>
            <w:r>
              <w:rPr>
                <w:rFonts w:ascii="Book Antiqua" w:hAnsi="Book Antiqua" w:cs="Times New Roman"/>
                <w:sz w:val="24"/>
                <w:szCs w:val="24"/>
              </w:rPr>
              <w:t>yr</w:t>
            </w:r>
            <w:proofErr w:type="spellEnd"/>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51 ± 20</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 ± 20</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53 ± 19</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48 ± 20</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0.269</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Height, cm</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172 ± 7</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173 ± 7</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172 ± 8</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173 ± 8</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0.876</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Weight, kg</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76 ± 15</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75 ± 15</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 ± 16</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 ± 15</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0.157</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lang w:eastAsia="zh-CN"/>
              </w:rPr>
            </w:pPr>
            <w:r>
              <w:rPr>
                <w:rFonts w:ascii="Book Antiqua" w:hAnsi="Book Antiqua" w:cs="Times New Roman"/>
                <w:sz w:val="24"/>
                <w:szCs w:val="24"/>
              </w:rPr>
              <w:t xml:space="preserve">ASA </w:t>
            </w:r>
            <w:r>
              <w:rPr>
                <w:rFonts w:ascii="Book Antiqua" w:hAnsi="Book Antiqua" w:cs="宋体"/>
                <w:sz w:val="24"/>
                <w:szCs w:val="24"/>
                <w:lang w:eastAsia="zh-CN"/>
              </w:rPr>
              <w:t>I</w:t>
            </w:r>
            <w:r>
              <w:rPr>
                <w:rFonts w:ascii="Book Antiqua" w:hAnsi="Book Antiqua" w:cs="Times New Roman"/>
                <w:sz w:val="24"/>
                <w:szCs w:val="24"/>
              </w:rPr>
              <w:t>/</w:t>
            </w:r>
            <w:r>
              <w:rPr>
                <w:rFonts w:ascii="Book Antiqua" w:hAnsi="Book Antiqua" w:cs="宋体"/>
                <w:sz w:val="24"/>
                <w:szCs w:val="24"/>
                <w:lang w:eastAsia="zh-CN"/>
              </w:rPr>
              <w:t>II</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46/54</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48/52</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45/55</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49/51</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0.940</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Induction time, s</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 ± 8</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0.807</w:t>
            </w:r>
          </w:p>
        </w:tc>
      </w:tr>
      <w:tr w:rsidR="00A35F10">
        <w:tc>
          <w:tcPr>
            <w:tcW w:w="121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Operation duration, min</w:t>
            </w:r>
          </w:p>
        </w:tc>
        <w:tc>
          <w:tcPr>
            <w:tcW w:w="844"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 ± 9</w:t>
            </w:r>
          </w:p>
        </w:tc>
        <w:tc>
          <w:tcPr>
            <w:tcW w:w="90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81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45 ± 9</w:t>
            </w:r>
          </w:p>
        </w:tc>
        <w:tc>
          <w:tcPr>
            <w:tcW w:w="76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44 ± 9</w:t>
            </w:r>
          </w:p>
        </w:tc>
        <w:tc>
          <w:tcPr>
            <w:tcW w:w="45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0.614</w:t>
            </w:r>
          </w:p>
        </w:tc>
      </w:tr>
    </w:tbl>
    <w:p w:rsidR="00A35F10" w:rsidRDefault="00210629">
      <w:pPr>
        <w:spacing w:after="0" w:line="360" w:lineRule="auto"/>
        <w:ind w:left="720" w:hanging="720"/>
        <w:contextualSpacing/>
        <w:jc w:val="both"/>
        <w:rPr>
          <w:rFonts w:ascii="Book Antiqua" w:hAnsi="Book Antiqua" w:cs="Times New Roman"/>
          <w:sz w:val="24"/>
          <w:szCs w:val="24"/>
        </w:rPr>
      </w:pPr>
      <w:r>
        <w:rPr>
          <w:rFonts w:ascii="Book Antiqua" w:hAnsi="Book Antiqua" w:cs="Times New Roman"/>
          <w:sz w:val="24"/>
          <w:szCs w:val="24"/>
        </w:rPr>
        <w:t xml:space="preserve">ASA: American Society of </w:t>
      </w:r>
      <w:proofErr w:type="spellStart"/>
      <w:r>
        <w:rPr>
          <w:rFonts w:ascii="Book Antiqua" w:hAnsi="Book Antiqua" w:cs="Times New Roman"/>
          <w:sz w:val="24"/>
          <w:szCs w:val="24"/>
        </w:rPr>
        <w:t>Anesthesiologists</w:t>
      </w:r>
      <w:proofErr w:type="spellEnd"/>
      <w:r>
        <w:rPr>
          <w:rFonts w:ascii="Book Antiqua" w:hAnsi="Book Antiqua" w:cs="Times New Roman"/>
          <w:sz w:val="24"/>
          <w:szCs w:val="24"/>
        </w:rPr>
        <w:t xml:space="preserve"> class.</w:t>
      </w:r>
    </w:p>
    <w:p w:rsidR="00A35F10" w:rsidRDefault="00A35F10">
      <w:pPr>
        <w:spacing w:after="0" w:line="360" w:lineRule="auto"/>
        <w:ind w:left="720" w:hanging="720"/>
        <w:contextualSpacing/>
        <w:jc w:val="both"/>
        <w:rPr>
          <w:rFonts w:ascii="Book Antiqua" w:hAnsi="Book Antiqua" w:cs="Times New Roman"/>
          <w:sz w:val="24"/>
          <w:szCs w:val="24"/>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pgSz w:w="16838" w:h="11906" w:orient="landscape"/>
          <w:pgMar w:top="1474" w:right="1440" w:bottom="1474" w:left="1440" w:header="851" w:footer="992" w:gutter="0"/>
          <w:cols w:space="0"/>
          <w:docGrid w:type="lines" w:linePitch="319"/>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b/>
          <w:bCs/>
          <w:sz w:val="24"/>
          <w:szCs w:val="24"/>
        </w:rPr>
        <w:lastRenderedPageBreak/>
        <w:t>Table 2</w:t>
      </w:r>
      <w:r>
        <w:rPr>
          <w:rFonts w:ascii="Book Antiqua" w:hAnsi="Book Antiqua" w:cs="Times New Roman"/>
          <w:sz w:val="24"/>
          <w:szCs w:val="24"/>
        </w:rPr>
        <w:t xml:space="preserve"> </w:t>
      </w:r>
      <w:r>
        <w:rPr>
          <w:rFonts w:ascii="Book Antiqua" w:hAnsi="Book Antiqua" w:cs="Times New Roman"/>
          <w:b/>
          <w:bCs/>
          <w:sz w:val="24"/>
          <w:szCs w:val="24"/>
        </w:rPr>
        <w:t xml:space="preserve">Comparison of </w:t>
      </w:r>
      <w:proofErr w:type="spellStart"/>
      <w:r>
        <w:rPr>
          <w:rFonts w:ascii="Book Antiqua" w:hAnsi="Book Antiqua" w:cs="Times New Roman"/>
          <w:b/>
          <w:bCs/>
          <w:sz w:val="24"/>
          <w:szCs w:val="24"/>
        </w:rPr>
        <w:t>propofol</w:t>
      </w:r>
      <w:proofErr w:type="spellEnd"/>
      <w:r>
        <w:rPr>
          <w:rFonts w:ascii="Book Antiqua" w:hAnsi="Book Antiqua" w:cs="Times New Roman"/>
          <w:b/>
          <w:bCs/>
          <w:sz w:val="24"/>
          <w:szCs w:val="24"/>
        </w:rPr>
        <w:t xml:space="preserve"> dosage, awakening time, steward score, and postoperative pain score among the groups</w:t>
      </w:r>
    </w:p>
    <w:tbl>
      <w:tblPr>
        <w:tblStyle w:val="aa"/>
        <w:tblW w:w="499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2145"/>
        <w:gridCol w:w="2308"/>
        <w:gridCol w:w="2065"/>
        <w:gridCol w:w="1937"/>
        <w:gridCol w:w="1175"/>
      </w:tblGrid>
      <w:tr w:rsidR="00A35F10">
        <w:tc>
          <w:tcPr>
            <w:tcW w:w="154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76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82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73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693"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21"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154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Induction dosage of </w:t>
            </w:r>
            <w:proofErr w:type="spellStart"/>
            <w:r>
              <w:rPr>
                <w:rFonts w:ascii="Book Antiqua" w:hAnsi="Book Antiqua" w:cs="Times New Roman"/>
                <w:sz w:val="24"/>
                <w:szCs w:val="24"/>
              </w:rPr>
              <w:t>propofol</w:t>
            </w:r>
            <w:proofErr w:type="spellEnd"/>
            <w:r>
              <w:rPr>
                <w:rFonts w:ascii="Book Antiqua" w:hAnsi="Book Antiqua" w:cs="Times New Roman"/>
                <w:sz w:val="24"/>
                <w:szCs w:val="24"/>
              </w:rPr>
              <w:t>, mg</w:t>
            </w:r>
          </w:p>
        </w:tc>
        <w:tc>
          <w:tcPr>
            <w:tcW w:w="76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116 ± 21</w:t>
            </w:r>
            <w:r>
              <w:rPr>
                <w:rFonts w:ascii="Book Antiqua" w:hAnsi="Book Antiqua" w:cs="Times New Roman"/>
                <w:sz w:val="24"/>
                <w:szCs w:val="24"/>
                <w:vertAlign w:val="superscript"/>
              </w:rPr>
              <w:t>a</w:t>
            </w:r>
          </w:p>
        </w:tc>
        <w:tc>
          <w:tcPr>
            <w:tcW w:w="826"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117 ± 21</w:t>
            </w:r>
            <w:r>
              <w:rPr>
                <w:rFonts w:ascii="Book Antiqua" w:hAnsi="Book Antiqua" w:cs="Times New Roman"/>
                <w:sz w:val="24"/>
                <w:szCs w:val="24"/>
                <w:vertAlign w:val="superscript"/>
              </w:rPr>
              <w:t>a</w:t>
            </w:r>
          </w:p>
        </w:tc>
        <w:tc>
          <w:tcPr>
            <w:tcW w:w="73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117 ± 23</w:t>
            </w:r>
            <w:r>
              <w:rPr>
                <w:rFonts w:ascii="Book Antiqua" w:hAnsi="Book Antiqua" w:cs="Times New Roman"/>
                <w:sz w:val="24"/>
                <w:szCs w:val="24"/>
                <w:vertAlign w:val="superscript"/>
              </w:rPr>
              <w:t>a</w:t>
            </w:r>
          </w:p>
        </w:tc>
        <w:tc>
          <w:tcPr>
            <w:tcW w:w="693"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152 ± 28</w:t>
            </w:r>
          </w:p>
        </w:tc>
        <w:tc>
          <w:tcPr>
            <w:tcW w:w="421"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Additional dosage of </w:t>
            </w:r>
            <w:proofErr w:type="spellStart"/>
            <w:r>
              <w:rPr>
                <w:rFonts w:ascii="Book Antiqua" w:hAnsi="Book Antiqua" w:cs="Times New Roman"/>
                <w:sz w:val="24"/>
                <w:szCs w:val="24"/>
              </w:rPr>
              <w:t>propofol</w:t>
            </w:r>
            <w:proofErr w:type="spellEnd"/>
            <w:r>
              <w:rPr>
                <w:rFonts w:ascii="Book Antiqua" w:hAnsi="Book Antiqua" w:cs="Times New Roman"/>
                <w:sz w:val="24"/>
                <w:szCs w:val="24"/>
              </w:rPr>
              <w:t>, mg</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116 ± 20</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148 ± 29</w:t>
            </w:r>
            <w:r>
              <w:rPr>
                <w:rFonts w:ascii="Book Antiqua" w:hAnsi="Book Antiqua" w:cs="Times New Roman"/>
                <w:sz w:val="24"/>
                <w:szCs w:val="24"/>
                <w:vertAlign w:val="superscript"/>
              </w:rPr>
              <w:t>a, 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152 ± 27</w:t>
            </w:r>
            <w:r>
              <w:rPr>
                <w:rFonts w:ascii="Book Antiqua" w:hAnsi="Book Antiqua" w:cs="Times New Roman"/>
                <w:sz w:val="24"/>
                <w:szCs w:val="24"/>
                <w:vertAlign w:val="superscript"/>
              </w:rPr>
              <w:t>a, 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198 ± 28</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 xml:space="preserve">Total dosage of </w:t>
            </w:r>
            <w:proofErr w:type="spellStart"/>
            <w:r>
              <w:rPr>
                <w:rFonts w:ascii="Book Antiqua" w:hAnsi="Book Antiqua" w:cs="Times New Roman"/>
                <w:sz w:val="24"/>
                <w:szCs w:val="24"/>
              </w:rPr>
              <w:t>propofol</w:t>
            </w:r>
            <w:proofErr w:type="spellEnd"/>
            <w:r>
              <w:rPr>
                <w:rFonts w:ascii="Book Antiqua" w:hAnsi="Book Antiqua" w:cs="Times New Roman"/>
                <w:sz w:val="24"/>
                <w:szCs w:val="24"/>
              </w:rPr>
              <w:t xml:space="preserve">, mg </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243 ± 42</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279 ± 50</w:t>
            </w:r>
            <w:r>
              <w:rPr>
                <w:rFonts w:ascii="Book Antiqua" w:hAnsi="Book Antiqua" w:cs="Times New Roman"/>
                <w:sz w:val="24"/>
                <w:szCs w:val="24"/>
                <w:vertAlign w:val="superscript"/>
              </w:rPr>
              <w:t>a, 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280 ± 45</w:t>
            </w:r>
            <w:r>
              <w:rPr>
                <w:rFonts w:ascii="Book Antiqua" w:hAnsi="Book Antiqua" w:cs="Times New Roman"/>
                <w:sz w:val="24"/>
                <w:szCs w:val="24"/>
                <w:vertAlign w:val="superscript"/>
              </w:rPr>
              <w:t>a, 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346 ± 37</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Awakening time, second</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39 ± 12</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181 ± 35</w:t>
            </w:r>
            <w:r>
              <w:rPr>
                <w:rFonts w:ascii="Book Antiqua" w:hAnsi="Book Antiqua" w:cs="Times New Roman"/>
                <w:sz w:val="24"/>
                <w:szCs w:val="24"/>
                <w:vertAlign w:val="superscript"/>
              </w:rPr>
              <w:t>a, b, 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209 ± 55</w:t>
            </w:r>
            <w:r>
              <w:rPr>
                <w:rFonts w:ascii="Book Antiqua" w:hAnsi="Book Antiqua" w:cs="Times New Roman"/>
                <w:sz w:val="24"/>
                <w:szCs w:val="24"/>
                <w:vertAlign w:val="superscript"/>
              </w:rPr>
              <w:t>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205 ± 50</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Steward score</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4.74 ± 1.088</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4.07 ± 0.856</w:t>
            </w:r>
            <w:r>
              <w:rPr>
                <w:rFonts w:ascii="Book Antiqua" w:hAnsi="Book Antiqua" w:cs="Times New Roman"/>
                <w:sz w:val="24"/>
                <w:szCs w:val="24"/>
                <w:vertAlign w:val="superscript"/>
              </w:rPr>
              <w:t>a,b,c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2.97 ± 0.797</w:t>
            </w:r>
            <w:r>
              <w:rPr>
                <w:rFonts w:ascii="Book Antiqua" w:hAnsi="Book Antiqua" w:cs="Times New Roman"/>
                <w:sz w:val="24"/>
                <w:szCs w:val="24"/>
                <w:vertAlign w:val="superscript"/>
              </w:rPr>
              <w:t>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3.15 ± 0.833</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r w:rsidR="00A35F10">
        <w:tc>
          <w:tcPr>
            <w:tcW w:w="15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Postoperative pain score</w:t>
            </w:r>
          </w:p>
        </w:tc>
        <w:tc>
          <w:tcPr>
            <w:tcW w:w="76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1.62 ± 1.117</w:t>
            </w:r>
            <w:r>
              <w:rPr>
                <w:rFonts w:ascii="Book Antiqua" w:hAnsi="Book Antiqua" w:cs="Times New Roman"/>
                <w:sz w:val="24"/>
                <w:szCs w:val="24"/>
                <w:vertAlign w:val="superscript"/>
              </w:rPr>
              <w:t>a</w:t>
            </w:r>
          </w:p>
        </w:tc>
        <w:tc>
          <w:tcPr>
            <w:tcW w:w="8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2.25 ± 1.672</w:t>
            </w:r>
            <w:r>
              <w:rPr>
                <w:rFonts w:ascii="Book Antiqua" w:hAnsi="Book Antiqua" w:cs="Times New Roman"/>
                <w:sz w:val="24"/>
                <w:szCs w:val="24"/>
                <w:vertAlign w:val="superscript"/>
              </w:rPr>
              <w:t>a,c</w:t>
            </w:r>
          </w:p>
        </w:tc>
        <w:tc>
          <w:tcPr>
            <w:tcW w:w="73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2.68 ± 2.024</w:t>
            </w:r>
            <w:r>
              <w:rPr>
                <w:rFonts w:ascii="Book Antiqua" w:hAnsi="Book Antiqua" w:cs="Times New Roman"/>
                <w:sz w:val="24"/>
                <w:szCs w:val="24"/>
                <w:vertAlign w:val="superscript"/>
              </w:rPr>
              <w:t>a,c</w:t>
            </w:r>
          </w:p>
        </w:tc>
        <w:tc>
          <w:tcPr>
            <w:tcW w:w="693"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4.61 ± 1.136</w:t>
            </w:r>
          </w:p>
        </w:tc>
        <w:tc>
          <w:tcPr>
            <w:tcW w:w="421"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&lt;0.001</w:t>
            </w:r>
          </w:p>
        </w:tc>
      </w:tr>
    </w:tbl>
    <w:p w:rsidR="00A35F10" w:rsidRDefault="00210629">
      <w:pPr>
        <w:spacing w:after="0" w:line="360" w:lineRule="auto"/>
        <w:jc w:val="both"/>
        <w:rPr>
          <w:rFonts w:ascii="Book Antiqua" w:hAnsi="Book Antiqua" w:cs="Times New Roman"/>
          <w:i/>
          <w:iCs/>
          <w:sz w:val="24"/>
          <w:szCs w:val="24"/>
        </w:rPr>
      </w:pPr>
      <w:proofErr w:type="spellStart"/>
      <w:proofErr w:type="gramStart"/>
      <w:r>
        <w:rPr>
          <w:rFonts w:ascii="Book Antiqua" w:hAnsi="Book Antiqua" w:cs="Times New Roman"/>
          <w:sz w:val="24"/>
          <w:szCs w:val="24"/>
          <w:vertAlign w:val="superscript"/>
        </w:rPr>
        <w:t>a</w:t>
      </w:r>
      <w:r>
        <w:rPr>
          <w:rFonts w:ascii="Book Antiqua" w:hAnsi="Book Antiqua" w:cs="Times New Roman"/>
          <w:i/>
          <w:iCs/>
          <w:sz w:val="24"/>
          <w:szCs w:val="24"/>
        </w:rPr>
        <w:t>P</w:t>
      </w:r>
      <w:proofErr w:type="spellEnd"/>
      <w:proofErr w:type="gram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r>
        <w:rPr>
          <w:rFonts w:ascii="Book Antiqua" w:hAnsi="Book Antiqua" w:cs="Times New Roman"/>
          <w:sz w:val="24"/>
          <w:szCs w:val="24"/>
        </w:rPr>
        <w:t>control group</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b</w:t>
      </w:r>
      <w:r>
        <w:rPr>
          <w:rFonts w:ascii="Book Antiqua" w:hAnsi="Book Antiqua" w:cs="Times New Roman"/>
          <w:i/>
          <w:iCs/>
          <w:sz w:val="24"/>
          <w:szCs w:val="24"/>
        </w:rPr>
        <w:t>P</w:t>
      </w:r>
      <w:proofErr w:type="spell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r>
        <w:rPr>
          <w:rFonts w:ascii="Book Antiqua" w:hAnsi="Book Antiqua" w:cs="Times New Roman"/>
          <w:sz w:val="24"/>
          <w:szCs w:val="24"/>
        </w:rPr>
        <w:t>fentanyl group</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c</w:t>
      </w:r>
      <w:r>
        <w:rPr>
          <w:rFonts w:ascii="Book Antiqua" w:hAnsi="Book Antiqua" w:cs="Times New Roman"/>
          <w:i/>
          <w:iCs/>
          <w:sz w:val="24"/>
          <w:szCs w:val="24"/>
        </w:rPr>
        <w:t>P</w:t>
      </w:r>
      <w:proofErr w:type="spell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w:t>
      </w:r>
      <w:r>
        <w:rPr>
          <w:rFonts w:ascii="Book Antiqua" w:hAnsi="Book Antiqua" w:cs="Times New Roman"/>
          <w:i/>
          <w:iCs/>
          <w:sz w:val="24"/>
          <w:szCs w:val="24"/>
        </w:rPr>
        <w:t>.</w:t>
      </w:r>
    </w:p>
    <w:p w:rsidR="00A35F10" w:rsidRDefault="00A35F10">
      <w:pPr>
        <w:spacing w:after="0" w:line="360" w:lineRule="auto"/>
        <w:jc w:val="both"/>
        <w:rPr>
          <w:rFonts w:ascii="Book Antiqua" w:hAnsi="Book Antiqua" w:cs="Times New Roman"/>
          <w:i/>
          <w:iCs/>
          <w:sz w:val="24"/>
          <w:szCs w:val="24"/>
          <w:lang w:val="en-US"/>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pgSz w:w="16838" w:h="11906" w:orient="landscape"/>
          <w:pgMar w:top="1474" w:right="1440" w:bottom="1474" w:left="1440" w:header="851" w:footer="992" w:gutter="0"/>
          <w:cols w:space="0"/>
          <w:docGrid w:type="lines" w:linePitch="319"/>
        </w:sectPr>
      </w:pPr>
    </w:p>
    <w:p w:rsidR="00A35F10" w:rsidRDefault="00210629">
      <w:pPr>
        <w:spacing w:after="0" w:line="360" w:lineRule="auto"/>
        <w:jc w:val="both"/>
        <w:rPr>
          <w:rFonts w:ascii="Book Antiqua" w:hAnsi="Book Antiqua" w:cs="Times New Roman"/>
          <w:b/>
          <w:bCs/>
          <w:sz w:val="24"/>
          <w:szCs w:val="24"/>
        </w:rPr>
      </w:pPr>
      <w:r>
        <w:rPr>
          <w:rFonts w:ascii="Book Antiqua" w:hAnsi="Book Antiqua" w:cs="Times New Roman"/>
          <w:b/>
          <w:bCs/>
          <w:sz w:val="24"/>
          <w:szCs w:val="24"/>
        </w:rPr>
        <w:lastRenderedPageBreak/>
        <w:t>Table 3 Comparison of intraoperative indexes in the four groups (</w:t>
      </w:r>
      <w:r>
        <w:rPr>
          <w:rFonts w:ascii="Book Antiqua" w:hAnsi="Book Antiqua" w:cs="Times New Roman" w:hint="eastAsia"/>
          <w:b/>
          <w:bCs/>
          <w:sz w:val="24"/>
          <w:szCs w:val="24"/>
          <w:lang w:eastAsia="zh-CN"/>
        </w:rPr>
        <w:t xml:space="preserve">x </w:t>
      </w:r>
      <w:r>
        <w:rPr>
          <w:rFonts w:ascii="Book Antiqua" w:hAnsi="Book Antiqua" w:cs="Times New Roman"/>
          <w:b/>
          <w:bCs/>
          <w:sz w:val="24"/>
          <w:szCs w:val="24"/>
        </w:rPr>
        <w:t>± s)</w:t>
      </w:r>
    </w:p>
    <w:tbl>
      <w:tblPr>
        <w:tblStyle w:val="aa"/>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1670"/>
        <w:gridCol w:w="2282"/>
        <w:gridCol w:w="2456"/>
        <w:gridCol w:w="2232"/>
        <w:gridCol w:w="2232"/>
        <w:gridCol w:w="1253"/>
      </w:tblGrid>
      <w:tr w:rsidR="00A35F10">
        <w:tc>
          <w:tcPr>
            <w:tcW w:w="654"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59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Time point</w:t>
            </w:r>
          </w:p>
        </w:tc>
        <w:tc>
          <w:tcPr>
            <w:tcW w:w="817"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87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79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79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4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654" w:type="pct"/>
            <w:vMerge w:val="restar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BIS</w:t>
            </w:r>
          </w:p>
        </w:tc>
        <w:tc>
          <w:tcPr>
            <w:tcW w:w="59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92.77 ± 4.824</w:t>
            </w:r>
          </w:p>
        </w:tc>
        <w:tc>
          <w:tcPr>
            <w:tcW w:w="87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91.89 ± 4.694</w:t>
            </w:r>
          </w:p>
        </w:tc>
        <w:tc>
          <w:tcPr>
            <w:tcW w:w="79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92.94 ± 4.610</w:t>
            </w:r>
          </w:p>
        </w:tc>
        <w:tc>
          <w:tcPr>
            <w:tcW w:w="799"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92.11 ± 4.197</w:t>
            </w:r>
          </w:p>
        </w:tc>
        <w:tc>
          <w:tcPr>
            <w:tcW w:w="448" w:type="pct"/>
            <w:tcBorders>
              <w:top w:val="single" w:sz="4" w:space="0" w:color="auto"/>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0.302</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52.01 ± 4.768</w:t>
            </w:r>
            <w:r>
              <w:rPr>
                <w:rFonts w:ascii="Book Antiqua" w:hAnsi="Book Antiqua" w:cs="Times New Roman"/>
                <w:sz w:val="24"/>
                <w:szCs w:val="24"/>
                <w:vertAlign w:val="superscript"/>
              </w:rPr>
              <w:t>a</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52.47 ± 4.768</w:t>
            </w:r>
            <w:r>
              <w:rPr>
                <w:rFonts w:ascii="Book Antiqua" w:hAnsi="Book Antiqua" w:cs="Times New Roman"/>
                <w:sz w:val="24"/>
                <w:szCs w:val="24"/>
                <w:vertAlign w:val="superscript"/>
              </w:rPr>
              <w:t>a</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53.02 ± 4.216</w:t>
            </w:r>
            <w:r>
              <w:rPr>
                <w:rFonts w:ascii="Book Antiqua" w:hAnsi="Book Antiqua" w:cs="Times New Roman"/>
                <w:sz w:val="24"/>
                <w:szCs w:val="24"/>
                <w:vertAlign w:val="superscript"/>
              </w:rPr>
              <w:t>a</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52.44 ± 4.685</w:t>
            </w:r>
            <w:r>
              <w:rPr>
                <w:rFonts w:ascii="Book Antiqua" w:hAnsi="Book Antiqua" w:cs="Times New Roman"/>
                <w:sz w:val="24"/>
                <w:szCs w:val="24"/>
                <w:vertAlign w:val="superscript"/>
              </w:rPr>
              <w:t>a</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0.492</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85.14 ± 9.072</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77.85 ± 7.512</w:t>
            </w:r>
            <w:r>
              <w:rPr>
                <w:rFonts w:ascii="Book Antiqua" w:hAnsi="Book Antiqua" w:cs="Times New Roman"/>
                <w:sz w:val="24"/>
                <w:szCs w:val="24"/>
                <w:vertAlign w:val="superscript"/>
              </w:rPr>
              <w:t>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75.83 ± 5.927</w:t>
            </w:r>
            <w:r>
              <w:rPr>
                <w:rFonts w:ascii="Book Antiqua" w:hAnsi="Book Antiqua" w:cs="Times New Roman"/>
                <w:sz w:val="24"/>
                <w:szCs w:val="24"/>
                <w:vertAlign w:val="superscript"/>
              </w:rPr>
              <w:t>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73.21 ± 5.761</w:t>
            </w:r>
            <w:r>
              <w:rPr>
                <w:rFonts w:ascii="Book Antiqua" w:hAnsi="Book Antiqua" w:cs="Times New Roman"/>
                <w:sz w:val="24"/>
                <w:szCs w:val="24"/>
                <w:vertAlign w:val="superscript"/>
              </w:rPr>
              <w:t>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lang w:bidi="ar"/>
              </w:rPr>
            </w:pPr>
            <w:r>
              <w:rPr>
                <w:rFonts w:ascii="Book Antiqua" w:hAnsi="Book Antiqua" w:cs="Times New Roman"/>
                <w:color w:val="000000"/>
                <w:kern w:val="0"/>
                <w:sz w:val="24"/>
                <w:szCs w:val="24"/>
                <w:lang w:bidi="ar"/>
              </w:rPr>
              <w:t>MAP (mmHg)</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88.47 ±</w:t>
            </w:r>
            <w:r>
              <w:rPr>
                <w:rFonts w:ascii="Book Antiqua" w:hAnsi="Book Antiqua" w:cs="Times New Roman"/>
                <w:sz w:val="24"/>
                <w:szCs w:val="24"/>
              </w:rPr>
              <w:t xml:space="preserve"> 10.538</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86.08 ± 10.003</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87.50 ± 9.630</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86.18 ± 11.397</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0.308</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86.43 ± 10.415</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84.72 ± 8.078</w:t>
            </w:r>
          </w:p>
        </w:tc>
        <w:tc>
          <w:tcPr>
            <w:tcW w:w="799" w:type="pct"/>
            <w:tcBorders>
              <w:tl2br w:val="nil"/>
              <w:tr2bl w:val="nil"/>
            </w:tcBorders>
          </w:tcPr>
          <w:p w:rsidR="00A35F10" w:rsidRDefault="00210629">
            <w:pPr>
              <w:spacing w:after="0" w:line="360" w:lineRule="auto"/>
              <w:ind w:left="240" w:hangingChars="100" w:hanging="240"/>
              <w:rPr>
                <w:rFonts w:ascii="Book Antiqua" w:hAnsi="Book Antiqua" w:cs="Times New Roman"/>
                <w:sz w:val="24"/>
                <w:szCs w:val="24"/>
              </w:rPr>
            </w:pPr>
            <w:r>
              <w:rPr>
                <w:rFonts w:ascii="Book Antiqua" w:hAnsi="Book Antiqua" w:cs="Times New Roman"/>
                <w:sz w:val="24"/>
                <w:szCs w:val="24"/>
              </w:rPr>
              <w:t>74.76 ± 9.007</w:t>
            </w:r>
            <w:r>
              <w:rPr>
                <w:rFonts w:ascii="Book Antiqua" w:hAnsi="Book Antiqua" w:cs="Times New Roman"/>
                <w:sz w:val="24"/>
                <w:szCs w:val="24"/>
                <w:vertAlign w:val="superscript"/>
              </w:rPr>
              <w:t>a,b</w:t>
            </w:r>
          </w:p>
        </w:tc>
        <w:tc>
          <w:tcPr>
            <w:tcW w:w="799" w:type="pct"/>
            <w:tcBorders>
              <w:tl2br w:val="nil"/>
              <w:tr2bl w:val="nil"/>
            </w:tcBorders>
          </w:tcPr>
          <w:p w:rsidR="00A35F10" w:rsidRDefault="00210629">
            <w:pPr>
              <w:spacing w:after="0" w:line="360" w:lineRule="auto"/>
              <w:ind w:left="240" w:hangingChars="100" w:hanging="240"/>
              <w:rPr>
                <w:rFonts w:ascii="Book Antiqua" w:hAnsi="Book Antiqua" w:cs="Times New Roman"/>
                <w:sz w:val="24"/>
                <w:szCs w:val="24"/>
              </w:rPr>
            </w:pPr>
            <w:r>
              <w:rPr>
                <w:rFonts w:ascii="Book Antiqua" w:hAnsi="Book Antiqua" w:cs="Times New Roman"/>
                <w:sz w:val="24"/>
                <w:szCs w:val="24"/>
              </w:rPr>
              <w:t>75.33 ± 8.766</w:t>
            </w:r>
            <w:r>
              <w:rPr>
                <w:rFonts w:ascii="Book Antiqua" w:hAnsi="Book Antiqua" w:cs="Times New Roman"/>
                <w:sz w:val="24"/>
                <w:szCs w:val="24"/>
                <w:vertAlign w:val="superscript"/>
              </w:rPr>
              <w:t>a,b</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87.36 ± 9.733</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84.62 ± 8.262</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82.93 ± 9.907</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79.79 ± 8.308</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lang w:bidi="ar"/>
              </w:rPr>
            </w:pPr>
            <w:r>
              <w:rPr>
                <w:rFonts w:ascii="Book Antiqua" w:hAnsi="Book Antiqua" w:cs="Times New Roman"/>
                <w:color w:val="000000"/>
                <w:kern w:val="0"/>
                <w:sz w:val="24"/>
                <w:szCs w:val="24"/>
                <w:lang w:bidi="ar"/>
              </w:rPr>
              <w:t>HR (beats/min)</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74.90 ± 13.654</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72.56 ± 15.408</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74.49 ± 14.797</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77.41 ± 14.749</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0.138</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65.94 ± 9.389</w:t>
            </w:r>
            <w:r>
              <w:rPr>
                <w:rFonts w:ascii="Book Antiqua" w:hAnsi="Book Antiqua" w:cs="Times New Roman"/>
                <w:sz w:val="24"/>
                <w:szCs w:val="24"/>
                <w:vertAlign w:val="superscript"/>
              </w:rPr>
              <w:t>a</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63.36 ± 9.130</w:t>
            </w:r>
            <w:r>
              <w:rPr>
                <w:rFonts w:ascii="Book Antiqua" w:hAnsi="Book Antiqua" w:cs="Times New Roman"/>
                <w:sz w:val="24"/>
                <w:szCs w:val="24"/>
                <w:vertAlign w:val="superscript"/>
              </w:rPr>
              <w:t>a</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61.37 ± 10.333</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62.25 ± 10.930</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0.009</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71.18 ± 11.111</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68.50 ± 12.156</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69.58 ± 11.560</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72.06 ± 11.581</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0.131</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vertAlign w:val="subscript"/>
                <w:lang w:bidi="ar"/>
              </w:rPr>
            </w:pPr>
            <w:r>
              <w:rPr>
                <w:rFonts w:ascii="Book Antiqua" w:hAnsi="Book Antiqua" w:cs="Times New Roman"/>
                <w:color w:val="000000"/>
                <w:kern w:val="0"/>
                <w:sz w:val="24"/>
                <w:szCs w:val="24"/>
                <w:lang w:bidi="ar"/>
              </w:rPr>
              <w:t>SpO</w:t>
            </w:r>
            <w:r>
              <w:rPr>
                <w:rFonts w:ascii="Book Antiqua" w:hAnsi="Book Antiqua" w:cs="Times New Roman"/>
                <w:color w:val="000000"/>
                <w:kern w:val="0"/>
                <w:sz w:val="24"/>
                <w:szCs w:val="24"/>
                <w:vertAlign w:val="subscript"/>
                <w:lang w:bidi="ar"/>
              </w:rPr>
              <w:t xml:space="preserve">2 </w:t>
            </w:r>
            <w:r>
              <w:rPr>
                <w:rFonts w:ascii="Book Antiqua" w:hAnsi="Book Antiqua" w:cs="Times New Roman"/>
                <w:color w:val="000000"/>
                <w:kern w:val="0"/>
                <w:sz w:val="24"/>
                <w:szCs w:val="24"/>
                <w:lang w:bidi="ar"/>
              </w:rPr>
              <w:t>(%)</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97.01 ± 1.480</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97.29 ± 1.431</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97.14 ± 1.484</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96.84 ± 1.441</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0.162</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97.15 ± 1.579</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94.02 ± 1.348</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92.64 ± 1.812</w:t>
            </w:r>
            <w:r>
              <w:rPr>
                <w:rFonts w:ascii="Book Antiqua" w:hAnsi="Book Antiqua" w:cs="Times New Roman"/>
                <w:sz w:val="24"/>
                <w:szCs w:val="24"/>
                <w:vertAlign w:val="superscript"/>
              </w:rPr>
              <w:t>a,c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92.61 ± 1.576</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97.04 ± 1.421</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97.12 ± 1.387</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97.03 ± 1.460</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97.07 ± 1.409</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0.970</w:t>
            </w:r>
          </w:p>
        </w:tc>
      </w:tr>
      <w:tr w:rsidR="00A35F10">
        <w:tc>
          <w:tcPr>
            <w:tcW w:w="654" w:type="pct"/>
            <w:vMerge w:val="restart"/>
            <w:tcBorders>
              <w:tl2br w:val="nil"/>
              <w:tr2bl w:val="nil"/>
            </w:tcBorders>
          </w:tcPr>
          <w:p w:rsidR="00A35F10" w:rsidRDefault="00210629">
            <w:pPr>
              <w:spacing w:after="0" w:line="360" w:lineRule="auto"/>
              <w:rPr>
                <w:rFonts w:ascii="Book Antiqua" w:hAnsi="Book Antiqua" w:cs="Times New Roman"/>
                <w:color w:val="000000"/>
                <w:kern w:val="0"/>
                <w:sz w:val="24"/>
                <w:szCs w:val="24"/>
                <w:lang w:bidi="ar"/>
              </w:rPr>
            </w:pPr>
            <w:r>
              <w:rPr>
                <w:rFonts w:ascii="Book Antiqua" w:hAnsi="Book Antiqua" w:cs="Times New Roman"/>
                <w:color w:val="000000"/>
                <w:kern w:val="0"/>
                <w:sz w:val="24"/>
                <w:szCs w:val="24"/>
                <w:lang w:bidi="ar"/>
              </w:rPr>
              <w:t>RR (times/min)</w:t>
            </w: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T1</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18.51 ± 1.661</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18.57 ± 1.671</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18.37 ± 1.668</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18.42 ± 1.571</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0.827</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T2</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17.35 ± 1.678</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14.48 ±</w:t>
            </w:r>
            <w:r>
              <w:rPr>
                <w:rFonts w:ascii="Book Antiqua" w:hAnsi="Book Antiqua" w:cs="Times New Roman"/>
                <w:sz w:val="24"/>
                <w:szCs w:val="24"/>
              </w:rPr>
              <w:t xml:space="preserve"> 1.605</w:t>
            </w:r>
            <w:r>
              <w:rPr>
                <w:rFonts w:ascii="Book Antiqua" w:hAnsi="Book Antiqua" w:cs="Times New Roman"/>
                <w:sz w:val="24"/>
                <w:szCs w:val="24"/>
                <w:vertAlign w:val="superscript"/>
              </w:rPr>
              <w:t>a, 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13.54 ± 1.690</w:t>
            </w:r>
            <w:r>
              <w:rPr>
                <w:rFonts w:ascii="Book Antiqua" w:hAnsi="Book Antiqua" w:cs="Times New Roman"/>
                <w:sz w:val="24"/>
                <w:szCs w:val="24"/>
                <w:vertAlign w:val="superscript"/>
              </w:rPr>
              <w:t>a, c</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13.22 ± 1.873</w:t>
            </w:r>
            <w:r>
              <w:rPr>
                <w:rFonts w:ascii="Book Antiqua" w:hAnsi="Book Antiqua" w:cs="Times New Roman"/>
                <w:sz w:val="24"/>
                <w:szCs w:val="24"/>
                <w:vertAlign w:val="superscript"/>
              </w:rPr>
              <w:t>a,c</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654" w:type="pct"/>
            <w:vMerge/>
            <w:tcBorders>
              <w:tl2br w:val="nil"/>
              <w:tr2bl w:val="nil"/>
            </w:tcBorders>
          </w:tcPr>
          <w:p w:rsidR="00A35F10" w:rsidRDefault="00A35F10">
            <w:pPr>
              <w:spacing w:after="0" w:line="360" w:lineRule="auto"/>
              <w:rPr>
                <w:rFonts w:ascii="Book Antiqua" w:hAnsi="Book Antiqua" w:cs="Times New Roman"/>
                <w:sz w:val="24"/>
                <w:szCs w:val="24"/>
              </w:rPr>
            </w:pPr>
          </w:p>
        </w:tc>
        <w:tc>
          <w:tcPr>
            <w:tcW w:w="59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T3</w:t>
            </w:r>
          </w:p>
        </w:tc>
        <w:tc>
          <w:tcPr>
            <w:tcW w:w="817"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17.01 ± 1.425</w:t>
            </w:r>
          </w:p>
        </w:tc>
        <w:tc>
          <w:tcPr>
            <w:tcW w:w="87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16.79 ± 1.274</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16.72 ± 1.464</w:t>
            </w:r>
          </w:p>
        </w:tc>
        <w:tc>
          <w:tcPr>
            <w:tcW w:w="79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17.05 ± 1.452</w:t>
            </w:r>
          </w:p>
        </w:tc>
        <w:tc>
          <w:tcPr>
            <w:tcW w:w="44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0.264</w:t>
            </w:r>
          </w:p>
        </w:tc>
      </w:tr>
    </w:tbl>
    <w:p w:rsidR="00A35F10" w:rsidRDefault="00210629">
      <w:pPr>
        <w:spacing w:after="0" w:line="360" w:lineRule="auto"/>
        <w:jc w:val="both"/>
        <w:rPr>
          <w:rFonts w:ascii="Book Antiqua" w:hAnsi="Book Antiqua" w:cs="Times New Roman"/>
          <w:sz w:val="24"/>
          <w:szCs w:val="24"/>
          <w:lang w:val="en-US"/>
        </w:rPr>
      </w:pPr>
      <w:proofErr w:type="spellStart"/>
      <w:proofErr w:type="gramStart"/>
      <w:r>
        <w:rPr>
          <w:rFonts w:ascii="Book Antiqua" w:hAnsi="Book Antiqua" w:cs="Times New Roman"/>
          <w:sz w:val="24"/>
          <w:szCs w:val="24"/>
          <w:vertAlign w:val="superscript"/>
        </w:rPr>
        <w:lastRenderedPageBreak/>
        <w:t>a</w:t>
      </w:r>
      <w:r>
        <w:rPr>
          <w:rFonts w:ascii="Book Antiqua" w:hAnsi="Book Antiqua" w:cs="Times New Roman"/>
          <w:i/>
          <w:iCs/>
          <w:sz w:val="24"/>
          <w:szCs w:val="24"/>
        </w:rPr>
        <w:t>P</w:t>
      </w:r>
      <w:proofErr w:type="spellEnd"/>
      <w:proofErr w:type="gram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r>
        <w:rPr>
          <w:rFonts w:ascii="Book Antiqua" w:hAnsi="Book Antiqua" w:cs="Times New Roman"/>
          <w:sz w:val="24"/>
          <w:szCs w:val="24"/>
        </w:rPr>
        <w:t>T1</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b</w:t>
      </w:r>
      <w:r>
        <w:rPr>
          <w:rFonts w:ascii="Book Antiqua" w:hAnsi="Book Antiqua" w:cs="Times New Roman"/>
          <w:i/>
          <w:iCs/>
          <w:sz w:val="24"/>
          <w:szCs w:val="24"/>
        </w:rPr>
        <w:t>P</w:t>
      </w:r>
      <w:proofErr w:type="spellEnd"/>
      <w:r>
        <w:rPr>
          <w:rFonts w:ascii="Book Antiqua" w:hAnsi="Book Antiqua" w:cs="Times New Roman"/>
          <w:sz w:val="24"/>
          <w:szCs w:val="24"/>
        </w:rPr>
        <w:t xml:space="preserve"> &lt;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 and </w:t>
      </w:r>
      <w:proofErr w:type="spellStart"/>
      <w:r>
        <w:rPr>
          <w:rFonts w:ascii="Book Antiqua" w:hAnsi="Book Antiqua" w:cs="Times New Roman"/>
          <w:sz w:val="24"/>
          <w:szCs w:val="24"/>
        </w:rPr>
        <w:t>sufentanyl</w:t>
      </w:r>
      <w:proofErr w:type="spellEnd"/>
      <w:r>
        <w:rPr>
          <w:rFonts w:ascii="Book Antiqua" w:hAnsi="Book Antiqua" w:cs="Times New Roman"/>
          <w:sz w:val="24"/>
          <w:szCs w:val="24"/>
        </w:rPr>
        <w:t xml:space="preserve"> group</w:t>
      </w:r>
      <w:r>
        <w:rPr>
          <w:rFonts w:ascii="Book Antiqua" w:hAnsi="Book Antiqua" w:cs="Times New Roman"/>
          <w:sz w:val="24"/>
          <w:szCs w:val="24"/>
          <w:lang w:eastAsia="zh-CN"/>
        </w:rPr>
        <w:t>;</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c</w:t>
      </w:r>
      <w:r>
        <w:rPr>
          <w:rFonts w:ascii="Book Antiqua" w:hAnsi="Book Antiqua" w:cs="Times New Roman"/>
          <w:i/>
          <w:iCs/>
          <w:sz w:val="24"/>
          <w:szCs w:val="24"/>
        </w:rPr>
        <w:t>P</w:t>
      </w:r>
      <w:proofErr w:type="spellEnd"/>
      <w:r>
        <w:rPr>
          <w:rFonts w:ascii="Book Antiqua" w:hAnsi="Book Antiqua" w:cs="Times New Roman"/>
          <w:i/>
          <w:iCs/>
          <w:sz w:val="24"/>
          <w:szCs w:val="24"/>
        </w:rPr>
        <w:t xml:space="preserve"> </w:t>
      </w:r>
      <w:r>
        <w:rPr>
          <w:rFonts w:ascii="Book Antiqua" w:hAnsi="Book Antiqua" w:cs="Times New Roman"/>
          <w:sz w:val="24"/>
          <w:szCs w:val="24"/>
        </w:rPr>
        <w:t>&lt; 0.01</w:t>
      </w:r>
      <w:r>
        <w:rPr>
          <w:rFonts w:ascii="Book Antiqua" w:hAnsi="Book Antiqua" w:cs="Times New Roman" w:hint="eastAsia"/>
          <w:sz w:val="24"/>
          <w:szCs w:val="24"/>
          <w:lang w:eastAsia="zh-CN"/>
        </w:rPr>
        <w:t xml:space="preserve"> </w:t>
      </w:r>
      <w:r>
        <w:rPr>
          <w:rFonts w:ascii="Book Antiqua" w:hAnsi="Book Antiqua" w:cs="Times New Roman" w:hint="eastAsia"/>
          <w:i/>
          <w:sz w:val="24"/>
          <w:szCs w:val="24"/>
          <w:lang w:eastAsia="zh-CN"/>
        </w:rPr>
        <w:t>vs</w:t>
      </w:r>
      <w:r>
        <w:rPr>
          <w:rFonts w:ascii="Book Antiqua" w:hAnsi="Book Antiqua" w:cs="Times New Roman" w:hint="eastAsia"/>
          <w:sz w:val="24"/>
          <w:szCs w:val="24"/>
          <w:lang w:eastAsia="zh-CN"/>
        </w:rPr>
        <w:t xml:space="preserve"> </w:t>
      </w:r>
      <w:proofErr w:type="spellStart"/>
      <w:r>
        <w:rPr>
          <w:rFonts w:ascii="Book Antiqua" w:hAnsi="Book Antiqua" w:cs="Times New Roman"/>
          <w:sz w:val="24"/>
          <w:szCs w:val="24"/>
        </w:rPr>
        <w:t>dezocine</w:t>
      </w:r>
      <w:proofErr w:type="spellEnd"/>
      <w:r>
        <w:rPr>
          <w:rFonts w:ascii="Book Antiqua" w:hAnsi="Book Antiqua" w:cs="Times New Roman"/>
          <w:sz w:val="24"/>
          <w:szCs w:val="24"/>
        </w:rPr>
        <w:t xml:space="preserve"> group.</w:t>
      </w:r>
      <w:r>
        <w:rPr>
          <w:rFonts w:ascii="Book Antiqua" w:hAnsi="Book Antiqua" w:cs="Times New Roman" w:hint="eastAsia"/>
          <w:sz w:val="24"/>
          <w:szCs w:val="24"/>
          <w:lang w:eastAsia="zh-CN"/>
        </w:rPr>
        <w:t xml:space="preserve"> </w:t>
      </w:r>
      <w:r>
        <w:rPr>
          <w:rFonts w:ascii="Book Antiqua" w:hAnsi="Book Antiqua" w:cs="Times New Roman"/>
          <w:sz w:val="24"/>
          <w:szCs w:val="24"/>
        </w:rPr>
        <w:t xml:space="preserve">BIS: </w:t>
      </w:r>
      <w:proofErr w:type="spellStart"/>
      <w:r>
        <w:rPr>
          <w:rFonts w:ascii="Book Antiqua" w:hAnsi="Book Antiqua" w:cs="Times New Roman"/>
          <w:sz w:val="24"/>
          <w:szCs w:val="24"/>
        </w:rPr>
        <w:t>Bispectral</w:t>
      </w:r>
      <w:proofErr w:type="spellEnd"/>
      <w:r>
        <w:rPr>
          <w:rFonts w:ascii="Book Antiqua" w:hAnsi="Book Antiqua" w:cs="Times New Roman"/>
          <w:sz w:val="24"/>
          <w:szCs w:val="24"/>
        </w:rPr>
        <w:t xml:space="preserve"> index; MAP: Mean </w:t>
      </w:r>
      <w:r>
        <w:rPr>
          <w:rFonts w:ascii="Book Antiqua" w:hAnsi="Book Antiqua" w:cs="Times New Roman"/>
          <w:sz w:val="24"/>
          <w:szCs w:val="24"/>
        </w:rPr>
        <w:t>arterial pressure; HR: Heart rate; SpO</w:t>
      </w:r>
      <w:r>
        <w:rPr>
          <w:rFonts w:ascii="Book Antiqua" w:hAnsi="Book Antiqua" w:cs="Times New Roman"/>
          <w:sz w:val="24"/>
          <w:szCs w:val="24"/>
          <w:vertAlign w:val="subscript"/>
        </w:rPr>
        <w:t>2</w:t>
      </w:r>
      <w:r>
        <w:rPr>
          <w:rFonts w:ascii="Book Antiqua" w:hAnsi="Book Antiqua" w:cs="Times New Roman"/>
          <w:sz w:val="24"/>
          <w:szCs w:val="24"/>
        </w:rPr>
        <w:t>: Pulse oxygen saturation; RR: Respiratory rate.</w:t>
      </w:r>
    </w:p>
    <w:p w:rsidR="00A35F10" w:rsidRDefault="00A35F10">
      <w:pPr>
        <w:spacing w:after="0" w:line="360" w:lineRule="auto"/>
        <w:jc w:val="both"/>
        <w:rPr>
          <w:rFonts w:ascii="Book Antiqua" w:hAnsi="Book Antiqua" w:cs="Times New Roman"/>
          <w:sz w:val="24"/>
          <w:szCs w:val="24"/>
          <w:lang w:val="en-US"/>
        </w:rPr>
      </w:pPr>
    </w:p>
    <w:p w:rsidR="00A35F10" w:rsidRDefault="00A35F10">
      <w:pPr>
        <w:spacing w:after="0" w:line="360" w:lineRule="auto"/>
        <w:ind w:left="720" w:hanging="720"/>
        <w:contextualSpacing/>
        <w:jc w:val="both"/>
        <w:rPr>
          <w:rFonts w:ascii="Book Antiqua" w:hAnsi="Book Antiqua" w:cs="Times New Roman"/>
          <w:color w:val="000000"/>
          <w:kern w:val="0"/>
          <w:sz w:val="24"/>
          <w:szCs w:val="24"/>
        </w:rPr>
        <w:sectPr w:rsidR="00A35F10">
          <w:pgSz w:w="16838" w:h="11906" w:orient="landscape"/>
          <w:pgMar w:top="1474" w:right="1440" w:bottom="1474" w:left="1440" w:header="851" w:footer="992" w:gutter="0"/>
          <w:cols w:space="0"/>
          <w:docGrid w:type="lines" w:linePitch="319"/>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b/>
          <w:bCs/>
          <w:sz w:val="24"/>
          <w:szCs w:val="24"/>
        </w:rPr>
        <w:lastRenderedPageBreak/>
        <w:t>Table 4 Usage of vasoactive drugs and side effects</w:t>
      </w:r>
    </w:p>
    <w:tbl>
      <w:tblPr>
        <w:tblStyle w:val="aa"/>
        <w:tblW w:w="499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1443"/>
        <w:gridCol w:w="1554"/>
        <w:gridCol w:w="1390"/>
        <w:gridCol w:w="1302"/>
        <w:gridCol w:w="816"/>
      </w:tblGrid>
      <w:tr w:rsidR="00A35F10">
        <w:tc>
          <w:tcPr>
            <w:tcW w:w="150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Item</w:t>
            </w:r>
          </w:p>
        </w:tc>
        <w:tc>
          <w:tcPr>
            <w:tcW w:w="778"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Dezocine</w:t>
            </w:r>
            <w:proofErr w:type="spellEnd"/>
            <w:r>
              <w:rPr>
                <w:rFonts w:ascii="Book Antiqua" w:hAnsi="Book Antiqua" w:cs="Times New Roman"/>
                <w:b/>
                <w:bCs/>
                <w:sz w:val="24"/>
                <w:szCs w:val="24"/>
              </w:rPr>
              <w:t xml:space="preserve"> group</w:t>
            </w:r>
          </w:p>
        </w:tc>
        <w:tc>
          <w:tcPr>
            <w:tcW w:w="83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proofErr w:type="spellStart"/>
            <w:r>
              <w:rPr>
                <w:rFonts w:ascii="Book Antiqua" w:hAnsi="Book Antiqua" w:cs="Times New Roman"/>
                <w:b/>
                <w:bCs/>
                <w:sz w:val="24"/>
                <w:szCs w:val="24"/>
              </w:rPr>
              <w:t>Sufentanyl</w:t>
            </w:r>
            <w:proofErr w:type="spellEnd"/>
            <w:r>
              <w:rPr>
                <w:rFonts w:ascii="Book Antiqua" w:hAnsi="Book Antiqua" w:cs="Times New Roman"/>
                <w:b/>
                <w:bCs/>
                <w:sz w:val="24"/>
                <w:szCs w:val="24"/>
              </w:rPr>
              <w:t xml:space="preserve"> group</w:t>
            </w:r>
          </w:p>
        </w:tc>
        <w:tc>
          <w:tcPr>
            <w:tcW w:w="749"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Fentanyl group</w:t>
            </w:r>
          </w:p>
        </w:tc>
        <w:tc>
          <w:tcPr>
            <w:tcW w:w="702"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sz w:val="24"/>
                <w:szCs w:val="24"/>
              </w:rPr>
              <w:t>Control group</w:t>
            </w:r>
          </w:p>
        </w:tc>
        <w:tc>
          <w:tcPr>
            <w:tcW w:w="426" w:type="pct"/>
            <w:tcBorders>
              <w:bottom w:val="single" w:sz="4" w:space="0" w:color="auto"/>
            </w:tcBorders>
          </w:tcPr>
          <w:p w:rsidR="00A35F10" w:rsidRDefault="00210629">
            <w:pPr>
              <w:spacing w:after="0" w:line="360" w:lineRule="auto"/>
              <w:rPr>
                <w:rFonts w:ascii="Book Antiqua" w:hAnsi="Book Antiqua" w:cs="Times New Roman"/>
                <w:b/>
                <w:bCs/>
                <w:sz w:val="24"/>
                <w:szCs w:val="24"/>
              </w:rPr>
            </w:pPr>
            <w:r>
              <w:rPr>
                <w:rFonts w:ascii="Book Antiqua" w:hAnsi="Book Antiqua" w:cs="Times New Roman"/>
                <w:b/>
                <w:bCs/>
                <w:i/>
                <w:iCs/>
                <w:sz w:val="24"/>
                <w:szCs w:val="24"/>
              </w:rPr>
              <w:t>P</w:t>
            </w:r>
            <w:r>
              <w:rPr>
                <w:rFonts w:ascii="Book Antiqua" w:hAnsi="Book Antiqua" w:cs="Times New Roman"/>
                <w:b/>
                <w:bCs/>
                <w:sz w:val="24"/>
                <w:szCs w:val="24"/>
              </w:rPr>
              <w:t>-value</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lang w:eastAsia="zh-CN"/>
              </w:rPr>
            </w:pPr>
            <w:r>
              <w:rPr>
                <w:rFonts w:ascii="Book Antiqua" w:hAnsi="Book Antiqua" w:cs="Times New Roman"/>
                <w:sz w:val="24"/>
                <w:szCs w:val="24"/>
              </w:rPr>
              <w:t xml:space="preserve">Usage of </w:t>
            </w:r>
            <w:r>
              <w:rPr>
                <w:rFonts w:ascii="Book Antiqua" w:hAnsi="Book Antiqua" w:cs="Times New Roman"/>
                <w:sz w:val="24"/>
                <w:szCs w:val="24"/>
              </w:rPr>
              <w:t>vasoactive drugs</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36</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39</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0.000</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Hypopnea</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0.001</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Jaw thrust</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7</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14</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18</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0.001</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Body movement</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15</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16</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25</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0.001</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Reflex coughing</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3</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8</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9</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11</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0.182</w:t>
            </w:r>
          </w:p>
        </w:tc>
      </w:tr>
      <w:tr w:rsidR="00A35F10">
        <w:tc>
          <w:tcPr>
            <w:tcW w:w="150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Nausea and vomiting</w:t>
            </w:r>
          </w:p>
        </w:tc>
        <w:tc>
          <w:tcPr>
            <w:tcW w:w="778"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6</w:t>
            </w:r>
          </w:p>
        </w:tc>
        <w:tc>
          <w:tcPr>
            <w:tcW w:w="83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w:t>
            </w:r>
          </w:p>
        </w:tc>
        <w:tc>
          <w:tcPr>
            <w:tcW w:w="749"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5</w:t>
            </w:r>
          </w:p>
        </w:tc>
        <w:tc>
          <w:tcPr>
            <w:tcW w:w="702"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4</w:t>
            </w:r>
          </w:p>
        </w:tc>
        <w:tc>
          <w:tcPr>
            <w:tcW w:w="426" w:type="pct"/>
            <w:tcBorders>
              <w:tl2br w:val="nil"/>
              <w:tr2bl w:val="nil"/>
            </w:tcBorders>
          </w:tcPr>
          <w:p w:rsidR="00A35F10" w:rsidRDefault="00210629">
            <w:pPr>
              <w:spacing w:after="0" w:line="360" w:lineRule="auto"/>
              <w:rPr>
                <w:rFonts w:ascii="Book Antiqua" w:hAnsi="Book Antiqua" w:cs="Times New Roman"/>
                <w:sz w:val="24"/>
                <w:szCs w:val="24"/>
              </w:rPr>
            </w:pPr>
            <w:r>
              <w:rPr>
                <w:rFonts w:ascii="Book Antiqua" w:hAnsi="Book Antiqua" w:cs="Times New Roman"/>
                <w:sz w:val="24"/>
                <w:szCs w:val="24"/>
              </w:rPr>
              <w:t>0.895</w:t>
            </w:r>
          </w:p>
        </w:tc>
      </w:tr>
    </w:tbl>
    <w:p w:rsidR="00A35F10" w:rsidRDefault="00A35F10">
      <w:pPr>
        <w:spacing w:after="0" w:line="360" w:lineRule="auto"/>
        <w:jc w:val="both"/>
        <w:rPr>
          <w:rFonts w:ascii="Book Antiqua" w:hAnsi="Book Antiqua" w:cs="Times New Roman"/>
          <w:color w:val="000000"/>
          <w:sz w:val="24"/>
          <w:szCs w:val="24"/>
        </w:rPr>
      </w:pPr>
    </w:p>
    <w:p w:rsidR="00A35F10" w:rsidRDefault="00210629">
      <w:pPr>
        <w:spacing w:after="0" w:line="360" w:lineRule="auto"/>
        <w:jc w:val="both"/>
        <w:rPr>
          <w:rFonts w:ascii="Book Antiqua" w:hAnsi="Book Antiqua" w:cs="Times New Roman"/>
          <w:color w:val="000000"/>
          <w:sz w:val="24"/>
          <w:szCs w:val="24"/>
        </w:rPr>
      </w:pPr>
      <w:r>
        <w:rPr>
          <w:rFonts w:ascii="Book Antiqua" w:hAnsi="Book Antiqua" w:cs="Times New Roman"/>
          <w:color w:val="000000"/>
          <w:sz w:val="24"/>
          <w:szCs w:val="24"/>
        </w:rPr>
        <w:br w:type="page"/>
      </w:r>
    </w:p>
    <w:p w:rsidR="00A35F10" w:rsidRDefault="00210629">
      <w:pPr>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noProof/>
          <w:color w:val="000000" w:themeColor="text1"/>
          <w:sz w:val="24"/>
          <w:szCs w:val="24"/>
          <w:lang w:val="en-US" w:eastAsia="zh-CN"/>
        </w:rPr>
        <w:lastRenderedPageBreak/>
        <w:drawing>
          <wp:inline distT="0" distB="0" distL="0" distR="0">
            <wp:extent cx="5912485" cy="23507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12485" cy="2350770"/>
                    </a:xfrm>
                    <a:prstGeom prst="rect">
                      <a:avLst/>
                    </a:prstGeom>
                  </pic:spPr>
                </pic:pic>
              </a:graphicData>
            </a:graphic>
          </wp:inline>
        </w:drawing>
      </w:r>
    </w:p>
    <w:p w:rsidR="00A35F10" w:rsidRDefault="00210629">
      <w:pPr>
        <w:spacing w:after="0" w:line="360" w:lineRule="auto"/>
        <w:jc w:val="both"/>
        <w:rPr>
          <w:rFonts w:ascii="Book Antiqua" w:eastAsiaTheme="minorEastAsia" w:hAnsi="Book Antiqua" w:cs="Times New Roman"/>
          <w:b/>
          <w:sz w:val="24"/>
          <w:szCs w:val="24"/>
        </w:rPr>
      </w:pPr>
      <w:r>
        <w:rPr>
          <w:rFonts w:ascii="Book Antiqua" w:hAnsi="Book Antiqua" w:cs="Times New Roman"/>
          <w:b/>
          <w:sz w:val="24"/>
          <w:szCs w:val="24"/>
        </w:rPr>
        <w:t>Figure 1 CONSORT 2010 flow diagram.</w:t>
      </w:r>
    </w:p>
    <w:p w:rsidR="00A35F10" w:rsidRDefault="00A35F10">
      <w:pPr>
        <w:spacing w:after="0" w:line="360" w:lineRule="auto"/>
        <w:jc w:val="both"/>
        <w:rPr>
          <w:rFonts w:ascii="Book Antiqua" w:hAnsi="Book Antiqua" w:cs="Times New Roman"/>
          <w:b/>
          <w:bCs/>
          <w:color w:val="000000" w:themeColor="text1"/>
          <w:sz w:val="24"/>
          <w:szCs w:val="24"/>
        </w:rPr>
      </w:pPr>
    </w:p>
    <w:p w:rsidR="00A35F10" w:rsidRDefault="00A35F10">
      <w:pPr>
        <w:spacing w:after="0" w:line="360" w:lineRule="auto"/>
        <w:jc w:val="both"/>
        <w:rPr>
          <w:rFonts w:ascii="Book Antiqua" w:hAnsi="Book Antiqua" w:cs="Times New Roman"/>
          <w:b/>
          <w:bCs/>
          <w:color w:val="000000" w:themeColor="text1"/>
          <w:sz w:val="24"/>
          <w:szCs w:val="24"/>
        </w:rPr>
        <w:sectPr w:rsidR="00A35F10">
          <w:pgSz w:w="12191" w:h="15819"/>
          <w:pgMar w:top="1440" w:right="1440" w:bottom="1440" w:left="1440" w:header="851" w:footer="992" w:gutter="0"/>
          <w:cols w:space="720"/>
          <w:docGrid w:type="lines" w:linePitch="325"/>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eastAsia="zh-CN"/>
        </w:rPr>
        <w:lastRenderedPageBreak/>
        <w:drawing>
          <wp:inline distT="0" distB="0" distL="0" distR="0">
            <wp:extent cx="5276850" cy="3667125"/>
            <wp:effectExtent l="0" t="0" r="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5F10" w:rsidRDefault="00210629">
      <w:pPr>
        <w:spacing w:after="0" w:line="360" w:lineRule="auto"/>
        <w:jc w:val="both"/>
        <w:rPr>
          <w:rFonts w:ascii="Book Antiqua" w:hAnsi="Book Antiqua" w:cs="Times New Roman"/>
          <w:color w:val="auto"/>
          <w:sz w:val="24"/>
          <w:szCs w:val="24"/>
        </w:rPr>
      </w:pPr>
      <w:r>
        <w:rPr>
          <w:rFonts w:ascii="Book Antiqua" w:eastAsia="SrwckbAdvTTaf7f9f4f . B" w:hAnsi="Book Antiqua" w:cs="Times New Roman"/>
          <w:b/>
          <w:bCs/>
          <w:color w:val="131413"/>
          <w:sz w:val="24"/>
          <w:szCs w:val="24"/>
        </w:rPr>
        <w:t>Fig</w:t>
      </w:r>
      <w:r>
        <w:rPr>
          <w:rFonts w:ascii="Book Antiqua" w:hAnsi="Book Antiqua" w:cs="Times New Roman"/>
          <w:b/>
          <w:bCs/>
          <w:color w:val="131413"/>
          <w:sz w:val="24"/>
          <w:szCs w:val="24"/>
        </w:rPr>
        <w:t>ure</w:t>
      </w:r>
      <w:r>
        <w:rPr>
          <w:rFonts w:ascii="Book Antiqua" w:eastAsia="SrwckbAdvTTaf7f9f4f . B" w:hAnsi="Book Antiqua" w:cs="Times New Roman"/>
          <w:b/>
          <w:bCs/>
          <w:color w:val="131413"/>
          <w:sz w:val="24"/>
          <w:szCs w:val="24"/>
        </w:rPr>
        <w:t xml:space="preserve"> </w:t>
      </w:r>
      <w:r>
        <w:rPr>
          <w:rFonts w:ascii="Book Antiqua" w:hAnsi="Book Antiqua" w:cs="Times New Roman"/>
          <w:b/>
          <w:bCs/>
          <w:color w:val="131413"/>
          <w:sz w:val="24"/>
          <w:szCs w:val="24"/>
        </w:rPr>
        <w:t>2</w:t>
      </w:r>
      <w:r>
        <w:rPr>
          <w:rFonts w:ascii="Book Antiqua" w:eastAsia="SrwckbAdvTTaf7f9f4f . B" w:hAnsi="Book Antiqua" w:cs="Times New Roman"/>
          <w:color w:val="131413"/>
          <w:sz w:val="24"/>
          <w:szCs w:val="24"/>
        </w:rPr>
        <w:t xml:space="preserve"> </w:t>
      </w:r>
      <w:r>
        <w:rPr>
          <w:rFonts w:ascii="Book Antiqua" w:eastAsia="SrwckbAdvTTaf7f9f4f . B" w:hAnsi="Book Antiqua" w:cs="Times New Roman"/>
          <w:b/>
          <w:bCs/>
          <w:color w:val="131413"/>
          <w:sz w:val="24"/>
          <w:szCs w:val="24"/>
        </w:rPr>
        <w:t xml:space="preserve">Dosage of </w:t>
      </w:r>
      <w:proofErr w:type="spellStart"/>
      <w:r>
        <w:rPr>
          <w:rFonts w:ascii="Book Antiqua" w:eastAsia="SrwckbAdvTTaf7f9f4f . B" w:hAnsi="Book Antiqua" w:cs="Times New Roman"/>
          <w:b/>
          <w:bCs/>
          <w:color w:val="131413"/>
          <w:sz w:val="24"/>
          <w:szCs w:val="24"/>
        </w:rPr>
        <w:t>propofol</w:t>
      </w:r>
      <w:proofErr w:type="spellEnd"/>
      <w:r>
        <w:rPr>
          <w:rFonts w:ascii="Book Antiqua" w:hAnsi="Book Antiqua" w:cs="Times New Roman"/>
          <w:b/>
          <w:bCs/>
          <w:color w:val="131413"/>
          <w:sz w:val="24"/>
          <w:szCs w:val="24"/>
        </w:rPr>
        <w:t xml:space="preserve"> and awakening time</w:t>
      </w:r>
      <w:r>
        <w:rPr>
          <w:rFonts w:ascii="Book Antiqua" w:eastAsia="FlbgwxAdvTTb5929f4c" w:hAnsi="Book Antiqua" w:cs="Times New Roman"/>
          <w:b/>
          <w:bCs/>
          <w:color w:val="131413"/>
          <w:sz w:val="24"/>
          <w:szCs w:val="24"/>
        </w:rPr>
        <w:t xml:space="preserve"> among groups.</w:t>
      </w:r>
    </w:p>
    <w:p w:rsidR="00A35F10" w:rsidRDefault="00A35F10">
      <w:pPr>
        <w:spacing w:after="0" w:line="360" w:lineRule="auto"/>
        <w:jc w:val="both"/>
        <w:rPr>
          <w:rFonts w:ascii="Book Antiqua" w:hAnsi="Book Antiqua" w:cs="Times New Roman"/>
          <w:sz w:val="24"/>
          <w:szCs w:val="24"/>
          <w:lang w:val="en-US"/>
        </w:rPr>
      </w:pPr>
    </w:p>
    <w:p w:rsidR="00A35F10" w:rsidRDefault="00A35F10">
      <w:pPr>
        <w:spacing w:after="0" w:line="360" w:lineRule="auto"/>
        <w:jc w:val="both"/>
        <w:rPr>
          <w:rFonts w:ascii="Book Antiqua" w:hAnsi="Book Antiqua" w:cs="Times New Roman"/>
          <w:color w:val="000000" w:themeColor="text1"/>
          <w:sz w:val="24"/>
          <w:szCs w:val="24"/>
        </w:rPr>
        <w:sectPr w:rsidR="00A35F10">
          <w:pgSz w:w="11906" w:h="16838"/>
          <w:pgMar w:top="1440" w:right="1474" w:bottom="1440" w:left="1474" w:header="851" w:footer="992" w:gutter="0"/>
          <w:cols w:space="720"/>
          <w:docGrid w:type="lines" w:linePitch="325"/>
        </w:sectPr>
      </w:pPr>
    </w:p>
    <w:p w:rsidR="00A35F10" w:rsidRDefault="00210629">
      <w:pPr>
        <w:spacing w:after="0" w:line="360" w:lineRule="auto"/>
        <w:jc w:val="both"/>
        <w:rPr>
          <w:rStyle w:val="fontstyle21"/>
          <w:rFonts w:ascii="Book Antiqua" w:eastAsiaTheme="minorEastAsia" w:hAnsi="Book Antiqua" w:cs="Times New Roman"/>
          <w:sz w:val="24"/>
          <w:szCs w:val="24"/>
        </w:rPr>
      </w:pPr>
      <w:r>
        <w:rPr>
          <w:rFonts w:ascii="Book Antiqua" w:hAnsi="Book Antiqua" w:cs="Times New Roman"/>
          <w:noProof/>
          <w:sz w:val="24"/>
          <w:szCs w:val="24"/>
          <w:lang w:val="en-US" w:eastAsia="zh-CN"/>
        </w:rPr>
        <w:lastRenderedPageBreak/>
        <w:drawing>
          <wp:inline distT="0" distB="0" distL="0" distR="0">
            <wp:extent cx="5276850" cy="28194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5F10" w:rsidRDefault="00210629">
      <w:pPr>
        <w:spacing w:after="0" w:line="360" w:lineRule="auto"/>
        <w:jc w:val="both"/>
        <w:rPr>
          <w:rStyle w:val="fontstyle21"/>
          <w:rFonts w:ascii="Book Antiqua" w:hAnsi="Book Antiqua" w:cs="Times New Roman"/>
          <w:b/>
          <w:bCs/>
          <w:sz w:val="24"/>
          <w:szCs w:val="24"/>
        </w:rPr>
      </w:pPr>
      <w:r>
        <w:rPr>
          <w:rStyle w:val="fontstyle01"/>
          <w:rFonts w:ascii="Book Antiqua" w:hAnsi="Book Antiqua" w:cs="Times New Roman"/>
          <w:b/>
          <w:bCs/>
          <w:sz w:val="24"/>
          <w:szCs w:val="24"/>
        </w:rPr>
        <w:t>Fig</w:t>
      </w:r>
      <w:r>
        <w:rPr>
          <w:rStyle w:val="fontstyle01"/>
          <w:rFonts w:ascii="Book Antiqua" w:eastAsia="宋体" w:hAnsi="Book Antiqua" w:cs="Times New Roman"/>
          <w:b/>
          <w:bCs/>
          <w:sz w:val="24"/>
          <w:szCs w:val="24"/>
        </w:rPr>
        <w:t>ure</w:t>
      </w:r>
      <w:r>
        <w:rPr>
          <w:rStyle w:val="fontstyle01"/>
          <w:rFonts w:ascii="Book Antiqua" w:hAnsi="Book Antiqua" w:cs="Times New Roman"/>
          <w:b/>
          <w:bCs/>
          <w:sz w:val="24"/>
          <w:szCs w:val="24"/>
        </w:rPr>
        <w:t xml:space="preserve"> 3</w:t>
      </w:r>
      <w:r>
        <w:rPr>
          <w:rStyle w:val="fontstyle01"/>
          <w:rFonts w:ascii="Book Antiqua" w:hAnsi="Book Antiqua" w:cs="Times New Roman"/>
          <w:sz w:val="24"/>
          <w:szCs w:val="24"/>
        </w:rPr>
        <w:t xml:space="preserve"> </w:t>
      </w:r>
      <w:r>
        <w:rPr>
          <w:rStyle w:val="fontstyle01"/>
          <w:rFonts w:ascii="Book Antiqua" w:hAnsi="Book Antiqua" w:cs="Times New Roman"/>
          <w:b/>
          <w:bCs/>
          <w:sz w:val="24"/>
          <w:szCs w:val="24"/>
        </w:rPr>
        <w:t xml:space="preserve">Steward </w:t>
      </w:r>
      <w:proofErr w:type="gramStart"/>
      <w:r>
        <w:rPr>
          <w:rStyle w:val="fontstyle01"/>
          <w:rFonts w:ascii="Book Antiqua" w:hAnsi="Book Antiqua" w:cs="Times New Roman"/>
          <w:b/>
          <w:bCs/>
          <w:sz w:val="24"/>
          <w:szCs w:val="24"/>
        </w:rPr>
        <w:t>score</w:t>
      </w:r>
      <w:proofErr w:type="gramEnd"/>
      <w:r>
        <w:rPr>
          <w:rStyle w:val="fontstyle01"/>
          <w:rFonts w:ascii="Book Antiqua" w:hAnsi="Book Antiqua" w:cs="Times New Roman"/>
          <w:b/>
          <w:bCs/>
          <w:sz w:val="24"/>
          <w:szCs w:val="24"/>
        </w:rPr>
        <w:t xml:space="preserve"> and postoperative pain score</w:t>
      </w:r>
      <w:r>
        <w:rPr>
          <w:rStyle w:val="fontstyle21"/>
          <w:rFonts w:ascii="Book Antiqua" w:hAnsi="Book Antiqua" w:cs="Times New Roman"/>
          <w:b/>
          <w:bCs/>
          <w:sz w:val="24"/>
          <w:szCs w:val="24"/>
        </w:rPr>
        <w:t xml:space="preserve"> among groups.</w:t>
      </w:r>
    </w:p>
    <w:p w:rsidR="00A35F10" w:rsidRDefault="00A35F10">
      <w:pPr>
        <w:spacing w:after="0" w:line="360" w:lineRule="auto"/>
        <w:jc w:val="both"/>
        <w:rPr>
          <w:rStyle w:val="fontstyle21"/>
          <w:rFonts w:ascii="Book Antiqua" w:eastAsiaTheme="minorEastAsia" w:hAnsi="Book Antiqua" w:cs="Times New Roman"/>
          <w:sz w:val="24"/>
          <w:szCs w:val="24"/>
          <w:lang w:val="en-US"/>
        </w:rPr>
      </w:pPr>
    </w:p>
    <w:p w:rsidR="00A35F10" w:rsidRDefault="00A35F10">
      <w:pPr>
        <w:spacing w:after="0" w:line="360" w:lineRule="auto"/>
        <w:jc w:val="both"/>
        <w:rPr>
          <w:rFonts w:ascii="Book Antiqua" w:hAnsi="Book Antiqua" w:cs="Times New Roman"/>
          <w:color w:val="000000" w:themeColor="text1"/>
          <w:sz w:val="24"/>
          <w:szCs w:val="24"/>
        </w:rPr>
        <w:sectPr w:rsidR="00A35F10">
          <w:pgSz w:w="11906" w:h="16838"/>
          <w:pgMar w:top="1440" w:right="1474" w:bottom="1440" w:left="1474" w:header="851" w:footer="992" w:gutter="0"/>
          <w:cols w:space="720"/>
          <w:docGrid w:type="lines" w:linePitch="325"/>
        </w:sectPr>
      </w:pPr>
    </w:p>
    <w:p w:rsidR="00A35F10" w:rsidRDefault="00210629">
      <w:pPr>
        <w:spacing w:after="0" w:line="360" w:lineRule="auto"/>
        <w:jc w:val="both"/>
        <w:rPr>
          <w:rFonts w:ascii="Book Antiqua" w:hAnsi="Book Antiqua" w:cs="Times New Roman"/>
          <w:sz w:val="24"/>
          <w:szCs w:val="24"/>
        </w:rPr>
      </w:pPr>
      <w:r>
        <w:rPr>
          <w:rFonts w:ascii="Book Antiqua" w:hAnsi="Book Antiqua" w:cs="Times New Roman"/>
          <w:sz w:val="24"/>
          <w:szCs w:val="24"/>
        </w:rPr>
        <w:lastRenderedPageBreak/>
        <w:t>A</w:t>
      </w:r>
      <w:r>
        <w:rPr>
          <w:rFonts w:ascii="Book Antiqua" w:hAnsi="Book Antiqua" w:cs="Times New Roman"/>
          <w:noProof/>
          <w:sz w:val="24"/>
          <w:szCs w:val="24"/>
          <w:lang w:val="en-US" w:eastAsia="zh-CN"/>
        </w:rPr>
        <w:drawing>
          <wp:inline distT="0" distB="0" distL="0" distR="0">
            <wp:extent cx="5238750" cy="314325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t>B</w:t>
      </w:r>
      <w:r>
        <w:rPr>
          <w:rFonts w:ascii="Book Antiqua" w:hAnsi="Book Antiqua" w:cs="Times New Roman"/>
          <w:noProof/>
          <w:sz w:val="24"/>
          <w:szCs w:val="24"/>
          <w:lang w:val="en-US" w:eastAsia="zh-CN"/>
        </w:rPr>
        <w:drawing>
          <wp:inline distT="0" distB="0" distL="0" distR="0">
            <wp:extent cx="5276850" cy="3552825"/>
            <wp:effectExtent l="0" t="0" r="0" b="9525"/>
            <wp:docPr id="1034" name="图表 10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lastRenderedPageBreak/>
        <w:t>C</w:t>
      </w:r>
      <w:r>
        <w:rPr>
          <w:rFonts w:ascii="Book Antiqua" w:hAnsi="Book Antiqua" w:cs="Times New Roman"/>
          <w:noProof/>
          <w:sz w:val="24"/>
          <w:szCs w:val="24"/>
          <w:lang w:val="en-US" w:eastAsia="zh-CN"/>
        </w:rPr>
        <w:drawing>
          <wp:inline distT="0" distB="0" distL="0" distR="0">
            <wp:extent cx="5238750" cy="3143250"/>
            <wp:effectExtent l="0" t="0" r="0" b="0"/>
            <wp:docPr id="2056" name="图表 20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t>D</w:t>
      </w:r>
      <w:r>
        <w:rPr>
          <w:rFonts w:ascii="Book Antiqua" w:hAnsi="Book Antiqua" w:cs="Times New Roman"/>
          <w:noProof/>
          <w:sz w:val="24"/>
          <w:szCs w:val="24"/>
          <w:lang w:val="en-US" w:eastAsia="zh-CN"/>
        </w:rPr>
        <w:drawing>
          <wp:inline distT="0" distB="0" distL="0" distR="0">
            <wp:extent cx="5238750" cy="3143250"/>
            <wp:effectExtent l="0" t="0" r="0" b="0"/>
            <wp:docPr id="3080" name="图表 30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5F10" w:rsidRDefault="00210629">
      <w:pPr>
        <w:spacing w:after="0" w:line="360" w:lineRule="auto"/>
        <w:jc w:val="both"/>
        <w:rPr>
          <w:rFonts w:ascii="Book Antiqua" w:hAnsi="Book Antiqua" w:cs="Times New Roman"/>
          <w:sz w:val="24"/>
          <w:szCs w:val="24"/>
        </w:rPr>
      </w:pPr>
      <w:r>
        <w:rPr>
          <w:rFonts w:ascii="Book Antiqua" w:eastAsia="SrwckbAdvTTaf7f9f4f . B" w:hAnsi="Book Antiqua" w:cs="Times New Roman"/>
          <w:color w:val="131413"/>
          <w:sz w:val="24"/>
          <w:szCs w:val="24"/>
        </w:rPr>
        <w:lastRenderedPageBreak/>
        <w:t>E</w:t>
      </w:r>
      <w:r>
        <w:rPr>
          <w:rFonts w:ascii="Book Antiqua" w:hAnsi="Book Antiqua" w:cs="Times New Roman"/>
          <w:noProof/>
          <w:sz w:val="24"/>
          <w:szCs w:val="24"/>
          <w:lang w:val="en-US" w:eastAsia="zh-CN"/>
        </w:rPr>
        <w:drawing>
          <wp:inline distT="0" distB="0" distL="0" distR="0">
            <wp:extent cx="5238750" cy="3143250"/>
            <wp:effectExtent l="0" t="0" r="0" b="0"/>
            <wp:docPr id="4104" name="图表 4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5F10" w:rsidRDefault="00210629">
      <w:pPr>
        <w:spacing w:after="0" w:line="360" w:lineRule="auto"/>
        <w:jc w:val="both"/>
        <w:rPr>
          <w:rFonts w:ascii="Book Antiqua" w:eastAsiaTheme="minorEastAsia" w:hAnsi="Book Antiqua" w:cs="Times New Roman"/>
          <w:color w:val="131413"/>
          <w:sz w:val="24"/>
          <w:szCs w:val="24"/>
          <w:lang w:val="en-US"/>
        </w:rPr>
      </w:pPr>
      <w:r>
        <w:rPr>
          <w:rFonts w:ascii="Book Antiqua" w:eastAsia="SrwckbAdvTTaf7f9f4f . B" w:hAnsi="Book Antiqua" w:cs="Times New Roman"/>
          <w:b/>
          <w:bCs/>
          <w:color w:val="131413"/>
          <w:sz w:val="24"/>
          <w:szCs w:val="24"/>
        </w:rPr>
        <w:t>Fig</w:t>
      </w:r>
      <w:r>
        <w:rPr>
          <w:rFonts w:ascii="Book Antiqua" w:eastAsiaTheme="minorEastAsia" w:hAnsi="Book Antiqua" w:cs="Times New Roman"/>
          <w:b/>
          <w:bCs/>
          <w:color w:val="131413"/>
          <w:sz w:val="24"/>
          <w:szCs w:val="24"/>
          <w:lang w:eastAsia="zh-CN"/>
        </w:rPr>
        <w:t>ure</w:t>
      </w:r>
      <w:r>
        <w:rPr>
          <w:rFonts w:ascii="Book Antiqua" w:eastAsia="SrwckbAdvTTaf7f9f4f . B" w:hAnsi="Book Antiqua" w:cs="Times New Roman"/>
          <w:b/>
          <w:bCs/>
          <w:color w:val="131413"/>
          <w:sz w:val="24"/>
          <w:szCs w:val="24"/>
        </w:rPr>
        <w:t xml:space="preserve"> 4 Variety of indexes at different time points in the four groups.</w:t>
      </w:r>
      <w:r>
        <w:rPr>
          <w:rFonts w:ascii="Book Antiqua" w:eastAsia="SrwckbAdvTTaf7f9f4f . B" w:hAnsi="Book Antiqua" w:cs="Times New Roman"/>
          <w:color w:val="131413"/>
          <w:sz w:val="24"/>
          <w:szCs w:val="24"/>
        </w:rPr>
        <w:t xml:space="preserve"> A: </w:t>
      </w:r>
      <w:proofErr w:type="spellStart"/>
      <w:r>
        <w:rPr>
          <w:rFonts w:ascii="Book Antiqua" w:eastAsia="SrwckbAdvTTaf7f9f4f . B" w:hAnsi="Book Antiqua" w:cs="Times New Roman"/>
          <w:color w:val="131413"/>
          <w:sz w:val="24"/>
          <w:szCs w:val="24"/>
        </w:rPr>
        <w:t>Bispectral</w:t>
      </w:r>
      <w:proofErr w:type="spellEnd"/>
      <w:r>
        <w:rPr>
          <w:rFonts w:ascii="Book Antiqua" w:eastAsia="SrwckbAdvTTaf7f9f4f . B" w:hAnsi="Book Antiqua" w:cs="Times New Roman"/>
          <w:color w:val="131413"/>
          <w:sz w:val="24"/>
          <w:szCs w:val="24"/>
        </w:rPr>
        <w:t xml:space="preserve"> index; B: Mean arterial pressure; C: Heart rate; D: Pulse oxygen saturation; E: Respiratory rate. BIS: </w:t>
      </w:r>
      <w:proofErr w:type="spellStart"/>
      <w:r>
        <w:rPr>
          <w:rFonts w:ascii="Book Antiqua" w:eastAsia="SrwckbAdvTTaf7f9f4f . B" w:hAnsi="Book Antiqua" w:cs="Times New Roman"/>
          <w:color w:val="131413"/>
          <w:sz w:val="24"/>
          <w:szCs w:val="24"/>
        </w:rPr>
        <w:t>Bispectral</w:t>
      </w:r>
      <w:proofErr w:type="spellEnd"/>
      <w:r>
        <w:rPr>
          <w:rFonts w:ascii="Book Antiqua" w:eastAsia="SrwckbAdvTTaf7f9f4f . B" w:hAnsi="Book Antiqua" w:cs="Times New Roman"/>
          <w:color w:val="131413"/>
          <w:sz w:val="24"/>
          <w:szCs w:val="24"/>
        </w:rPr>
        <w:t xml:space="preserve"> index; MAP: Mean arterial pressure; </w:t>
      </w:r>
      <w:r>
        <w:rPr>
          <w:rFonts w:ascii="Book Antiqua" w:hAnsi="Book Antiqua" w:cs="Times New Roman"/>
          <w:sz w:val="24"/>
          <w:szCs w:val="24"/>
        </w:rPr>
        <w:t>HR: Heart rate; SpO</w:t>
      </w:r>
      <w:r>
        <w:rPr>
          <w:rFonts w:ascii="Book Antiqua" w:hAnsi="Book Antiqua" w:cs="Times New Roman"/>
          <w:sz w:val="24"/>
          <w:szCs w:val="24"/>
          <w:vertAlign w:val="subscript"/>
        </w:rPr>
        <w:t>2</w:t>
      </w:r>
      <w:r>
        <w:rPr>
          <w:rFonts w:ascii="Book Antiqua" w:hAnsi="Book Antiqua" w:cs="Times New Roman"/>
          <w:sz w:val="24"/>
          <w:szCs w:val="24"/>
        </w:rPr>
        <w:t>: Pulse oxygen saturation; RR: Respiratory rate.</w:t>
      </w:r>
    </w:p>
    <w:p w:rsidR="00A35F10" w:rsidRDefault="00A35F10">
      <w:pPr>
        <w:spacing w:after="0" w:line="360" w:lineRule="auto"/>
        <w:jc w:val="both"/>
        <w:rPr>
          <w:rFonts w:ascii="Book Antiqua" w:eastAsia="Times New Roman" w:hAnsi="Book Antiqua" w:cs="Times New Roman"/>
          <w:color w:val="000000"/>
          <w:kern w:val="0"/>
          <w:sz w:val="24"/>
          <w:szCs w:val="24"/>
        </w:rPr>
      </w:pPr>
    </w:p>
    <w:sectPr w:rsidR="00A35F10">
      <w:pgSz w:w="11906" w:h="16838"/>
      <w:pgMar w:top="1440" w:right="1474" w:bottom="1440" w:left="1474" w:header="851" w:footer="992" w:gutter="0"/>
      <w:cols w:space="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29" w:rsidRDefault="00210629">
      <w:pPr>
        <w:spacing w:after="0" w:line="240" w:lineRule="auto"/>
      </w:pPr>
      <w:r>
        <w:separator/>
      </w:r>
    </w:p>
  </w:endnote>
  <w:endnote w:type="continuationSeparator" w:id="0">
    <w:p w:rsidR="00210629" w:rsidRDefault="0021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ngpsvAdvTT99c4c969">
    <w:altName w:val="Segoe Print"/>
    <w:charset w:val="00"/>
    <w:family w:val="auto"/>
    <w:pitch w:val="default"/>
  </w:font>
  <w:font w:name="DdtxqxAdvTT8861b38f . I">
    <w:altName w:val="Segoe Print"/>
    <w:charset w:val="00"/>
    <w:family w:val="auto"/>
    <w:pitch w:val="default"/>
  </w:font>
  <w:font w:name="NewBaskerville-Roman">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Arial Unicode MS"/>
    <w:charset w:val="86"/>
    <w:family w:val="auto"/>
    <w:pitch w:val="default"/>
    <w:sig w:usb0="00000000" w:usb1="38CF7CFA" w:usb2="00000016" w:usb3="00000000" w:csb0="0004000F" w:csb1="00000000"/>
  </w:font>
  <w:font w:name="TimesNewRomanPS-BoldItalicMT">
    <w:altName w:val="Segoe Print"/>
    <w:charset w:val="00"/>
    <w:family w:val="auto"/>
    <w:pitch w:val="default"/>
    <w:sig w:usb0="00000000" w:usb1="00000000"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TbptpbAdvTT86d47313">
    <w:altName w:val="Segoe Print"/>
    <w:charset w:val="00"/>
    <w:family w:val="auto"/>
    <w:pitch w:val="default"/>
  </w:font>
  <w:font w:name="Times-Roman">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SrwckbAdvTTaf7f9f4f . B">
    <w:altName w:val="Courier New"/>
    <w:charset w:val="00"/>
    <w:family w:val="auto"/>
    <w:pitch w:val="default"/>
  </w:font>
  <w:font w:name="FlbgwxAdvTTb5929f4c">
    <w:altName w:val="Courier New"/>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F10" w:rsidRDefault="00210629">
    <w:pPr>
      <w:pStyle w:val="a6"/>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35F10" w:rsidRDefault="00210629">
                          <w:pPr>
                            <w:pStyle w:val="a6"/>
                          </w:pPr>
                          <w:r>
                            <w:rPr>
                              <w:rFonts w:hint="eastAsia"/>
                            </w:rPr>
                            <w:fldChar w:fldCharType="begin"/>
                          </w:r>
                          <w:r>
                            <w:rPr>
                              <w:rFonts w:hint="eastAsia"/>
                            </w:rPr>
                            <w:instrText xml:space="preserve"> PAGE  \* MERGEFORMAT </w:instrText>
                          </w:r>
                          <w:r>
                            <w:rPr>
                              <w:rFonts w:hint="eastAsia"/>
                            </w:rPr>
                            <w:fldChar w:fldCharType="separate"/>
                          </w:r>
                          <w:r w:rsidR="00B26F9F">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A35F10" w:rsidRDefault="00210629">
                    <w:pPr>
                      <w:pStyle w:val="a6"/>
                    </w:pPr>
                    <w:r>
                      <w:rPr>
                        <w:rFonts w:hint="eastAsia"/>
                      </w:rPr>
                      <w:fldChar w:fldCharType="begin"/>
                    </w:r>
                    <w:r>
                      <w:rPr>
                        <w:rFonts w:hint="eastAsia"/>
                      </w:rPr>
                      <w:instrText xml:space="preserve"> PAGE  \* MERGEFORMAT </w:instrText>
                    </w:r>
                    <w:r>
                      <w:rPr>
                        <w:rFonts w:hint="eastAsia"/>
                      </w:rPr>
                      <w:fldChar w:fldCharType="separate"/>
                    </w:r>
                    <w:r w:rsidR="00B26F9F">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29" w:rsidRDefault="00210629">
      <w:pPr>
        <w:spacing w:after="0" w:line="240" w:lineRule="auto"/>
      </w:pPr>
      <w:r>
        <w:separator/>
      </w:r>
    </w:p>
  </w:footnote>
  <w:footnote w:type="continuationSeparator" w:id="0">
    <w:p w:rsidR="00210629" w:rsidRDefault="00210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6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3B"/>
    <w:rsid w:val="0000143C"/>
    <w:rsid w:val="00001F2D"/>
    <w:rsid w:val="00004132"/>
    <w:rsid w:val="00021A08"/>
    <w:rsid w:val="00036901"/>
    <w:rsid w:val="000376E9"/>
    <w:rsid w:val="0006357D"/>
    <w:rsid w:val="000A7D47"/>
    <w:rsid w:val="000C6BF7"/>
    <w:rsid w:val="000D7585"/>
    <w:rsid w:val="000E4167"/>
    <w:rsid w:val="000F712E"/>
    <w:rsid w:val="00105B3A"/>
    <w:rsid w:val="0011039B"/>
    <w:rsid w:val="00114805"/>
    <w:rsid w:val="00130734"/>
    <w:rsid w:val="00141E23"/>
    <w:rsid w:val="00150A45"/>
    <w:rsid w:val="001560E6"/>
    <w:rsid w:val="00172316"/>
    <w:rsid w:val="00182C36"/>
    <w:rsid w:val="00184F7F"/>
    <w:rsid w:val="001C7434"/>
    <w:rsid w:val="001D5537"/>
    <w:rsid w:val="00210629"/>
    <w:rsid w:val="002177B2"/>
    <w:rsid w:val="00242EED"/>
    <w:rsid w:val="002B20B0"/>
    <w:rsid w:val="002C3D8B"/>
    <w:rsid w:val="002D4F78"/>
    <w:rsid w:val="002E07BB"/>
    <w:rsid w:val="00320C76"/>
    <w:rsid w:val="00321A9C"/>
    <w:rsid w:val="00341740"/>
    <w:rsid w:val="003443D8"/>
    <w:rsid w:val="00355500"/>
    <w:rsid w:val="00362C6D"/>
    <w:rsid w:val="003C2329"/>
    <w:rsid w:val="003F36BD"/>
    <w:rsid w:val="00405E22"/>
    <w:rsid w:val="0041013B"/>
    <w:rsid w:val="00423346"/>
    <w:rsid w:val="004268CD"/>
    <w:rsid w:val="00446A15"/>
    <w:rsid w:val="00454CCF"/>
    <w:rsid w:val="00480CD3"/>
    <w:rsid w:val="004865F6"/>
    <w:rsid w:val="00493433"/>
    <w:rsid w:val="00493C0A"/>
    <w:rsid w:val="004C0DEA"/>
    <w:rsid w:val="004D0657"/>
    <w:rsid w:val="004F0784"/>
    <w:rsid w:val="00541091"/>
    <w:rsid w:val="00542AF4"/>
    <w:rsid w:val="0055517B"/>
    <w:rsid w:val="005617C3"/>
    <w:rsid w:val="005A4269"/>
    <w:rsid w:val="005A5C13"/>
    <w:rsid w:val="005C6EBA"/>
    <w:rsid w:val="005F396D"/>
    <w:rsid w:val="005F44FB"/>
    <w:rsid w:val="005F5EF0"/>
    <w:rsid w:val="006050F5"/>
    <w:rsid w:val="00625FB6"/>
    <w:rsid w:val="00643C6B"/>
    <w:rsid w:val="0065109C"/>
    <w:rsid w:val="00656CC6"/>
    <w:rsid w:val="00694CE2"/>
    <w:rsid w:val="006A26E4"/>
    <w:rsid w:val="006A2FE3"/>
    <w:rsid w:val="006B37FB"/>
    <w:rsid w:val="006C18AF"/>
    <w:rsid w:val="006C2632"/>
    <w:rsid w:val="006C6DA6"/>
    <w:rsid w:val="006D0EB3"/>
    <w:rsid w:val="006D41FB"/>
    <w:rsid w:val="006D5543"/>
    <w:rsid w:val="006E62D2"/>
    <w:rsid w:val="006F20DF"/>
    <w:rsid w:val="00733B6B"/>
    <w:rsid w:val="007519A4"/>
    <w:rsid w:val="00753480"/>
    <w:rsid w:val="00761DF6"/>
    <w:rsid w:val="00777BD7"/>
    <w:rsid w:val="00783EDA"/>
    <w:rsid w:val="007A1F13"/>
    <w:rsid w:val="007A6032"/>
    <w:rsid w:val="007A6C88"/>
    <w:rsid w:val="007C0B9B"/>
    <w:rsid w:val="007E74EA"/>
    <w:rsid w:val="007F6C33"/>
    <w:rsid w:val="00811B59"/>
    <w:rsid w:val="0083344A"/>
    <w:rsid w:val="00834ACB"/>
    <w:rsid w:val="00835903"/>
    <w:rsid w:val="00837295"/>
    <w:rsid w:val="00840CEE"/>
    <w:rsid w:val="008841EE"/>
    <w:rsid w:val="00890B04"/>
    <w:rsid w:val="008A72C4"/>
    <w:rsid w:val="008B074D"/>
    <w:rsid w:val="008B19BE"/>
    <w:rsid w:val="008C0B2F"/>
    <w:rsid w:val="008C25D7"/>
    <w:rsid w:val="008C59A5"/>
    <w:rsid w:val="008F3F28"/>
    <w:rsid w:val="0090389D"/>
    <w:rsid w:val="00905817"/>
    <w:rsid w:val="00917019"/>
    <w:rsid w:val="00945932"/>
    <w:rsid w:val="009508B7"/>
    <w:rsid w:val="00971F29"/>
    <w:rsid w:val="00974185"/>
    <w:rsid w:val="00974800"/>
    <w:rsid w:val="009A46E6"/>
    <w:rsid w:val="009A7D69"/>
    <w:rsid w:val="009C486D"/>
    <w:rsid w:val="009D5679"/>
    <w:rsid w:val="00A112C1"/>
    <w:rsid w:val="00A16BC3"/>
    <w:rsid w:val="00A34F2C"/>
    <w:rsid w:val="00A35F10"/>
    <w:rsid w:val="00A4428A"/>
    <w:rsid w:val="00A4664C"/>
    <w:rsid w:val="00A56F6D"/>
    <w:rsid w:val="00A7224A"/>
    <w:rsid w:val="00A8597D"/>
    <w:rsid w:val="00A90716"/>
    <w:rsid w:val="00A93672"/>
    <w:rsid w:val="00A9375C"/>
    <w:rsid w:val="00AB7C81"/>
    <w:rsid w:val="00AC34A6"/>
    <w:rsid w:val="00AD36C0"/>
    <w:rsid w:val="00AD5628"/>
    <w:rsid w:val="00AE5CFF"/>
    <w:rsid w:val="00B028CA"/>
    <w:rsid w:val="00B14FA5"/>
    <w:rsid w:val="00B26F9F"/>
    <w:rsid w:val="00B325AD"/>
    <w:rsid w:val="00B426C3"/>
    <w:rsid w:val="00B45D33"/>
    <w:rsid w:val="00B55674"/>
    <w:rsid w:val="00BA7A91"/>
    <w:rsid w:val="00BB008C"/>
    <w:rsid w:val="00BC1799"/>
    <w:rsid w:val="00BC257C"/>
    <w:rsid w:val="00BD7D23"/>
    <w:rsid w:val="00BE41DB"/>
    <w:rsid w:val="00BE4E6E"/>
    <w:rsid w:val="00BF12FB"/>
    <w:rsid w:val="00C043FD"/>
    <w:rsid w:val="00C138AE"/>
    <w:rsid w:val="00C14EF2"/>
    <w:rsid w:val="00C514DE"/>
    <w:rsid w:val="00C87076"/>
    <w:rsid w:val="00C90E91"/>
    <w:rsid w:val="00C93140"/>
    <w:rsid w:val="00CA0BCD"/>
    <w:rsid w:val="00CA4ED3"/>
    <w:rsid w:val="00CB6549"/>
    <w:rsid w:val="00D00BAE"/>
    <w:rsid w:val="00D03CD4"/>
    <w:rsid w:val="00D139E9"/>
    <w:rsid w:val="00D3340E"/>
    <w:rsid w:val="00D34203"/>
    <w:rsid w:val="00D3486C"/>
    <w:rsid w:val="00D37078"/>
    <w:rsid w:val="00D66B84"/>
    <w:rsid w:val="00D76912"/>
    <w:rsid w:val="00D81828"/>
    <w:rsid w:val="00DA076B"/>
    <w:rsid w:val="00DA18A2"/>
    <w:rsid w:val="00DB0999"/>
    <w:rsid w:val="00DD6DD5"/>
    <w:rsid w:val="00DE1EDD"/>
    <w:rsid w:val="00DE388F"/>
    <w:rsid w:val="00DF39F2"/>
    <w:rsid w:val="00DF454D"/>
    <w:rsid w:val="00E006E7"/>
    <w:rsid w:val="00E26607"/>
    <w:rsid w:val="00E8247D"/>
    <w:rsid w:val="00ED73B9"/>
    <w:rsid w:val="00F11E87"/>
    <w:rsid w:val="00F14311"/>
    <w:rsid w:val="00F30D8E"/>
    <w:rsid w:val="00F3206D"/>
    <w:rsid w:val="00F41A4F"/>
    <w:rsid w:val="00F7053D"/>
    <w:rsid w:val="00FE2BA2"/>
    <w:rsid w:val="012627A4"/>
    <w:rsid w:val="01736813"/>
    <w:rsid w:val="01AA4F90"/>
    <w:rsid w:val="02C05141"/>
    <w:rsid w:val="02DD7154"/>
    <w:rsid w:val="03B70334"/>
    <w:rsid w:val="03FD072E"/>
    <w:rsid w:val="04A237EB"/>
    <w:rsid w:val="062E3102"/>
    <w:rsid w:val="06661FD5"/>
    <w:rsid w:val="066B5505"/>
    <w:rsid w:val="068329DE"/>
    <w:rsid w:val="06A50559"/>
    <w:rsid w:val="08760552"/>
    <w:rsid w:val="0958026E"/>
    <w:rsid w:val="0A1B4D03"/>
    <w:rsid w:val="0B6702F5"/>
    <w:rsid w:val="0B99197E"/>
    <w:rsid w:val="0BAF12DF"/>
    <w:rsid w:val="0C781580"/>
    <w:rsid w:val="0CBA6435"/>
    <w:rsid w:val="0D03361B"/>
    <w:rsid w:val="0EB24186"/>
    <w:rsid w:val="0EC0398C"/>
    <w:rsid w:val="0F4704B6"/>
    <w:rsid w:val="0F910424"/>
    <w:rsid w:val="100B1905"/>
    <w:rsid w:val="101D0B26"/>
    <w:rsid w:val="10EB2AB3"/>
    <w:rsid w:val="119473CF"/>
    <w:rsid w:val="11B125CB"/>
    <w:rsid w:val="11CA19FB"/>
    <w:rsid w:val="11F575B5"/>
    <w:rsid w:val="12A50818"/>
    <w:rsid w:val="12AB26B1"/>
    <w:rsid w:val="12AF6838"/>
    <w:rsid w:val="13041EF5"/>
    <w:rsid w:val="137777DF"/>
    <w:rsid w:val="13CD3690"/>
    <w:rsid w:val="13D66116"/>
    <w:rsid w:val="13F54CFA"/>
    <w:rsid w:val="14E80BD8"/>
    <w:rsid w:val="15036BEC"/>
    <w:rsid w:val="174D37C2"/>
    <w:rsid w:val="174E3E6C"/>
    <w:rsid w:val="182F4705"/>
    <w:rsid w:val="186C2D43"/>
    <w:rsid w:val="18E53B42"/>
    <w:rsid w:val="19033D3C"/>
    <w:rsid w:val="194F6886"/>
    <w:rsid w:val="19A9340A"/>
    <w:rsid w:val="19FF77B3"/>
    <w:rsid w:val="1AD44C90"/>
    <w:rsid w:val="1B2C28AE"/>
    <w:rsid w:val="1B2D7873"/>
    <w:rsid w:val="1B422284"/>
    <w:rsid w:val="1B814C0E"/>
    <w:rsid w:val="1B8B5A44"/>
    <w:rsid w:val="1C34698F"/>
    <w:rsid w:val="1C5709C4"/>
    <w:rsid w:val="1C8A1E48"/>
    <w:rsid w:val="1CC8375B"/>
    <w:rsid w:val="1DCE75CD"/>
    <w:rsid w:val="1E3460FB"/>
    <w:rsid w:val="1E600A6D"/>
    <w:rsid w:val="1E6B6372"/>
    <w:rsid w:val="1E783628"/>
    <w:rsid w:val="1E8A4BCB"/>
    <w:rsid w:val="1EFD3F66"/>
    <w:rsid w:val="1F2B691F"/>
    <w:rsid w:val="1F7304AF"/>
    <w:rsid w:val="1FA30ADB"/>
    <w:rsid w:val="1FE9330F"/>
    <w:rsid w:val="1FEB3C6E"/>
    <w:rsid w:val="200763B5"/>
    <w:rsid w:val="201203D5"/>
    <w:rsid w:val="207751A6"/>
    <w:rsid w:val="20D920C0"/>
    <w:rsid w:val="212D7C1E"/>
    <w:rsid w:val="21796AFE"/>
    <w:rsid w:val="21AE4759"/>
    <w:rsid w:val="224966F4"/>
    <w:rsid w:val="225C297B"/>
    <w:rsid w:val="228B0EC1"/>
    <w:rsid w:val="238C7189"/>
    <w:rsid w:val="24231BB6"/>
    <w:rsid w:val="248D208B"/>
    <w:rsid w:val="256F2F76"/>
    <w:rsid w:val="263051D4"/>
    <w:rsid w:val="263B1F82"/>
    <w:rsid w:val="26A101A7"/>
    <w:rsid w:val="26AC3659"/>
    <w:rsid w:val="27B611D1"/>
    <w:rsid w:val="27E42565"/>
    <w:rsid w:val="28611C50"/>
    <w:rsid w:val="28BB6072"/>
    <w:rsid w:val="28E578EA"/>
    <w:rsid w:val="29CF3A91"/>
    <w:rsid w:val="2A2F70AD"/>
    <w:rsid w:val="2A6B5542"/>
    <w:rsid w:val="2A8E7A63"/>
    <w:rsid w:val="2AC34753"/>
    <w:rsid w:val="2B4162D8"/>
    <w:rsid w:val="2B5F7C4F"/>
    <w:rsid w:val="2B8676C6"/>
    <w:rsid w:val="2BA63CD1"/>
    <w:rsid w:val="2BDC14EC"/>
    <w:rsid w:val="2BDE63D5"/>
    <w:rsid w:val="2C5F6C29"/>
    <w:rsid w:val="2C69149D"/>
    <w:rsid w:val="2CCD54AE"/>
    <w:rsid w:val="2CD80805"/>
    <w:rsid w:val="2D237EEE"/>
    <w:rsid w:val="2E632A02"/>
    <w:rsid w:val="2EA40814"/>
    <w:rsid w:val="2F135414"/>
    <w:rsid w:val="2F30500C"/>
    <w:rsid w:val="2F5669D9"/>
    <w:rsid w:val="2F627B39"/>
    <w:rsid w:val="30B736C5"/>
    <w:rsid w:val="31030EE6"/>
    <w:rsid w:val="31322686"/>
    <w:rsid w:val="318A41BA"/>
    <w:rsid w:val="31FC31A9"/>
    <w:rsid w:val="32B71E7F"/>
    <w:rsid w:val="352160C6"/>
    <w:rsid w:val="362F0F3A"/>
    <w:rsid w:val="364D61F2"/>
    <w:rsid w:val="369F2835"/>
    <w:rsid w:val="36FF2144"/>
    <w:rsid w:val="370E10B7"/>
    <w:rsid w:val="370F7744"/>
    <w:rsid w:val="37720F5C"/>
    <w:rsid w:val="39601A30"/>
    <w:rsid w:val="3A234CA7"/>
    <w:rsid w:val="3AEF0E52"/>
    <w:rsid w:val="3C173184"/>
    <w:rsid w:val="3C5C72C4"/>
    <w:rsid w:val="3C93337E"/>
    <w:rsid w:val="3D1A2032"/>
    <w:rsid w:val="3D5F6092"/>
    <w:rsid w:val="3D9B75BA"/>
    <w:rsid w:val="3DC40686"/>
    <w:rsid w:val="3E2B0FDC"/>
    <w:rsid w:val="3E5A2F55"/>
    <w:rsid w:val="3F5B0E44"/>
    <w:rsid w:val="3FBA329D"/>
    <w:rsid w:val="3FFA002B"/>
    <w:rsid w:val="40452561"/>
    <w:rsid w:val="405A5DCC"/>
    <w:rsid w:val="411841D3"/>
    <w:rsid w:val="42AF559F"/>
    <w:rsid w:val="42E3263E"/>
    <w:rsid w:val="42FB1F10"/>
    <w:rsid w:val="432B5350"/>
    <w:rsid w:val="433D1C53"/>
    <w:rsid w:val="438308FE"/>
    <w:rsid w:val="43E7207D"/>
    <w:rsid w:val="44296922"/>
    <w:rsid w:val="44A57EE8"/>
    <w:rsid w:val="45115FCE"/>
    <w:rsid w:val="45C830D9"/>
    <w:rsid w:val="46A451A1"/>
    <w:rsid w:val="46B16427"/>
    <w:rsid w:val="46E83CB4"/>
    <w:rsid w:val="46F40786"/>
    <w:rsid w:val="470206EF"/>
    <w:rsid w:val="47116092"/>
    <w:rsid w:val="47406253"/>
    <w:rsid w:val="47784C1D"/>
    <w:rsid w:val="478A7E41"/>
    <w:rsid w:val="47FC243A"/>
    <w:rsid w:val="48397A3A"/>
    <w:rsid w:val="493555E0"/>
    <w:rsid w:val="49602342"/>
    <w:rsid w:val="49731EB8"/>
    <w:rsid w:val="49921B02"/>
    <w:rsid w:val="4994708B"/>
    <w:rsid w:val="4A885D07"/>
    <w:rsid w:val="4AAB0271"/>
    <w:rsid w:val="4AC53BBE"/>
    <w:rsid w:val="4B0B79C8"/>
    <w:rsid w:val="4B446011"/>
    <w:rsid w:val="4D5F7D7D"/>
    <w:rsid w:val="4DC7669B"/>
    <w:rsid w:val="4E0F153D"/>
    <w:rsid w:val="4E231449"/>
    <w:rsid w:val="4E6041FA"/>
    <w:rsid w:val="4EBC3B32"/>
    <w:rsid w:val="4EDD0C04"/>
    <w:rsid w:val="4F9E3529"/>
    <w:rsid w:val="4FB005A8"/>
    <w:rsid w:val="51C2290C"/>
    <w:rsid w:val="520F5FC2"/>
    <w:rsid w:val="522E60FE"/>
    <w:rsid w:val="52EB5CDC"/>
    <w:rsid w:val="53570F79"/>
    <w:rsid w:val="538F67DC"/>
    <w:rsid w:val="53C409F5"/>
    <w:rsid w:val="541D2EB6"/>
    <w:rsid w:val="5572490A"/>
    <w:rsid w:val="56BA584B"/>
    <w:rsid w:val="56DB241B"/>
    <w:rsid w:val="57067946"/>
    <w:rsid w:val="57601224"/>
    <w:rsid w:val="57B114B9"/>
    <w:rsid w:val="57FA074F"/>
    <w:rsid w:val="58386861"/>
    <w:rsid w:val="5856617C"/>
    <w:rsid w:val="58F5700F"/>
    <w:rsid w:val="592214A3"/>
    <w:rsid w:val="59A43305"/>
    <w:rsid w:val="5A3D1E39"/>
    <w:rsid w:val="5A423F9E"/>
    <w:rsid w:val="5B1F645F"/>
    <w:rsid w:val="5BA71491"/>
    <w:rsid w:val="5BEC2CCF"/>
    <w:rsid w:val="5CD07BEB"/>
    <w:rsid w:val="5CD41A28"/>
    <w:rsid w:val="5CE519BE"/>
    <w:rsid w:val="5D2F4EBD"/>
    <w:rsid w:val="5D69078B"/>
    <w:rsid w:val="5D9632FA"/>
    <w:rsid w:val="5DD91053"/>
    <w:rsid w:val="5DFA0087"/>
    <w:rsid w:val="5E4F6693"/>
    <w:rsid w:val="5E866177"/>
    <w:rsid w:val="5F142002"/>
    <w:rsid w:val="5F33127F"/>
    <w:rsid w:val="5F7B1C4C"/>
    <w:rsid w:val="6010729C"/>
    <w:rsid w:val="615B38FD"/>
    <w:rsid w:val="61F44863"/>
    <w:rsid w:val="62AB18A8"/>
    <w:rsid w:val="62DC3A78"/>
    <w:rsid w:val="63243ED3"/>
    <w:rsid w:val="632F1FE3"/>
    <w:rsid w:val="63685978"/>
    <w:rsid w:val="638D48D9"/>
    <w:rsid w:val="639A54D8"/>
    <w:rsid w:val="640A5A4E"/>
    <w:rsid w:val="64605AD9"/>
    <w:rsid w:val="647132D4"/>
    <w:rsid w:val="6474621D"/>
    <w:rsid w:val="64982ECC"/>
    <w:rsid w:val="64A83567"/>
    <w:rsid w:val="64AB3ED8"/>
    <w:rsid w:val="64AE328C"/>
    <w:rsid w:val="64CC1F41"/>
    <w:rsid w:val="65C554D4"/>
    <w:rsid w:val="65E66F92"/>
    <w:rsid w:val="66020638"/>
    <w:rsid w:val="66891F80"/>
    <w:rsid w:val="6700208F"/>
    <w:rsid w:val="67C84564"/>
    <w:rsid w:val="67FB45E4"/>
    <w:rsid w:val="682652C9"/>
    <w:rsid w:val="68F12ECE"/>
    <w:rsid w:val="69303F5F"/>
    <w:rsid w:val="69441D51"/>
    <w:rsid w:val="69962CCF"/>
    <w:rsid w:val="6999116D"/>
    <w:rsid w:val="6A1D2B78"/>
    <w:rsid w:val="6A444981"/>
    <w:rsid w:val="6A622FB2"/>
    <w:rsid w:val="6A7744E7"/>
    <w:rsid w:val="6AA53D54"/>
    <w:rsid w:val="6B0750C0"/>
    <w:rsid w:val="6B762338"/>
    <w:rsid w:val="6B7B16C2"/>
    <w:rsid w:val="6C0A7664"/>
    <w:rsid w:val="6C371382"/>
    <w:rsid w:val="6CB3162A"/>
    <w:rsid w:val="6CD134EB"/>
    <w:rsid w:val="6D5B3B6F"/>
    <w:rsid w:val="6DE66E37"/>
    <w:rsid w:val="6E4B42A0"/>
    <w:rsid w:val="6E9876B3"/>
    <w:rsid w:val="6EE12B79"/>
    <w:rsid w:val="6F301766"/>
    <w:rsid w:val="6F6F004C"/>
    <w:rsid w:val="6F937F2E"/>
    <w:rsid w:val="6FB81F29"/>
    <w:rsid w:val="70645700"/>
    <w:rsid w:val="70742906"/>
    <w:rsid w:val="71221F64"/>
    <w:rsid w:val="71E11CF9"/>
    <w:rsid w:val="729758A5"/>
    <w:rsid w:val="72B029E0"/>
    <w:rsid w:val="72E86FCD"/>
    <w:rsid w:val="73104C48"/>
    <w:rsid w:val="731146CE"/>
    <w:rsid w:val="733A3E68"/>
    <w:rsid w:val="73AF70AE"/>
    <w:rsid w:val="73D218F4"/>
    <w:rsid w:val="7492495C"/>
    <w:rsid w:val="74982A18"/>
    <w:rsid w:val="74F55D1A"/>
    <w:rsid w:val="750F7D3D"/>
    <w:rsid w:val="751D1A70"/>
    <w:rsid w:val="75516606"/>
    <w:rsid w:val="756C680B"/>
    <w:rsid w:val="76387EEC"/>
    <w:rsid w:val="76EB03E3"/>
    <w:rsid w:val="77336A53"/>
    <w:rsid w:val="77346B6F"/>
    <w:rsid w:val="779350C9"/>
    <w:rsid w:val="779727C1"/>
    <w:rsid w:val="781B14DA"/>
    <w:rsid w:val="7831265D"/>
    <w:rsid w:val="78390009"/>
    <w:rsid w:val="78E010AF"/>
    <w:rsid w:val="793944BF"/>
    <w:rsid w:val="797C6C6C"/>
    <w:rsid w:val="7A351C52"/>
    <w:rsid w:val="7A51148C"/>
    <w:rsid w:val="7A66557E"/>
    <w:rsid w:val="7AAD68C0"/>
    <w:rsid w:val="7AB40131"/>
    <w:rsid w:val="7ADC3E37"/>
    <w:rsid w:val="7B0436D2"/>
    <w:rsid w:val="7B49698F"/>
    <w:rsid w:val="7B5569DE"/>
    <w:rsid w:val="7C585E09"/>
    <w:rsid w:val="7CBE037E"/>
    <w:rsid w:val="7CCC6B2A"/>
    <w:rsid w:val="7CD4774D"/>
    <w:rsid w:val="7DB25A97"/>
    <w:rsid w:val="7F37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252EA-0EE6-43D7-87EC-19C8FCC1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hAnsi="Calibri" w:cs="Calibri"/>
      <w:color w:val="00000A"/>
      <w:kern w:val="2"/>
      <w:sz w:val="22"/>
      <w:szCs w:val="22"/>
      <w:lang w:val="en-GB" w:eastAsia="en-US"/>
    </w:rPr>
  </w:style>
  <w:style w:type="paragraph" w:styleId="1">
    <w:name w:val="heading 1"/>
    <w:basedOn w:val="a"/>
    <w:next w:val="a"/>
    <w:uiPriority w:val="9"/>
    <w:qFormat/>
    <w:pPr>
      <w:keepNext/>
      <w:keepLines/>
      <w:widowControl w:val="0"/>
      <w:suppressAutoHyphens w:val="0"/>
      <w:spacing w:before="340" w:after="330" w:line="576" w:lineRule="auto"/>
      <w:jc w:val="both"/>
      <w:outlineLvl w:val="0"/>
    </w:pPr>
    <w:rPr>
      <w:rFonts w:asciiTheme="minorHAnsi" w:eastAsiaTheme="minorEastAsia" w:hAnsiTheme="minorHAnsi" w:cstheme="minorBidi"/>
      <w:b/>
      <w:color w:val="auto"/>
      <w:kern w:val="44"/>
      <w:sz w:val="44"/>
      <w:lang w:val="en-US" w:eastAsia="zh-CN"/>
    </w:rPr>
  </w:style>
  <w:style w:type="paragraph" w:styleId="2">
    <w:name w:val="heading 2"/>
    <w:basedOn w:val="a"/>
    <w:next w:val="a"/>
    <w:link w:val="2Char1"/>
    <w:uiPriority w:val="9"/>
    <w:unhideWhenUsed/>
    <w:qFormat/>
    <w:pPr>
      <w:keepNext/>
      <w:keepLines/>
      <w:widowControl w:val="0"/>
      <w:suppressAutoHyphens w:val="0"/>
      <w:spacing w:before="260" w:line="413" w:lineRule="auto"/>
      <w:jc w:val="both"/>
      <w:outlineLvl w:val="1"/>
    </w:pPr>
    <w:rPr>
      <w:rFonts w:ascii="Arial" w:eastAsia="黑体" w:hAnsi="Arial" w:cstheme="minorBidi"/>
      <w:b/>
      <w:color w:val="auto"/>
      <w:sz w:val="32"/>
      <w:lang w:val="en-US" w:eastAsia="zh-CN"/>
    </w:rPr>
  </w:style>
  <w:style w:type="paragraph" w:styleId="3">
    <w:name w:val="heading 3"/>
    <w:basedOn w:val="a"/>
    <w:next w:val="a"/>
    <w:uiPriority w:val="9"/>
    <w:unhideWhenUsed/>
    <w:qFormat/>
    <w:pPr>
      <w:keepNext/>
      <w:keepLines/>
      <w:widowControl w:val="0"/>
      <w:suppressAutoHyphens w:val="0"/>
      <w:spacing w:before="260" w:line="413" w:lineRule="auto"/>
      <w:jc w:val="both"/>
      <w:outlineLvl w:val="2"/>
    </w:pPr>
    <w:rPr>
      <w:rFonts w:asciiTheme="minorHAnsi" w:eastAsiaTheme="minorEastAsia" w:hAnsiTheme="minorHAnsi" w:cstheme="minorBidi"/>
      <w:b/>
      <w:color w:val="auto"/>
      <w:sz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suppressAutoHyphens w:val="0"/>
      <w:spacing w:line="240" w:lineRule="auto"/>
      <w:jc w:val="both"/>
    </w:pPr>
    <w:rPr>
      <w:rFonts w:asciiTheme="minorHAnsi" w:eastAsiaTheme="minorEastAsia" w:hAnsiTheme="minorHAnsi" w:cstheme="minorBidi"/>
      <w:color w:val="auto"/>
      <w:sz w:val="20"/>
      <w:szCs w:val="20"/>
      <w:lang w:val="en-US" w:eastAsia="zh-CN"/>
    </w:rPr>
  </w:style>
  <w:style w:type="paragraph" w:styleId="a4">
    <w:name w:val="Body Text"/>
    <w:qFormat/>
    <w:pPr>
      <w:spacing w:line="480" w:lineRule="auto"/>
      <w:jc w:val="both"/>
    </w:pPr>
    <w:rPr>
      <w:sz w:val="24"/>
      <w:szCs w:val="24"/>
      <w:lang w:val="en-GB" w:eastAsia="en-US"/>
    </w:rPr>
  </w:style>
  <w:style w:type="paragraph" w:styleId="a5">
    <w:name w:val="Balloon Text"/>
    <w:basedOn w:val="a"/>
    <w:link w:val="Char0"/>
    <w:uiPriority w:val="99"/>
    <w:semiHidden/>
    <w:unhideWhenUsed/>
    <w:qFormat/>
    <w:pPr>
      <w:widowControl w:val="0"/>
      <w:suppressAutoHyphens w:val="0"/>
      <w:spacing w:after="0" w:line="240" w:lineRule="auto"/>
      <w:jc w:val="both"/>
    </w:pPr>
    <w:rPr>
      <w:rFonts w:ascii="Segoe UI" w:eastAsiaTheme="minorEastAsia" w:hAnsi="Segoe UI" w:cs="Segoe UI"/>
      <w:color w:val="auto"/>
      <w:sz w:val="18"/>
      <w:szCs w:val="18"/>
      <w:lang w:val="en-US" w:eastAsia="zh-CN"/>
    </w:rPr>
  </w:style>
  <w:style w:type="paragraph" w:styleId="a6">
    <w:name w:val="footer"/>
    <w:basedOn w:val="a"/>
    <w:link w:val="Char1"/>
    <w:uiPriority w:val="99"/>
    <w:unhideWhenUsed/>
    <w:qFormat/>
    <w:pPr>
      <w:widowControl w:val="0"/>
      <w:tabs>
        <w:tab w:val="center" w:pos="4153"/>
        <w:tab w:val="right" w:pos="8306"/>
      </w:tabs>
      <w:suppressAutoHyphens w:val="0"/>
      <w:snapToGrid w:val="0"/>
      <w:spacing w:line="259" w:lineRule="auto"/>
    </w:pPr>
    <w:rPr>
      <w:rFonts w:asciiTheme="minorHAnsi" w:eastAsiaTheme="minorEastAsia" w:hAnsiTheme="minorHAnsi" w:cstheme="minorBidi"/>
      <w:color w:val="auto"/>
      <w:sz w:val="18"/>
      <w:szCs w:val="18"/>
      <w:lang w:val="en-US" w:eastAsia="zh-CN"/>
    </w:rPr>
  </w:style>
  <w:style w:type="paragraph" w:styleId="a7">
    <w:name w:val="header"/>
    <w:basedOn w:val="a"/>
    <w:link w:val="Char2"/>
    <w:uiPriority w:val="99"/>
    <w:unhideWhenUsed/>
    <w:qFormat/>
    <w:pPr>
      <w:widowControl w:val="0"/>
      <w:pBdr>
        <w:bottom w:val="single" w:sz="6" w:space="1" w:color="auto"/>
      </w:pBdr>
      <w:tabs>
        <w:tab w:val="center" w:pos="4153"/>
        <w:tab w:val="right" w:pos="8306"/>
      </w:tabs>
      <w:suppressAutoHyphens w:val="0"/>
      <w:snapToGrid w:val="0"/>
      <w:spacing w:line="259" w:lineRule="auto"/>
      <w:jc w:val="center"/>
    </w:pPr>
    <w:rPr>
      <w:rFonts w:asciiTheme="minorHAnsi" w:eastAsiaTheme="minorEastAsia" w:hAnsiTheme="minorHAnsi" w:cstheme="minorBidi"/>
      <w:color w:val="auto"/>
      <w:sz w:val="18"/>
      <w:szCs w:val="18"/>
      <w:lang w:val="en-US" w:eastAsia="zh-CN"/>
    </w:rPr>
  </w:style>
  <w:style w:type="paragraph" w:styleId="a8">
    <w:name w:val="Normal (Web)"/>
    <w:unhideWhenUsed/>
    <w:qFormat/>
    <w:pPr>
      <w:spacing w:before="100" w:beforeAutospacing="1" w:after="100" w:afterAutospacing="1"/>
    </w:pPr>
    <w:rPr>
      <w:rFonts w:eastAsia="Times New Roman"/>
      <w:sz w:val="24"/>
      <w:szCs w:val="24"/>
    </w:rPr>
  </w:style>
  <w:style w:type="paragraph" w:styleId="a9">
    <w:name w:val="annotation subject"/>
    <w:basedOn w:val="a3"/>
    <w:next w:val="a3"/>
    <w:link w:val="Char3"/>
    <w:uiPriority w:val="99"/>
    <w:semiHidden/>
    <w:unhideWhenUsed/>
    <w:qFormat/>
    <w:rPr>
      <w:b/>
      <w:bCs/>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Pr>
      <w:rFonts w:cs="Times New Roman"/>
      <w:b/>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16"/>
      <w:szCs w:val="16"/>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fontstyle01">
    <w:name w:val="fontstyle01"/>
    <w:basedOn w:val="a0"/>
    <w:qFormat/>
    <w:rPr>
      <w:rFonts w:ascii="DngpsvAdvTT99c4c969" w:eastAsia="DngpsvAdvTT99c4c969" w:hAnsi="DngpsvAdvTT99c4c969" w:cs="DngpsvAdvTT99c4c969"/>
      <w:color w:val="131413"/>
      <w:sz w:val="18"/>
      <w:szCs w:val="18"/>
    </w:rPr>
  </w:style>
  <w:style w:type="character" w:customStyle="1" w:styleId="fontstyle21">
    <w:name w:val="fontstyle21"/>
    <w:basedOn w:val="a0"/>
    <w:qFormat/>
    <w:rPr>
      <w:rFonts w:ascii="DdtxqxAdvTT8861b38f . I" w:eastAsia="DdtxqxAdvTT8861b38f . I" w:hAnsi="DdtxqxAdvTT8861b38f . I" w:cs="DdtxqxAdvTT8861b38f . I"/>
      <w:color w:val="131413"/>
      <w:sz w:val="20"/>
      <w:szCs w:val="20"/>
    </w:rPr>
  </w:style>
  <w:style w:type="character" w:customStyle="1" w:styleId="2Char">
    <w:name w:val="标题 2 Char"/>
    <w:qFormat/>
    <w:rPr>
      <w:rFonts w:ascii="Arial" w:eastAsia="黑体" w:hAnsi="Arial"/>
      <w:b/>
      <w:sz w:val="32"/>
    </w:rPr>
  </w:style>
  <w:style w:type="character" w:customStyle="1" w:styleId="Char">
    <w:name w:val="批注文字 Char"/>
    <w:basedOn w:val="a0"/>
    <w:link w:val="a3"/>
    <w:uiPriority w:val="99"/>
    <w:semiHidden/>
    <w:qFormat/>
    <w:rPr>
      <w:rFonts w:asciiTheme="minorHAnsi" w:eastAsiaTheme="minorEastAsia" w:hAnsiTheme="minorHAnsi" w:cstheme="minorBidi"/>
      <w:kern w:val="2"/>
      <w:lang w:val="en-US" w:eastAsia="zh-CN"/>
    </w:rPr>
  </w:style>
  <w:style w:type="character" w:customStyle="1" w:styleId="Char3">
    <w:name w:val="批注主题 Char"/>
    <w:basedOn w:val="Char"/>
    <w:link w:val="a9"/>
    <w:uiPriority w:val="99"/>
    <w:semiHidden/>
    <w:qFormat/>
    <w:rPr>
      <w:rFonts w:asciiTheme="minorHAnsi" w:eastAsiaTheme="minorEastAsia" w:hAnsiTheme="minorHAnsi" w:cstheme="minorBidi"/>
      <w:b/>
      <w:bCs/>
      <w:kern w:val="2"/>
      <w:lang w:val="en-US" w:eastAsia="zh-CN"/>
    </w:rPr>
  </w:style>
  <w:style w:type="paragraph" w:customStyle="1" w:styleId="Revision1">
    <w:name w:val="Revision1"/>
    <w:hidden/>
    <w:uiPriority w:val="99"/>
    <w:semiHidden/>
    <w:qFormat/>
    <w:rPr>
      <w:rFonts w:asciiTheme="minorHAnsi" w:eastAsiaTheme="minorEastAsia" w:hAnsiTheme="minorHAnsi" w:cstheme="minorBidi"/>
      <w:kern w:val="2"/>
      <w:sz w:val="21"/>
      <w:szCs w:val="22"/>
    </w:rPr>
  </w:style>
  <w:style w:type="character" w:customStyle="1" w:styleId="Char0">
    <w:name w:val="批注框文本 Char"/>
    <w:basedOn w:val="a0"/>
    <w:link w:val="a5"/>
    <w:uiPriority w:val="99"/>
    <w:semiHidden/>
    <w:qFormat/>
    <w:rPr>
      <w:rFonts w:ascii="Segoe UI" w:eastAsiaTheme="minorEastAsia" w:hAnsi="Segoe UI" w:cs="Segoe UI"/>
      <w:kern w:val="2"/>
      <w:sz w:val="18"/>
      <w:szCs w:val="18"/>
      <w:lang w:val="en-US" w:eastAsia="zh-CN"/>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10">
    <w:name w:val="修订1"/>
    <w:hidden/>
    <w:uiPriority w:val="99"/>
    <w:semiHidden/>
    <w:qFormat/>
    <w:rPr>
      <w:rFonts w:asciiTheme="minorHAnsi" w:eastAsiaTheme="minorEastAsia" w:hAnsiTheme="minorHAnsi" w:cstheme="minorBidi"/>
      <w:kern w:val="2"/>
      <w:sz w:val="21"/>
      <w:szCs w:val="22"/>
    </w:rPr>
  </w:style>
  <w:style w:type="character" w:customStyle="1" w:styleId="fontstyle11">
    <w:name w:val="fontstyle11"/>
    <w:basedOn w:val="a0"/>
    <w:qFormat/>
    <w:rPr>
      <w:rFonts w:ascii="NewBaskerville-Roman" w:eastAsia="NewBaskerville-Roman" w:hAnsi="NewBaskerville-Roman" w:cs="NewBaskerville-Roman"/>
      <w:color w:val="231F20"/>
      <w:sz w:val="14"/>
      <w:szCs w:val="14"/>
    </w:rPr>
  </w:style>
  <w:style w:type="character" w:customStyle="1" w:styleId="2Char1">
    <w:name w:val="标题 2 Char1"/>
    <w:link w:val="2"/>
    <w:uiPriority w:val="9"/>
    <w:semiHidden/>
    <w:qFormat/>
    <w:rPr>
      <w:rFonts w:ascii="Cambria" w:eastAsia="Times New Roman" w:hAnsi="Cambria" w:cs="Times New Roman"/>
      <w:b/>
      <w:bCs/>
      <w:color w:val="4F81BD"/>
      <w:sz w:val="26"/>
      <w:szCs w:val="26"/>
    </w:rPr>
  </w:style>
  <w:style w:type="character" w:customStyle="1" w:styleId="11">
    <w:name w:val="批注文字 字符1"/>
    <w:basedOn w:val="a0"/>
    <w:uiPriority w:val="99"/>
    <w:qFormat/>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niversity0501@163.com" TargetMode="Externa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s://doi.org/10.1016/0024-3205(93)90152-S"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0952-8180(95)00058-P"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https://doi.org/10.1213/00000539-197857050-00010"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doi.org/10.1213/00000539-198310000-00008" TargetMode="Externa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hizhang\Desktop\&#26609;&#24418;&#2227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chizhang\Desktop\&#26609;&#24418;&#22270;.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dezocine\&#26032;&#24314;&#25991;&#20214;&#22841;\MAP&#22270;.xls"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99542058327299"/>
          <c:y val="0.15048712595685501"/>
          <c:w val="0.83393588816582298"/>
          <c:h val="0.497459986082116"/>
        </c:manualLayout>
      </c:layout>
      <c:barChart>
        <c:barDir val="col"/>
        <c:grouping val="clustered"/>
        <c:varyColors val="0"/>
        <c:ser>
          <c:idx val="0"/>
          <c:order val="0"/>
          <c:tx>
            <c:strRef>
              <c:f>[柱形图.xlsx]Sheet1!$B$1</c:f>
              <c:strCache>
                <c:ptCount val="1"/>
                <c:pt idx="0">
                  <c:v>Dezocine group</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Sheet1!$B$2:$B$7</c:f>
              <c:numCache>
                <c:formatCode>General</c:formatCode>
                <c:ptCount val="4"/>
                <c:pt idx="0">
                  <c:v>116</c:v>
                </c:pt>
                <c:pt idx="1">
                  <c:v>116</c:v>
                </c:pt>
                <c:pt idx="2">
                  <c:v>243</c:v>
                </c:pt>
                <c:pt idx="3">
                  <c:v>39</c:v>
                </c:pt>
              </c:numCache>
            </c:numRef>
          </c:val>
        </c:ser>
        <c:ser>
          <c:idx val="1"/>
          <c:order val="1"/>
          <c:tx>
            <c:strRef>
              <c:f>[柱形图.xlsx]Sheet1!$C$1</c:f>
              <c:strCache>
                <c:ptCount val="1"/>
                <c:pt idx="0">
                  <c:v>Sufentanyl group</c:v>
                </c:pt>
              </c:strCache>
            </c:strRef>
          </c:tx>
          <c:spPr>
            <a:solidFill>
              <a:srgbClr val="ED7D3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Sheet1!$C$2:$C$7</c:f>
              <c:numCache>
                <c:formatCode>General</c:formatCode>
                <c:ptCount val="4"/>
                <c:pt idx="0">
                  <c:v>117</c:v>
                </c:pt>
                <c:pt idx="1">
                  <c:v>148</c:v>
                </c:pt>
                <c:pt idx="2">
                  <c:v>279</c:v>
                </c:pt>
                <c:pt idx="3">
                  <c:v>181</c:v>
                </c:pt>
              </c:numCache>
            </c:numRef>
          </c:val>
        </c:ser>
        <c:ser>
          <c:idx val="2"/>
          <c:order val="2"/>
          <c:tx>
            <c:strRef>
              <c:f>[柱形图.xlsx]Sheet1!$D$1</c:f>
              <c:strCache>
                <c:ptCount val="1"/>
                <c:pt idx="0">
                  <c:v>Fentanyl group</c:v>
                </c:pt>
              </c:strCache>
            </c:strRef>
          </c:tx>
          <c:spPr>
            <a:solidFill>
              <a:srgbClr val="A5A5A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Sheet1!$D$2:$D$7</c:f>
              <c:numCache>
                <c:formatCode>General</c:formatCode>
                <c:ptCount val="4"/>
                <c:pt idx="0">
                  <c:v>117</c:v>
                </c:pt>
                <c:pt idx="1">
                  <c:v>152</c:v>
                </c:pt>
                <c:pt idx="2">
                  <c:v>280</c:v>
                </c:pt>
                <c:pt idx="3">
                  <c:v>209</c:v>
                </c:pt>
              </c:numCache>
            </c:numRef>
          </c:val>
        </c:ser>
        <c:ser>
          <c:idx val="3"/>
          <c:order val="3"/>
          <c:tx>
            <c:strRef>
              <c:f>[柱形图.xlsx]Sheet1!$E$1</c:f>
              <c:strCache>
                <c:ptCount val="1"/>
                <c:pt idx="0">
                  <c:v>Control group</c:v>
                </c:pt>
              </c:strCache>
            </c:strRef>
          </c:tx>
          <c:spPr>
            <a:solidFill>
              <a:srgbClr val="FFC0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lumMod val="75000"/>
                        <a:lumOff val="25000"/>
                      </a:sys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ysClr val="windowText" lastClr="000000">
                          <a:lumMod val="35000"/>
                          <a:lumOff val="65000"/>
                        </a:sysClr>
                      </a:solidFill>
                      <a:prstDash val="solid"/>
                      <a:round/>
                    </a:ln>
                    <a:effectLst/>
                  </c:spPr>
                </c15:leaderLines>
              </c:ext>
            </c:extLst>
          </c:dLbls>
          <c:cat>
            <c:strRef>
              <c:f>[柱形图.xlsx]Sheet1!$A$2:$A$7</c:f>
              <c:strCache>
                <c:ptCount val="4"/>
                <c:pt idx="0">
                  <c:v>Induction dosage of propofol, mg</c:v>
                </c:pt>
                <c:pt idx="1">
                  <c:v>Additional dosage of propofol, mg</c:v>
                </c:pt>
                <c:pt idx="2">
                  <c:v>Total dosage of propofol, mg</c:v>
                </c:pt>
                <c:pt idx="3">
                  <c:v>Awakening time, second</c:v>
                </c:pt>
              </c:strCache>
            </c:strRef>
          </c:cat>
          <c:val>
            <c:numRef>
              <c:f>Sheet1!$E$2:$E$7</c:f>
              <c:numCache>
                <c:formatCode>General</c:formatCode>
                <c:ptCount val="4"/>
                <c:pt idx="0">
                  <c:v>152</c:v>
                </c:pt>
                <c:pt idx="1">
                  <c:v>198</c:v>
                </c:pt>
                <c:pt idx="2">
                  <c:v>346</c:v>
                </c:pt>
                <c:pt idx="3">
                  <c:v>205</c:v>
                </c:pt>
              </c:numCache>
            </c:numRef>
          </c:val>
        </c:ser>
        <c:dLbls>
          <c:showLegendKey val="0"/>
          <c:showVal val="1"/>
          <c:showCatName val="0"/>
          <c:showSerName val="0"/>
          <c:showPercent val="0"/>
          <c:showBubbleSize val="0"/>
        </c:dLbls>
        <c:gapWidth val="219"/>
        <c:overlap val="-27"/>
        <c:axId val="-247886064"/>
        <c:axId val="-247884432"/>
      </c:barChart>
      <c:catAx>
        <c:axId val="-247886064"/>
        <c:scaling>
          <c:orientation val="minMax"/>
        </c:scaling>
        <c:delete val="0"/>
        <c:axPos val="b"/>
        <c:numFmt formatCode="General" sourceLinked="1"/>
        <c:majorTickMark val="none"/>
        <c:minorTickMark val="none"/>
        <c:tickLblPos val="nextTo"/>
        <c:spPr>
          <a:noFill/>
          <a:ln w="9525" cap="flat" cmpd="sng" algn="ctr">
            <a:solidFill>
              <a:sysClr val="windowText" lastClr="000000">
                <a:lumMod val="15000"/>
                <a:lumOff val="85000"/>
              </a:sys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247884432"/>
        <c:crosses val="autoZero"/>
        <c:auto val="1"/>
        <c:lblAlgn val="ctr"/>
        <c:lblOffset val="100"/>
        <c:noMultiLvlLbl val="0"/>
      </c:catAx>
      <c:valAx>
        <c:axId val="-247884432"/>
        <c:scaling>
          <c:orientation val="minMax"/>
        </c:scaling>
        <c:delete val="0"/>
        <c:axPos val="l"/>
        <c:majorGridlines>
          <c:spPr>
            <a:ln w="9525" cap="flat" cmpd="sng" algn="ctr">
              <a:solidFill>
                <a:sysClr val="windowText" lastClr="000000">
                  <a:lumMod val="15000"/>
                  <a:lumOff val="85000"/>
                </a:sys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crossAx val="-24788606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lumMod val="65000"/>
                  <a:lumOff val="35000"/>
                </a:sysClr>
              </a:solidFill>
              <a:latin typeface="+mn-lt"/>
              <a:ea typeface="+mn-ea"/>
              <a:cs typeface="+mn-cs"/>
            </a:defRPr>
          </a:pPr>
          <a:endParaRPr lang="zh-CN"/>
        </a:p>
      </c:txPr>
    </c:legend>
    <c:plotVisOnly val="1"/>
    <c:dispBlanksAs val="gap"/>
    <c:showDLblsOverMax val="0"/>
  </c:chart>
  <c:spPr>
    <a:solidFill>
      <a:sysClr val="window" lastClr="FFFFFF"/>
    </a:solidFill>
    <a:ln w="9525" cap="flat" cmpd="sng" algn="ctr">
      <a:solidFill>
        <a:sysClr val="windowText" lastClr="000000">
          <a:lumMod val="15000"/>
          <a:lumOff val="85000"/>
        </a:sysClr>
      </a:solidFill>
      <a:prstDash val="solid"/>
      <a:round/>
    </a:ln>
    <a:effectLst/>
  </c:spPr>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[柱形图.xlsx]Sheet1!$B$1</c:f>
              <c:strCache>
                <c:ptCount val="1"/>
                <c:pt idx="0">
                  <c:v>Dezocine group</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Sheet1!$B$2:$B$7</c:f>
              <c:numCache>
                <c:formatCode>General</c:formatCode>
                <c:ptCount val="2"/>
                <c:pt idx="0">
                  <c:v>4.74</c:v>
                </c:pt>
                <c:pt idx="1">
                  <c:v>1.62</c:v>
                </c:pt>
              </c:numCache>
            </c:numRef>
          </c:val>
        </c:ser>
        <c:ser>
          <c:idx val="1"/>
          <c:order val="1"/>
          <c:tx>
            <c:strRef>
              <c:f>[柱形图.xlsx]Sheet1!$C$1</c:f>
              <c:strCache>
                <c:ptCount val="1"/>
                <c:pt idx="0">
                  <c:v>Sufentanyl group</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Sheet1!$C$2:$C$7</c:f>
              <c:numCache>
                <c:formatCode>General</c:formatCode>
                <c:ptCount val="2"/>
                <c:pt idx="0">
                  <c:v>4.07</c:v>
                </c:pt>
                <c:pt idx="1">
                  <c:v>2.25</c:v>
                </c:pt>
              </c:numCache>
            </c:numRef>
          </c:val>
        </c:ser>
        <c:ser>
          <c:idx val="2"/>
          <c:order val="2"/>
          <c:tx>
            <c:strRef>
              <c:f>[柱形图.xlsx]Sheet1!$D$1</c:f>
              <c:strCache>
                <c:ptCount val="1"/>
                <c:pt idx="0">
                  <c:v>Fentanyl group</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Sheet1!$D$2:$D$7</c:f>
              <c:numCache>
                <c:formatCode>General</c:formatCode>
                <c:ptCount val="2"/>
                <c:pt idx="0">
                  <c:v>2.97</c:v>
                </c:pt>
                <c:pt idx="1">
                  <c:v>2.68</c:v>
                </c:pt>
              </c:numCache>
            </c:numRef>
          </c:val>
        </c:ser>
        <c:ser>
          <c:idx val="3"/>
          <c:order val="3"/>
          <c:tx>
            <c:strRef>
              <c:f>[柱形图.xlsx]Sheet1!$E$1</c:f>
              <c:strCache>
                <c:ptCount val="1"/>
                <c:pt idx="0">
                  <c:v>Control group</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[柱形图.xlsx]Sheet1!$A$2:$A$7</c:f>
              <c:strCache>
                <c:ptCount val="2"/>
                <c:pt idx="0">
                  <c:v>Steward score</c:v>
                </c:pt>
                <c:pt idx="1">
                  <c:v>Postoperative pain score</c:v>
                </c:pt>
              </c:strCache>
            </c:strRef>
          </c:cat>
          <c:val>
            <c:numRef>
              <c:f>Sheet1!$E$2:$E$7</c:f>
              <c:numCache>
                <c:formatCode>General</c:formatCode>
                <c:ptCount val="2"/>
                <c:pt idx="0">
                  <c:v>3.15</c:v>
                </c:pt>
                <c:pt idx="1">
                  <c:v>4.6100000000000003</c:v>
                </c:pt>
              </c:numCache>
            </c:numRef>
          </c:val>
        </c:ser>
        <c:dLbls>
          <c:showLegendKey val="0"/>
          <c:showVal val="1"/>
          <c:showCatName val="0"/>
          <c:showSerName val="0"/>
          <c:showPercent val="0"/>
          <c:showBubbleSize val="0"/>
        </c:dLbls>
        <c:gapWidth val="219"/>
        <c:overlap val="-27"/>
        <c:axId val="-247884976"/>
        <c:axId val="-774934416"/>
      </c:barChart>
      <c:catAx>
        <c:axId val="-2478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74934416"/>
        <c:crosses val="autoZero"/>
        <c:auto val="1"/>
        <c:lblAlgn val="ctr"/>
        <c:lblOffset val="100"/>
        <c:noMultiLvlLbl val="0"/>
      </c:catAx>
      <c:valAx>
        <c:axId val="-7749344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4788497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[MAP图.xls]BIS!$A$2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[MAP图.xls]BIS!$B$1:$D$1</c:f>
              <c:strCache>
                <c:ptCount val="3"/>
                <c:pt idx="0">
                  <c:v>T1</c:v>
                </c:pt>
                <c:pt idx="1">
                  <c:v>T2</c:v>
                </c:pt>
                <c:pt idx="2">
                  <c:v>T3</c:v>
                </c:pt>
              </c:strCache>
            </c:strRef>
          </c:cat>
          <c:val>
            <c:numRef>
              <c:f>[MAP图.xls]BIS!$B$2:$D$2</c:f>
              <c:numCache>
                <c:formatCode>General</c:formatCode>
                <c:ptCount val="3"/>
                <c:pt idx="0">
                  <c:v>92.77</c:v>
                </c:pt>
                <c:pt idx="1">
                  <c:v>52.01</c:v>
                </c:pt>
                <c:pt idx="2">
                  <c:v>85.14</c:v>
                </c:pt>
              </c:numCache>
            </c:numRef>
          </c:val>
          <c:smooth val="0"/>
        </c:ser>
        <c:ser>
          <c:idx val="1"/>
          <c:order val="1"/>
          <c:tx>
            <c:strRef>
              <c:f>[MAP图.xls]BIS!$A$3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[MAP图.xls]BIS!$B$1:$D$1</c:f>
              <c:strCache>
                <c:ptCount val="3"/>
                <c:pt idx="0">
                  <c:v>T1</c:v>
                </c:pt>
                <c:pt idx="1">
                  <c:v>T2</c:v>
                </c:pt>
                <c:pt idx="2">
                  <c:v>T3</c:v>
                </c:pt>
              </c:strCache>
            </c:strRef>
          </c:cat>
          <c:val>
            <c:numRef>
              <c:f>[MAP图.xls]BIS!$B$3:$D$3</c:f>
              <c:numCache>
                <c:formatCode>General</c:formatCode>
                <c:ptCount val="3"/>
                <c:pt idx="0">
                  <c:v>91.89</c:v>
                </c:pt>
                <c:pt idx="1">
                  <c:v>52.47</c:v>
                </c:pt>
                <c:pt idx="2">
                  <c:v>77.849999999999994</c:v>
                </c:pt>
              </c:numCache>
            </c:numRef>
          </c:val>
          <c:smooth val="0"/>
        </c:ser>
        <c:ser>
          <c:idx val="2"/>
          <c:order val="2"/>
          <c:tx>
            <c:strRef>
              <c:f>[MAP图.xls]BIS!$A$4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[MAP图.xls]BIS!$B$1:$D$1</c:f>
              <c:strCache>
                <c:ptCount val="3"/>
                <c:pt idx="0">
                  <c:v>T1</c:v>
                </c:pt>
                <c:pt idx="1">
                  <c:v>T2</c:v>
                </c:pt>
                <c:pt idx="2">
                  <c:v>T3</c:v>
                </c:pt>
              </c:strCache>
            </c:strRef>
          </c:cat>
          <c:val>
            <c:numRef>
              <c:f>[MAP图.xls]BIS!$B$4:$D$4</c:f>
              <c:numCache>
                <c:formatCode>General</c:formatCode>
                <c:ptCount val="3"/>
                <c:pt idx="0">
                  <c:v>92.94</c:v>
                </c:pt>
                <c:pt idx="1">
                  <c:v>53.02</c:v>
                </c:pt>
                <c:pt idx="2">
                  <c:v>75.83</c:v>
                </c:pt>
              </c:numCache>
            </c:numRef>
          </c:val>
          <c:smooth val="0"/>
        </c:ser>
        <c:ser>
          <c:idx val="3"/>
          <c:order val="3"/>
          <c:tx>
            <c:strRef>
              <c:f>[MAP图.xls]BIS!$A$5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[MAP图.xls]BIS!$B$1:$D$1</c:f>
              <c:strCache>
                <c:ptCount val="3"/>
                <c:pt idx="0">
                  <c:v>T1</c:v>
                </c:pt>
                <c:pt idx="1">
                  <c:v>T2</c:v>
                </c:pt>
                <c:pt idx="2">
                  <c:v>T3</c:v>
                </c:pt>
              </c:strCache>
            </c:strRef>
          </c:cat>
          <c:val>
            <c:numRef>
              <c:f>[MAP图.xls]BIS!$B$5:$D$5</c:f>
              <c:numCache>
                <c:formatCode>General</c:formatCode>
                <c:ptCount val="3"/>
                <c:pt idx="0">
                  <c:v>92.11</c:v>
                </c:pt>
                <c:pt idx="1">
                  <c:v>52.44</c:v>
                </c:pt>
                <c:pt idx="2">
                  <c:v>73.209999999999994</c:v>
                </c:pt>
              </c:numCache>
            </c:numRef>
          </c:val>
          <c:smooth val="0"/>
        </c:ser>
        <c:dLbls>
          <c:showLegendKey val="0"/>
          <c:showVal val="0"/>
          <c:showCatName val="0"/>
          <c:showSerName val="0"/>
          <c:showPercent val="0"/>
          <c:showBubbleSize val="0"/>
        </c:dLbls>
        <c:marker val="1"/>
        <c:smooth val="0"/>
        <c:axId val="-774934960"/>
        <c:axId val="-774933328"/>
      </c:lineChart>
      <c:catAx>
        <c:axId val="-774934960"/>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774933328"/>
        <c:crosses val="autoZero"/>
        <c:auto val="1"/>
        <c:lblAlgn val="ctr"/>
        <c:lblOffset val="100"/>
        <c:noMultiLvlLbl val="0"/>
      </c:catAx>
      <c:valAx>
        <c:axId val="-774933328"/>
        <c:scaling>
          <c:orientation val="minMax"/>
          <c:min val="40"/>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r>
                  <a:rPr lang="en-US" altLang="zh-CN"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rPr>
                  <a:t>BIS</a:t>
                </a:r>
                <a:endParaRPr lang="en-US"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endParaRPr>
              </a:p>
            </c:rich>
          </c:tx>
          <c:overlay val="0"/>
          <c:spPr>
            <a:noFill/>
            <a:ln w="3175">
              <a:noFill/>
            </a:ln>
          </c:spPr>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774934960"/>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52900699964401"/>
          <c:y val="6.5608465608465602E-2"/>
          <c:w val="0.65526159686795604"/>
          <c:h val="0.75717813051146399"/>
        </c:manualLayout>
      </c:layout>
      <c:lineChart>
        <c:grouping val="standard"/>
        <c:varyColors val="0"/>
        <c:ser>
          <c:idx val="0"/>
          <c:order val="0"/>
          <c:tx>
            <c:strRef>
              <c:f>[MAP图.xls]MAP!$A$2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[MAP图.xls]MAP!$B$1:$D$1</c:f>
              <c:strCache>
                <c:ptCount val="3"/>
                <c:pt idx="0">
                  <c:v>T1</c:v>
                </c:pt>
                <c:pt idx="1">
                  <c:v>T2</c:v>
                </c:pt>
                <c:pt idx="2">
                  <c:v>T3</c:v>
                </c:pt>
              </c:strCache>
            </c:strRef>
          </c:cat>
          <c:val>
            <c:numRef>
              <c:f>[MAP图.xls]MAP!$B$2:$D$2</c:f>
              <c:numCache>
                <c:formatCode>General</c:formatCode>
                <c:ptCount val="3"/>
                <c:pt idx="0">
                  <c:v>88.47</c:v>
                </c:pt>
                <c:pt idx="1">
                  <c:v>86.43</c:v>
                </c:pt>
                <c:pt idx="2">
                  <c:v>87.36</c:v>
                </c:pt>
              </c:numCache>
            </c:numRef>
          </c:val>
          <c:smooth val="0"/>
        </c:ser>
        <c:ser>
          <c:idx val="1"/>
          <c:order val="1"/>
          <c:tx>
            <c:strRef>
              <c:f>[MAP图.xls]MAP!$A$3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[MAP图.xls]MAP!$B$1:$D$1</c:f>
              <c:strCache>
                <c:ptCount val="3"/>
                <c:pt idx="0">
                  <c:v>T1</c:v>
                </c:pt>
                <c:pt idx="1">
                  <c:v>T2</c:v>
                </c:pt>
                <c:pt idx="2">
                  <c:v>T3</c:v>
                </c:pt>
              </c:strCache>
            </c:strRef>
          </c:cat>
          <c:val>
            <c:numRef>
              <c:f>[MAP图.xls]MAP!$B$3:$D$3</c:f>
              <c:numCache>
                <c:formatCode>General</c:formatCode>
                <c:ptCount val="3"/>
                <c:pt idx="0">
                  <c:v>86.06</c:v>
                </c:pt>
                <c:pt idx="1">
                  <c:v>84.72</c:v>
                </c:pt>
                <c:pt idx="2">
                  <c:v>84.62</c:v>
                </c:pt>
              </c:numCache>
            </c:numRef>
          </c:val>
          <c:smooth val="0"/>
        </c:ser>
        <c:ser>
          <c:idx val="2"/>
          <c:order val="2"/>
          <c:tx>
            <c:strRef>
              <c:f>[MAP图.xls]MAP!$A$4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[MAP图.xls]MAP!$B$1:$D$1</c:f>
              <c:strCache>
                <c:ptCount val="3"/>
                <c:pt idx="0">
                  <c:v>T1</c:v>
                </c:pt>
                <c:pt idx="1">
                  <c:v>T2</c:v>
                </c:pt>
                <c:pt idx="2">
                  <c:v>T3</c:v>
                </c:pt>
              </c:strCache>
            </c:strRef>
          </c:cat>
          <c:val>
            <c:numRef>
              <c:f>[MAP图.xls]MAP!$B$4:$D$4</c:f>
              <c:numCache>
                <c:formatCode>General</c:formatCode>
                <c:ptCount val="3"/>
                <c:pt idx="0">
                  <c:v>87.5</c:v>
                </c:pt>
                <c:pt idx="1">
                  <c:v>74.760000000000005</c:v>
                </c:pt>
                <c:pt idx="2">
                  <c:v>82.93</c:v>
                </c:pt>
              </c:numCache>
            </c:numRef>
          </c:val>
          <c:smooth val="0"/>
        </c:ser>
        <c:ser>
          <c:idx val="3"/>
          <c:order val="3"/>
          <c:tx>
            <c:strRef>
              <c:f>[MAP图.xls]MAP!$A$5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[MAP图.xls]MAP!$B$1:$D$1</c:f>
              <c:strCache>
                <c:ptCount val="3"/>
                <c:pt idx="0">
                  <c:v>T1</c:v>
                </c:pt>
                <c:pt idx="1">
                  <c:v>T2</c:v>
                </c:pt>
                <c:pt idx="2">
                  <c:v>T3</c:v>
                </c:pt>
              </c:strCache>
            </c:strRef>
          </c:cat>
          <c:val>
            <c:numRef>
              <c:f>[MAP图.xls]MAP!$B$5:$D$5</c:f>
              <c:numCache>
                <c:formatCode>General</c:formatCode>
                <c:ptCount val="3"/>
                <c:pt idx="0">
                  <c:v>86.18</c:v>
                </c:pt>
                <c:pt idx="1">
                  <c:v>75.33</c:v>
                </c:pt>
                <c:pt idx="2">
                  <c:v>79.790000000000006</c:v>
                </c:pt>
              </c:numCache>
            </c:numRef>
          </c:val>
          <c:smooth val="0"/>
        </c:ser>
        <c:dLbls>
          <c:showLegendKey val="0"/>
          <c:showVal val="0"/>
          <c:showCatName val="0"/>
          <c:showSerName val="0"/>
          <c:showPercent val="0"/>
          <c:showBubbleSize val="0"/>
        </c:dLbls>
        <c:marker val="1"/>
        <c:smooth val="0"/>
        <c:axId val="-774935504"/>
        <c:axId val="-774939312"/>
      </c:lineChart>
      <c:catAx>
        <c:axId val="-774935504"/>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774939312"/>
        <c:crosses val="autoZero"/>
        <c:auto val="1"/>
        <c:lblAlgn val="ctr"/>
        <c:lblOffset val="100"/>
        <c:noMultiLvlLbl val="0"/>
      </c:catAx>
      <c:valAx>
        <c:axId val="-774939312"/>
        <c:scaling>
          <c:orientation val="minMax"/>
          <c:min val="70"/>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defRPr>
                </a:pPr>
                <a:r>
                  <a:rPr lang="en-US"/>
                  <a:t>MAP(mmHg)</a:t>
                </a:r>
                <a:endParaRPr lang="en-US" sz="1200" b="0" i="0" u="none" strike="noStrike" baseline="0">
                  <a:solidFill>
                    <a:srgbClr val="000000"/>
                  </a:solidFill>
                  <a:latin typeface="Times New Roman" panose="02020603050405020304" charset="0"/>
                  <a:ea typeface="Times New Roman" panose="02020603050405020304" charset="0"/>
                  <a:cs typeface="Times New Roman" panose="02020603050405020304" charset="0"/>
                </a:endParaRPr>
              </a:p>
            </c:rich>
          </c:tx>
          <c:layout>
            <c:manualLayout>
              <c:xMode val="edge"/>
              <c:yMode val="edge"/>
              <c:x val="2.6126824119017601E-2"/>
              <c:y val="0.36009408795827202"/>
            </c:manualLayout>
          </c:layout>
          <c:overlay val="0"/>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774935504"/>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no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solidFill>
    <a:ln w="3175" cap="flat" cmpd="sng" algn="ctr">
      <a:solidFill>
        <a:sysClr val="windowText" lastClr="000000">
          <a:alpha val="100000"/>
        </a:sys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[MAP图.xls]HR!$A$2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[MAP图.xls]HR!$B$1:$D$1</c:f>
              <c:strCache>
                <c:ptCount val="3"/>
                <c:pt idx="0">
                  <c:v>T1</c:v>
                </c:pt>
                <c:pt idx="1">
                  <c:v>T2</c:v>
                </c:pt>
                <c:pt idx="2">
                  <c:v>T3</c:v>
                </c:pt>
              </c:strCache>
            </c:strRef>
          </c:cat>
          <c:val>
            <c:numRef>
              <c:f>[MAP图.xls]HR!$B$2:$D$2</c:f>
              <c:numCache>
                <c:formatCode>General</c:formatCode>
                <c:ptCount val="3"/>
                <c:pt idx="0">
                  <c:v>74.900000000000006</c:v>
                </c:pt>
                <c:pt idx="1">
                  <c:v>65.94</c:v>
                </c:pt>
                <c:pt idx="2">
                  <c:v>71.180000000000007</c:v>
                </c:pt>
              </c:numCache>
            </c:numRef>
          </c:val>
          <c:smooth val="0"/>
        </c:ser>
        <c:ser>
          <c:idx val="1"/>
          <c:order val="1"/>
          <c:tx>
            <c:strRef>
              <c:f>[MAP图.xls]HR!$A$3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[MAP图.xls]HR!$B$1:$D$1</c:f>
              <c:strCache>
                <c:ptCount val="3"/>
                <c:pt idx="0">
                  <c:v>T1</c:v>
                </c:pt>
                <c:pt idx="1">
                  <c:v>T2</c:v>
                </c:pt>
                <c:pt idx="2">
                  <c:v>T3</c:v>
                </c:pt>
              </c:strCache>
            </c:strRef>
          </c:cat>
          <c:val>
            <c:numRef>
              <c:f>[MAP图.xls]HR!$B$3:$D$3</c:f>
              <c:numCache>
                <c:formatCode>General</c:formatCode>
                <c:ptCount val="3"/>
                <c:pt idx="0">
                  <c:v>72.56</c:v>
                </c:pt>
                <c:pt idx="1">
                  <c:v>63.36</c:v>
                </c:pt>
                <c:pt idx="2">
                  <c:v>68.5</c:v>
                </c:pt>
              </c:numCache>
            </c:numRef>
          </c:val>
          <c:smooth val="0"/>
        </c:ser>
        <c:ser>
          <c:idx val="2"/>
          <c:order val="2"/>
          <c:tx>
            <c:strRef>
              <c:f>[MAP图.xls]HR!$A$4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[MAP图.xls]HR!$B$1:$D$1</c:f>
              <c:strCache>
                <c:ptCount val="3"/>
                <c:pt idx="0">
                  <c:v>T1</c:v>
                </c:pt>
                <c:pt idx="1">
                  <c:v>T2</c:v>
                </c:pt>
                <c:pt idx="2">
                  <c:v>T3</c:v>
                </c:pt>
              </c:strCache>
            </c:strRef>
          </c:cat>
          <c:val>
            <c:numRef>
              <c:f>[MAP图.xls]HR!$B$4:$D$4</c:f>
              <c:numCache>
                <c:formatCode>General</c:formatCode>
                <c:ptCount val="3"/>
                <c:pt idx="0">
                  <c:v>74.489999999999995</c:v>
                </c:pt>
                <c:pt idx="1">
                  <c:v>61.37</c:v>
                </c:pt>
                <c:pt idx="2">
                  <c:v>69.58</c:v>
                </c:pt>
              </c:numCache>
            </c:numRef>
          </c:val>
          <c:smooth val="0"/>
        </c:ser>
        <c:ser>
          <c:idx val="3"/>
          <c:order val="3"/>
          <c:tx>
            <c:strRef>
              <c:f>[MAP图.xls]HR!$A$5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[MAP图.xls]HR!$B$1:$D$1</c:f>
              <c:strCache>
                <c:ptCount val="3"/>
                <c:pt idx="0">
                  <c:v>T1</c:v>
                </c:pt>
                <c:pt idx="1">
                  <c:v>T2</c:v>
                </c:pt>
                <c:pt idx="2">
                  <c:v>T3</c:v>
                </c:pt>
              </c:strCache>
            </c:strRef>
          </c:cat>
          <c:val>
            <c:numRef>
              <c:f>[MAP图.xls]HR!$B$5:$D$5</c:f>
              <c:numCache>
                <c:formatCode>General</c:formatCode>
                <c:ptCount val="3"/>
                <c:pt idx="0">
                  <c:v>77.41</c:v>
                </c:pt>
                <c:pt idx="1">
                  <c:v>62.25</c:v>
                </c:pt>
                <c:pt idx="2">
                  <c:v>72.06</c:v>
                </c:pt>
              </c:numCache>
            </c:numRef>
          </c:val>
          <c:smooth val="0"/>
        </c:ser>
        <c:dLbls>
          <c:showLegendKey val="0"/>
          <c:showVal val="0"/>
          <c:showCatName val="0"/>
          <c:showSerName val="0"/>
          <c:showPercent val="0"/>
          <c:showBubbleSize val="0"/>
        </c:dLbls>
        <c:marker val="1"/>
        <c:smooth val="0"/>
        <c:axId val="-774936592"/>
        <c:axId val="-774933872"/>
      </c:lineChart>
      <c:catAx>
        <c:axId val="-774936592"/>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t>Time points</a:t>
                </a:r>
                <a:endParaRPr lang="en-US" altLang="zh-CN" sz="12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774933872"/>
        <c:crosses val="autoZero"/>
        <c:auto val="1"/>
        <c:lblAlgn val="ctr"/>
        <c:lblOffset val="100"/>
        <c:noMultiLvlLbl val="0"/>
      </c:catAx>
      <c:valAx>
        <c:axId val="-774933872"/>
        <c:scaling>
          <c:orientation val="minMax"/>
          <c:min val="55"/>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r>
                  <a:rPr lang="en-US"/>
                  <a:t>HR(beats/min)</a:t>
                </a:r>
                <a:endParaRPr lang="en-US"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endParaRPr>
              </a:p>
            </c:rich>
          </c:tx>
          <c:overlay val="0"/>
          <c:spPr>
            <a:noFill/>
            <a:ln w="3175">
              <a:noFill/>
            </a:ln>
          </c:spPr>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774936592"/>
        <c:crosses val="autoZero"/>
        <c:crossBetween val="between"/>
      </c:valAx>
      <c:spPr>
        <a:solidFill>
          <a:srgbClr val="FFFFFF">
            <a:alpha val="100000"/>
          </a:srgbClr>
        </a:solidFill>
        <a:ln w="12700">
          <a:solidFill>
            <a:srgbClr val="FFFFFF">
              <a:alpha val="100000"/>
            </a:srgb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[MAP图.xls]SpO2!$A$2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[MAP图.xls]SpO2!$B$1:$D$1</c:f>
              <c:strCache>
                <c:ptCount val="3"/>
                <c:pt idx="0">
                  <c:v>T1</c:v>
                </c:pt>
                <c:pt idx="1">
                  <c:v>T2</c:v>
                </c:pt>
                <c:pt idx="2">
                  <c:v>T3</c:v>
                </c:pt>
              </c:strCache>
            </c:strRef>
          </c:cat>
          <c:val>
            <c:numRef>
              <c:f>[MAP图.xls]SpO2!$B$2:$D$2</c:f>
              <c:numCache>
                <c:formatCode>General</c:formatCode>
                <c:ptCount val="3"/>
                <c:pt idx="0">
                  <c:v>97.01</c:v>
                </c:pt>
                <c:pt idx="1">
                  <c:v>97.15</c:v>
                </c:pt>
                <c:pt idx="2">
                  <c:v>97.04</c:v>
                </c:pt>
              </c:numCache>
            </c:numRef>
          </c:val>
          <c:smooth val="0"/>
        </c:ser>
        <c:ser>
          <c:idx val="1"/>
          <c:order val="1"/>
          <c:tx>
            <c:strRef>
              <c:f>[MAP图.xls]SpO2!$A$3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[MAP图.xls]SpO2!$B$1:$D$1</c:f>
              <c:strCache>
                <c:ptCount val="3"/>
                <c:pt idx="0">
                  <c:v>T1</c:v>
                </c:pt>
                <c:pt idx="1">
                  <c:v>T2</c:v>
                </c:pt>
                <c:pt idx="2">
                  <c:v>T3</c:v>
                </c:pt>
              </c:strCache>
            </c:strRef>
          </c:cat>
          <c:val>
            <c:numRef>
              <c:f>[MAP图.xls]SpO2!$B$3:$D$3</c:f>
              <c:numCache>
                <c:formatCode>General</c:formatCode>
                <c:ptCount val="3"/>
                <c:pt idx="0">
                  <c:v>97.29</c:v>
                </c:pt>
                <c:pt idx="1">
                  <c:v>94.02</c:v>
                </c:pt>
                <c:pt idx="2">
                  <c:v>97.12</c:v>
                </c:pt>
              </c:numCache>
            </c:numRef>
          </c:val>
          <c:smooth val="0"/>
        </c:ser>
        <c:ser>
          <c:idx val="2"/>
          <c:order val="2"/>
          <c:tx>
            <c:strRef>
              <c:f>[MAP图.xls]SpO2!$A$4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[MAP图.xls]SpO2!$B$1:$D$1</c:f>
              <c:strCache>
                <c:ptCount val="3"/>
                <c:pt idx="0">
                  <c:v>T1</c:v>
                </c:pt>
                <c:pt idx="1">
                  <c:v>T2</c:v>
                </c:pt>
                <c:pt idx="2">
                  <c:v>T3</c:v>
                </c:pt>
              </c:strCache>
            </c:strRef>
          </c:cat>
          <c:val>
            <c:numRef>
              <c:f>[MAP图.xls]SpO2!$B$4:$D$4</c:f>
              <c:numCache>
                <c:formatCode>General</c:formatCode>
                <c:ptCount val="3"/>
                <c:pt idx="0">
                  <c:v>97.14</c:v>
                </c:pt>
                <c:pt idx="1">
                  <c:v>92.64</c:v>
                </c:pt>
                <c:pt idx="2">
                  <c:v>97.03</c:v>
                </c:pt>
              </c:numCache>
            </c:numRef>
          </c:val>
          <c:smooth val="0"/>
        </c:ser>
        <c:ser>
          <c:idx val="3"/>
          <c:order val="3"/>
          <c:tx>
            <c:strRef>
              <c:f>[MAP图.xls]SpO2!$A$5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[MAP图.xls]SpO2!$B$1:$D$1</c:f>
              <c:strCache>
                <c:ptCount val="3"/>
                <c:pt idx="0">
                  <c:v>T1</c:v>
                </c:pt>
                <c:pt idx="1">
                  <c:v>T2</c:v>
                </c:pt>
                <c:pt idx="2">
                  <c:v>T3</c:v>
                </c:pt>
              </c:strCache>
            </c:strRef>
          </c:cat>
          <c:val>
            <c:numRef>
              <c:f>[MAP图.xls]SpO2!$B$5:$D$5</c:f>
              <c:numCache>
                <c:formatCode>General</c:formatCode>
                <c:ptCount val="3"/>
                <c:pt idx="0">
                  <c:v>96.84</c:v>
                </c:pt>
                <c:pt idx="1">
                  <c:v>92.61</c:v>
                </c:pt>
                <c:pt idx="2">
                  <c:v>97.07</c:v>
                </c:pt>
              </c:numCache>
            </c:numRef>
          </c:val>
          <c:smooth val="0"/>
        </c:ser>
        <c:dLbls>
          <c:showLegendKey val="0"/>
          <c:showVal val="0"/>
          <c:showCatName val="0"/>
          <c:showSerName val="0"/>
          <c:showPercent val="0"/>
          <c:showBubbleSize val="0"/>
        </c:dLbls>
        <c:marker val="1"/>
        <c:smooth val="0"/>
        <c:axId val="-254394960"/>
        <c:axId val="-254397680"/>
      </c:lineChart>
      <c:catAx>
        <c:axId val="-254394960"/>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54397680"/>
        <c:crosses val="autoZero"/>
        <c:auto val="1"/>
        <c:lblAlgn val="ctr"/>
        <c:lblOffset val="100"/>
        <c:noMultiLvlLbl val="0"/>
      </c:catAx>
      <c:valAx>
        <c:axId val="-254397680"/>
        <c:scaling>
          <c:orientation val="minMax"/>
          <c:min val="90"/>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defRPr>
                </a:pPr>
                <a:r>
                  <a:rPr lang="en-US" sz="1200" b="0" i="0" u="none" strike="noStrike" baseline="0">
                    <a:solidFill>
                      <a:srgbClr val="000000"/>
                    </a:solidFill>
                    <a:latin typeface="Times New Roman" panose="02020603050405020304" charset="-122"/>
                    <a:ea typeface="Times New Roman" panose="02020603050405020304" charset="-122"/>
                    <a:cs typeface="Times New Roman" panose="02020603050405020304" charset="-122"/>
                  </a:rPr>
                  <a:t>SpO</a:t>
                </a:r>
                <a:r>
                  <a:rPr lang="en-US" sz="1200" b="0" i="0" u="none" strike="noStrike" baseline="-25000">
                    <a:solidFill>
                      <a:srgbClr val="000000"/>
                    </a:solidFill>
                    <a:uFillTx/>
                    <a:latin typeface="Times New Roman" panose="02020603050405020304" charset="-122"/>
                    <a:ea typeface="Times New Roman" panose="02020603050405020304" charset="-122"/>
                    <a:cs typeface="Times New Roman" panose="02020603050405020304" charset="-122"/>
                  </a:rPr>
                  <a:t>2</a:t>
                </a:r>
                <a:r>
                  <a:rPr lang="en-US" sz="1200" b="0" i="0" u="none" strike="noStrike" baseline="0">
                    <a:solidFill>
                      <a:srgbClr val="000000"/>
                    </a:solidFill>
                    <a:latin typeface="Times New Roman" panose="02020603050405020304" charset="-122"/>
                    <a:ea typeface="Times New Roman" panose="02020603050405020304" charset="-122"/>
                    <a:cs typeface="Times New Roman" panose="02020603050405020304" charset="-122"/>
                  </a:rPr>
                  <a:t>%</a:t>
                </a:r>
              </a:p>
              <a:p>
                <a:pPr defTabSz="914400">
                  <a:defRPr lang="zh-CN" sz="1200" b="0" i="0" u="none" strike="noStrike" kern="1200" baseline="0">
                    <a:solidFill>
                      <a:srgbClr val="000000"/>
                    </a:solidFill>
                    <a:latin typeface="Times New Roman" panose="02020603050405020304" charset="0"/>
                    <a:ea typeface="Times New Roman" panose="02020603050405020304" charset="0"/>
                    <a:cs typeface="Times New Roman" panose="02020603050405020304" charset="0"/>
                  </a:defRPr>
                </a:pPr>
                <a:endParaRPr 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overlay val="0"/>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54394960"/>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[MAP图.xls]RR!$A$2</c:f>
              <c:strCache>
                <c:ptCount val="1"/>
                <c:pt idx="0">
                  <c:v>dezocine</c:v>
                </c:pt>
              </c:strCache>
            </c:strRef>
          </c:tx>
          <c:spPr>
            <a:ln w="12700" cap="rnd" cmpd="sng" algn="ctr">
              <a:solidFill>
                <a:srgbClr val="000080">
                  <a:alpha val="100000"/>
                </a:srgbClr>
              </a:solidFill>
              <a:prstDash val="solid"/>
              <a:round/>
            </a:ln>
          </c:spPr>
          <c:marker>
            <c:symbol val="diamond"/>
            <c:size val="5"/>
            <c:spPr>
              <a:solidFill>
                <a:srgbClr val="000080">
                  <a:alpha val="100000"/>
                </a:srgbClr>
              </a:solidFill>
              <a:ln w="6350" cap="flat" cmpd="sng" algn="ctr">
                <a:solidFill>
                  <a:srgbClr val="000080">
                    <a:alpha val="100000"/>
                  </a:srgbClr>
                </a:solidFill>
                <a:prstDash val="solid"/>
                <a:round/>
              </a:ln>
            </c:spPr>
          </c:marker>
          <c:cat>
            <c:strRef>
              <c:f>[MAP图.xls]RR!$B$1:$D$1</c:f>
              <c:strCache>
                <c:ptCount val="3"/>
                <c:pt idx="0">
                  <c:v>T1</c:v>
                </c:pt>
                <c:pt idx="1">
                  <c:v>T2</c:v>
                </c:pt>
                <c:pt idx="2">
                  <c:v>T3</c:v>
                </c:pt>
              </c:strCache>
            </c:strRef>
          </c:cat>
          <c:val>
            <c:numRef>
              <c:f>[MAP图.xls]RR!$B$2:$D$2</c:f>
              <c:numCache>
                <c:formatCode>General</c:formatCode>
                <c:ptCount val="3"/>
                <c:pt idx="0">
                  <c:v>18.510000000000002</c:v>
                </c:pt>
                <c:pt idx="1">
                  <c:v>17.350000000000001</c:v>
                </c:pt>
                <c:pt idx="2">
                  <c:v>17.010000000000002</c:v>
                </c:pt>
              </c:numCache>
            </c:numRef>
          </c:val>
          <c:smooth val="0"/>
        </c:ser>
        <c:ser>
          <c:idx val="1"/>
          <c:order val="1"/>
          <c:tx>
            <c:strRef>
              <c:f>[MAP图.xls]RR!$A$3</c:f>
              <c:strCache>
                <c:ptCount val="1"/>
                <c:pt idx="0">
                  <c:v>sufentanyl</c:v>
                </c:pt>
              </c:strCache>
            </c:strRef>
          </c:tx>
          <c:spPr>
            <a:ln w="12700" cap="rnd" cmpd="sng" algn="ctr">
              <a:solidFill>
                <a:srgbClr val="FF00FF">
                  <a:alpha val="100000"/>
                </a:srgbClr>
              </a:solidFill>
              <a:prstDash val="solid"/>
              <a:round/>
            </a:ln>
          </c:spPr>
          <c:marker>
            <c:symbol val="square"/>
            <c:size val="5"/>
            <c:spPr>
              <a:solidFill>
                <a:srgbClr val="FF00FF">
                  <a:alpha val="100000"/>
                </a:srgbClr>
              </a:solidFill>
              <a:ln w="6350" cap="flat" cmpd="sng" algn="ctr">
                <a:solidFill>
                  <a:srgbClr val="FF00FF">
                    <a:alpha val="100000"/>
                  </a:srgbClr>
                </a:solidFill>
                <a:prstDash val="solid"/>
                <a:round/>
              </a:ln>
            </c:spPr>
          </c:marker>
          <c:cat>
            <c:strRef>
              <c:f>[MAP图.xls]RR!$B$1:$D$1</c:f>
              <c:strCache>
                <c:ptCount val="3"/>
                <c:pt idx="0">
                  <c:v>T1</c:v>
                </c:pt>
                <c:pt idx="1">
                  <c:v>T2</c:v>
                </c:pt>
                <c:pt idx="2">
                  <c:v>T3</c:v>
                </c:pt>
              </c:strCache>
            </c:strRef>
          </c:cat>
          <c:val>
            <c:numRef>
              <c:f>[MAP图.xls]RR!$B$3:$D$3</c:f>
              <c:numCache>
                <c:formatCode>General</c:formatCode>
                <c:ptCount val="3"/>
                <c:pt idx="0">
                  <c:v>18.57</c:v>
                </c:pt>
                <c:pt idx="1">
                  <c:v>14.48</c:v>
                </c:pt>
                <c:pt idx="2">
                  <c:v>16.79</c:v>
                </c:pt>
              </c:numCache>
            </c:numRef>
          </c:val>
          <c:smooth val="0"/>
        </c:ser>
        <c:ser>
          <c:idx val="2"/>
          <c:order val="2"/>
          <c:tx>
            <c:strRef>
              <c:f>[MAP图.xls]RR!$A$4</c:f>
              <c:strCache>
                <c:ptCount val="1"/>
                <c:pt idx="0">
                  <c:v>fentanyl</c:v>
                </c:pt>
              </c:strCache>
            </c:strRef>
          </c:tx>
          <c:spPr>
            <a:ln w="12700" cap="rnd" cmpd="sng" algn="ctr">
              <a:solidFill>
                <a:srgbClr val="0000FF">
                  <a:alpha val="100000"/>
                </a:srgbClr>
              </a:solidFill>
              <a:prstDash val="solid"/>
              <a:round/>
            </a:ln>
          </c:spPr>
          <c:marker>
            <c:symbol val="triangle"/>
            <c:size val="5"/>
            <c:spPr>
              <a:solidFill>
                <a:srgbClr val="0000FF">
                  <a:alpha val="100000"/>
                </a:srgbClr>
              </a:solidFill>
              <a:ln w="6350" cap="flat" cmpd="sng" algn="ctr">
                <a:solidFill>
                  <a:srgbClr val="0000FF">
                    <a:alpha val="100000"/>
                  </a:srgbClr>
                </a:solidFill>
                <a:prstDash val="solid"/>
                <a:round/>
              </a:ln>
            </c:spPr>
          </c:marker>
          <c:cat>
            <c:strRef>
              <c:f>[MAP图.xls]RR!$B$1:$D$1</c:f>
              <c:strCache>
                <c:ptCount val="3"/>
                <c:pt idx="0">
                  <c:v>T1</c:v>
                </c:pt>
                <c:pt idx="1">
                  <c:v>T2</c:v>
                </c:pt>
                <c:pt idx="2">
                  <c:v>T3</c:v>
                </c:pt>
              </c:strCache>
            </c:strRef>
          </c:cat>
          <c:val>
            <c:numRef>
              <c:f>[MAP图.xls]RR!$B$4:$D$4</c:f>
              <c:numCache>
                <c:formatCode>General</c:formatCode>
                <c:ptCount val="3"/>
                <c:pt idx="0">
                  <c:v>18.37</c:v>
                </c:pt>
                <c:pt idx="1">
                  <c:v>13.54</c:v>
                </c:pt>
                <c:pt idx="2">
                  <c:v>16.72</c:v>
                </c:pt>
              </c:numCache>
            </c:numRef>
          </c:val>
          <c:smooth val="0"/>
        </c:ser>
        <c:ser>
          <c:idx val="3"/>
          <c:order val="3"/>
          <c:tx>
            <c:strRef>
              <c:f>[MAP图.xls]RR!$A$5</c:f>
              <c:strCache>
                <c:ptCount val="1"/>
                <c:pt idx="0">
                  <c:v>control</c:v>
                </c:pt>
              </c:strCache>
            </c:strRef>
          </c:tx>
          <c:spPr>
            <a:ln w="12700" cap="rnd" cmpd="sng" algn="ctr">
              <a:solidFill>
                <a:srgbClr val="00FFFF">
                  <a:alpha val="100000"/>
                </a:srgbClr>
              </a:solidFill>
              <a:prstDash val="solid"/>
              <a:round/>
            </a:ln>
          </c:spPr>
          <c:marker>
            <c:symbol val="x"/>
            <c:size val="5"/>
            <c:spPr>
              <a:noFill/>
              <a:ln w="6350" cap="flat" cmpd="sng" algn="ctr">
                <a:solidFill>
                  <a:srgbClr val="00FFFF">
                    <a:alpha val="100000"/>
                  </a:srgbClr>
                </a:solidFill>
                <a:prstDash val="solid"/>
                <a:round/>
              </a:ln>
            </c:spPr>
          </c:marker>
          <c:cat>
            <c:strRef>
              <c:f>[MAP图.xls]RR!$B$1:$D$1</c:f>
              <c:strCache>
                <c:ptCount val="3"/>
                <c:pt idx="0">
                  <c:v>T1</c:v>
                </c:pt>
                <c:pt idx="1">
                  <c:v>T2</c:v>
                </c:pt>
                <c:pt idx="2">
                  <c:v>T3</c:v>
                </c:pt>
              </c:strCache>
            </c:strRef>
          </c:cat>
          <c:val>
            <c:numRef>
              <c:f>[MAP图.xls]RR!$B$5:$D$5</c:f>
              <c:numCache>
                <c:formatCode>General</c:formatCode>
                <c:ptCount val="3"/>
                <c:pt idx="0">
                  <c:v>18.420000000000002</c:v>
                </c:pt>
                <c:pt idx="1">
                  <c:v>13.22</c:v>
                </c:pt>
                <c:pt idx="2">
                  <c:v>17.05</c:v>
                </c:pt>
              </c:numCache>
            </c:numRef>
          </c:val>
          <c:smooth val="0"/>
        </c:ser>
        <c:dLbls>
          <c:showLegendKey val="0"/>
          <c:showVal val="0"/>
          <c:showCatName val="0"/>
          <c:showSerName val="0"/>
          <c:showPercent val="0"/>
          <c:showBubbleSize val="0"/>
        </c:dLbls>
        <c:marker val="1"/>
        <c:smooth val="0"/>
        <c:axId val="-254394416"/>
        <c:axId val="-254397136"/>
      </c:lineChart>
      <c:catAx>
        <c:axId val="-254394416"/>
        <c:scaling>
          <c:orientation val="minMax"/>
        </c:scaling>
        <c:delete val="0"/>
        <c:axPos val="b"/>
        <c:title>
          <c:tx>
            <c:rich>
              <a:bodyPr rot="0" spcFirstLastPara="0" vertOverflow="ellipsis" vert="horz" wrap="square" anchor="ctr" anchorCtr="1"/>
              <a:lstStyle/>
              <a:p>
                <a:pPr defTabSz="914400">
                  <a:defRPr lang="zh-CN" sz="12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altLang="zh-CN">
                    <a:latin typeface="Times New Roman" panose="02020603050405020304" charset="0"/>
                    <a:cs typeface="Times New Roman" panose="02020603050405020304" charset="0"/>
                  </a:rPr>
                  <a:t>Time points</a:t>
                </a:r>
                <a:endParaRPr lang="en-US" altLang="zh-CN" sz="1200" b="0" i="0" u="none" strike="noStrike" baseline="0">
                  <a:solidFill>
                    <a:srgbClr val="000000">
                      <a:alpha val="100000"/>
                    </a:srgbClr>
                  </a:solidFill>
                  <a:latin typeface="Times New Roman" panose="02020603050405020304" charset="0"/>
                  <a:ea typeface="Times New Roman" panose="02020603050405020304" charset="0"/>
                  <a:cs typeface="Times New Roman" panose="02020603050405020304" charset="0"/>
                </a:endParaRPr>
              </a:p>
            </c:rich>
          </c:tx>
          <c:overlay val="0"/>
        </c:title>
        <c:numFmt formatCode="General" sourceLinked="0"/>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54397136"/>
        <c:crosses val="autoZero"/>
        <c:auto val="1"/>
        <c:lblAlgn val="ctr"/>
        <c:lblOffset val="100"/>
        <c:noMultiLvlLbl val="0"/>
      </c:catAx>
      <c:valAx>
        <c:axId val="-254397136"/>
        <c:scaling>
          <c:orientation val="minMax"/>
          <c:min val="12"/>
        </c:scaling>
        <c:delete val="0"/>
        <c:axPos val="l"/>
        <c:title>
          <c:tx>
            <c:rich>
              <a:bodyPr rot="-5400000" spcFirstLastPara="0" vertOverflow="ellipsis" vert="horz" wrap="square" anchor="ctr" anchorCtr="1"/>
              <a:lstStyle/>
              <a:p>
                <a:pPr defTabSz="914400">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r>
                  <a:rPr lang="en-US"/>
                  <a:t>RR(times/min)</a:t>
                </a:r>
                <a:endParaRPr lang="en-US" sz="1200" b="0" i="0" u="none" strike="noStrike"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endParaRPr>
              </a:p>
            </c:rich>
          </c:tx>
          <c:overlay val="0"/>
          <c:spPr>
            <a:noFill/>
            <a:ln w="3175">
              <a:noFill/>
            </a:ln>
          </c:spPr>
        </c:title>
        <c:numFmt formatCode="General" sourceLinked="1"/>
        <c:majorTickMark val="in"/>
        <c:minorTickMark val="none"/>
        <c:tickLblPos val="nextTo"/>
        <c:spPr>
          <a:ln w="3175" cap="flat" cmpd="sng" algn="ctr">
            <a:solidFill>
              <a:srgbClr val="000000">
                <a:alpha val="100000"/>
              </a:srgbClr>
            </a:solidFill>
            <a:prstDash val="solid"/>
            <a:round/>
          </a:ln>
        </c:spPr>
        <c:txPr>
          <a:bodyPr rot="-60000000" spcFirstLastPara="0" vertOverflow="ellipsis" vert="horz" wrap="square" anchor="ctr" anchorCtr="1"/>
          <a:lstStyle/>
          <a:p>
            <a:pPr>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endParaRPr lang="zh-CN"/>
          </a:p>
        </c:txPr>
        <c:crossAx val="-254394416"/>
        <c:crosses val="autoZero"/>
        <c:crossBetween val="between"/>
      </c:valAx>
      <c:spPr>
        <a:solidFill>
          <a:srgbClr val="FFFFFF">
            <a:alpha val="100000"/>
          </a:srgbClr>
        </a:solidFill>
        <a:ln w="12700">
          <a:solidFill>
            <a:sysClr val="window" lastClr="FFFFFF">
              <a:alpha val="100000"/>
            </a:sysClr>
          </a:solidFill>
          <a:prstDash val="solid"/>
        </a:ln>
      </c:spPr>
    </c:plotArea>
    <c:legend>
      <c:legendPos val="r"/>
      <c:layout>
        <c:manualLayout>
          <c:xMode val="edge"/>
          <c:yMode val="edge"/>
          <c:x val="0.80774999999999997"/>
          <c:y val="0.31574999999999998"/>
          <c:w val="0.18475"/>
          <c:h val="0.3"/>
        </c:manualLayout>
      </c:layout>
      <c:overlay val="0"/>
      <c:spPr>
        <a:solidFill>
          <a:srgbClr val="FFFFFF">
            <a:alpha val="100000"/>
          </a:srgbClr>
        </a:solidFill>
        <a:ln w="3175">
          <a:solidFill>
            <a:srgbClr val="000000">
              <a:alpha val="100000"/>
            </a:srgbClr>
          </a:solidFill>
          <a:prstDash val="solid"/>
        </a:ln>
      </c:spPr>
      <c:txPr>
        <a:bodyPr rot="0" spcFirstLastPara="0" vertOverflow="ellipsis" vert="horz" wrap="square" anchor="ctr" anchorCtr="1"/>
        <a:lstStyle/>
        <a:p>
          <a:pPr>
            <a:defRPr lang="zh-CN" sz="1200" b="0" i="0" u="none" strike="noStrike" kern="1200" baseline="0">
              <a:solidFill>
                <a:srgbClr val="000000">
                  <a:alpha val="100000"/>
                </a:srgbClr>
              </a:solidFill>
              <a:latin typeface="Times New Roman" panose="02020603050405020304" charset="-122"/>
              <a:ea typeface="Times New Roman" panose="02020603050405020304" charset="-122"/>
              <a:cs typeface="Times New Roman" panose="02020603050405020304" charset="-122"/>
            </a:defRPr>
          </a:pPr>
          <a:endParaRPr lang="zh-CN"/>
        </a:p>
      </c:txPr>
    </c:legend>
    <c:plotVisOnly val="1"/>
    <c:dispBlanksAs val="gap"/>
    <c:showDLblsOverMax val="0"/>
  </c:chart>
  <c:spPr>
    <a:solidFill>
      <a:srgbClr val="FFFFFF">
        <a:alpha val="100000"/>
      </a:srgbClr>
    </a:solidFill>
    <a:ln w="3175" cap="flat" cmpd="sng" algn="ctr">
      <a:solidFill>
        <a:srgbClr val="000000">
          <a:alpha val="100000"/>
        </a:srgbClr>
      </a:solid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808CAF-3885-4A41-8B5F-7ABEF591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5099</Words>
  <Characters>29070</Characters>
  <Application>Microsoft Office Word</Application>
  <DocSecurity>0</DocSecurity>
  <Lines>242</Lines>
  <Paragraphs>68</Paragraphs>
  <ScaleCrop>false</ScaleCrop>
  <Company>Microsoft</Company>
  <LinksUpToDate>false</LinksUpToDate>
  <CharactersWithSpaces>34101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Wang Tianqi</cp:lastModifiedBy>
  <cp:revision>3</cp:revision>
  <dcterms:created xsi:type="dcterms:W3CDTF">2019-09-15T22:45:00Z</dcterms:created>
  <dcterms:modified xsi:type="dcterms:W3CDTF">2019-09-15T22:56:00Z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