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EE" w:rsidRDefault="009A50EC">
      <w:pPr>
        <w:spacing w:line="360" w:lineRule="auto"/>
        <w:rPr>
          <w:rFonts w:ascii="Book Antiqua" w:eastAsia="宋体" w:hAnsi="Book Antiqua" w:cs="Times New Roman"/>
          <w:i/>
          <w:sz w:val="24"/>
          <w:lang w:val="en-GB"/>
        </w:rPr>
      </w:pPr>
      <w:r>
        <w:rPr>
          <w:rFonts w:ascii="Book Antiqua" w:eastAsia="宋体" w:hAnsi="Book Antiqua" w:cs="Times New Roman"/>
          <w:b/>
          <w:sz w:val="24"/>
          <w:lang w:val="en-GB"/>
        </w:rPr>
        <w:t xml:space="preserve">Name of journal: </w:t>
      </w:r>
      <w:r>
        <w:rPr>
          <w:rFonts w:ascii="Book Antiqua" w:eastAsia="宋体" w:hAnsi="Book Antiqua" w:cs="Times New Roman"/>
          <w:i/>
          <w:sz w:val="24"/>
          <w:lang w:val="en-GB"/>
        </w:rPr>
        <w:t>World Journal of Gastrointestinal Oncology</w:t>
      </w:r>
    </w:p>
    <w:p w:rsidR="00606EEE" w:rsidRDefault="009A50EC">
      <w:pPr>
        <w:spacing w:line="360" w:lineRule="auto"/>
        <w:rPr>
          <w:rFonts w:ascii="Book Antiqua" w:eastAsia="宋体" w:hAnsi="Book Antiqua" w:cs="Times New Roman"/>
          <w:b/>
          <w:sz w:val="24"/>
          <w:lang w:val="en-GB"/>
        </w:rPr>
      </w:pPr>
      <w:r>
        <w:rPr>
          <w:rFonts w:ascii="Book Antiqua" w:eastAsia="宋体" w:hAnsi="Book Antiqua" w:cs="Times New Roman"/>
          <w:b/>
          <w:sz w:val="24"/>
          <w:lang w:val="en-GB"/>
        </w:rPr>
        <w:t xml:space="preserve">Manuscript NO: </w:t>
      </w:r>
      <w:r>
        <w:rPr>
          <w:rFonts w:ascii="Book Antiqua" w:eastAsia="宋体" w:hAnsi="Book Antiqua" w:cs="Times New Roman"/>
          <w:sz w:val="24"/>
          <w:lang w:val="en-GB"/>
        </w:rPr>
        <w:t>49731</w:t>
      </w:r>
    </w:p>
    <w:p w:rsidR="00606EEE" w:rsidRDefault="009A50EC">
      <w:pPr>
        <w:spacing w:line="360" w:lineRule="auto"/>
        <w:rPr>
          <w:rFonts w:ascii="Book Antiqua" w:eastAsia="宋体" w:hAnsi="Book Antiqua" w:cs="Times New Roman"/>
          <w:b/>
          <w:caps/>
          <w:kern w:val="0"/>
          <w:sz w:val="24"/>
          <w:lang w:val="en-GB"/>
        </w:rPr>
      </w:pPr>
      <w:bookmarkStart w:id="0" w:name="OLE_LINK3"/>
      <w:bookmarkStart w:id="1" w:name="OLE_LINK4"/>
      <w:r>
        <w:rPr>
          <w:rFonts w:ascii="Book Antiqua" w:hAnsi="Book Antiqua" w:cs="Times New Roman"/>
          <w:b/>
          <w:sz w:val="24"/>
          <w:shd w:val="clear" w:color="auto" w:fill="FFFFFF"/>
        </w:rPr>
        <w:t>Manuscript Type</w:t>
      </w:r>
      <w:r>
        <w:rPr>
          <w:rFonts w:ascii="Book Antiqua" w:hAnsi="Book Antiqua" w:cs="Times New Roman"/>
          <w:b/>
          <w:sz w:val="24"/>
        </w:rPr>
        <w:t>:</w:t>
      </w:r>
      <w:bookmarkEnd w:id="0"/>
      <w:bookmarkEnd w:id="1"/>
      <w:r>
        <w:rPr>
          <w:rFonts w:ascii="Book Antiqua" w:eastAsia="宋体" w:hAnsi="Book Antiqua" w:cs="Times New Roman"/>
          <w:b/>
          <w:sz w:val="24"/>
          <w:lang w:val="en-GB"/>
        </w:rPr>
        <w:t xml:space="preserve"> </w:t>
      </w:r>
      <w:r>
        <w:rPr>
          <w:rFonts w:ascii="Book Antiqua" w:hAnsi="Book Antiqua"/>
          <w:sz w:val="24"/>
        </w:rPr>
        <w:t>ORIGINAL ARTICLE</w:t>
      </w:r>
    </w:p>
    <w:p w:rsidR="00606EEE" w:rsidRDefault="00606EEE">
      <w:pPr>
        <w:spacing w:line="360" w:lineRule="auto"/>
        <w:rPr>
          <w:rFonts w:ascii="Book Antiqua" w:eastAsia="宋体" w:hAnsi="Book Antiqua" w:cs="Times New Roman"/>
          <w:b/>
          <w:kern w:val="0"/>
          <w:sz w:val="24"/>
        </w:rPr>
      </w:pPr>
    </w:p>
    <w:p w:rsidR="00606EEE" w:rsidRDefault="009A50EC">
      <w:pPr>
        <w:spacing w:line="360" w:lineRule="auto"/>
        <w:rPr>
          <w:rFonts w:ascii="Book Antiqua" w:eastAsia="宋体" w:hAnsi="Book Antiqua" w:cs="Times New Roman"/>
          <w:b/>
          <w:caps/>
          <w:kern w:val="0"/>
          <w:sz w:val="24"/>
        </w:rPr>
      </w:pPr>
      <w:r>
        <w:rPr>
          <w:rFonts w:ascii="Book Antiqua" w:hAnsi="Book Antiqua"/>
          <w:b/>
          <w:bCs/>
          <w:i/>
          <w:iCs/>
          <w:sz w:val="24"/>
        </w:rPr>
        <w:t>Observational Study</w:t>
      </w:r>
    </w:p>
    <w:p w:rsidR="00606EEE" w:rsidRDefault="009A50EC">
      <w:pPr>
        <w:spacing w:line="360" w:lineRule="auto"/>
        <w:rPr>
          <w:rFonts w:ascii="Book Antiqua" w:eastAsia="宋体" w:hAnsi="Book Antiqua" w:cs="Times New Roman"/>
          <w:b/>
          <w:kern w:val="0"/>
          <w:sz w:val="24"/>
        </w:rPr>
      </w:pPr>
      <w:r>
        <w:rPr>
          <w:rFonts w:ascii="Book Antiqua" w:eastAsia="宋体" w:hAnsi="Book Antiqua" w:cs="Times New Roman"/>
          <w:b/>
          <w:kern w:val="0"/>
          <w:sz w:val="24"/>
        </w:rPr>
        <w:t>Analysis of factors potentially predicting prognosis of colorectal cancer</w:t>
      </w:r>
    </w:p>
    <w:p w:rsidR="00606EEE" w:rsidRDefault="00606EEE">
      <w:pPr>
        <w:spacing w:line="360" w:lineRule="auto"/>
        <w:rPr>
          <w:rFonts w:ascii="Book Antiqua" w:eastAsia="宋体" w:hAnsi="Book Antiqua" w:cs="Times New Roman"/>
          <w:b/>
          <w:kern w:val="0"/>
          <w:sz w:val="24"/>
        </w:rPr>
      </w:pPr>
    </w:p>
    <w:p w:rsidR="00606EEE" w:rsidRDefault="009A50EC">
      <w:pPr>
        <w:spacing w:line="360" w:lineRule="auto"/>
        <w:rPr>
          <w:rFonts w:ascii="Book Antiqua" w:eastAsia="宋体" w:hAnsi="Book Antiqua" w:cs="Times New Roman"/>
          <w:bCs/>
          <w:kern w:val="0"/>
          <w:sz w:val="24"/>
        </w:rPr>
      </w:pPr>
      <w:r>
        <w:rPr>
          <w:rFonts w:ascii="Book Antiqua" w:eastAsia="Verdana" w:hAnsi="Book Antiqua" w:cs="Times New Roman"/>
          <w:sz w:val="24"/>
          <w:shd w:val="clear" w:color="auto" w:fill="FFFFFF"/>
        </w:rPr>
        <w:t>Jin LJ</w:t>
      </w:r>
      <w:r>
        <w:rPr>
          <w:rFonts w:ascii="Book Antiqua" w:eastAsia="宋体" w:hAnsi="Book Antiqua" w:cs="Times New Roman"/>
          <w:b/>
          <w:kern w:val="0"/>
          <w:sz w:val="24"/>
        </w:rPr>
        <w:t xml:space="preserve"> </w:t>
      </w:r>
      <w:r>
        <w:rPr>
          <w:rFonts w:ascii="Book Antiqua" w:eastAsia="宋体" w:hAnsi="Book Antiqua" w:cs="Times New Roman"/>
          <w:bCs/>
          <w:i/>
          <w:iCs/>
          <w:kern w:val="0"/>
          <w:sz w:val="24"/>
        </w:rPr>
        <w:t>et al.</w:t>
      </w:r>
      <w:r>
        <w:rPr>
          <w:rFonts w:ascii="Book Antiqua" w:eastAsia="宋体" w:hAnsi="Book Antiqua" w:cs="Times New Roman"/>
          <w:b/>
          <w:kern w:val="0"/>
          <w:sz w:val="24"/>
        </w:rPr>
        <w:t xml:space="preserve"> </w:t>
      </w:r>
      <w:r>
        <w:rPr>
          <w:rFonts w:ascii="Book Antiqua" w:eastAsia="宋体" w:hAnsi="Book Antiqua" w:cs="Times New Roman"/>
          <w:bCs/>
          <w:kern w:val="0"/>
          <w:sz w:val="24"/>
        </w:rPr>
        <w:t xml:space="preserve">Factors predicting prognosis </w:t>
      </w:r>
      <w:r>
        <w:rPr>
          <w:rFonts w:ascii="Book Antiqua" w:eastAsia="宋体" w:hAnsi="Book Antiqua" w:cs="Times New Roman"/>
          <w:bCs/>
          <w:kern w:val="0"/>
          <w:sz w:val="24"/>
        </w:rPr>
        <w:t>of colorectal cancer</w:t>
      </w:r>
    </w:p>
    <w:p w:rsidR="00606EEE" w:rsidRDefault="00606EEE">
      <w:pPr>
        <w:spacing w:line="360" w:lineRule="auto"/>
        <w:rPr>
          <w:rFonts w:ascii="Book Antiqua" w:eastAsia="宋体" w:hAnsi="Book Antiqua" w:cs="Times New Roman"/>
          <w:b/>
          <w:kern w:val="0"/>
          <w:sz w:val="24"/>
        </w:rPr>
      </w:pPr>
    </w:p>
    <w:p w:rsidR="00606EEE" w:rsidRDefault="009A50EC">
      <w:pPr>
        <w:spacing w:line="360" w:lineRule="auto"/>
        <w:rPr>
          <w:rFonts w:ascii="Book Antiqua" w:eastAsia="宋体" w:hAnsi="Book Antiqua" w:cs="Times New Roman"/>
          <w:sz w:val="24"/>
          <w:shd w:val="clear" w:color="auto" w:fill="FFFFFF"/>
        </w:rPr>
      </w:pPr>
      <w:r>
        <w:rPr>
          <w:rFonts w:ascii="Book Antiqua" w:eastAsia="Verdana" w:hAnsi="Book Antiqua" w:cs="Times New Roman"/>
          <w:sz w:val="24"/>
          <w:shd w:val="clear" w:color="auto" w:fill="FFFFFF"/>
        </w:rPr>
        <w:t>Li-Jun Jin, Wei-Bin Chen, Xiao</w:t>
      </w:r>
      <w:r>
        <w:rPr>
          <w:rFonts w:ascii="Book Antiqua" w:hAnsi="Book Antiqua"/>
          <w:b/>
          <w:sz w:val="24"/>
        </w:rPr>
        <w:t>-</w:t>
      </w:r>
      <w:r>
        <w:rPr>
          <w:rFonts w:ascii="Book Antiqua" w:eastAsia="Verdana" w:hAnsi="Book Antiqua" w:cs="Times New Roman"/>
          <w:sz w:val="24"/>
          <w:shd w:val="clear" w:color="auto" w:fill="FFFFFF"/>
        </w:rPr>
        <w:t>Yu Zhang, Jie Bai, Hao</w:t>
      </w:r>
      <w:r>
        <w:rPr>
          <w:rFonts w:ascii="Book Antiqua" w:hAnsi="Book Antiqua"/>
          <w:b/>
          <w:sz w:val="24"/>
        </w:rPr>
        <w:t>-</w:t>
      </w:r>
      <w:r>
        <w:rPr>
          <w:rFonts w:ascii="Book Antiqua" w:eastAsia="Verdana" w:hAnsi="Book Antiqua" w:cs="Times New Roman"/>
          <w:sz w:val="24"/>
          <w:shd w:val="clear" w:color="auto" w:fill="FFFFFF"/>
        </w:rPr>
        <w:t>Chen Zhao, Zun</w:t>
      </w:r>
      <w:r>
        <w:rPr>
          <w:rFonts w:ascii="Book Antiqua" w:hAnsi="Book Antiqua"/>
          <w:b/>
          <w:sz w:val="24"/>
        </w:rPr>
        <w:t>-</w:t>
      </w:r>
      <w:r>
        <w:rPr>
          <w:rFonts w:ascii="Book Antiqua" w:eastAsia="宋体" w:hAnsi="Book Antiqua" w:cs="Times New Roman"/>
          <w:sz w:val="24"/>
          <w:shd w:val="clear" w:color="auto" w:fill="FFFFFF"/>
        </w:rPr>
        <w:t>Y</w:t>
      </w:r>
      <w:r>
        <w:rPr>
          <w:rFonts w:ascii="Book Antiqua" w:eastAsia="Verdana" w:hAnsi="Book Antiqua" w:cs="Times New Roman"/>
          <w:sz w:val="24"/>
          <w:shd w:val="clear" w:color="auto" w:fill="FFFFFF"/>
        </w:rPr>
        <w:t>i Wang</w:t>
      </w:r>
    </w:p>
    <w:p w:rsidR="00606EEE" w:rsidRDefault="00606EEE">
      <w:pPr>
        <w:spacing w:line="360" w:lineRule="auto"/>
        <w:rPr>
          <w:rFonts w:ascii="Book Antiqua" w:eastAsia="Verdana" w:hAnsi="Book Antiqua" w:cs="Times New Roman"/>
          <w:sz w:val="24"/>
          <w:shd w:val="clear" w:color="auto" w:fill="FFFFFF"/>
        </w:rPr>
      </w:pPr>
    </w:p>
    <w:p w:rsidR="00606EEE" w:rsidRDefault="009A50EC">
      <w:pPr>
        <w:spacing w:line="360" w:lineRule="auto"/>
        <w:rPr>
          <w:rFonts w:ascii="Book Antiqua" w:eastAsia="宋体" w:hAnsi="Book Antiqua" w:cs="Times New Roman"/>
          <w:b/>
          <w:bCs/>
          <w:sz w:val="24"/>
          <w:shd w:val="clear" w:color="auto" w:fill="FFFFFF"/>
        </w:rPr>
      </w:pPr>
      <w:r>
        <w:rPr>
          <w:rFonts w:ascii="Book Antiqua" w:eastAsia="Verdana" w:hAnsi="Book Antiqua" w:cs="Times New Roman"/>
          <w:b/>
          <w:bCs/>
          <w:sz w:val="24"/>
          <w:shd w:val="clear" w:color="auto" w:fill="FFFFFF"/>
        </w:rPr>
        <w:t>Li-Jun Jin</w:t>
      </w:r>
      <w:r>
        <w:rPr>
          <w:rFonts w:asciiTheme="minorEastAsia" w:hAnsiTheme="minorEastAsia" w:cs="Times New Roman"/>
          <w:b/>
          <w:bCs/>
          <w:sz w:val="24"/>
          <w:shd w:val="clear" w:color="auto" w:fill="FFFFFF"/>
        </w:rPr>
        <w:t>,</w:t>
      </w:r>
      <w:r>
        <w:rPr>
          <w:rFonts w:ascii="Book Antiqua" w:eastAsia="Verdana" w:hAnsi="Book Antiqua" w:cs="Times New Roman"/>
          <w:b/>
          <w:bCs/>
          <w:sz w:val="24"/>
          <w:shd w:val="clear" w:color="auto" w:fill="FFFFFF"/>
        </w:rPr>
        <w:t xml:space="preserve"> Xiao</w:t>
      </w:r>
      <w:r>
        <w:rPr>
          <w:rFonts w:ascii="Book Antiqua" w:hAnsi="Book Antiqua"/>
          <w:b/>
          <w:sz w:val="24"/>
        </w:rPr>
        <w:t>-</w:t>
      </w:r>
      <w:r>
        <w:rPr>
          <w:rFonts w:ascii="Book Antiqua" w:eastAsia="Verdana" w:hAnsi="Book Antiqua" w:cs="Times New Roman"/>
          <w:b/>
          <w:bCs/>
          <w:sz w:val="24"/>
          <w:shd w:val="clear" w:color="auto" w:fill="FFFFFF"/>
        </w:rPr>
        <w:t>Yu Zhang, Jie Bai, Zun</w:t>
      </w:r>
      <w:r>
        <w:rPr>
          <w:rFonts w:ascii="Book Antiqua" w:hAnsi="Book Antiqua"/>
          <w:b/>
          <w:sz w:val="24"/>
        </w:rPr>
        <w:t>-</w:t>
      </w:r>
      <w:r>
        <w:rPr>
          <w:rFonts w:ascii="Book Antiqua" w:eastAsia="宋体" w:hAnsi="Book Antiqua" w:cs="Times New Roman"/>
          <w:b/>
          <w:bCs/>
          <w:sz w:val="24"/>
          <w:shd w:val="clear" w:color="auto" w:fill="FFFFFF"/>
        </w:rPr>
        <w:t>Y</w:t>
      </w:r>
      <w:r>
        <w:rPr>
          <w:rFonts w:ascii="Book Antiqua" w:eastAsia="Verdana" w:hAnsi="Book Antiqua" w:cs="Times New Roman"/>
          <w:b/>
          <w:bCs/>
          <w:sz w:val="24"/>
          <w:shd w:val="clear" w:color="auto" w:fill="FFFFFF"/>
        </w:rPr>
        <w:t>i Wang</w:t>
      </w:r>
      <w:r>
        <w:rPr>
          <w:rFonts w:ascii="Book Antiqua" w:eastAsia="宋体" w:hAnsi="Book Antiqua" w:cs="Times New Roman"/>
          <w:b/>
          <w:bCs/>
          <w:sz w:val="24"/>
          <w:shd w:val="clear" w:color="auto" w:fill="FFFFFF"/>
        </w:rPr>
        <w:t xml:space="preserve">, </w:t>
      </w:r>
      <w:r>
        <w:rPr>
          <w:rFonts w:ascii="Book Antiqua" w:eastAsia="Verdana" w:hAnsi="Book Antiqua" w:cs="Times New Roman"/>
          <w:sz w:val="24"/>
          <w:shd w:val="clear" w:color="auto" w:fill="FFFFFF"/>
        </w:rPr>
        <w:t xml:space="preserve">Department of Surgical Oncology (Division III), Cangzhou Central Hospital, Cangzhou 061001, Hebei Province, </w:t>
      </w:r>
      <w:r>
        <w:rPr>
          <w:rFonts w:ascii="Book Antiqua" w:hAnsi="Book Antiqua"/>
          <w:sz w:val="24"/>
        </w:rPr>
        <w:t>China</w:t>
      </w:r>
    </w:p>
    <w:p w:rsidR="00606EEE" w:rsidRDefault="00606EEE">
      <w:pPr>
        <w:spacing w:line="360" w:lineRule="auto"/>
        <w:rPr>
          <w:rFonts w:ascii="Book Antiqua" w:eastAsia="Verdana" w:hAnsi="Book Antiqua" w:cs="Times New Roman"/>
          <w:sz w:val="24"/>
          <w:shd w:val="clear" w:color="auto" w:fill="FFFFFF"/>
        </w:rPr>
      </w:pPr>
    </w:p>
    <w:p w:rsidR="00606EEE" w:rsidRDefault="009A50EC">
      <w:pPr>
        <w:spacing w:line="360" w:lineRule="auto"/>
        <w:rPr>
          <w:rFonts w:ascii="Book Antiqua" w:eastAsia="Verdana" w:hAnsi="Book Antiqua" w:cs="Times New Roman"/>
          <w:sz w:val="24"/>
          <w:shd w:val="clear" w:color="auto" w:fill="FFFFFF"/>
        </w:rPr>
      </w:pPr>
      <w:r>
        <w:rPr>
          <w:rFonts w:ascii="Book Antiqua" w:eastAsia="Verdana" w:hAnsi="Book Antiqua" w:cs="Times New Roman"/>
          <w:b/>
          <w:bCs/>
          <w:sz w:val="24"/>
          <w:shd w:val="clear" w:color="auto" w:fill="FFFFFF"/>
        </w:rPr>
        <w:t>Wei-Bin Chen,</w:t>
      </w:r>
      <w:r>
        <w:rPr>
          <w:rFonts w:ascii="Book Antiqua" w:eastAsia="Verdana" w:hAnsi="Book Antiqua" w:cs="Times New Roman"/>
          <w:sz w:val="24"/>
          <w:shd w:val="clear" w:color="auto" w:fill="FFFFFF"/>
        </w:rPr>
        <w:t xml:space="preserve"> Department of Radiology, North China University of</w:t>
      </w:r>
      <w:r>
        <w:rPr>
          <w:rFonts w:ascii="Book Antiqua" w:eastAsia="宋体" w:hAnsi="Book Antiqua" w:cs="Times New Roman"/>
          <w:sz w:val="24"/>
          <w:shd w:val="clear" w:color="auto" w:fill="FFFFFF"/>
        </w:rPr>
        <w:t xml:space="preserve"> Science and </w:t>
      </w:r>
      <w:r>
        <w:rPr>
          <w:rFonts w:ascii="Book Antiqua" w:eastAsia="Verdana" w:hAnsi="Book Antiqua" w:cs="Times New Roman"/>
          <w:sz w:val="24"/>
          <w:shd w:val="clear" w:color="auto" w:fill="FFFFFF"/>
        </w:rPr>
        <w:t>Technology Affiliated Hospital, Tangshan 063000, Hebei Province,</w:t>
      </w:r>
      <w:r>
        <w:rPr>
          <w:rFonts w:ascii="Book Antiqua" w:eastAsia="Verdana" w:hAnsi="Book Antiqua" w:cs="Times New Roman"/>
          <w:sz w:val="24"/>
          <w:shd w:val="clear" w:color="auto" w:fill="FFFFFF"/>
        </w:rPr>
        <w:t xml:space="preserve"> </w:t>
      </w:r>
      <w:r>
        <w:rPr>
          <w:rFonts w:ascii="Book Antiqua" w:hAnsi="Book Antiqua"/>
          <w:sz w:val="24"/>
        </w:rPr>
        <w:t>China</w:t>
      </w:r>
      <w:r>
        <w:rPr>
          <w:rFonts w:ascii="Book Antiqua" w:eastAsia="Verdana" w:hAnsi="Book Antiqua" w:cs="Times New Roman"/>
          <w:sz w:val="24"/>
          <w:shd w:val="clear" w:color="auto" w:fill="FFFFFF"/>
        </w:rPr>
        <w:t xml:space="preserve"> </w:t>
      </w:r>
    </w:p>
    <w:p w:rsidR="00606EEE" w:rsidRDefault="00606EEE">
      <w:pPr>
        <w:spacing w:line="360" w:lineRule="auto"/>
        <w:rPr>
          <w:rFonts w:ascii="Book Antiqua" w:eastAsia="Verdana" w:hAnsi="Book Antiqua" w:cs="Times New Roman"/>
          <w:sz w:val="24"/>
          <w:shd w:val="clear" w:color="auto" w:fill="FFFFFF"/>
        </w:rPr>
      </w:pPr>
    </w:p>
    <w:p w:rsidR="00606EEE" w:rsidRDefault="009A50EC">
      <w:pPr>
        <w:spacing w:line="360" w:lineRule="auto"/>
        <w:rPr>
          <w:rFonts w:ascii="Book Antiqua" w:eastAsia="宋体" w:hAnsi="Book Antiqua" w:cs="Times New Roman"/>
          <w:b/>
          <w:bCs/>
          <w:sz w:val="24"/>
          <w:shd w:val="clear" w:color="auto" w:fill="FFFFFF"/>
        </w:rPr>
      </w:pPr>
      <w:r>
        <w:rPr>
          <w:rFonts w:ascii="Book Antiqua" w:eastAsia="Verdana" w:hAnsi="Book Antiqua" w:cs="Times New Roman"/>
          <w:b/>
          <w:bCs/>
          <w:sz w:val="24"/>
          <w:shd w:val="clear" w:color="auto" w:fill="FFFFFF"/>
        </w:rPr>
        <w:t>Hao</w:t>
      </w:r>
      <w:r>
        <w:rPr>
          <w:rFonts w:ascii="Book Antiqua" w:hAnsi="Book Antiqua"/>
          <w:b/>
          <w:sz w:val="24"/>
        </w:rPr>
        <w:t>-</w:t>
      </w:r>
      <w:r>
        <w:rPr>
          <w:rFonts w:ascii="Book Antiqua" w:eastAsia="Verdana" w:hAnsi="Book Antiqua" w:cs="Times New Roman"/>
          <w:b/>
          <w:bCs/>
          <w:sz w:val="24"/>
          <w:shd w:val="clear" w:color="auto" w:fill="FFFFFF"/>
        </w:rPr>
        <w:t>Chen Zhao</w:t>
      </w:r>
      <w:r>
        <w:rPr>
          <w:rFonts w:ascii="Book Antiqua" w:hAnsi="Book Antiqua" w:cs="Times New Roman" w:hint="eastAsia"/>
          <w:b/>
          <w:bCs/>
          <w:sz w:val="24"/>
          <w:shd w:val="clear" w:color="auto" w:fill="FFFFFF"/>
        </w:rPr>
        <w:t>,</w:t>
      </w:r>
      <w:r>
        <w:rPr>
          <w:rFonts w:ascii="Book Antiqua" w:hAnsi="Book Antiqua" w:cs="Times New Roman"/>
          <w:b/>
          <w:bCs/>
          <w:sz w:val="24"/>
          <w:shd w:val="clear" w:color="auto" w:fill="FFFFFF"/>
        </w:rPr>
        <w:t xml:space="preserve"> </w:t>
      </w:r>
      <w:r>
        <w:rPr>
          <w:rFonts w:ascii="Book Antiqua" w:eastAsia="Verdana" w:hAnsi="Book Antiqua" w:cs="Times New Roman"/>
          <w:sz w:val="24"/>
          <w:shd w:val="clear" w:color="auto" w:fill="FFFFFF"/>
        </w:rPr>
        <w:t xml:space="preserve">Department of Anesthesiology (Division II), Cangzhou Central Hospital, </w:t>
      </w:r>
      <w:bookmarkStart w:id="2" w:name="_Hlk15549508"/>
      <w:bookmarkStart w:id="3" w:name="_Hlk11162777"/>
      <w:r>
        <w:rPr>
          <w:rFonts w:ascii="Book Antiqua" w:eastAsia="Verdana" w:hAnsi="Book Antiqua" w:cs="Times New Roman"/>
          <w:sz w:val="24"/>
          <w:shd w:val="clear" w:color="auto" w:fill="FFFFFF"/>
        </w:rPr>
        <w:t xml:space="preserve">Cangzhou 061001, Hebei Province, </w:t>
      </w:r>
      <w:r>
        <w:rPr>
          <w:rFonts w:ascii="Book Antiqua" w:hAnsi="Book Antiqua"/>
          <w:sz w:val="24"/>
        </w:rPr>
        <w:t>China</w:t>
      </w:r>
    </w:p>
    <w:p w:rsidR="00606EEE" w:rsidRDefault="00606EEE">
      <w:pPr>
        <w:spacing w:line="360" w:lineRule="auto"/>
        <w:rPr>
          <w:rFonts w:ascii="Book Antiqua" w:hAnsi="Book Antiqua" w:cs="Times New Roman"/>
          <w:b/>
          <w:bCs/>
          <w:sz w:val="24"/>
          <w:shd w:val="clear" w:color="auto" w:fill="FFFFFF"/>
        </w:rPr>
      </w:pPr>
    </w:p>
    <w:p w:rsidR="00606EEE" w:rsidRDefault="009A50EC">
      <w:pPr>
        <w:spacing w:line="360" w:lineRule="auto"/>
        <w:rPr>
          <w:rFonts w:ascii="Book Antiqua" w:hAnsi="Book Antiqua" w:cs="Times New Roman"/>
          <w:b/>
          <w:sz w:val="24"/>
          <w:lang w:val="en-GB"/>
        </w:rPr>
      </w:pPr>
      <w:r>
        <w:rPr>
          <w:rFonts w:ascii="Book Antiqua" w:hAnsi="Book Antiqua" w:cs="Times New Roman"/>
          <w:b/>
          <w:bCs/>
          <w:sz w:val="24"/>
          <w:shd w:val="clear" w:color="auto" w:fill="FFFFFF"/>
        </w:rPr>
        <w:t>ORCID number</w:t>
      </w:r>
      <w:r>
        <w:rPr>
          <w:rFonts w:ascii="Book Antiqua" w:hAnsi="Book Antiqua" w:cs="Times New Roman"/>
          <w:b/>
          <w:sz w:val="24"/>
          <w:lang w:val="en-GB"/>
        </w:rPr>
        <w:t>:</w:t>
      </w:r>
      <w:bookmarkEnd w:id="2"/>
      <w:bookmarkEnd w:id="3"/>
      <w:r>
        <w:rPr>
          <w:rFonts w:ascii="Book Antiqua" w:eastAsia="Verdana" w:hAnsi="Book Antiqua" w:cs="Times New Roman"/>
          <w:b/>
          <w:bCs/>
          <w:sz w:val="24"/>
          <w:shd w:val="clear" w:color="auto" w:fill="FFFFFF"/>
        </w:rPr>
        <w:t xml:space="preserve"> Li</w:t>
      </w:r>
      <w:r>
        <w:rPr>
          <w:rFonts w:ascii="Book Antiqua" w:hAnsi="Book Antiqua"/>
          <w:b/>
          <w:sz w:val="24"/>
        </w:rPr>
        <w:t>-</w:t>
      </w:r>
      <w:r>
        <w:rPr>
          <w:rFonts w:ascii="Book Antiqua" w:eastAsia="Verdana" w:hAnsi="Book Antiqua" w:cs="Times New Roman"/>
          <w:b/>
          <w:bCs/>
          <w:sz w:val="24"/>
          <w:shd w:val="clear" w:color="auto" w:fill="FFFFFF"/>
        </w:rPr>
        <w:t>Jun Jin</w:t>
      </w:r>
      <w:r>
        <w:rPr>
          <w:rFonts w:ascii="Book Antiqua" w:eastAsia="Verdana" w:hAnsi="Book Antiqua" w:cs="Times New Roman"/>
          <w:sz w:val="24"/>
          <w:shd w:val="clear" w:color="auto" w:fill="FFFFFF"/>
        </w:rPr>
        <w:t xml:space="preserve"> (0000-0002-9818-3815); Wei-Bin Chen (0000-0001-5858-2435);</w:t>
      </w:r>
      <w:r>
        <w:rPr>
          <w:rFonts w:ascii="Book Antiqua" w:hAnsi="Book Antiqua" w:cs="Times New Roman" w:hint="eastAsia"/>
          <w:b/>
          <w:sz w:val="24"/>
          <w:lang w:val="en-GB"/>
        </w:rPr>
        <w:t xml:space="preserve"> </w:t>
      </w:r>
      <w:r>
        <w:rPr>
          <w:rFonts w:ascii="Book Antiqua" w:eastAsia="Verdana" w:hAnsi="Book Antiqua" w:cs="Times New Roman"/>
          <w:sz w:val="24"/>
          <w:shd w:val="clear" w:color="auto" w:fill="FFFFFF"/>
        </w:rPr>
        <w:t>Xiao</w:t>
      </w:r>
      <w:r>
        <w:rPr>
          <w:rFonts w:ascii="Book Antiqua" w:hAnsi="Book Antiqua"/>
          <w:b/>
          <w:sz w:val="24"/>
        </w:rPr>
        <w:t>-</w:t>
      </w:r>
      <w:r>
        <w:rPr>
          <w:rFonts w:ascii="Book Antiqua" w:eastAsia="Verdana" w:hAnsi="Book Antiqua" w:cs="Times New Roman"/>
          <w:sz w:val="24"/>
          <w:shd w:val="clear" w:color="auto" w:fill="FFFFFF"/>
        </w:rPr>
        <w:t>Yu Zhang</w:t>
      </w:r>
      <w:r>
        <w:rPr>
          <w:rFonts w:ascii="Book Antiqua" w:eastAsia="宋体" w:hAnsi="Book Antiqua" w:cs="Times New Roman"/>
          <w:kern w:val="0"/>
          <w:sz w:val="24"/>
          <w:shd w:val="clear" w:color="auto" w:fill="FFFFFF"/>
        </w:rPr>
        <w:t xml:space="preserve"> (0000-0001-3968-7431);</w:t>
      </w:r>
      <w:r>
        <w:rPr>
          <w:rFonts w:ascii="Book Antiqua" w:hAnsi="Book Antiqua" w:cs="Times New Roman" w:hint="eastAsia"/>
          <w:b/>
          <w:sz w:val="24"/>
          <w:lang w:val="en-GB"/>
        </w:rPr>
        <w:t xml:space="preserve"> </w:t>
      </w:r>
      <w:r>
        <w:rPr>
          <w:rFonts w:ascii="Book Antiqua" w:eastAsia="Verdana" w:hAnsi="Book Antiqua" w:cs="Times New Roman"/>
          <w:sz w:val="24"/>
          <w:shd w:val="clear" w:color="auto" w:fill="FFFFFF"/>
        </w:rPr>
        <w:t>Jie Bai</w:t>
      </w:r>
      <w:r>
        <w:rPr>
          <w:rFonts w:ascii="Book Antiqua" w:eastAsia="宋体" w:hAnsi="Book Antiqua" w:cs="Times New Roman"/>
          <w:kern w:val="0"/>
          <w:sz w:val="24"/>
          <w:shd w:val="clear" w:color="auto" w:fill="FFFFFF"/>
        </w:rPr>
        <w:t xml:space="preserve"> (0000-0001-3874-2289);</w:t>
      </w:r>
      <w:r>
        <w:rPr>
          <w:rFonts w:ascii="Book Antiqua" w:hAnsi="Book Antiqua" w:cs="Times New Roman" w:hint="eastAsia"/>
          <w:b/>
          <w:sz w:val="24"/>
          <w:lang w:val="en-GB"/>
        </w:rPr>
        <w:t xml:space="preserve"> </w:t>
      </w:r>
      <w:r>
        <w:rPr>
          <w:rFonts w:ascii="Book Antiqua" w:eastAsia="Verdana" w:hAnsi="Book Antiqua" w:cs="Times New Roman"/>
          <w:sz w:val="24"/>
          <w:shd w:val="clear" w:color="auto" w:fill="FFFFFF"/>
        </w:rPr>
        <w:t>Hao</w:t>
      </w:r>
      <w:r>
        <w:rPr>
          <w:rFonts w:ascii="Book Antiqua" w:hAnsi="Book Antiqua"/>
          <w:b/>
          <w:sz w:val="24"/>
        </w:rPr>
        <w:t>-</w:t>
      </w:r>
      <w:r>
        <w:rPr>
          <w:rFonts w:ascii="Book Antiqua" w:eastAsia="Verdana" w:hAnsi="Book Antiqua" w:cs="Times New Roman"/>
          <w:sz w:val="24"/>
          <w:shd w:val="clear" w:color="auto" w:fill="FFFFFF"/>
        </w:rPr>
        <w:t>Chen Zhao (0000-0002-06326-8958);</w:t>
      </w:r>
      <w:r>
        <w:rPr>
          <w:rFonts w:ascii="Book Antiqua" w:hAnsi="Book Antiqua" w:cs="Times New Roman" w:hint="eastAsia"/>
          <w:b/>
          <w:sz w:val="24"/>
          <w:lang w:val="en-GB"/>
        </w:rPr>
        <w:t xml:space="preserve"> </w:t>
      </w:r>
      <w:r>
        <w:rPr>
          <w:rFonts w:ascii="Book Antiqua" w:eastAsia="Verdana" w:hAnsi="Book Antiqua" w:cs="Times New Roman"/>
          <w:sz w:val="24"/>
          <w:shd w:val="clear" w:color="auto" w:fill="FFFFFF"/>
        </w:rPr>
        <w:t>Zun</w:t>
      </w:r>
      <w:r>
        <w:rPr>
          <w:rFonts w:ascii="Book Antiqua" w:hAnsi="Book Antiqua"/>
          <w:b/>
          <w:sz w:val="24"/>
        </w:rPr>
        <w:t>-</w:t>
      </w:r>
      <w:r>
        <w:rPr>
          <w:rFonts w:ascii="Book Antiqua" w:eastAsia="宋体" w:hAnsi="Book Antiqua" w:cs="Times New Roman"/>
          <w:sz w:val="24"/>
          <w:shd w:val="clear" w:color="auto" w:fill="FFFFFF"/>
        </w:rPr>
        <w:t>Y</w:t>
      </w:r>
      <w:r>
        <w:rPr>
          <w:rFonts w:ascii="Book Antiqua" w:eastAsia="Verdana" w:hAnsi="Book Antiqua" w:cs="Times New Roman"/>
          <w:sz w:val="24"/>
          <w:shd w:val="clear" w:color="auto" w:fill="FFFFFF"/>
        </w:rPr>
        <w:t>i Wang</w:t>
      </w:r>
      <w:r>
        <w:rPr>
          <w:rFonts w:ascii="Book Antiqua" w:eastAsia="宋体" w:hAnsi="Book Antiqua" w:cs="Times New Roman" w:hint="eastAsia"/>
          <w:sz w:val="24"/>
          <w:shd w:val="clear" w:color="auto" w:fill="FFFFFF"/>
        </w:rPr>
        <w:t xml:space="preserve"> </w:t>
      </w:r>
      <w:r>
        <w:rPr>
          <w:rFonts w:ascii="Book Antiqua" w:eastAsia="宋体" w:hAnsi="Book Antiqua" w:cs="Times New Roman"/>
          <w:sz w:val="24"/>
          <w:shd w:val="clear" w:color="auto" w:fill="FFFFFF"/>
        </w:rPr>
        <w:t>(</w:t>
      </w:r>
      <w:r>
        <w:rPr>
          <w:rFonts w:ascii="Book Antiqua" w:eastAsia="宋体" w:hAnsi="Book Antiqua" w:cs="Times New Roman"/>
          <w:kern w:val="0"/>
          <w:sz w:val="24"/>
          <w:shd w:val="clear" w:color="auto" w:fill="FFFFFF"/>
        </w:rPr>
        <w:t>0000-0002-4318-0813).</w:t>
      </w:r>
    </w:p>
    <w:p w:rsidR="00606EEE" w:rsidRDefault="00606EEE">
      <w:pPr>
        <w:spacing w:line="360" w:lineRule="auto"/>
        <w:rPr>
          <w:rFonts w:ascii="Book Antiqua" w:hAnsi="Book Antiqua" w:cs="Times New Roman"/>
          <w:b/>
          <w:sz w:val="24"/>
        </w:rPr>
      </w:pPr>
    </w:p>
    <w:p w:rsidR="00606EEE" w:rsidRDefault="009A50EC">
      <w:pPr>
        <w:adjustRightInd w:val="0"/>
        <w:snapToGrid w:val="0"/>
        <w:spacing w:line="360" w:lineRule="auto"/>
        <w:rPr>
          <w:rFonts w:ascii="Book Antiqua" w:hAnsi="Book Antiqua" w:cs="Times New Roman"/>
          <w:sz w:val="24"/>
        </w:rPr>
      </w:pPr>
      <w:bookmarkStart w:id="4" w:name="OLE_LINK18"/>
      <w:bookmarkStart w:id="5" w:name="OLE_LINK20"/>
      <w:bookmarkStart w:id="6" w:name="_Hlk6588641"/>
      <w:r>
        <w:rPr>
          <w:rFonts w:ascii="Book Antiqua" w:hAnsi="Book Antiqua" w:cs="Times New Roman"/>
          <w:b/>
          <w:sz w:val="24"/>
          <w:lang w:val="en-GB"/>
        </w:rPr>
        <w:t>Author contributions:</w:t>
      </w:r>
      <w:bookmarkEnd w:id="4"/>
      <w:bookmarkEnd w:id="5"/>
      <w:r>
        <w:rPr>
          <w:rFonts w:ascii="Book Antiqua" w:hAnsi="Book Antiqua" w:cs="Times New Roman"/>
          <w:sz w:val="24"/>
        </w:rPr>
        <w:t xml:space="preserve"> </w:t>
      </w:r>
      <w:r>
        <w:rPr>
          <w:rFonts w:ascii="Book Antiqua" w:eastAsia="Verdana" w:hAnsi="Book Antiqua" w:cs="Times New Roman"/>
          <w:sz w:val="24"/>
          <w:shd w:val="clear" w:color="auto" w:fill="FFFFFF"/>
        </w:rPr>
        <w:t>Jin LJ</w:t>
      </w:r>
      <w:r>
        <w:rPr>
          <w:rFonts w:ascii="Book Antiqua" w:hAnsi="Book Antiqua" w:cs="Times New Roman"/>
          <w:sz w:val="24"/>
        </w:rPr>
        <w:t xml:space="preserve">, </w:t>
      </w:r>
      <w:r>
        <w:rPr>
          <w:rFonts w:ascii="Book Antiqua" w:eastAsia="Verdana" w:hAnsi="Book Antiqua" w:cs="Times New Roman"/>
          <w:sz w:val="24"/>
          <w:shd w:val="clear" w:color="auto" w:fill="FFFFFF"/>
        </w:rPr>
        <w:t>Chen WB</w:t>
      </w:r>
      <w:r>
        <w:rPr>
          <w:rFonts w:ascii="Book Antiqua" w:hAnsi="Book Antiqua" w:cs="Times New Roman"/>
          <w:sz w:val="24"/>
        </w:rPr>
        <w:t xml:space="preserve">, </w:t>
      </w:r>
      <w:r>
        <w:rPr>
          <w:rFonts w:ascii="Book Antiqua" w:eastAsia="Verdana" w:hAnsi="Book Antiqua" w:cs="Times New Roman"/>
          <w:sz w:val="24"/>
          <w:shd w:val="clear" w:color="auto" w:fill="FFFFFF"/>
        </w:rPr>
        <w:t>Zhang XY</w:t>
      </w:r>
      <w:r>
        <w:rPr>
          <w:rFonts w:ascii="Book Antiqua" w:hAnsi="Book Antiqua" w:cs="Times New Roman"/>
          <w:sz w:val="24"/>
        </w:rPr>
        <w:t xml:space="preserve">, </w:t>
      </w:r>
      <w:r>
        <w:rPr>
          <w:rFonts w:ascii="Book Antiqua" w:eastAsia="Verdana" w:hAnsi="Book Antiqua" w:cs="Times New Roman"/>
          <w:sz w:val="24"/>
          <w:shd w:val="clear" w:color="auto" w:fill="FFFFFF"/>
        </w:rPr>
        <w:t>Bai J</w:t>
      </w:r>
      <w:r>
        <w:rPr>
          <w:rFonts w:ascii="Book Antiqua" w:hAnsi="Book Antiqua" w:cs="Times New Roman"/>
          <w:sz w:val="24"/>
        </w:rPr>
        <w:t xml:space="preserve">, </w:t>
      </w:r>
      <w:r>
        <w:rPr>
          <w:rFonts w:ascii="Book Antiqua" w:eastAsia="Verdana" w:hAnsi="Book Antiqua" w:cs="Times New Roman"/>
          <w:sz w:val="24"/>
          <w:shd w:val="clear" w:color="auto" w:fill="FFFFFF"/>
        </w:rPr>
        <w:t>Bai J,</w:t>
      </w:r>
      <w:r>
        <w:rPr>
          <w:rFonts w:ascii="Book Antiqua" w:hAnsi="Book Antiqua" w:cs="Times New Roman"/>
          <w:sz w:val="24"/>
        </w:rPr>
        <w:t xml:space="preserve"> and </w:t>
      </w:r>
      <w:r>
        <w:rPr>
          <w:rFonts w:ascii="Book Antiqua" w:eastAsia="Verdana" w:hAnsi="Book Antiqua" w:cs="Times New Roman"/>
          <w:sz w:val="24"/>
          <w:shd w:val="clear" w:color="auto" w:fill="FFFFFF"/>
        </w:rPr>
        <w:t>Wang ZY</w:t>
      </w:r>
      <w:r>
        <w:rPr>
          <w:rFonts w:ascii="Book Antiqua" w:hAnsi="Book Antiqua" w:cs="Times New Roman"/>
          <w:sz w:val="24"/>
        </w:rPr>
        <w:t xml:space="preserve"> designed the research; </w:t>
      </w:r>
      <w:r>
        <w:rPr>
          <w:rFonts w:ascii="Book Antiqua" w:eastAsia="Verdana" w:hAnsi="Book Antiqua" w:cs="Times New Roman"/>
          <w:sz w:val="24"/>
          <w:shd w:val="clear" w:color="auto" w:fill="FFFFFF"/>
        </w:rPr>
        <w:t>Jin LJ</w:t>
      </w:r>
      <w:r>
        <w:rPr>
          <w:rFonts w:ascii="Book Antiqua" w:hAnsi="Book Antiqua" w:cs="Times New Roman"/>
          <w:sz w:val="24"/>
        </w:rPr>
        <w:t xml:space="preserve">, </w:t>
      </w:r>
      <w:r>
        <w:rPr>
          <w:rFonts w:ascii="Book Antiqua" w:eastAsia="Verdana" w:hAnsi="Book Antiqua" w:cs="Times New Roman"/>
          <w:caps/>
          <w:sz w:val="24"/>
          <w:shd w:val="clear" w:color="auto" w:fill="FFFFFF"/>
        </w:rPr>
        <w:t>z</w:t>
      </w:r>
      <w:r>
        <w:rPr>
          <w:rFonts w:ascii="Book Antiqua" w:eastAsia="Verdana" w:hAnsi="Book Antiqua" w:cs="Times New Roman"/>
          <w:sz w:val="24"/>
          <w:shd w:val="clear" w:color="auto" w:fill="FFFFFF"/>
        </w:rPr>
        <w:t>hang XY</w:t>
      </w:r>
      <w:r>
        <w:rPr>
          <w:rFonts w:ascii="Book Antiqua" w:hAnsi="Book Antiqua" w:cs="Times New Roman"/>
          <w:sz w:val="24"/>
        </w:rPr>
        <w:t xml:space="preserve">, </w:t>
      </w:r>
      <w:r>
        <w:rPr>
          <w:rFonts w:ascii="Book Antiqua" w:eastAsia="Verdana" w:hAnsi="Book Antiqua" w:cs="Times New Roman"/>
          <w:sz w:val="24"/>
          <w:shd w:val="clear" w:color="auto" w:fill="FFFFFF"/>
        </w:rPr>
        <w:t>Bai J,</w:t>
      </w:r>
      <w:r>
        <w:rPr>
          <w:rFonts w:ascii="Book Antiqua" w:hAnsi="Book Antiqua" w:cs="Times New Roman"/>
          <w:sz w:val="24"/>
        </w:rPr>
        <w:t xml:space="preserve"> and </w:t>
      </w:r>
      <w:r>
        <w:rPr>
          <w:rFonts w:ascii="Book Antiqua" w:eastAsia="Verdana" w:hAnsi="Book Antiqua" w:cs="Times New Roman"/>
          <w:sz w:val="24"/>
          <w:shd w:val="clear" w:color="auto" w:fill="FFFFFF"/>
        </w:rPr>
        <w:t>Wang</w:t>
      </w:r>
      <w:r>
        <w:rPr>
          <w:rFonts w:ascii="Book Antiqua" w:eastAsia="宋体" w:hAnsi="Book Antiqua" w:cs="Times New Roman"/>
          <w:sz w:val="24"/>
          <w:shd w:val="clear" w:color="auto" w:fill="FFFFFF"/>
        </w:rPr>
        <w:t xml:space="preserve"> </w:t>
      </w:r>
      <w:r>
        <w:rPr>
          <w:rFonts w:ascii="Book Antiqua" w:eastAsia="Verdana" w:hAnsi="Book Antiqua" w:cs="Times New Roman"/>
          <w:sz w:val="24"/>
          <w:shd w:val="clear" w:color="auto" w:fill="FFFFFF"/>
        </w:rPr>
        <w:t>ZY</w:t>
      </w:r>
      <w:r>
        <w:rPr>
          <w:rFonts w:ascii="Book Antiqua" w:hAnsi="Book Antiqua" w:cs="Times New Roman"/>
          <w:sz w:val="24"/>
        </w:rPr>
        <w:t xml:space="preserve"> performed the research; </w:t>
      </w:r>
      <w:r>
        <w:rPr>
          <w:rFonts w:ascii="Book Antiqua" w:eastAsia="Verdana" w:hAnsi="Book Antiqua" w:cs="Times New Roman"/>
          <w:sz w:val="24"/>
          <w:shd w:val="clear" w:color="auto" w:fill="FFFFFF"/>
        </w:rPr>
        <w:t>Chen WB</w:t>
      </w:r>
      <w:r>
        <w:rPr>
          <w:rFonts w:ascii="Book Antiqua" w:hAnsi="Book Antiqua" w:cs="Times New Roman"/>
          <w:sz w:val="24"/>
        </w:rPr>
        <w:t xml:space="preserve"> and </w:t>
      </w:r>
      <w:r>
        <w:rPr>
          <w:rFonts w:ascii="Book Antiqua" w:eastAsia="Verdana" w:hAnsi="Book Antiqua" w:cs="Times New Roman"/>
          <w:sz w:val="24"/>
          <w:shd w:val="clear" w:color="auto" w:fill="FFFFFF"/>
        </w:rPr>
        <w:t>Zhao HC</w:t>
      </w:r>
      <w:r>
        <w:rPr>
          <w:rFonts w:ascii="Book Antiqua" w:hAnsi="Book Antiqua" w:cs="Times New Roman"/>
          <w:sz w:val="24"/>
        </w:rPr>
        <w:t xml:space="preserve"> contributed new analytic tools; </w:t>
      </w:r>
      <w:r>
        <w:rPr>
          <w:rFonts w:ascii="Book Antiqua" w:eastAsia="Verdana" w:hAnsi="Book Antiqua" w:cs="Times New Roman"/>
          <w:sz w:val="24"/>
          <w:shd w:val="clear" w:color="auto" w:fill="FFFFFF"/>
        </w:rPr>
        <w:t>Jin LJ</w:t>
      </w:r>
      <w:r>
        <w:rPr>
          <w:rFonts w:ascii="Book Antiqua" w:hAnsi="Book Antiqua" w:cs="Times New Roman"/>
          <w:sz w:val="24"/>
        </w:rPr>
        <w:t xml:space="preserve">, </w:t>
      </w:r>
      <w:r>
        <w:rPr>
          <w:rFonts w:ascii="Book Antiqua" w:eastAsia="Verdana" w:hAnsi="Book Antiqua" w:cs="Times New Roman"/>
          <w:sz w:val="24"/>
          <w:shd w:val="clear" w:color="auto" w:fill="FFFFFF"/>
        </w:rPr>
        <w:t xml:space="preserve">Zhao </w:t>
      </w:r>
      <w:r>
        <w:rPr>
          <w:rFonts w:ascii="Book Antiqua" w:eastAsia="Verdana" w:hAnsi="Book Antiqua" w:cs="Times New Roman"/>
          <w:sz w:val="24"/>
          <w:shd w:val="clear" w:color="auto" w:fill="FFFFFF"/>
        </w:rPr>
        <w:lastRenderedPageBreak/>
        <w:t>HC,</w:t>
      </w:r>
      <w:r>
        <w:rPr>
          <w:rFonts w:ascii="Book Antiqua" w:hAnsi="Book Antiqua" w:cs="Times New Roman"/>
          <w:sz w:val="24"/>
        </w:rPr>
        <w:t xml:space="preserve"> and </w:t>
      </w:r>
      <w:r>
        <w:rPr>
          <w:rFonts w:ascii="Book Antiqua" w:eastAsia="Verdana" w:hAnsi="Book Antiqua" w:cs="Times New Roman"/>
          <w:sz w:val="24"/>
          <w:shd w:val="clear" w:color="auto" w:fill="FFFFFF"/>
        </w:rPr>
        <w:t>Wang</w:t>
      </w:r>
      <w:r>
        <w:rPr>
          <w:rFonts w:ascii="Book Antiqua" w:eastAsia="宋体" w:hAnsi="Book Antiqua" w:cs="Times New Roman"/>
          <w:sz w:val="24"/>
          <w:shd w:val="clear" w:color="auto" w:fill="FFFFFF"/>
        </w:rPr>
        <w:t xml:space="preserve"> </w:t>
      </w:r>
      <w:r>
        <w:rPr>
          <w:rFonts w:ascii="Book Antiqua" w:eastAsia="Verdana" w:hAnsi="Book Antiqua" w:cs="Times New Roman"/>
          <w:sz w:val="24"/>
          <w:shd w:val="clear" w:color="auto" w:fill="FFFFFF"/>
        </w:rPr>
        <w:t>ZY</w:t>
      </w:r>
      <w:r>
        <w:rPr>
          <w:rFonts w:ascii="Book Antiqua" w:hAnsi="Book Antiqua" w:cs="Times New Roman"/>
          <w:sz w:val="24"/>
        </w:rPr>
        <w:t xml:space="preserve"> analyzed the data; and </w:t>
      </w:r>
      <w:r>
        <w:rPr>
          <w:rFonts w:ascii="Book Antiqua" w:eastAsia="Verdana" w:hAnsi="Book Antiqua" w:cs="Times New Roman"/>
          <w:sz w:val="24"/>
          <w:shd w:val="clear" w:color="auto" w:fill="FFFFFF"/>
        </w:rPr>
        <w:t>Jin LJ</w:t>
      </w:r>
      <w:r>
        <w:rPr>
          <w:rFonts w:ascii="Book Antiqua" w:hAnsi="Book Antiqua" w:cs="Times New Roman"/>
          <w:sz w:val="24"/>
        </w:rPr>
        <w:t xml:space="preserve">, </w:t>
      </w:r>
      <w:r>
        <w:rPr>
          <w:rFonts w:ascii="Book Antiqua" w:eastAsia="Verdana" w:hAnsi="Book Antiqua" w:cs="Times New Roman"/>
          <w:sz w:val="24"/>
          <w:shd w:val="clear" w:color="auto" w:fill="FFFFFF"/>
        </w:rPr>
        <w:t xml:space="preserve">Chen WB, Zhao HC, </w:t>
      </w:r>
      <w:r>
        <w:rPr>
          <w:rFonts w:ascii="Book Antiqua" w:hAnsi="Book Antiqua" w:cs="Times New Roman"/>
          <w:sz w:val="24"/>
        </w:rPr>
        <w:t xml:space="preserve">and </w:t>
      </w:r>
      <w:r>
        <w:rPr>
          <w:rFonts w:ascii="Book Antiqua" w:eastAsia="Verdana" w:hAnsi="Book Antiqua" w:cs="Times New Roman"/>
          <w:sz w:val="24"/>
          <w:shd w:val="clear" w:color="auto" w:fill="FFFFFF"/>
        </w:rPr>
        <w:t>Wang</w:t>
      </w:r>
      <w:r>
        <w:rPr>
          <w:rFonts w:ascii="Book Antiqua" w:eastAsia="宋体" w:hAnsi="Book Antiqua" w:cs="Times New Roman"/>
          <w:sz w:val="24"/>
          <w:shd w:val="clear" w:color="auto" w:fill="FFFFFF"/>
        </w:rPr>
        <w:t xml:space="preserve"> </w:t>
      </w:r>
      <w:r>
        <w:rPr>
          <w:rFonts w:ascii="Book Antiqua" w:eastAsia="Verdana" w:hAnsi="Book Antiqua" w:cs="Times New Roman"/>
          <w:sz w:val="24"/>
          <w:shd w:val="clear" w:color="auto" w:fill="FFFFFF"/>
        </w:rPr>
        <w:t>ZY</w:t>
      </w:r>
      <w:r>
        <w:rPr>
          <w:rFonts w:ascii="Book Antiqua" w:hAnsi="Book Antiqua" w:cs="Times New Roman"/>
          <w:sz w:val="24"/>
        </w:rPr>
        <w:t xml:space="preserve"> wrote the paper.</w:t>
      </w:r>
    </w:p>
    <w:p w:rsidR="00606EEE" w:rsidRDefault="00606EEE">
      <w:pPr>
        <w:adjustRightInd w:val="0"/>
        <w:snapToGrid w:val="0"/>
        <w:spacing w:line="360" w:lineRule="auto"/>
        <w:rPr>
          <w:rFonts w:ascii="Book Antiqua" w:hAnsi="Book Antiqua" w:cs="Times New Roman"/>
          <w:sz w:val="24"/>
        </w:rPr>
      </w:pPr>
    </w:p>
    <w:p w:rsidR="00606EEE" w:rsidRDefault="009A50EC">
      <w:pPr>
        <w:adjustRightInd w:val="0"/>
        <w:snapToGrid w:val="0"/>
        <w:spacing w:line="360" w:lineRule="auto"/>
        <w:rPr>
          <w:rFonts w:ascii="Book Antiqua" w:eastAsia="Book Antiqua" w:hAnsi="Book Antiqua" w:cs="Times New Roman"/>
          <w:b/>
          <w:sz w:val="24"/>
        </w:rPr>
      </w:pPr>
      <w:bookmarkStart w:id="7" w:name="_Hlk11162823"/>
      <w:bookmarkStart w:id="8" w:name="_Hlk15552059"/>
      <w:bookmarkEnd w:id="6"/>
      <w:r>
        <w:rPr>
          <w:rFonts w:ascii="Book Antiqua" w:eastAsia="Book Antiqua" w:hAnsi="Book Antiqua" w:cs="Times New Roman"/>
          <w:b/>
          <w:sz w:val="24"/>
        </w:rPr>
        <w:t>Institutional review board statement:</w:t>
      </w:r>
      <w:r>
        <w:rPr>
          <w:rFonts w:ascii="Book Antiqua" w:hAnsi="Book Antiqua" w:cs="Times New Roman" w:hint="eastAsia"/>
          <w:b/>
          <w:sz w:val="24"/>
        </w:rPr>
        <w:t xml:space="preserve"> </w:t>
      </w:r>
      <w:r>
        <w:rPr>
          <w:rFonts w:ascii="Book Antiqua" w:hAnsi="Book Antiqua" w:cs="Times New Roman"/>
          <w:iCs/>
          <w:sz w:val="24"/>
        </w:rPr>
        <w:t xml:space="preserve">The study was approved by the </w:t>
      </w:r>
      <w:r>
        <w:rPr>
          <w:rFonts w:ascii="Book Antiqua" w:hAnsi="Book Antiqua" w:cs="Times New Roman"/>
          <w:iCs/>
          <w:sz w:val="24"/>
        </w:rPr>
        <w:t>Ethics Committee of Cangzhou Central Hospital.</w:t>
      </w:r>
    </w:p>
    <w:p w:rsidR="00606EEE" w:rsidRDefault="00606EEE">
      <w:pPr>
        <w:adjustRightInd w:val="0"/>
        <w:snapToGrid w:val="0"/>
        <w:spacing w:line="360" w:lineRule="auto"/>
        <w:rPr>
          <w:rFonts w:ascii="Book Antiqua" w:eastAsia="Book Antiqua" w:hAnsi="Book Antiqua" w:cs="Times New Roman"/>
          <w:b/>
          <w:sz w:val="24"/>
        </w:rPr>
      </w:pPr>
    </w:p>
    <w:p w:rsidR="00606EEE" w:rsidRDefault="009A50EC">
      <w:pPr>
        <w:adjustRightInd w:val="0"/>
        <w:snapToGrid w:val="0"/>
        <w:spacing w:line="360" w:lineRule="auto"/>
        <w:rPr>
          <w:rFonts w:ascii="Book Antiqua" w:eastAsia="Book Antiqua" w:hAnsi="Book Antiqua" w:cs="Times New Roman"/>
          <w:b/>
          <w:sz w:val="24"/>
        </w:rPr>
      </w:pPr>
      <w:bookmarkStart w:id="9" w:name="_Hlk15549558"/>
      <w:r>
        <w:rPr>
          <w:rFonts w:ascii="Book Antiqua" w:eastAsia="Book Antiqua" w:hAnsi="Book Antiqua" w:cs="Times New Roman"/>
          <w:b/>
          <w:sz w:val="24"/>
        </w:rPr>
        <w:t>Informed consent statement:</w:t>
      </w:r>
      <w:r>
        <w:rPr>
          <w:rFonts w:ascii="Book Antiqua" w:hAnsi="Book Antiqua" w:cs="Times New Roman" w:hint="eastAsia"/>
          <w:b/>
          <w:sz w:val="24"/>
        </w:rPr>
        <w:t xml:space="preserve"> </w:t>
      </w:r>
      <w:r>
        <w:rPr>
          <w:rFonts w:ascii="Book Antiqua" w:hAnsi="Book Antiqua" w:cs="Times New Roman"/>
          <w:bCs/>
          <w:sz w:val="24"/>
        </w:rPr>
        <w:t>All patients gave informed consent.</w:t>
      </w:r>
    </w:p>
    <w:p w:rsidR="00606EEE" w:rsidRDefault="00606EEE">
      <w:pPr>
        <w:adjustRightInd w:val="0"/>
        <w:snapToGrid w:val="0"/>
        <w:spacing w:line="360" w:lineRule="auto"/>
        <w:rPr>
          <w:rFonts w:ascii="Book Antiqua" w:hAnsi="Book Antiqua" w:cs="Times New Roman"/>
          <w:b/>
          <w:sz w:val="24"/>
        </w:rPr>
      </w:pPr>
    </w:p>
    <w:p w:rsidR="00606EEE" w:rsidRDefault="009A50EC">
      <w:pPr>
        <w:autoSpaceDE w:val="0"/>
        <w:autoSpaceDN w:val="0"/>
        <w:adjustRightInd w:val="0"/>
        <w:spacing w:line="360" w:lineRule="auto"/>
        <w:rPr>
          <w:rFonts w:ascii="Book Antiqua" w:hAnsi="Book Antiqua" w:cs="TimesNewRomanPS-BoldItalicMT"/>
          <w:bCs/>
          <w:iCs/>
          <w:sz w:val="24"/>
        </w:rPr>
      </w:pPr>
      <w:bookmarkStart w:id="10" w:name="_Hlk6585775"/>
      <w:bookmarkEnd w:id="7"/>
      <w:r>
        <w:rPr>
          <w:rFonts w:ascii="Book Antiqua" w:hAnsi="Book Antiqua" w:cs="Times New Roman"/>
          <w:b/>
          <w:sz w:val="24"/>
        </w:rPr>
        <w:t>Conflict-of-interest statement:</w:t>
      </w:r>
      <w:bookmarkEnd w:id="8"/>
      <w:bookmarkEnd w:id="9"/>
      <w:bookmarkEnd w:id="10"/>
      <w:r>
        <w:rPr>
          <w:rFonts w:ascii="Book Antiqua" w:hAnsi="Book Antiqua" w:cs="Times New Roman" w:hint="eastAsia"/>
          <w:b/>
          <w:sz w:val="24"/>
        </w:rPr>
        <w:t xml:space="preserve"> </w:t>
      </w:r>
      <w:r>
        <w:rPr>
          <w:rFonts w:ascii="Book Antiqua" w:hAnsi="Book Antiqua" w:cs="TimesNewRomanPS-BoldItalicMT"/>
          <w:bCs/>
          <w:iCs/>
          <w:sz w:val="24"/>
        </w:rPr>
        <w:t xml:space="preserve">There are no </w:t>
      </w:r>
      <w:r>
        <w:rPr>
          <w:rFonts w:ascii="Book Antiqua" w:hAnsi="Book Antiqua" w:cs="TimesNewRomanPS-BoldItalicMT" w:hint="eastAsia"/>
          <w:bCs/>
          <w:iCs/>
          <w:sz w:val="24"/>
        </w:rPr>
        <w:t>conflicts</w:t>
      </w:r>
      <w:r>
        <w:rPr>
          <w:rFonts w:ascii="Book Antiqua" w:hAnsi="Book Antiqua" w:cs="TimesNewRomanPS-BoldItalicMT"/>
          <w:bCs/>
          <w:iCs/>
          <w:sz w:val="24"/>
        </w:rPr>
        <w:t xml:space="preserve"> of intere</w:t>
      </w:r>
      <w:r>
        <w:rPr>
          <w:rFonts w:ascii="Book Antiqua" w:hAnsi="Book Antiqua" w:cs="TimesNewRomanPS-BoldItalicMT" w:hint="eastAsia"/>
          <w:bCs/>
          <w:iCs/>
          <w:sz w:val="24"/>
        </w:rPr>
        <w:t>st to report.</w:t>
      </w:r>
    </w:p>
    <w:p w:rsidR="00606EEE" w:rsidRDefault="00606EEE">
      <w:pPr>
        <w:adjustRightInd w:val="0"/>
        <w:snapToGrid w:val="0"/>
        <w:spacing w:line="360" w:lineRule="auto"/>
        <w:rPr>
          <w:rFonts w:ascii="Book Antiqua" w:hAnsi="Book Antiqua" w:cs="Times New Roman"/>
          <w:kern w:val="0"/>
          <w:sz w:val="24"/>
        </w:rPr>
      </w:pPr>
    </w:p>
    <w:p w:rsidR="00606EEE" w:rsidRDefault="009A50EC">
      <w:pPr>
        <w:adjustRightInd w:val="0"/>
        <w:snapToGrid w:val="0"/>
        <w:spacing w:line="360" w:lineRule="auto"/>
        <w:rPr>
          <w:rFonts w:ascii="Book Antiqua" w:hAnsi="Book Antiqua"/>
          <w:b/>
          <w:sz w:val="24"/>
        </w:rPr>
      </w:pPr>
      <w:r>
        <w:rPr>
          <w:rFonts w:ascii="Book Antiqua" w:hAnsi="Book Antiqua"/>
          <w:b/>
          <w:sz w:val="24"/>
        </w:rPr>
        <w:t>STROBE statement</w:t>
      </w:r>
      <w:r>
        <w:rPr>
          <w:rFonts w:ascii="Book Antiqua" w:hAnsi="Book Antiqua" w:hint="eastAsia"/>
          <w:b/>
          <w:sz w:val="24"/>
        </w:rPr>
        <w:t>:</w:t>
      </w:r>
      <w:r>
        <w:rPr>
          <w:rFonts w:ascii="Book Antiqua" w:hAnsi="Book Antiqua"/>
          <w:b/>
          <w:sz w:val="24"/>
        </w:rPr>
        <w:t xml:space="preserve"> </w:t>
      </w:r>
      <w:r>
        <w:rPr>
          <w:rFonts w:ascii="Book Antiqua" w:hAnsi="Book Antiqua" w:cs="Garamond-Bold"/>
          <w:bCs/>
          <w:color w:val="000000" w:themeColor="text1"/>
          <w:sz w:val="24"/>
        </w:rPr>
        <w:t xml:space="preserve">The authors have read the STROBE </w:t>
      </w:r>
      <w:r>
        <w:rPr>
          <w:rFonts w:ascii="Book Antiqua" w:hAnsi="Book Antiqua" w:cs="Garamond-Bold"/>
          <w:bCs/>
          <w:color w:val="000000" w:themeColor="text1"/>
          <w:sz w:val="24"/>
        </w:rPr>
        <w:t>Statement-checklist of items, and the manuscript was prepared and revised according to the STROBE Statement-checklist of items.</w:t>
      </w:r>
    </w:p>
    <w:p w:rsidR="00606EEE" w:rsidRDefault="00606EEE">
      <w:pPr>
        <w:adjustRightInd w:val="0"/>
        <w:snapToGrid w:val="0"/>
        <w:spacing w:line="360" w:lineRule="auto"/>
        <w:rPr>
          <w:rFonts w:ascii="Book Antiqua" w:hAnsi="Book Antiqua"/>
          <w:b/>
          <w:sz w:val="24"/>
        </w:rPr>
      </w:pPr>
    </w:p>
    <w:p w:rsidR="00606EEE" w:rsidRDefault="009A50EC">
      <w:pPr>
        <w:spacing w:line="360" w:lineRule="auto"/>
        <w:rPr>
          <w:sz w:val="24"/>
        </w:rPr>
      </w:pPr>
      <w:r>
        <w:rPr>
          <w:rFonts w:ascii="Book Antiqua" w:hAnsi="Book Antiqua"/>
          <w:b/>
          <w:sz w:val="24"/>
        </w:rPr>
        <w:t xml:space="preserve">Open-Access: </w:t>
      </w:r>
      <w:r>
        <w:rPr>
          <w:rFonts w:ascii="Book Antiqua" w:hAnsi="Book Antiqua"/>
          <w:sz w:val="24"/>
        </w:rPr>
        <w:t>This article is an open-access</w:t>
      </w:r>
      <w:r>
        <w:rPr>
          <w:rFonts w:ascii="Book Antiqua" w:hAnsi="Book Antiqua" w:hint="eastAsia"/>
          <w:sz w:val="24"/>
        </w:rPr>
        <w:t xml:space="preserve"> </w:t>
      </w:r>
      <w:r>
        <w:rPr>
          <w:rFonts w:ascii="Book Antiqua" w:hAnsi="Book Antiqua"/>
          <w:sz w:val="24"/>
        </w:rPr>
        <w:t>article</w:t>
      </w:r>
      <w:r>
        <w:rPr>
          <w:rFonts w:ascii="Book Antiqua" w:hAnsi="Book Antiqua" w:hint="eastAsia"/>
          <w:sz w:val="24"/>
        </w:rPr>
        <w:t xml:space="preserve"> </w:t>
      </w:r>
      <w:r>
        <w:rPr>
          <w:rFonts w:ascii="Book Antiqua" w:hAnsi="Book Antiqua"/>
          <w:sz w:val="24"/>
        </w:rPr>
        <w:t>which was selected by an in-house editor and fully peer-reviewed by externa</w:t>
      </w:r>
      <w:r>
        <w:rPr>
          <w:rFonts w:ascii="Book Antiqua" w:hAnsi="Book Antiqua"/>
          <w:sz w:val="24"/>
        </w:rPr>
        <w:t>l reviewers. It is distributed</w:t>
      </w:r>
      <w:r>
        <w:rPr>
          <w:rFonts w:ascii="Book Antiqua" w:hAnsi="Book Antiqua" w:hint="eastAsia"/>
          <w:sz w:val="24"/>
        </w:rPr>
        <w:t xml:space="preserve"> </w:t>
      </w:r>
      <w:r>
        <w:rPr>
          <w:rFonts w:ascii="Book Antiqua" w:hAnsi="Book Antiqua"/>
          <w:sz w:val="24"/>
        </w:rPr>
        <w:t>in</w:t>
      </w:r>
      <w:r>
        <w:rPr>
          <w:rFonts w:ascii="Book Antiqua" w:hAnsi="Book Antiqua" w:hint="eastAsia"/>
          <w:sz w:val="24"/>
        </w:rPr>
        <w:t xml:space="preserve"> </w:t>
      </w:r>
      <w:r>
        <w:rPr>
          <w:rFonts w:ascii="Book Antiqua" w:hAnsi="Book Antiqua"/>
          <w:sz w:val="24"/>
        </w:rPr>
        <w:t>accordance</w:t>
      </w:r>
      <w:r>
        <w:rPr>
          <w:rFonts w:ascii="Book Antiqua" w:hAnsi="Book Antiqua" w:hint="eastAsia"/>
          <w:sz w:val="24"/>
        </w:rPr>
        <w:t xml:space="preserve"> </w:t>
      </w:r>
      <w:r>
        <w:rPr>
          <w:rFonts w:ascii="Book Antiqua" w:hAnsi="Book Antiqua"/>
          <w:sz w:val="24"/>
        </w:rPr>
        <w:t>with the Creative Commons Attribution Non Commercial (CC BY-NC 4.0) license, which permits others to distribute, remix, adapt, build upon this work non-commercially, and license their derivative works on differe</w:t>
      </w:r>
      <w:r>
        <w:rPr>
          <w:rFonts w:ascii="Book Antiqua" w:hAnsi="Book Antiqua"/>
          <w:sz w:val="24"/>
        </w:rPr>
        <w:t>nt terms, provided the original work is properly cited and the use is non-commercial. See: http://creativecommons.org/licenses/by-nc/4.0/</w:t>
      </w:r>
    </w:p>
    <w:p w:rsidR="00606EEE" w:rsidRDefault="00606EEE">
      <w:pPr>
        <w:adjustRightInd w:val="0"/>
        <w:snapToGrid w:val="0"/>
        <w:spacing w:line="360" w:lineRule="auto"/>
        <w:rPr>
          <w:rFonts w:ascii="Book Antiqua" w:hAnsi="Book Antiqua"/>
          <w:b/>
          <w:sz w:val="24"/>
        </w:rPr>
      </w:pPr>
    </w:p>
    <w:p w:rsidR="00606EEE" w:rsidRDefault="009A50EC">
      <w:pPr>
        <w:adjustRightInd w:val="0"/>
        <w:snapToGrid w:val="0"/>
        <w:spacing w:line="360" w:lineRule="auto"/>
        <w:rPr>
          <w:rFonts w:ascii="Book Antiqua" w:hAnsi="Book Antiqua"/>
          <w:b/>
          <w:sz w:val="24"/>
        </w:rPr>
      </w:pPr>
      <w:r>
        <w:rPr>
          <w:rFonts w:ascii="Book Antiqua" w:hAnsi="Book Antiqua" w:cs="Times New Roman"/>
          <w:b/>
          <w:bCs/>
          <w:sz w:val="24"/>
        </w:rPr>
        <w:t xml:space="preserve">Manuscript source: </w:t>
      </w:r>
      <w:r>
        <w:rPr>
          <w:rFonts w:ascii="Book Antiqua" w:hAnsi="Book Antiqua" w:cs="Times New Roman"/>
          <w:bCs/>
          <w:sz w:val="24"/>
        </w:rPr>
        <w:t>Unsolicited manuscript</w:t>
      </w:r>
    </w:p>
    <w:p w:rsidR="00606EEE" w:rsidRDefault="00606EEE">
      <w:pPr>
        <w:pStyle w:val="a7"/>
        <w:widowControl/>
        <w:shd w:val="clear" w:color="auto" w:fill="FFFFFF"/>
        <w:spacing w:line="360" w:lineRule="auto"/>
        <w:jc w:val="both"/>
        <w:rPr>
          <w:rFonts w:ascii="Book Antiqua" w:hAnsi="Book Antiqua"/>
          <w:b/>
          <w:sz w:val="24"/>
        </w:rPr>
      </w:pPr>
    </w:p>
    <w:p w:rsidR="00606EEE" w:rsidRDefault="009A50EC">
      <w:pPr>
        <w:pStyle w:val="a7"/>
        <w:widowControl/>
        <w:shd w:val="clear" w:color="auto" w:fill="FFFFFF"/>
        <w:spacing w:line="360" w:lineRule="auto"/>
        <w:jc w:val="both"/>
        <w:rPr>
          <w:rFonts w:ascii="Book Antiqua" w:eastAsia="Verdana" w:hAnsi="Book Antiqua"/>
          <w:sz w:val="24"/>
          <w:szCs w:val="24"/>
          <w:u w:val="single"/>
        </w:rPr>
      </w:pPr>
      <w:r>
        <w:rPr>
          <w:rFonts w:ascii="Book Antiqua" w:hAnsi="Book Antiqua"/>
          <w:b/>
          <w:sz w:val="24"/>
        </w:rPr>
        <w:t xml:space="preserve">Corresponding author: </w:t>
      </w:r>
      <w:r>
        <w:rPr>
          <w:rFonts w:ascii="Book Antiqua" w:eastAsia="Verdana" w:hAnsi="Book Antiqua"/>
          <w:b/>
          <w:bCs/>
          <w:sz w:val="24"/>
          <w:shd w:val="clear" w:color="auto" w:fill="FFFFFF"/>
        </w:rPr>
        <w:t>Zun</w:t>
      </w:r>
      <w:r>
        <w:rPr>
          <w:rFonts w:ascii="Book Antiqua" w:hAnsi="Book Antiqua"/>
          <w:b/>
          <w:sz w:val="24"/>
          <w:szCs w:val="24"/>
        </w:rPr>
        <w:t>-</w:t>
      </w:r>
      <w:r>
        <w:rPr>
          <w:rFonts w:ascii="Book Antiqua" w:eastAsia="宋体" w:hAnsi="Book Antiqua"/>
          <w:b/>
          <w:bCs/>
          <w:sz w:val="24"/>
          <w:shd w:val="clear" w:color="auto" w:fill="FFFFFF"/>
        </w:rPr>
        <w:t>Y</w:t>
      </w:r>
      <w:r>
        <w:rPr>
          <w:rFonts w:ascii="Book Antiqua" w:eastAsia="Verdana" w:hAnsi="Book Antiqua"/>
          <w:b/>
          <w:bCs/>
          <w:sz w:val="24"/>
          <w:shd w:val="clear" w:color="auto" w:fill="FFFFFF"/>
        </w:rPr>
        <w:t>i Wang</w:t>
      </w:r>
      <w:r>
        <w:rPr>
          <w:rFonts w:ascii="Book Antiqua" w:eastAsia="Verdana" w:hAnsi="Book Antiqua"/>
          <w:sz w:val="24"/>
          <w:szCs w:val="24"/>
          <w:shd w:val="clear" w:color="auto" w:fill="FFFFFF"/>
        </w:rPr>
        <w:t xml:space="preserve">, </w:t>
      </w:r>
      <w:r>
        <w:rPr>
          <w:rFonts w:ascii="Book Antiqua" w:eastAsia="宋体" w:hAnsi="Book Antiqua"/>
          <w:b/>
          <w:bCs/>
          <w:sz w:val="24"/>
          <w:szCs w:val="24"/>
          <w:shd w:val="clear" w:color="auto" w:fill="FFFFFF"/>
        </w:rPr>
        <w:t>MD</w:t>
      </w:r>
      <w:r>
        <w:rPr>
          <w:rFonts w:ascii="Book Antiqua" w:eastAsia="Verdana" w:hAnsi="Book Antiqua"/>
          <w:b/>
          <w:bCs/>
          <w:sz w:val="24"/>
          <w:szCs w:val="24"/>
          <w:shd w:val="clear" w:color="auto" w:fill="FFFFFF"/>
        </w:rPr>
        <w:t>,</w:t>
      </w:r>
      <w:r>
        <w:rPr>
          <w:b/>
          <w:bCs/>
        </w:rPr>
        <w:t xml:space="preserve"> </w:t>
      </w:r>
      <w:r>
        <w:rPr>
          <w:rFonts w:ascii="Book Antiqua" w:eastAsia="Verdana" w:hAnsi="Book Antiqua"/>
          <w:b/>
          <w:bCs/>
          <w:sz w:val="24"/>
          <w:szCs w:val="24"/>
          <w:shd w:val="clear" w:color="auto" w:fill="FFFFFF"/>
        </w:rPr>
        <w:t>Doctor,</w:t>
      </w:r>
      <w:r>
        <w:rPr>
          <w:rFonts w:ascii="Book Antiqua" w:eastAsia="宋体" w:hAnsi="Book Antiqua"/>
          <w:sz w:val="24"/>
          <w:szCs w:val="24"/>
          <w:shd w:val="clear" w:color="auto" w:fill="FFFFFF"/>
        </w:rPr>
        <w:t xml:space="preserve"> </w:t>
      </w:r>
      <w:r>
        <w:rPr>
          <w:rFonts w:ascii="Book Antiqua" w:eastAsia="Verdana" w:hAnsi="Book Antiqua"/>
          <w:sz w:val="24"/>
          <w:szCs w:val="24"/>
          <w:shd w:val="clear" w:color="auto" w:fill="FFFFFF"/>
        </w:rPr>
        <w:t xml:space="preserve">Department of third </w:t>
      </w:r>
      <w:r>
        <w:rPr>
          <w:rFonts w:ascii="Book Antiqua" w:eastAsia="Verdana" w:hAnsi="Book Antiqua"/>
          <w:sz w:val="24"/>
          <w:szCs w:val="24"/>
          <w:shd w:val="clear" w:color="auto" w:fill="FFFFFF"/>
        </w:rPr>
        <w:t>Oncology, Cangzhou Central Hospital, No. 16, Xinhua Road West, Cangzhou 061001, Hebei Province, China.</w:t>
      </w:r>
      <w:r>
        <w:rPr>
          <w:rFonts w:ascii="Book Antiqua" w:eastAsia="Verdana" w:hAnsi="Book Antiqua" w:hint="eastAsia"/>
          <w:sz w:val="24"/>
          <w:szCs w:val="24"/>
          <w:shd w:val="clear" w:color="auto" w:fill="FFFFFF"/>
        </w:rPr>
        <w:t xml:space="preserve"> </w:t>
      </w:r>
      <w:r>
        <w:rPr>
          <w:rFonts w:ascii="Book Antiqua" w:eastAsia="Verdana" w:hAnsi="Book Antiqua" w:hint="eastAsia"/>
          <w:sz w:val="24"/>
          <w:szCs w:val="24"/>
          <w:u w:val="single"/>
          <w:shd w:val="clear" w:color="auto" w:fill="FFFFFF"/>
        </w:rPr>
        <w:t>czwzy99</w:t>
      </w:r>
      <w:r>
        <w:rPr>
          <w:rFonts w:ascii="微软雅黑" w:eastAsia="微软雅黑" w:hAnsi="微软雅黑" w:cs="微软雅黑" w:hint="eastAsia"/>
          <w:sz w:val="24"/>
          <w:szCs w:val="24"/>
          <w:u w:val="single"/>
          <w:shd w:val="clear" w:color="auto" w:fill="FFFFFF"/>
        </w:rPr>
        <w:t>＠</w:t>
      </w:r>
      <w:r>
        <w:rPr>
          <w:rFonts w:ascii="Book Antiqua" w:eastAsia="Verdana" w:hAnsi="Book Antiqua" w:hint="eastAsia"/>
          <w:sz w:val="24"/>
          <w:szCs w:val="24"/>
          <w:u w:val="single"/>
          <w:shd w:val="clear" w:color="auto" w:fill="FFFFFF"/>
        </w:rPr>
        <w:t>163.com</w:t>
      </w:r>
    </w:p>
    <w:p w:rsidR="00606EEE" w:rsidRDefault="009A50EC">
      <w:pPr>
        <w:pStyle w:val="a7"/>
        <w:widowControl/>
        <w:shd w:val="clear" w:color="auto" w:fill="FFFFFF"/>
        <w:spacing w:line="360" w:lineRule="auto"/>
        <w:jc w:val="both"/>
        <w:rPr>
          <w:rFonts w:ascii="Book Antiqua" w:eastAsia="Verdana" w:hAnsi="Book Antiqua"/>
          <w:sz w:val="24"/>
          <w:szCs w:val="24"/>
        </w:rPr>
      </w:pPr>
      <w:r>
        <w:rPr>
          <w:rFonts w:ascii="Book Antiqua" w:hAnsi="Book Antiqua"/>
          <w:b/>
          <w:sz w:val="24"/>
          <w:szCs w:val="24"/>
        </w:rPr>
        <w:t xml:space="preserve">Telephone: </w:t>
      </w:r>
      <w:r>
        <w:rPr>
          <w:rFonts w:ascii="Book Antiqua" w:eastAsia="Verdana" w:hAnsi="Book Antiqua"/>
          <w:sz w:val="24"/>
          <w:szCs w:val="24"/>
          <w:shd w:val="clear" w:color="auto" w:fill="FFFFFF"/>
        </w:rPr>
        <w:t>+86-317-2075979</w:t>
      </w:r>
    </w:p>
    <w:p w:rsidR="00606EEE" w:rsidRDefault="00606EEE">
      <w:pPr>
        <w:spacing w:line="360" w:lineRule="auto"/>
        <w:rPr>
          <w:rFonts w:ascii="Book Antiqua" w:eastAsia="宋体" w:hAnsi="Book Antiqua" w:cs="Times New Roman"/>
          <w:b/>
          <w:bCs/>
          <w:sz w:val="24"/>
        </w:rPr>
      </w:pPr>
    </w:p>
    <w:p w:rsidR="00606EEE" w:rsidRDefault="009A50EC">
      <w:pPr>
        <w:snapToGrid w:val="0"/>
        <w:spacing w:line="360" w:lineRule="auto"/>
        <w:rPr>
          <w:rFonts w:ascii="Book Antiqua" w:hAnsi="Book Antiqua"/>
          <w:sz w:val="24"/>
        </w:rPr>
      </w:pPr>
      <w:r>
        <w:rPr>
          <w:rFonts w:ascii="Book Antiqua" w:hAnsi="Book Antiqua"/>
          <w:b/>
          <w:sz w:val="24"/>
        </w:rPr>
        <w:t>Received:</w:t>
      </w:r>
      <w:r>
        <w:rPr>
          <w:rFonts w:ascii="Book Antiqua" w:hAnsi="Book Antiqua"/>
          <w:sz w:val="24"/>
        </w:rPr>
        <w:t xml:space="preserve"> June 12, 2019</w:t>
      </w:r>
    </w:p>
    <w:p w:rsidR="00606EEE" w:rsidRDefault="009A50EC">
      <w:pPr>
        <w:snapToGrid w:val="0"/>
        <w:spacing w:line="360" w:lineRule="auto"/>
        <w:rPr>
          <w:rFonts w:ascii="Book Antiqua" w:hAnsi="Book Antiqua"/>
          <w:sz w:val="24"/>
        </w:rPr>
      </w:pPr>
      <w:r>
        <w:rPr>
          <w:rFonts w:ascii="Book Antiqua" w:hAnsi="Book Antiqua"/>
          <w:b/>
          <w:sz w:val="24"/>
        </w:rPr>
        <w:lastRenderedPageBreak/>
        <w:t>Peer-review started:</w:t>
      </w:r>
      <w:r>
        <w:rPr>
          <w:rFonts w:ascii="Book Antiqua" w:hAnsi="Book Antiqua"/>
          <w:sz w:val="24"/>
        </w:rPr>
        <w:t xml:space="preserve"> June 18, 2019</w:t>
      </w:r>
    </w:p>
    <w:p w:rsidR="00606EEE" w:rsidRDefault="009A50EC">
      <w:pPr>
        <w:snapToGrid w:val="0"/>
        <w:spacing w:line="360" w:lineRule="auto"/>
        <w:rPr>
          <w:rFonts w:ascii="Book Antiqua" w:hAnsi="Book Antiqua"/>
          <w:sz w:val="24"/>
        </w:rPr>
      </w:pPr>
      <w:r>
        <w:rPr>
          <w:rFonts w:ascii="Book Antiqua" w:hAnsi="Book Antiqua"/>
          <w:b/>
          <w:sz w:val="24"/>
        </w:rPr>
        <w:t>First decision:</w:t>
      </w:r>
      <w:r>
        <w:rPr>
          <w:rFonts w:ascii="Book Antiqua" w:hAnsi="Book Antiqua"/>
          <w:sz w:val="24"/>
        </w:rPr>
        <w:t xml:space="preserve"> July 31, 2019</w:t>
      </w:r>
    </w:p>
    <w:p w:rsidR="00606EEE" w:rsidRDefault="009A50EC">
      <w:pPr>
        <w:snapToGrid w:val="0"/>
        <w:spacing w:line="360" w:lineRule="auto"/>
        <w:rPr>
          <w:rFonts w:ascii="Book Antiqua" w:hAnsi="Book Antiqua"/>
          <w:sz w:val="24"/>
        </w:rPr>
      </w:pPr>
      <w:r>
        <w:rPr>
          <w:rFonts w:ascii="Book Antiqua" w:hAnsi="Book Antiqua"/>
          <w:b/>
          <w:sz w:val="24"/>
        </w:rPr>
        <w:t>Revised:</w:t>
      </w:r>
      <w:r>
        <w:rPr>
          <w:rFonts w:ascii="Book Antiqua" w:hAnsi="Book Antiqua"/>
          <w:sz w:val="24"/>
        </w:rPr>
        <w:t xml:space="preserve"> August 5, 2019</w:t>
      </w:r>
    </w:p>
    <w:p w:rsidR="00606EEE" w:rsidRDefault="009A50EC">
      <w:pPr>
        <w:snapToGrid w:val="0"/>
        <w:spacing w:line="360" w:lineRule="auto"/>
        <w:rPr>
          <w:rFonts w:ascii="Book Antiqua" w:hAnsi="Book Antiqua"/>
          <w:sz w:val="24"/>
        </w:rPr>
      </w:pPr>
      <w:r>
        <w:rPr>
          <w:rFonts w:ascii="Book Antiqua" w:hAnsi="Book Antiqua"/>
          <w:b/>
          <w:sz w:val="24"/>
        </w:rPr>
        <w:t>Accepted:</w:t>
      </w:r>
      <w:r>
        <w:rPr>
          <w:rFonts w:ascii="Book Antiqua" w:hAnsi="Book Antiqua"/>
          <w:sz w:val="24"/>
        </w:rPr>
        <w:t xml:space="preserve"> August 26, 2019</w:t>
      </w:r>
    </w:p>
    <w:p w:rsidR="00606EEE" w:rsidRDefault="009A50EC">
      <w:pPr>
        <w:snapToGrid w:val="0"/>
        <w:spacing w:line="360" w:lineRule="auto"/>
        <w:rPr>
          <w:rFonts w:ascii="Book Antiqua" w:hAnsi="Book Antiqua"/>
          <w:b/>
          <w:sz w:val="24"/>
        </w:rPr>
      </w:pPr>
      <w:r>
        <w:rPr>
          <w:rFonts w:ascii="Book Antiqua" w:hAnsi="Book Antiqua"/>
          <w:b/>
          <w:sz w:val="24"/>
        </w:rPr>
        <w:t>Article in press:</w:t>
      </w:r>
    </w:p>
    <w:p w:rsidR="00606EEE" w:rsidRDefault="009A50EC">
      <w:pPr>
        <w:snapToGrid w:val="0"/>
        <w:spacing w:line="360" w:lineRule="auto"/>
        <w:rPr>
          <w:rFonts w:ascii="Book Antiqua" w:hAnsi="Book Antiqua"/>
          <w:b/>
          <w:sz w:val="24"/>
        </w:rPr>
      </w:pPr>
      <w:r>
        <w:rPr>
          <w:rFonts w:ascii="Book Antiqua" w:hAnsi="Book Antiqua"/>
          <w:b/>
          <w:sz w:val="24"/>
        </w:rPr>
        <w:t>Published online:</w:t>
      </w:r>
    </w:p>
    <w:p w:rsidR="00606EEE" w:rsidRDefault="00606EEE">
      <w:pPr>
        <w:spacing w:line="360" w:lineRule="auto"/>
        <w:rPr>
          <w:rFonts w:ascii="Book Antiqua" w:eastAsia="宋体" w:hAnsi="Book Antiqua" w:cs="Times New Roman"/>
          <w:b/>
          <w:bCs/>
          <w:sz w:val="24"/>
        </w:rPr>
      </w:pPr>
    </w:p>
    <w:p w:rsidR="00606EEE" w:rsidRDefault="009A50EC">
      <w:pPr>
        <w:widowControl/>
        <w:jc w:val="left"/>
        <w:rPr>
          <w:rFonts w:ascii="Book Antiqua" w:eastAsia="宋体" w:hAnsi="Book Antiqua" w:cs="Times New Roman"/>
          <w:b/>
          <w:bCs/>
          <w:sz w:val="24"/>
        </w:rPr>
      </w:pPr>
      <w:r>
        <w:rPr>
          <w:rFonts w:ascii="Book Antiqua" w:eastAsia="宋体" w:hAnsi="Book Antiqua" w:cs="Times New Roman"/>
          <w:b/>
          <w:bCs/>
          <w:sz w:val="24"/>
        </w:rPr>
        <w:br w:type="page"/>
      </w:r>
    </w:p>
    <w:p w:rsidR="00606EEE" w:rsidRDefault="009A50EC">
      <w:pPr>
        <w:spacing w:line="360" w:lineRule="auto"/>
        <w:rPr>
          <w:rFonts w:ascii="Book Antiqua" w:eastAsia="宋体" w:hAnsi="Book Antiqua" w:cs="Times New Roman"/>
          <w:b/>
          <w:bCs/>
          <w:sz w:val="24"/>
        </w:rPr>
      </w:pPr>
      <w:r>
        <w:rPr>
          <w:rFonts w:ascii="Book Antiqua" w:eastAsia="宋体" w:hAnsi="Book Antiqua" w:cs="Times New Roman"/>
          <w:b/>
          <w:bCs/>
          <w:sz w:val="24"/>
        </w:rPr>
        <w:lastRenderedPageBreak/>
        <w:t>Abstract</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b/>
          <w:bCs/>
          <w:i/>
          <w:iCs/>
          <w:sz w:val="24"/>
        </w:rPr>
        <w:t>BACKGROUND</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Accurate assessment of the prognosis after colorectal cancer surgery is of great significance in patients with colorectal cancer. However, there is no syst</w:t>
      </w:r>
      <w:r>
        <w:rPr>
          <w:rFonts w:ascii="Book Antiqua" w:eastAsia="宋体" w:hAnsi="Book Antiqua" w:cs="Times New Roman"/>
          <w:sz w:val="24"/>
        </w:rPr>
        <w:t>ematic analysis of factors affecting the prognosis of colorectal cancer currently.</w:t>
      </w:r>
    </w:p>
    <w:p w:rsidR="00606EEE" w:rsidRDefault="00606EEE">
      <w:pPr>
        <w:spacing w:line="360" w:lineRule="auto"/>
        <w:rPr>
          <w:rFonts w:ascii="Book Antiqua" w:eastAsia="宋体" w:hAnsi="Book Antiqua" w:cs="Times New Roman"/>
          <w:sz w:val="24"/>
        </w:rPr>
      </w:pPr>
    </w:p>
    <w:p w:rsidR="00606EEE" w:rsidRDefault="009A50EC">
      <w:pPr>
        <w:spacing w:line="360" w:lineRule="auto"/>
        <w:rPr>
          <w:rFonts w:ascii="Book Antiqua" w:eastAsia="宋体" w:hAnsi="Book Antiqua" w:cs="Times New Roman"/>
          <w:sz w:val="24"/>
        </w:rPr>
      </w:pPr>
      <w:r>
        <w:rPr>
          <w:rFonts w:ascii="Book Antiqua" w:eastAsia="宋体" w:hAnsi="Book Antiqua" w:cs="Times New Roman"/>
          <w:b/>
          <w:bCs/>
          <w:i/>
          <w:iCs/>
          <w:sz w:val="24"/>
        </w:rPr>
        <w:t>AIM</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To systematically analyze the influence of clinical data and serological and histological indicators on the prognosis of patients with colorectal cancer, and to explore</w:t>
      </w:r>
      <w:r>
        <w:rPr>
          <w:rFonts w:ascii="Book Antiqua" w:eastAsia="宋体" w:hAnsi="Book Antiqua" w:cs="Times New Roman"/>
          <w:sz w:val="24"/>
        </w:rPr>
        <w:t xml:space="preserve"> the indicators that can accurately assess the prognosis of patients with colorectal cancer.</w:t>
      </w:r>
    </w:p>
    <w:p w:rsidR="00606EEE" w:rsidRDefault="00606EEE">
      <w:pPr>
        <w:spacing w:line="360" w:lineRule="auto"/>
        <w:rPr>
          <w:rFonts w:ascii="Book Antiqua" w:eastAsia="宋体" w:hAnsi="Book Antiqua" w:cs="Times New Roman"/>
          <w:sz w:val="24"/>
        </w:rPr>
      </w:pPr>
    </w:p>
    <w:p w:rsidR="00606EEE" w:rsidRDefault="009A50EC">
      <w:pPr>
        <w:spacing w:line="360" w:lineRule="auto"/>
        <w:rPr>
          <w:rFonts w:ascii="Book Antiqua" w:hAnsi="Book Antiqua" w:cs="Times New Roman"/>
          <w:b/>
          <w:bCs/>
          <w:i/>
          <w:iCs/>
          <w:sz w:val="24"/>
        </w:rPr>
      </w:pPr>
      <w:r>
        <w:rPr>
          <w:rFonts w:ascii="Book Antiqua" w:hAnsi="Book Antiqua" w:cs="Times New Roman"/>
          <w:b/>
          <w:bCs/>
          <w:i/>
          <w:iCs/>
          <w:sz w:val="24"/>
        </w:rPr>
        <w:t>METHODS</w:t>
      </w:r>
    </w:p>
    <w:p w:rsidR="00606EEE" w:rsidRDefault="009A50EC">
      <w:pPr>
        <w:spacing w:line="360" w:lineRule="auto"/>
        <w:rPr>
          <w:rFonts w:ascii="Book Antiqua" w:hAnsi="Book Antiqua" w:cs="Times New Roman"/>
          <w:sz w:val="24"/>
        </w:rPr>
      </w:pPr>
      <w:r>
        <w:rPr>
          <w:rFonts w:ascii="Book Antiqua" w:hAnsi="Book Antiqua" w:cs="Times New Roman"/>
          <w:sz w:val="24"/>
        </w:rPr>
        <w:t xml:space="preserve">A total of 374 patients with colorectal cancer were enrolled. The clinical data, </w:t>
      </w:r>
      <w:r>
        <w:rPr>
          <w:rFonts w:ascii="Book Antiqua" w:eastAsia="宋体" w:hAnsi="Book Antiqua" w:cs="Times New Roman"/>
          <w:kern w:val="0"/>
          <w:sz w:val="24"/>
        </w:rPr>
        <w:t>tumor-node-metastasis (TNM)</w:t>
      </w:r>
      <w:r>
        <w:rPr>
          <w:rFonts w:ascii="Book Antiqua" w:hAnsi="Book Antiqua" w:cs="Times New Roman"/>
          <w:sz w:val="24"/>
        </w:rPr>
        <w:t xml:space="preserve"> stage, and Dukes stage were recorded. All patients received examinations including </w:t>
      </w:r>
      <w:r>
        <w:rPr>
          <w:rFonts w:ascii="Book Antiqua" w:eastAsia="宋体" w:hAnsi="Book Antiqua" w:cs="Times New Roman"/>
          <w:kern w:val="0"/>
          <w:sz w:val="24"/>
        </w:rPr>
        <w:t>carcinoembryonic antigen (CEA)</w:t>
      </w:r>
      <w:r>
        <w:rPr>
          <w:rFonts w:ascii="Book Antiqua" w:hAnsi="Book Antiqua" w:cs="Times New Roman"/>
          <w:sz w:val="24"/>
        </w:rPr>
        <w:t xml:space="preserve">, </w:t>
      </w:r>
      <w:r>
        <w:rPr>
          <w:rFonts w:ascii="Book Antiqua" w:eastAsia="宋体" w:hAnsi="Book Antiqua" w:cs="Times New Roman"/>
          <w:kern w:val="0"/>
          <w:sz w:val="24"/>
        </w:rPr>
        <w:t>carbohydrate antigen 199</w:t>
      </w:r>
      <w:r>
        <w:rPr>
          <w:rFonts w:ascii="Book Antiqua" w:hAnsi="Book Antiqua" w:cs="Times New Roman"/>
          <w:sz w:val="24"/>
        </w:rPr>
        <w:t>, C-reactive protein, albumin, D-dimer, and fibrinogen as well as routine blood tests one week before surgery. The t</w:t>
      </w:r>
      <w:r>
        <w:rPr>
          <w:rFonts w:ascii="Book Antiqua" w:hAnsi="Book Antiqua" w:cs="Times New Roman"/>
          <w:sz w:val="24"/>
        </w:rPr>
        <w:t xml:space="preserve">umor location, size, depth of invasion, lymph node metastasis, and distant metastasis were recorded during surgery. The pathological tissue typing and expression of </w:t>
      </w:r>
      <w:r>
        <w:rPr>
          <w:rFonts w:ascii="Book Antiqua" w:eastAsia="宋体" w:hAnsi="Book Antiqua" w:cs="Times New Roman"/>
          <w:kern w:val="0"/>
          <w:sz w:val="24"/>
        </w:rPr>
        <w:t>proliferating cell nuclear antigen (PCNA)</w:t>
      </w:r>
      <w:r>
        <w:rPr>
          <w:rFonts w:ascii="Book Antiqua" w:hAnsi="Book Antiqua" w:cs="Times New Roman"/>
          <w:sz w:val="24"/>
        </w:rPr>
        <w:t xml:space="preserve"> and p53 were observed. All patients were followed</w:t>
      </w:r>
      <w:r>
        <w:rPr>
          <w:rFonts w:ascii="Book Antiqua" w:hAnsi="Book Antiqua" w:cs="Times New Roman"/>
          <w:sz w:val="24"/>
        </w:rPr>
        <w:t xml:space="preserve"> for 3 years, and patients with endpoint events were defined as a poor prognosis group, and the remaining patients were defined as a good prognosis group. The differences in clinical data, serology, and histology were analyzed between the two groups. Multi</w:t>
      </w:r>
      <w:r>
        <w:rPr>
          <w:rFonts w:ascii="Book Antiqua" w:hAnsi="Book Antiqua" w:cs="Times New Roman"/>
          <w:sz w:val="24"/>
        </w:rPr>
        <w:t>variate COX regression was used to analyze the independent influencing factors for the prognosis of colorectal cancer. The receiver</w:t>
      </w:r>
      <w:r w:rsidR="006B1F01">
        <w:rPr>
          <w:rFonts w:ascii="Book Antiqua" w:hAnsi="Book Antiqua" w:cs="Times New Roman"/>
          <w:sz w:val="24"/>
        </w:rPr>
        <w:t xml:space="preserve"> </w:t>
      </w:r>
      <w:r>
        <w:rPr>
          <w:rFonts w:ascii="Book Antiqua" w:hAnsi="Book Antiqua" w:cs="Times New Roman"/>
          <w:sz w:val="24"/>
        </w:rPr>
        <w:t xml:space="preserve">operating characteristic curve was used to evaluate the predictive value of each of the independent influencing factors and </w:t>
      </w:r>
      <w:r>
        <w:rPr>
          <w:rFonts w:ascii="Book Antiqua" w:hAnsi="Book Antiqua" w:cs="Times New Roman"/>
          <w:sz w:val="24"/>
        </w:rPr>
        <w:t>their combination for the prognosis of colorectal cancer.</w:t>
      </w:r>
    </w:p>
    <w:p w:rsidR="00606EEE" w:rsidRDefault="00606EEE">
      <w:pPr>
        <w:spacing w:line="360" w:lineRule="auto"/>
        <w:rPr>
          <w:rFonts w:ascii="Book Antiqua" w:eastAsia="宋体" w:hAnsi="Book Antiqua" w:cs="Times New Roman"/>
          <w:b/>
          <w:bCs/>
          <w:i/>
          <w:iCs/>
          <w:sz w:val="24"/>
        </w:rPr>
      </w:pPr>
    </w:p>
    <w:p w:rsidR="00606EEE" w:rsidRDefault="009A50EC">
      <w:pPr>
        <w:spacing w:line="360" w:lineRule="auto"/>
        <w:rPr>
          <w:rFonts w:ascii="Book Antiqua" w:eastAsia="宋体" w:hAnsi="Book Antiqua" w:cs="Times New Roman"/>
          <w:sz w:val="24"/>
        </w:rPr>
      </w:pPr>
      <w:r>
        <w:rPr>
          <w:rFonts w:ascii="Book Antiqua" w:eastAsia="宋体" w:hAnsi="Book Antiqua" w:cs="Times New Roman"/>
          <w:b/>
          <w:bCs/>
          <w:i/>
          <w:iCs/>
          <w:sz w:val="24"/>
        </w:rPr>
        <w:lastRenderedPageBreak/>
        <w:t>RESULTS</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The follow-up outcomes showed that 81 patients were in the good prognosis group and 274 patients in the poor prognosis group. The TNM stage, PCNA, Glasgow prognostic score (GPS), neutrophil</w:t>
      </w:r>
      <w:r>
        <w:rPr>
          <w:rFonts w:ascii="Book Antiqua" w:eastAsia="宋体" w:hAnsi="Book Antiqua" w:cs="Times New Roman"/>
          <w:sz w:val="24"/>
        </w:rPr>
        <w:t xml:space="preserve">-lymphocyte ratio (NLR), </w:t>
      </w:r>
      <w:r>
        <w:rPr>
          <w:rFonts w:ascii="Book Antiqua" w:eastAsia="宋体" w:hAnsi="Book Antiqua" w:cs="Times New Roman"/>
          <w:caps/>
          <w:sz w:val="24"/>
        </w:rPr>
        <w:t>c</w:t>
      </w:r>
      <w:r>
        <w:rPr>
          <w:rFonts w:ascii="Book Antiqua" w:eastAsia="宋体" w:hAnsi="Book Antiqua" w:cs="Times New Roman"/>
          <w:sz w:val="24"/>
        </w:rPr>
        <w:t>-reactive protein/albumin ratio (CAR), D-dimer, and CEA were independent influencing factors for the prognosis of colorectal cancer (</w:t>
      </w:r>
      <w:r>
        <w:rPr>
          <w:rFonts w:ascii="Book Antiqua" w:eastAsia="宋体" w:hAnsi="Book Antiqua" w:cs="Times New Roman"/>
          <w:i/>
          <w:iCs/>
          <w:sz w:val="24"/>
        </w:rPr>
        <w:t>P</w:t>
      </w:r>
      <w:r>
        <w:rPr>
          <w:rFonts w:ascii="Book Antiqua" w:eastAsia="宋体" w:hAnsi="Book Antiqua" w:cs="Times New Roman"/>
          <w:sz w:val="24"/>
        </w:rPr>
        <w:t xml:space="preserve"> = 0.000). NLR had the highest predictive power for colorectal cancer prognosis </w:t>
      </w:r>
      <w:bookmarkStart w:id="11" w:name="OLE_LINK1"/>
      <w:r>
        <w:rPr>
          <w:rFonts w:ascii="Book Antiqua" w:eastAsia="宋体" w:hAnsi="Book Antiqua" w:cs="Times New Roman" w:hint="eastAsia"/>
          <w:sz w:val="24"/>
        </w:rPr>
        <w:t>[</w:t>
      </w:r>
      <w:r>
        <w:rPr>
          <w:rFonts w:ascii="Book Antiqua" w:eastAsia="宋体" w:hAnsi="Book Antiqua" w:cs="Times New Roman"/>
          <w:sz w:val="24"/>
        </w:rPr>
        <w:t xml:space="preserve">area under the </w:t>
      </w:r>
      <w:r>
        <w:rPr>
          <w:rFonts w:ascii="Book Antiqua" w:hAnsi="Book Antiqua" w:cs="Times New Roman"/>
          <w:sz w:val="24"/>
        </w:rPr>
        <w:t>receiver operating characteristic</w:t>
      </w:r>
      <w:r>
        <w:rPr>
          <w:rFonts w:ascii="Book Antiqua" w:eastAsia="宋体" w:hAnsi="Book Antiqua" w:cs="Times New Roman"/>
          <w:sz w:val="24"/>
        </w:rPr>
        <w:t xml:space="preserve"> curve (AUC</w:t>
      </w:r>
      <w:bookmarkEnd w:id="11"/>
      <w:r>
        <w:rPr>
          <w:rFonts w:ascii="Book Antiqua" w:eastAsia="宋体" w:hAnsi="Book Antiqua" w:cs="Times New Roman"/>
          <w:sz w:val="24"/>
        </w:rPr>
        <w:t xml:space="preserve">) = 0.925], followed by D-dimer (AUC = 0.879) and GPS (AUC = 0.872). The accuracy of the combination of all indicators </w:t>
      </w:r>
      <w:r w:rsidR="006B1F01">
        <w:rPr>
          <w:rFonts w:ascii="Book Antiqua" w:eastAsia="宋体" w:hAnsi="Book Antiqua" w:cs="Times New Roman"/>
          <w:sz w:val="24"/>
        </w:rPr>
        <w:t xml:space="preserve">in </w:t>
      </w:r>
      <w:r>
        <w:rPr>
          <w:rFonts w:ascii="Book Antiqua" w:eastAsia="宋体" w:hAnsi="Book Antiqua" w:cs="Times New Roman"/>
          <w:sz w:val="24"/>
        </w:rPr>
        <w:t>predicting the prognosis of colorectal cancer was the highest (AUC = 0.973), which was signif</w:t>
      </w:r>
      <w:r>
        <w:rPr>
          <w:rFonts w:ascii="Book Antiqua" w:eastAsia="宋体" w:hAnsi="Book Antiqua" w:cs="Times New Roman"/>
          <w:sz w:val="24"/>
        </w:rPr>
        <w:t xml:space="preserve">icantly higher than that of </w:t>
      </w:r>
      <w:r w:rsidR="006B1F01">
        <w:rPr>
          <w:rFonts w:ascii="Book Antiqua" w:eastAsia="宋体" w:hAnsi="Book Antiqua" w:cs="Times New Roman"/>
          <w:sz w:val="24"/>
        </w:rPr>
        <w:t>any</w:t>
      </w:r>
      <w:r>
        <w:rPr>
          <w:rFonts w:ascii="Book Antiqua" w:eastAsia="宋体" w:hAnsi="Book Antiqua" w:cs="Times New Roman"/>
          <w:sz w:val="24"/>
        </w:rPr>
        <w:t xml:space="preserve"> of the indicators alone (</w:t>
      </w:r>
      <w:r>
        <w:rPr>
          <w:rFonts w:ascii="Book Antiqua" w:eastAsia="宋体" w:hAnsi="Book Antiqua" w:cs="Times New Roman"/>
          <w:i/>
          <w:iCs/>
          <w:sz w:val="24"/>
        </w:rPr>
        <w:t>P</w:t>
      </w:r>
      <w:r>
        <w:rPr>
          <w:rFonts w:ascii="Book Antiqua" w:eastAsia="宋体" w:hAnsi="Book Antiqua" w:cs="Times New Roman"/>
          <w:sz w:val="24"/>
        </w:rPr>
        <w:t xml:space="preserve"> &lt; 0.05). The sensitivity and specificity of the combination were 92.59% and 90.51%, respectively.</w:t>
      </w:r>
    </w:p>
    <w:p w:rsidR="00606EEE" w:rsidRDefault="00606EEE">
      <w:pPr>
        <w:spacing w:line="360" w:lineRule="auto"/>
        <w:rPr>
          <w:rFonts w:ascii="Book Antiqua" w:eastAsia="宋体" w:hAnsi="Book Antiqua" w:cs="Times New Roman"/>
          <w:b/>
          <w:bCs/>
          <w:i/>
          <w:iCs/>
          <w:kern w:val="0"/>
          <w:sz w:val="24"/>
        </w:rPr>
      </w:pPr>
    </w:p>
    <w:p w:rsidR="00606EEE" w:rsidRDefault="009A50EC">
      <w:pPr>
        <w:spacing w:line="360" w:lineRule="auto"/>
        <w:rPr>
          <w:rFonts w:ascii="Book Antiqua" w:eastAsia="宋体" w:hAnsi="Book Antiqua" w:cs="Times New Roman"/>
          <w:b/>
          <w:bCs/>
          <w:i/>
          <w:iCs/>
          <w:kern w:val="0"/>
          <w:sz w:val="24"/>
        </w:rPr>
      </w:pPr>
      <w:r>
        <w:rPr>
          <w:rFonts w:ascii="Book Antiqua" w:eastAsia="宋体" w:hAnsi="Book Antiqua" w:cs="Times New Roman"/>
          <w:b/>
          <w:bCs/>
          <w:i/>
          <w:iCs/>
          <w:kern w:val="0"/>
          <w:sz w:val="24"/>
        </w:rPr>
        <w:t>CONCLUSION</w:t>
      </w:r>
    </w:p>
    <w:p w:rsidR="00606EEE" w:rsidRDefault="009A50EC">
      <w:pPr>
        <w:spacing w:line="360" w:lineRule="auto"/>
        <w:rPr>
          <w:rFonts w:ascii="Book Antiqua" w:eastAsia="宋体" w:hAnsi="Book Antiqua" w:cs="Times New Roman"/>
          <w:kern w:val="0"/>
          <w:sz w:val="24"/>
        </w:rPr>
      </w:pPr>
      <w:r>
        <w:rPr>
          <w:rFonts w:ascii="Book Antiqua" w:eastAsia="宋体" w:hAnsi="Book Antiqua" w:cs="Times New Roman"/>
          <w:kern w:val="0"/>
          <w:sz w:val="24"/>
        </w:rPr>
        <w:t>The independent influence factors for the prognosis of colorectal cancer include TNM s</w:t>
      </w:r>
      <w:r>
        <w:rPr>
          <w:rFonts w:ascii="Book Antiqua" w:eastAsia="宋体" w:hAnsi="Book Antiqua" w:cs="Times New Roman"/>
          <w:kern w:val="0"/>
          <w:sz w:val="24"/>
        </w:rPr>
        <w:t>tage, PCNA, GPS, NLR, CAR, D-dimer, and CEA. The combined assessment of the independent factors is the most accurate predictor of the prognosis after colorectal cancer surgery.</w:t>
      </w:r>
    </w:p>
    <w:p w:rsidR="00606EEE" w:rsidRDefault="00606EEE">
      <w:pPr>
        <w:spacing w:line="360" w:lineRule="auto"/>
        <w:rPr>
          <w:rFonts w:ascii="Book Antiqua" w:eastAsia="宋体" w:hAnsi="Book Antiqua" w:cs="Times New Roman"/>
          <w:b/>
          <w:kern w:val="0"/>
          <w:sz w:val="24"/>
        </w:rPr>
      </w:pPr>
    </w:p>
    <w:p w:rsidR="00606EEE" w:rsidRDefault="009A50EC">
      <w:pPr>
        <w:spacing w:line="360" w:lineRule="auto"/>
        <w:rPr>
          <w:rFonts w:ascii="Book Antiqua" w:eastAsia="宋体" w:hAnsi="Book Antiqua" w:cs="Times New Roman"/>
          <w:bCs/>
          <w:kern w:val="0"/>
          <w:sz w:val="24"/>
        </w:rPr>
      </w:pPr>
      <w:r>
        <w:rPr>
          <w:rFonts w:ascii="Book Antiqua" w:eastAsia="宋体" w:hAnsi="Book Antiqua" w:cs="Times New Roman"/>
          <w:b/>
          <w:kern w:val="0"/>
          <w:sz w:val="24"/>
        </w:rPr>
        <w:t xml:space="preserve">Key words: </w:t>
      </w:r>
      <w:r>
        <w:rPr>
          <w:rFonts w:ascii="Book Antiqua" w:eastAsia="宋体" w:hAnsi="Book Antiqua" w:cs="Times New Roman"/>
          <w:bCs/>
          <w:kern w:val="0"/>
          <w:sz w:val="24"/>
        </w:rPr>
        <w:t xml:space="preserve">Colorectal cancer; Prognosis; Influencing factors; Combination </w:t>
      </w:r>
      <w:r>
        <w:rPr>
          <w:rFonts w:ascii="Book Antiqua" w:eastAsia="宋体" w:hAnsi="Book Antiqua" w:cs="Times New Roman"/>
          <w:bCs/>
          <w:kern w:val="0"/>
          <w:sz w:val="24"/>
        </w:rPr>
        <w:t>assessment</w:t>
      </w:r>
    </w:p>
    <w:p w:rsidR="00606EEE" w:rsidRDefault="00606EEE">
      <w:pPr>
        <w:adjustRightInd w:val="0"/>
        <w:snapToGrid w:val="0"/>
        <w:spacing w:line="360" w:lineRule="auto"/>
        <w:rPr>
          <w:rFonts w:ascii="Book Antiqua" w:hAnsi="Book Antiqua" w:cs="Times New Roman"/>
          <w:b/>
          <w:sz w:val="24"/>
        </w:rPr>
      </w:pPr>
      <w:bookmarkStart w:id="12" w:name="_Hlk15548538"/>
    </w:p>
    <w:p w:rsidR="00606EEE" w:rsidRDefault="009A50EC">
      <w:pPr>
        <w:autoSpaceDE w:val="0"/>
        <w:autoSpaceDN w:val="0"/>
        <w:adjustRightInd w:val="0"/>
        <w:snapToGrid w:val="0"/>
        <w:spacing w:line="360" w:lineRule="auto"/>
        <w:rPr>
          <w:rFonts w:ascii="Book Antiqua" w:hAnsi="Book Antiqua" w:cs="Arial Unicode MS"/>
          <w:sz w:val="24"/>
        </w:rPr>
      </w:pPr>
      <w:bookmarkStart w:id="13" w:name="OLE_LINK156"/>
      <w:bookmarkStart w:id="14" w:name="OLE_LINK98"/>
      <w:bookmarkStart w:id="15" w:name="OLE_LINK196"/>
      <w:bookmarkStart w:id="16" w:name="OLE_LINK217"/>
      <w:bookmarkStart w:id="17" w:name="OLE_LINK504"/>
      <w:bookmarkStart w:id="18" w:name="OLE_LINK546"/>
      <w:bookmarkStart w:id="19" w:name="OLE_LINK547"/>
      <w:bookmarkStart w:id="20" w:name="OLE_LINK640"/>
      <w:bookmarkStart w:id="21" w:name="OLE_LINK474"/>
      <w:bookmarkStart w:id="22" w:name="OLE_LINK651"/>
      <w:bookmarkStart w:id="23" w:name="OLE_LINK652"/>
      <w:bookmarkStart w:id="24" w:name="OLE_LINK472"/>
      <w:bookmarkStart w:id="25" w:name="OLE_LINK311"/>
      <w:bookmarkStart w:id="26" w:name="OLE_LINK744"/>
      <w:bookmarkStart w:id="27" w:name="OLE_LINK312"/>
      <w:bookmarkStart w:id="28" w:name="OLE_LINK758"/>
      <w:bookmarkStart w:id="29" w:name="OLE_LINK787"/>
      <w:bookmarkStart w:id="30" w:name="OLE_LINK247"/>
      <w:bookmarkStart w:id="31" w:name="OLE_LINK512"/>
      <w:bookmarkStart w:id="32" w:name="OLE_LINK1027"/>
      <w:bookmarkStart w:id="33" w:name="OLE_LINK807"/>
      <w:bookmarkStart w:id="34" w:name="OLE_LINK325"/>
      <w:bookmarkStart w:id="35" w:name="OLE_LINK465"/>
      <w:bookmarkStart w:id="36" w:name="OLE_LINK513"/>
      <w:bookmarkStart w:id="37" w:name="OLE_LINK471"/>
      <w:bookmarkStart w:id="38" w:name="OLE_LINK800"/>
      <w:bookmarkStart w:id="39" w:name="OLE_LINK982"/>
      <w:bookmarkStart w:id="40" w:name="OLE_LINK575"/>
      <w:bookmarkStart w:id="41" w:name="OLE_LINK672"/>
      <w:bookmarkStart w:id="42" w:name="OLE_LINK714"/>
      <w:bookmarkStart w:id="43" w:name="OLE_LINK242"/>
      <w:bookmarkStart w:id="44" w:name="OLE_LINK464"/>
      <w:bookmarkStart w:id="45" w:name="OLE_LINK466"/>
      <w:bookmarkStart w:id="46" w:name="OLE_LINK470"/>
      <w:bookmarkStart w:id="47" w:name="OLE_LINK330"/>
      <w:bookmarkStart w:id="48" w:name="OLE_LINK514"/>
      <w:bookmarkStart w:id="49" w:name="OLE_LINK1334"/>
      <w:bookmarkStart w:id="50" w:name="OLE_LINK1163"/>
      <w:bookmarkStart w:id="51" w:name="OLE_LINK1361"/>
      <w:bookmarkStart w:id="52" w:name="OLE_LINK1403"/>
      <w:bookmarkStart w:id="53" w:name="OLE_LINK1454"/>
      <w:bookmarkStart w:id="54" w:name="OLE_LINK1348"/>
      <w:bookmarkStart w:id="55" w:name="OLE_LINK1480"/>
      <w:bookmarkStart w:id="56" w:name="OLE_LINK1060"/>
      <w:bookmarkStart w:id="57" w:name="OLE_LINK1384"/>
      <w:bookmarkStart w:id="58" w:name="OLE_LINK1504"/>
      <w:bookmarkStart w:id="59" w:name="OLE_LINK1516"/>
      <w:bookmarkStart w:id="60" w:name="OLE_LINK820"/>
      <w:bookmarkStart w:id="61" w:name="OLE_LINK135"/>
      <w:bookmarkStart w:id="62" w:name="OLE_LINK216"/>
      <w:bookmarkStart w:id="63" w:name="OLE_LINK862"/>
      <w:bookmarkStart w:id="64" w:name="OLE_LINK928"/>
      <w:bookmarkStart w:id="65" w:name="OLE_LINK1100"/>
      <w:bookmarkStart w:id="66" w:name="OLE_LINK1086"/>
      <w:bookmarkStart w:id="67" w:name="OLE_LINK1125"/>
      <w:bookmarkStart w:id="68" w:name="OLE_LINK960"/>
      <w:bookmarkStart w:id="69" w:name="OLE_LINK1061"/>
      <w:bookmarkStart w:id="70" w:name="OLE_LINK1437"/>
      <w:bookmarkStart w:id="71" w:name="OLE_LINK861"/>
      <w:bookmarkStart w:id="72" w:name="OLE_LINK1029"/>
      <w:bookmarkStart w:id="73" w:name="OLE_LINK1193"/>
      <w:bookmarkStart w:id="74" w:name="OLE_LINK879"/>
      <w:bookmarkStart w:id="75" w:name="OLE_LINK906"/>
      <w:bookmarkStart w:id="76" w:name="OLE_LINK983"/>
      <w:bookmarkStart w:id="77" w:name="OLE_LINK1247"/>
      <w:bookmarkStart w:id="78" w:name="OLE_LINK1284"/>
      <w:bookmarkStart w:id="79" w:name="OLE_LINK1313"/>
      <w:bookmarkStart w:id="80" w:name="OLE_LINK1219"/>
      <w:bookmarkStart w:id="81" w:name="OLE_LINK1539"/>
      <w:bookmarkStart w:id="82" w:name="OLE_LINK1777"/>
      <w:bookmarkStart w:id="83" w:name="OLE_LINK1868"/>
      <w:bookmarkStart w:id="84" w:name="OLE_LINK1882"/>
      <w:bookmarkStart w:id="85" w:name="OLE_LINK1929"/>
      <w:bookmarkStart w:id="86" w:name="OLE_LINK1543"/>
      <w:bookmarkStart w:id="87" w:name="OLE_LINK1478"/>
      <w:bookmarkStart w:id="88" w:name="OLE_LINK1778"/>
      <w:bookmarkStart w:id="89" w:name="OLE_LINK1938"/>
      <w:bookmarkStart w:id="90" w:name="OLE_LINK1995"/>
      <w:bookmarkStart w:id="91" w:name="OLE_LINK1744"/>
      <w:bookmarkStart w:id="92" w:name="OLE_LINK2081"/>
      <w:bookmarkStart w:id="93" w:name="OLE_LINK2082"/>
      <w:bookmarkStart w:id="94" w:name="OLE_LINK1186"/>
      <w:bookmarkStart w:id="95" w:name="OLE_LINK1265"/>
      <w:bookmarkStart w:id="96" w:name="OLE_LINK1644"/>
      <w:bookmarkStart w:id="97" w:name="OLE_LINK1549"/>
      <w:bookmarkStart w:id="98" w:name="OLE_LINK1776"/>
      <w:bookmarkStart w:id="99" w:name="OLE_LINK259"/>
      <w:bookmarkStart w:id="100" w:name="OLE_LINK1817"/>
      <w:bookmarkStart w:id="101" w:name="OLE_LINK1756"/>
      <w:bookmarkStart w:id="102" w:name="OLE_LINK1538"/>
      <w:bookmarkStart w:id="103" w:name="OLE_LINK1866"/>
      <w:bookmarkStart w:id="104" w:name="OLE_LINK1902"/>
      <w:bookmarkStart w:id="105" w:name="OLE_LINK1885"/>
      <w:bookmarkStart w:id="106" w:name="OLE_LINK1941"/>
      <w:bookmarkStart w:id="107" w:name="OLE_LINK1901"/>
      <w:bookmarkStart w:id="108" w:name="OLE_LINK2013"/>
      <w:bookmarkStart w:id="109" w:name="OLE_LINK1884"/>
      <w:bookmarkStart w:id="110" w:name="OLE_LINK1894"/>
      <w:bookmarkStart w:id="111" w:name="OLE_LINK1373"/>
      <w:bookmarkStart w:id="112" w:name="OLE_LINK1835"/>
      <w:bookmarkStart w:id="113" w:name="OLE_LINK2252"/>
      <w:bookmarkStart w:id="114" w:name="OLE_LINK2134"/>
      <w:bookmarkStart w:id="115" w:name="OLE_LINK2348"/>
      <w:bookmarkStart w:id="116" w:name="OLE_LINK2627"/>
      <w:bookmarkStart w:id="117" w:name="OLE_LINK2157"/>
      <w:bookmarkStart w:id="118" w:name="OLE_LINK2482"/>
      <w:bookmarkStart w:id="119" w:name="OLE_LINK2856"/>
      <w:bookmarkStart w:id="120" w:name="OLE_LINK2643"/>
      <w:bookmarkStart w:id="121" w:name="OLE_LINK1931"/>
      <w:bookmarkStart w:id="122" w:name="OLE_LINK2192"/>
      <w:bookmarkStart w:id="123" w:name="OLE_LINK1923"/>
      <w:bookmarkStart w:id="124" w:name="OLE_LINK2663"/>
      <w:bookmarkStart w:id="125" w:name="OLE_LINK2110"/>
      <w:bookmarkStart w:id="126" w:name="OLE_LINK2993"/>
      <w:bookmarkStart w:id="127" w:name="OLE_LINK2583"/>
      <w:bookmarkStart w:id="128" w:name="OLE_LINK2020"/>
      <w:bookmarkStart w:id="129" w:name="OLE_LINK2445"/>
      <w:bookmarkStart w:id="130" w:name="OLE_LINK2451"/>
      <w:bookmarkStart w:id="131" w:name="OLE_LINK2484"/>
      <w:bookmarkStart w:id="132" w:name="OLE_LINK2761"/>
      <w:bookmarkStart w:id="133" w:name="OLE_LINK2446"/>
      <w:bookmarkStart w:id="134" w:name="OLE_LINK2071"/>
      <w:bookmarkStart w:id="135" w:name="OLE_LINK1964"/>
      <w:bookmarkStart w:id="136" w:name="OLE_LINK2190"/>
      <w:bookmarkStart w:id="137" w:name="OLE_LINK2331"/>
      <w:bookmarkStart w:id="138" w:name="OLE_LINK2345"/>
      <w:bookmarkStart w:id="139" w:name="OLE_LINK2562"/>
      <w:bookmarkStart w:id="140" w:name="OLE_LINK2169"/>
      <w:bookmarkStart w:id="141" w:name="OLE_LINK2467"/>
      <w:bookmarkStart w:id="142" w:name="OLE_LINK2221"/>
      <w:bookmarkStart w:id="143" w:name="OLE_LINK2292"/>
      <w:bookmarkStart w:id="144" w:name="OLE_LINK2265"/>
      <w:bookmarkStart w:id="145" w:name="OLE_LINK2582"/>
      <w:bookmarkStart w:id="146" w:name="OLE_LINK2762"/>
      <w:bookmarkStart w:id="147" w:name="OLE_LINK2962"/>
      <w:r>
        <w:rPr>
          <w:rFonts w:ascii="Book Antiqua" w:hAnsi="Book Antiqua"/>
          <w:b/>
          <w:sz w:val="24"/>
          <w:lang w:val="en-GB"/>
        </w:rPr>
        <w:t xml:space="preserve">© </w:t>
      </w:r>
      <w:r>
        <w:rPr>
          <w:rFonts w:ascii="Book Antiqua" w:eastAsia="AdvTimes" w:hAnsi="Book Antiqua" w:cs="AdvTimes"/>
          <w:b/>
          <w:sz w:val="24"/>
        </w:rPr>
        <w:t>The Author(s) 2019.</w:t>
      </w:r>
      <w:r>
        <w:rPr>
          <w:rFonts w:ascii="Book Antiqua" w:eastAsia="AdvTimes" w:hAnsi="Book Antiqua" w:cs="AdvTimes"/>
          <w:sz w:val="24"/>
        </w:rPr>
        <w:t xml:space="preserve"> Published by </w:t>
      </w:r>
      <w:r>
        <w:rPr>
          <w:rFonts w:ascii="Book Antiqua" w:hAnsi="Book Antiqua" w:cs="Arial Unicode MS"/>
          <w:sz w:val="24"/>
          <w:lang w:val="en-GB"/>
        </w:rPr>
        <w:t>Baishideng Publishing Group Inc.</w:t>
      </w:r>
      <w:r>
        <w:rPr>
          <w:rFonts w:ascii="Book Antiqua" w:hAnsi="Book Antiqua" w:cs="Arial Unicode MS"/>
          <w:sz w:val="24"/>
        </w:rPr>
        <w:t xml:space="preserve">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606EEE" w:rsidRDefault="00606EEE">
      <w:pPr>
        <w:adjustRightInd w:val="0"/>
        <w:snapToGrid w:val="0"/>
        <w:spacing w:line="360" w:lineRule="auto"/>
        <w:rPr>
          <w:rFonts w:ascii="Book Antiqua" w:hAnsi="Book Antiqua" w:cs="Times New Roman"/>
          <w:b/>
          <w:sz w:val="24"/>
        </w:rPr>
      </w:pPr>
    </w:p>
    <w:p w:rsidR="00606EEE" w:rsidRDefault="009A50EC">
      <w:pPr>
        <w:adjustRightInd w:val="0"/>
        <w:snapToGrid w:val="0"/>
        <w:spacing w:line="360" w:lineRule="auto"/>
        <w:rPr>
          <w:rFonts w:ascii="Book Antiqua" w:eastAsia="Arial Unicode MS" w:hAnsi="Book Antiqua" w:cs="Times New Roman"/>
          <w:sz w:val="24"/>
          <w:lang w:val="en"/>
        </w:rPr>
      </w:pPr>
      <w:r>
        <w:rPr>
          <w:rFonts w:ascii="Book Antiqua" w:hAnsi="Book Antiqua" w:cs="Times New Roman"/>
          <w:b/>
          <w:sz w:val="24"/>
        </w:rPr>
        <w:t xml:space="preserve">Core tip: </w:t>
      </w:r>
      <w:r>
        <w:rPr>
          <w:rFonts w:ascii="Book Antiqua" w:eastAsia="Arial Unicode MS" w:hAnsi="Book Antiqua" w:cs="Times New Roman"/>
          <w:sz w:val="24"/>
          <w:lang w:val="en"/>
        </w:rPr>
        <w:t>Accurate assessment of the prognosis after colorectal cancer surgery is of great importance in patients with colorectal cancer. This study syste</w:t>
      </w:r>
      <w:r>
        <w:rPr>
          <w:rFonts w:ascii="Book Antiqua" w:eastAsia="Arial Unicode MS" w:hAnsi="Book Antiqua" w:cs="Times New Roman"/>
          <w:sz w:val="24"/>
          <w:lang w:val="en"/>
        </w:rPr>
        <w:t xml:space="preserve">matically analyzed the influence of clinical data and serological and histological indicators on the prognosis of patients with colorectal cancer and </w:t>
      </w:r>
      <w:r>
        <w:rPr>
          <w:rFonts w:ascii="Book Antiqua" w:eastAsia="Arial Unicode MS" w:hAnsi="Book Antiqua" w:cs="Times New Roman"/>
          <w:sz w:val="24"/>
          <w:lang w:val="en"/>
        </w:rPr>
        <w:lastRenderedPageBreak/>
        <w:t>the results revealed that the independent influence factors for the prognosis of colorectal cancer include</w:t>
      </w:r>
      <w:r>
        <w:rPr>
          <w:rFonts w:ascii="Book Antiqua" w:eastAsia="Arial Unicode MS" w:hAnsi="Book Antiqua" w:cs="Times New Roman"/>
          <w:sz w:val="24"/>
          <w:lang w:val="en"/>
        </w:rPr>
        <w:t xml:space="preserve"> </w:t>
      </w:r>
      <w:r>
        <w:rPr>
          <w:rFonts w:ascii="Book Antiqua" w:eastAsia="宋体" w:hAnsi="Book Antiqua" w:cs="Times New Roman"/>
          <w:kern w:val="0"/>
          <w:sz w:val="24"/>
        </w:rPr>
        <w:t>tumor-node-metastasis</w:t>
      </w:r>
      <w:r>
        <w:rPr>
          <w:rFonts w:ascii="Book Antiqua" w:eastAsia="Arial Unicode MS" w:hAnsi="Book Antiqua" w:cs="Times New Roman"/>
          <w:sz w:val="24"/>
          <w:lang w:val="en"/>
        </w:rPr>
        <w:t xml:space="preserve"> stage, </w:t>
      </w:r>
      <w:r>
        <w:rPr>
          <w:rFonts w:ascii="Book Antiqua" w:eastAsia="宋体" w:hAnsi="Book Antiqua" w:cs="Times New Roman"/>
          <w:kern w:val="0"/>
          <w:sz w:val="24"/>
        </w:rPr>
        <w:t>proliferating cell nuclear antigen</w:t>
      </w:r>
      <w:r>
        <w:rPr>
          <w:rFonts w:ascii="Book Antiqua" w:eastAsia="Arial Unicode MS" w:hAnsi="Book Antiqua" w:cs="Times New Roman"/>
          <w:sz w:val="24"/>
          <w:lang w:val="en"/>
        </w:rPr>
        <w:t xml:space="preserve">, </w:t>
      </w:r>
      <w:r>
        <w:rPr>
          <w:rFonts w:ascii="Book Antiqua" w:eastAsia="宋体" w:hAnsi="Book Antiqua" w:cs="Times New Roman"/>
          <w:sz w:val="24"/>
        </w:rPr>
        <w:t>Glasgow prognostic score</w:t>
      </w:r>
      <w:r>
        <w:rPr>
          <w:rFonts w:ascii="Book Antiqua" w:eastAsia="Arial Unicode MS" w:hAnsi="Book Antiqua" w:cs="Times New Roman"/>
          <w:sz w:val="24"/>
          <w:lang w:val="en"/>
        </w:rPr>
        <w:t xml:space="preserve">, </w:t>
      </w:r>
      <w:r>
        <w:rPr>
          <w:rFonts w:ascii="Book Antiqua" w:eastAsia="宋体" w:hAnsi="Book Antiqua" w:cs="Times New Roman"/>
          <w:sz w:val="24"/>
        </w:rPr>
        <w:t>neutrophil-lymphocyte ratio</w:t>
      </w:r>
      <w:r>
        <w:rPr>
          <w:rFonts w:ascii="Book Antiqua" w:eastAsia="Arial Unicode MS" w:hAnsi="Book Antiqua" w:cs="Times New Roman"/>
          <w:sz w:val="24"/>
          <w:lang w:val="en"/>
        </w:rPr>
        <w:t xml:space="preserve">, </w:t>
      </w:r>
      <w:r>
        <w:rPr>
          <w:rFonts w:ascii="Book Antiqua" w:eastAsia="宋体" w:hAnsi="Book Antiqua" w:cs="Times New Roman"/>
          <w:sz w:val="24"/>
        </w:rPr>
        <w:t>C-reactive protein/albumin ratio</w:t>
      </w:r>
      <w:r>
        <w:rPr>
          <w:rFonts w:ascii="Book Antiqua" w:eastAsia="Arial Unicode MS" w:hAnsi="Book Antiqua" w:cs="Times New Roman"/>
          <w:sz w:val="24"/>
          <w:lang w:val="en"/>
        </w:rPr>
        <w:t>, D-dimer, and carcinoembryonic antigen. The combined assessment of the independent factors is the most</w:t>
      </w:r>
      <w:r>
        <w:rPr>
          <w:rFonts w:ascii="Book Antiqua" w:eastAsia="Arial Unicode MS" w:hAnsi="Book Antiqua" w:cs="Times New Roman"/>
          <w:sz w:val="24"/>
          <w:lang w:val="en"/>
        </w:rPr>
        <w:t xml:space="preserve"> accurate predictor of the prognosis after colorectal cancer surgery.</w:t>
      </w:r>
    </w:p>
    <w:p w:rsidR="00606EEE" w:rsidRDefault="00606EEE">
      <w:pPr>
        <w:adjustRightInd w:val="0"/>
        <w:snapToGrid w:val="0"/>
        <w:spacing w:line="360" w:lineRule="auto"/>
        <w:rPr>
          <w:rFonts w:ascii="Book Antiqua" w:hAnsi="Book Antiqua" w:cs="Times New Roman"/>
          <w:sz w:val="24"/>
          <w:lang w:val="en"/>
        </w:rPr>
      </w:pPr>
    </w:p>
    <w:p w:rsidR="00606EEE" w:rsidRDefault="009A50EC">
      <w:pPr>
        <w:spacing w:line="360" w:lineRule="auto"/>
        <w:rPr>
          <w:rFonts w:ascii="Book Antiqua" w:hAnsi="Book Antiqua"/>
          <w:sz w:val="24"/>
        </w:rPr>
      </w:pPr>
      <w:r>
        <w:rPr>
          <w:rFonts w:ascii="Book Antiqua" w:eastAsia="Verdana" w:hAnsi="Book Antiqua" w:cs="Times New Roman"/>
          <w:sz w:val="24"/>
          <w:shd w:val="clear" w:color="auto" w:fill="FFFFFF"/>
        </w:rPr>
        <w:t xml:space="preserve">Jin LJ, Chen WB, Zhang XY, Bai J, </w:t>
      </w:r>
      <w:r>
        <w:rPr>
          <w:rFonts w:ascii="Book Antiqua" w:hAnsi="Book Antiqua"/>
          <w:sz w:val="24"/>
        </w:rPr>
        <w:t>Zhao HC</w:t>
      </w:r>
      <w:r>
        <w:rPr>
          <w:rFonts w:ascii="Book Antiqua" w:hAnsi="Book Antiqua"/>
          <w:sz w:val="24"/>
          <w:shd w:val="clear" w:color="auto" w:fill="FFFFFF"/>
        </w:rPr>
        <w:t xml:space="preserve">, </w:t>
      </w:r>
      <w:r>
        <w:rPr>
          <w:rFonts w:ascii="Book Antiqua" w:eastAsia="Verdana" w:hAnsi="Book Antiqua" w:cs="Times New Roman"/>
          <w:sz w:val="24"/>
          <w:shd w:val="clear" w:color="auto" w:fill="FFFFFF"/>
        </w:rPr>
        <w:t>Wang ZY.</w:t>
      </w:r>
      <w:r>
        <w:rPr>
          <w:rFonts w:ascii="Book Antiqua" w:eastAsia="宋体" w:hAnsi="Book Antiqua" w:cs="Times New Roman"/>
          <w:b/>
          <w:kern w:val="0"/>
          <w:sz w:val="24"/>
        </w:rPr>
        <w:t xml:space="preserve"> </w:t>
      </w:r>
      <w:r>
        <w:rPr>
          <w:rFonts w:ascii="Book Antiqua" w:eastAsia="宋体" w:hAnsi="Book Antiqua" w:cs="Times New Roman"/>
          <w:bCs/>
          <w:kern w:val="0"/>
          <w:sz w:val="24"/>
        </w:rPr>
        <w:t>Analysis of factors potentially predicting prognosis of colorectal cancer.</w:t>
      </w:r>
      <w:r>
        <w:rPr>
          <w:rFonts w:ascii="Book Antiqua" w:eastAsia="宋体" w:hAnsi="Book Antiqua" w:cs="Times New Roman"/>
          <w:i/>
          <w:sz w:val="24"/>
          <w:lang w:val="en-GB"/>
        </w:rPr>
        <w:t xml:space="preserve"> World J Gastrointest Oncol 2019;</w:t>
      </w:r>
      <w:r>
        <w:rPr>
          <w:rFonts w:ascii="Book Antiqua" w:hAnsi="Book Antiqua"/>
          <w:sz w:val="24"/>
        </w:rPr>
        <w:t xml:space="preserve"> In press</w:t>
      </w:r>
    </w:p>
    <w:p w:rsidR="00606EEE" w:rsidRDefault="009A50EC">
      <w:pPr>
        <w:widowControl/>
        <w:jc w:val="left"/>
        <w:rPr>
          <w:rFonts w:ascii="Book Antiqua" w:eastAsia="Arial Unicode MS" w:hAnsi="Book Antiqua" w:cs="Times New Roman"/>
          <w:sz w:val="24"/>
          <w:lang w:val="en"/>
        </w:rPr>
      </w:pPr>
      <w:r>
        <w:rPr>
          <w:rFonts w:ascii="Book Antiqua" w:eastAsia="Arial Unicode MS" w:hAnsi="Book Antiqua" w:cs="Times New Roman"/>
          <w:sz w:val="24"/>
          <w:lang w:val="en"/>
        </w:rPr>
        <w:br w:type="page"/>
      </w:r>
    </w:p>
    <w:bookmarkEnd w:id="12"/>
    <w:p w:rsidR="00606EEE" w:rsidRDefault="009A50EC">
      <w:pPr>
        <w:spacing w:line="360" w:lineRule="auto"/>
        <w:rPr>
          <w:rFonts w:ascii="Book Antiqua" w:eastAsia="宋体" w:hAnsi="Book Antiqua" w:cs="Times New Roman"/>
          <w:b/>
          <w:kern w:val="0"/>
          <w:sz w:val="24"/>
        </w:rPr>
      </w:pPr>
      <w:r>
        <w:rPr>
          <w:rFonts w:ascii="Book Antiqua" w:eastAsia="宋体" w:hAnsi="Book Antiqua" w:cs="Times New Roman"/>
          <w:b/>
          <w:kern w:val="0"/>
          <w:sz w:val="24"/>
        </w:rPr>
        <w:lastRenderedPageBreak/>
        <w:t>INTRODUCTION</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T</w:t>
      </w:r>
      <w:r>
        <w:rPr>
          <w:rFonts w:ascii="Book Antiqua" w:eastAsia="宋体" w:hAnsi="Book Antiqua" w:cs="Times New Roman"/>
          <w:sz w:val="24"/>
        </w:rPr>
        <w:t>he prognosis of colorectal cancer is poor, and its mortality rate ranks third among all malignancies in the world</w:t>
      </w:r>
      <w:r>
        <w:rPr>
          <w:rFonts w:ascii="Book Antiqua" w:eastAsia="宋体" w:hAnsi="Book Antiqua" w:cs="Times New Roman"/>
          <w:sz w:val="24"/>
          <w:vertAlign w:val="superscript"/>
        </w:rPr>
        <w:t>[1-3]</w:t>
      </w:r>
      <w:r>
        <w:rPr>
          <w:rFonts w:ascii="Book Antiqua" w:eastAsia="宋体" w:hAnsi="Book Antiqua" w:cs="Times New Roman"/>
          <w:sz w:val="24"/>
        </w:rPr>
        <w:t>. Surgery is the main method of colorectal cancer treatment. Accurate assessment of surgical prognosis plays an important role in the trea</w:t>
      </w:r>
      <w:r>
        <w:rPr>
          <w:rFonts w:ascii="Book Antiqua" w:eastAsia="宋体" w:hAnsi="Book Antiqua" w:cs="Times New Roman"/>
          <w:sz w:val="24"/>
        </w:rPr>
        <w:t>tment of colorectal cancer patients. Currently, studies on the factors affecting the prognosis of colorectal cancer are very popular. Studies have shown that high Glasgow prognostic score (GPS) in colorectal cancer is more likely to predict a poor prognosi</w:t>
      </w:r>
      <w:r>
        <w:rPr>
          <w:rFonts w:ascii="Book Antiqua" w:eastAsia="宋体" w:hAnsi="Book Antiqua" w:cs="Times New Roman"/>
          <w:sz w:val="24"/>
        </w:rPr>
        <w:t>s</w:t>
      </w:r>
      <w:r>
        <w:rPr>
          <w:rFonts w:ascii="Book Antiqua" w:eastAsia="宋体" w:hAnsi="Book Antiqua" w:cs="Times New Roman"/>
          <w:sz w:val="24"/>
          <w:vertAlign w:val="superscript"/>
        </w:rPr>
        <w:t>[4-6]</w:t>
      </w:r>
      <w:r>
        <w:rPr>
          <w:rFonts w:ascii="Book Antiqua" w:eastAsia="宋体" w:hAnsi="Book Antiqua" w:cs="Times New Roman"/>
          <w:sz w:val="24"/>
        </w:rPr>
        <w:t>. The results of Arfa</w:t>
      </w:r>
      <w:r>
        <w:rPr>
          <w:rFonts w:ascii="Book Antiqua" w:eastAsia="宋体" w:hAnsi="Book Antiqua" w:cs="Times New Roman"/>
          <w:i/>
          <w:iCs/>
          <w:sz w:val="24"/>
        </w:rPr>
        <w:t xml:space="preserve"> et al</w:t>
      </w:r>
      <w:r>
        <w:rPr>
          <w:rFonts w:ascii="Book Antiqua" w:eastAsia="宋体" w:hAnsi="Book Antiqua" w:cs="Times New Roman"/>
          <w:sz w:val="24"/>
          <w:vertAlign w:val="superscript"/>
        </w:rPr>
        <w:t>[7]</w:t>
      </w:r>
      <w:r>
        <w:rPr>
          <w:rFonts w:ascii="Book Antiqua" w:eastAsia="宋体" w:hAnsi="Book Antiqua" w:cs="Times New Roman"/>
          <w:sz w:val="24"/>
        </w:rPr>
        <w:t xml:space="preserve"> showed that </w:t>
      </w:r>
      <w:r>
        <w:rPr>
          <w:rFonts w:ascii="Book Antiqua" w:eastAsia="宋体" w:hAnsi="Book Antiqua" w:cs="Times New Roman"/>
          <w:kern w:val="0"/>
          <w:sz w:val="24"/>
        </w:rPr>
        <w:t>tumor-node-metastasis</w:t>
      </w:r>
      <w:r>
        <w:rPr>
          <w:rFonts w:ascii="Book Antiqua" w:eastAsia="宋体" w:hAnsi="Book Antiqua" w:cs="Times New Roman"/>
          <w:sz w:val="24"/>
        </w:rPr>
        <w:t xml:space="preserve"> (TNM) stage is associated with the prognosis of colorectal cancer. Studies by </w:t>
      </w:r>
      <w:r>
        <w:rPr>
          <w:rFonts w:ascii="Book Antiqua" w:hAnsi="Book Antiqua" w:cs="Times New Roman"/>
          <w:sz w:val="24"/>
        </w:rPr>
        <w:t>Kanemitsu</w:t>
      </w:r>
      <w:r>
        <w:rPr>
          <w:rFonts w:ascii="Book Antiqua" w:eastAsia="宋体" w:hAnsi="Book Antiqua" w:cs="Times New Roman"/>
          <w:i/>
          <w:iCs/>
          <w:sz w:val="24"/>
        </w:rPr>
        <w:t xml:space="preserve"> et al</w:t>
      </w:r>
      <w:r>
        <w:rPr>
          <w:rFonts w:ascii="Book Antiqua" w:eastAsia="宋体" w:hAnsi="Book Antiqua" w:cs="Times New Roman"/>
          <w:sz w:val="24"/>
          <w:vertAlign w:val="superscript"/>
        </w:rPr>
        <w:t>[8]</w:t>
      </w:r>
      <w:r>
        <w:rPr>
          <w:rFonts w:ascii="Book Antiqua" w:eastAsia="宋体" w:hAnsi="Book Antiqua" w:cs="Times New Roman"/>
          <w:sz w:val="24"/>
        </w:rPr>
        <w:t xml:space="preserve"> have demonstrated that histological type and degree of differentiation of tumors can affect their biological behavior and further affect clinical outcomes. In addition, studies have found that </w:t>
      </w:r>
      <w:r>
        <w:rPr>
          <w:rFonts w:ascii="Book Antiqua" w:eastAsia="宋体" w:hAnsi="Book Antiqua" w:cs="Times New Roman"/>
          <w:i/>
          <w:iCs/>
          <w:sz w:val="24"/>
        </w:rPr>
        <w:t>in vivo</w:t>
      </w:r>
      <w:r>
        <w:rPr>
          <w:rFonts w:ascii="Book Antiqua" w:eastAsia="宋体" w:hAnsi="Book Antiqua" w:cs="Times New Roman"/>
          <w:sz w:val="24"/>
        </w:rPr>
        <w:t xml:space="preserve"> inflammatory response can have an impact on the occurr</w:t>
      </w:r>
      <w:r>
        <w:rPr>
          <w:rFonts w:ascii="Book Antiqua" w:eastAsia="宋体" w:hAnsi="Book Antiqua" w:cs="Times New Roman"/>
          <w:sz w:val="24"/>
        </w:rPr>
        <w:t>ence and development of tumors</w:t>
      </w:r>
      <w:r>
        <w:rPr>
          <w:rFonts w:ascii="Book Antiqua" w:eastAsia="宋体" w:hAnsi="Book Antiqua" w:cs="Times New Roman"/>
          <w:sz w:val="24"/>
          <w:vertAlign w:val="superscript"/>
        </w:rPr>
        <w:t>[9]</w:t>
      </w:r>
      <w:r>
        <w:rPr>
          <w:rFonts w:ascii="Book Antiqua" w:eastAsia="宋体" w:hAnsi="Book Antiqua" w:cs="Times New Roman"/>
          <w:sz w:val="24"/>
        </w:rPr>
        <w:t>. Serum C-reactive protein</w:t>
      </w:r>
      <w:r>
        <w:rPr>
          <w:rFonts w:ascii="Book Antiqua" w:eastAsia="宋体" w:hAnsi="Book Antiqua" w:cs="Times New Roman"/>
          <w:sz w:val="24"/>
          <w:vertAlign w:val="superscript"/>
        </w:rPr>
        <w:t>[10,11]</w:t>
      </w:r>
      <w:r>
        <w:rPr>
          <w:rFonts w:ascii="Book Antiqua" w:eastAsia="宋体" w:hAnsi="Book Antiqua" w:cs="Times New Roman"/>
          <w:sz w:val="24"/>
        </w:rPr>
        <w:t>, albumin</w:t>
      </w:r>
      <w:r>
        <w:rPr>
          <w:rFonts w:ascii="Book Antiqua" w:eastAsia="宋体" w:hAnsi="Book Antiqua" w:cs="Times New Roman"/>
          <w:sz w:val="24"/>
          <w:vertAlign w:val="superscript"/>
        </w:rPr>
        <w:t>[12,13]</w:t>
      </w:r>
      <w:r>
        <w:rPr>
          <w:rFonts w:ascii="Book Antiqua" w:eastAsia="宋体" w:hAnsi="Book Antiqua" w:cs="Times New Roman"/>
          <w:sz w:val="24"/>
        </w:rPr>
        <w:t>, C-reactive protein/albumin ratio (CAR)</w:t>
      </w:r>
      <w:r>
        <w:rPr>
          <w:rFonts w:ascii="Book Antiqua" w:eastAsia="宋体" w:hAnsi="Book Antiqua" w:cs="Times New Roman"/>
          <w:sz w:val="24"/>
          <w:vertAlign w:val="superscript"/>
        </w:rPr>
        <w:t>[14-16]</w:t>
      </w:r>
      <w:r>
        <w:rPr>
          <w:rFonts w:ascii="Book Antiqua" w:eastAsia="宋体" w:hAnsi="Book Antiqua" w:cs="Times New Roman"/>
          <w:sz w:val="24"/>
        </w:rPr>
        <w:t>, and neutrophil-lymphocyte ratio (NLR)</w:t>
      </w:r>
      <w:r>
        <w:rPr>
          <w:rFonts w:ascii="Book Antiqua" w:eastAsia="宋体" w:hAnsi="Book Antiqua" w:cs="Times New Roman"/>
          <w:sz w:val="24"/>
          <w:vertAlign w:val="superscript"/>
        </w:rPr>
        <w:t>[17,18]</w:t>
      </w:r>
      <w:r>
        <w:rPr>
          <w:rFonts w:ascii="Book Antiqua" w:eastAsia="宋体" w:hAnsi="Book Antiqua" w:cs="Times New Roman"/>
          <w:sz w:val="24"/>
        </w:rPr>
        <w:t xml:space="preserve"> reveal the possibility of inflammation-related complications, and have certain p</w:t>
      </w:r>
      <w:r>
        <w:rPr>
          <w:rFonts w:ascii="Book Antiqua" w:eastAsia="宋体" w:hAnsi="Book Antiqua" w:cs="Times New Roman"/>
          <w:sz w:val="24"/>
        </w:rPr>
        <w:t>redictive value for prognosis</w:t>
      </w:r>
      <w:r>
        <w:rPr>
          <w:rFonts w:ascii="Book Antiqua" w:eastAsia="宋体" w:hAnsi="Book Antiqua" w:cs="Times New Roman"/>
          <w:sz w:val="24"/>
          <w:vertAlign w:val="superscript"/>
        </w:rPr>
        <w:t>[19]</w:t>
      </w:r>
      <w:r>
        <w:rPr>
          <w:rFonts w:ascii="Book Antiqua" w:eastAsia="宋体" w:hAnsi="Book Antiqua" w:cs="Times New Roman"/>
          <w:sz w:val="24"/>
        </w:rPr>
        <w:t>. However, there is no systematic analysis about the factors affecting the prognosis of colorectal cancer. Therefore, this study defined colorectal cancer patients as the research subjects. We statistically analyzed the inf</w:t>
      </w:r>
      <w:r>
        <w:rPr>
          <w:rFonts w:ascii="Book Antiqua" w:eastAsia="宋体" w:hAnsi="Book Antiqua" w:cs="Times New Roman"/>
          <w:sz w:val="24"/>
        </w:rPr>
        <w:t>luence of clinical data and serology and histology on the prognosis of patients with colorectal cancer, and assessed the accuracy of the combination of all indicators for the prognosis evaluation, aiming to find a more accurate assessment. This study is ex</w:t>
      </w:r>
      <w:r>
        <w:rPr>
          <w:rFonts w:ascii="Book Antiqua" w:eastAsia="宋体" w:hAnsi="Book Antiqua" w:cs="Times New Roman"/>
          <w:sz w:val="24"/>
        </w:rPr>
        <w:t>pected to provide a new method for predicting the prognosis of colorectal cancer in the early stage of clinical diagnosis and improve the prognosis of patients.</w:t>
      </w:r>
    </w:p>
    <w:p w:rsidR="00606EEE" w:rsidRDefault="00606EEE">
      <w:pPr>
        <w:spacing w:line="360" w:lineRule="auto"/>
        <w:ind w:firstLineChars="200" w:firstLine="480"/>
        <w:rPr>
          <w:rFonts w:ascii="Book Antiqua" w:eastAsia="宋体" w:hAnsi="Book Antiqua" w:cs="Times New Roman"/>
          <w:sz w:val="24"/>
        </w:rPr>
      </w:pPr>
    </w:p>
    <w:p w:rsidR="00606EEE" w:rsidRDefault="009A50EC">
      <w:pPr>
        <w:spacing w:line="360" w:lineRule="auto"/>
        <w:rPr>
          <w:rFonts w:ascii="Book Antiqua" w:hAnsi="Book Antiqua"/>
          <w:b/>
          <w:sz w:val="24"/>
        </w:rPr>
      </w:pPr>
      <w:r>
        <w:rPr>
          <w:rFonts w:ascii="Book Antiqua" w:hAnsi="Book Antiqua"/>
          <w:b/>
          <w:sz w:val="24"/>
        </w:rPr>
        <w:t>MATERIALS AND METHODS</w:t>
      </w:r>
    </w:p>
    <w:p w:rsidR="00606EEE" w:rsidRDefault="009A50EC">
      <w:pPr>
        <w:spacing w:line="360" w:lineRule="auto"/>
        <w:rPr>
          <w:rFonts w:ascii="Book Antiqua" w:hAnsi="Book Antiqua" w:cs="Times New Roman"/>
          <w:b/>
          <w:bCs/>
          <w:i/>
          <w:iCs/>
          <w:sz w:val="24"/>
        </w:rPr>
      </w:pPr>
      <w:r>
        <w:rPr>
          <w:rFonts w:ascii="Book Antiqua" w:hAnsi="Book Antiqua" w:cs="Times New Roman"/>
          <w:b/>
          <w:bCs/>
          <w:i/>
          <w:iCs/>
          <w:sz w:val="24"/>
        </w:rPr>
        <w:t>Research subjects</w:t>
      </w:r>
    </w:p>
    <w:p w:rsidR="00606EEE" w:rsidRDefault="009A50EC">
      <w:pPr>
        <w:spacing w:line="360" w:lineRule="auto"/>
        <w:rPr>
          <w:rFonts w:ascii="Book Antiqua" w:hAnsi="Book Antiqua" w:cs="Times New Roman"/>
          <w:sz w:val="24"/>
        </w:rPr>
      </w:pPr>
      <w:r>
        <w:rPr>
          <w:rFonts w:ascii="Book Antiqua" w:hAnsi="Book Antiqua" w:cs="Times New Roman"/>
          <w:sz w:val="24"/>
        </w:rPr>
        <w:t>A total of 374 patients with colorectal cancer who wer</w:t>
      </w:r>
      <w:r>
        <w:rPr>
          <w:rFonts w:ascii="Book Antiqua" w:hAnsi="Book Antiqua" w:cs="Times New Roman"/>
          <w:sz w:val="24"/>
        </w:rPr>
        <w:t xml:space="preserve">e admitted to Cangzhou Central Hospital from March 2012 to March 2015 were recruited. The inclusion </w:t>
      </w:r>
      <w:r>
        <w:rPr>
          <w:rFonts w:ascii="Book Antiqua" w:hAnsi="Book Antiqua" w:cs="Times New Roman"/>
          <w:sz w:val="24"/>
        </w:rPr>
        <w:lastRenderedPageBreak/>
        <w:t>criteria were: (A) pathological diagnosis of colorectal cancer; (B) patients who underwent radical surgery; (C) complete clinical data, disease history, and</w:t>
      </w:r>
      <w:r>
        <w:rPr>
          <w:rFonts w:ascii="Book Antiqua" w:hAnsi="Book Antiqua" w:cs="Times New Roman"/>
          <w:sz w:val="24"/>
        </w:rPr>
        <w:t xml:space="preserve"> family history data; and (D) complete physical examination, routine blood tests, detection of tumor markers, and relevant laboratory examinations such as coagulation function within one week before surgery. The exclusion criteria were: (A) other carcinoma</w:t>
      </w:r>
      <w:r>
        <w:rPr>
          <w:rFonts w:ascii="Book Antiqua" w:hAnsi="Book Antiqua" w:cs="Times New Roman"/>
          <w:sz w:val="24"/>
        </w:rPr>
        <w:t xml:space="preserve">s combined; (B) pre-operative infection or insufficient infection evidence but body temperature &gt; </w:t>
      </w:r>
      <w:r w:rsidRPr="006B1F01">
        <w:rPr>
          <w:rFonts w:ascii="Book Antiqua" w:hAnsi="Book Antiqua" w:cs="Times New Roman"/>
          <w:sz w:val="24"/>
        </w:rPr>
        <w:t>38</w:t>
      </w:r>
      <w:r w:rsidR="006B1F01">
        <w:rPr>
          <w:rFonts w:ascii="Book Antiqua" w:hAnsi="Book Antiqua" w:cs="Times New Roman"/>
          <w:sz w:val="24"/>
        </w:rPr>
        <w:t xml:space="preserve"> </w:t>
      </w:r>
      <w:r w:rsidR="006B1F01" w:rsidRPr="006B1F01">
        <w:rPr>
          <w:rFonts w:ascii="Book Antiqua" w:eastAsia="宋体" w:hAnsi="Book Antiqua" w:cs="宋体"/>
          <w:sz w:val="24"/>
        </w:rPr>
        <w:t>°C</w:t>
      </w:r>
      <w:r w:rsidRPr="006B1F01">
        <w:rPr>
          <w:rFonts w:ascii="Book Antiqua" w:hAnsi="Book Antiqua" w:cs="Times New Roman"/>
          <w:sz w:val="24"/>
        </w:rPr>
        <w:t xml:space="preserve">; (C) </w:t>
      </w:r>
      <w:r>
        <w:rPr>
          <w:rFonts w:ascii="Book Antiqua" w:hAnsi="Book Antiqua" w:cs="Times New Roman"/>
          <w:sz w:val="24"/>
        </w:rPr>
        <w:t>patients combined with cardiovascular disease, cerebrovascular disease, and diseases of the liver, kidney, and other important organs; and (D) underg</w:t>
      </w:r>
      <w:r>
        <w:rPr>
          <w:rFonts w:ascii="Book Antiqua" w:hAnsi="Book Antiqua" w:cs="Times New Roman"/>
          <w:sz w:val="24"/>
        </w:rPr>
        <w:t>oing radiotherapy, chemotherapy, biotherapy, or gene therapy before surgery. The study was approved by the Ethics Committee of Cangzhou Central Hospital. All patients included in the study had a detailed understanding of the research content and provided i</w:t>
      </w:r>
      <w:r>
        <w:rPr>
          <w:rFonts w:ascii="Book Antiqua" w:hAnsi="Book Antiqua" w:cs="Times New Roman"/>
          <w:sz w:val="24"/>
        </w:rPr>
        <w:t>nformed consent.</w:t>
      </w:r>
    </w:p>
    <w:p w:rsidR="00606EEE" w:rsidRDefault="00606EEE">
      <w:pPr>
        <w:spacing w:line="360" w:lineRule="auto"/>
        <w:rPr>
          <w:rFonts w:ascii="Book Antiqua" w:hAnsi="Book Antiqua" w:cs="Times New Roman"/>
          <w:b/>
          <w:bCs/>
          <w:i/>
          <w:iCs/>
          <w:sz w:val="24"/>
        </w:rPr>
      </w:pPr>
    </w:p>
    <w:p w:rsidR="00606EEE" w:rsidRDefault="009A50EC">
      <w:pPr>
        <w:spacing w:line="360" w:lineRule="auto"/>
        <w:rPr>
          <w:rFonts w:ascii="Book Antiqua" w:hAnsi="Book Antiqua" w:cs="Times New Roman"/>
          <w:b/>
          <w:bCs/>
          <w:i/>
          <w:iCs/>
          <w:sz w:val="24"/>
        </w:rPr>
      </w:pPr>
      <w:r>
        <w:rPr>
          <w:rFonts w:ascii="Book Antiqua" w:hAnsi="Book Antiqua" w:cs="Times New Roman"/>
          <w:b/>
          <w:bCs/>
          <w:i/>
          <w:iCs/>
          <w:sz w:val="24"/>
        </w:rPr>
        <w:t>Research methods</w:t>
      </w:r>
    </w:p>
    <w:p w:rsidR="00606EEE" w:rsidRDefault="009A50EC">
      <w:pPr>
        <w:spacing w:line="360" w:lineRule="auto"/>
        <w:rPr>
          <w:rFonts w:ascii="Book Antiqua" w:hAnsi="Book Antiqua" w:cs="Times New Roman"/>
          <w:b/>
          <w:bCs/>
          <w:sz w:val="24"/>
        </w:rPr>
      </w:pPr>
      <w:r>
        <w:rPr>
          <w:rFonts w:ascii="Book Antiqua" w:hAnsi="Book Antiqua" w:cs="Times New Roman"/>
          <w:b/>
          <w:bCs/>
          <w:sz w:val="24"/>
        </w:rPr>
        <w:t xml:space="preserve">Clinical data collection: </w:t>
      </w:r>
      <w:r>
        <w:rPr>
          <w:rFonts w:ascii="Book Antiqua" w:hAnsi="Book Antiqua" w:cs="Times New Roman"/>
          <w:sz w:val="24"/>
        </w:rPr>
        <w:t xml:space="preserve">After admission, complete clinical data, including age, gender, height, weight, family history (colorectal cancer in three generations of close relatives) and smoking history were collected. </w:t>
      </w:r>
      <w:r>
        <w:rPr>
          <w:rFonts w:ascii="Book Antiqua" w:eastAsia="宋体" w:hAnsi="Book Antiqua" w:cs="Times New Roman"/>
          <w:kern w:val="0"/>
          <w:sz w:val="24"/>
        </w:rPr>
        <w:t>Body</w:t>
      </w:r>
      <w:r>
        <w:rPr>
          <w:rFonts w:ascii="Book Antiqua" w:eastAsia="宋体" w:hAnsi="Book Antiqua" w:cs="Times New Roman"/>
          <w:kern w:val="0"/>
          <w:sz w:val="24"/>
        </w:rPr>
        <w:t xml:space="preserve"> mass index (BMI)</w:t>
      </w:r>
      <w:r>
        <w:rPr>
          <w:rFonts w:ascii="Book Antiqua" w:hAnsi="Book Antiqua" w:cs="Times New Roman"/>
          <w:sz w:val="24"/>
        </w:rPr>
        <w:t xml:space="preserve"> was calculated. All patients were staged by the TNM staging method and the improved Dukes staging method according to pathological findings</w:t>
      </w:r>
      <w:r>
        <w:rPr>
          <w:rFonts w:ascii="Book Antiqua" w:hAnsi="Book Antiqua" w:cs="Times New Roman"/>
          <w:sz w:val="24"/>
          <w:vertAlign w:val="superscript"/>
        </w:rPr>
        <w:t>[20]</w:t>
      </w:r>
      <w:r>
        <w:rPr>
          <w:rFonts w:ascii="Book Antiqua" w:hAnsi="Book Antiqua" w:cs="Times New Roman"/>
          <w:sz w:val="24"/>
        </w:rPr>
        <w:t>.</w:t>
      </w:r>
    </w:p>
    <w:p w:rsidR="00606EEE" w:rsidRDefault="00606EEE">
      <w:pPr>
        <w:spacing w:line="360" w:lineRule="auto"/>
        <w:rPr>
          <w:rFonts w:ascii="Book Antiqua" w:eastAsia="宋体" w:hAnsi="Book Antiqua" w:cs="Times New Roman"/>
          <w:b/>
          <w:kern w:val="0"/>
          <w:sz w:val="24"/>
        </w:rPr>
      </w:pPr>
    </w:p>
    <w:p w:rsidR="00606EEE" w:rsidRDefault="009A50EC">
      <w:pPr>
        <w:spacing w:line="360" w:lineRule="auto"/>
        <w:rPr>
          <w:rFonts w:ascii="Book Antiqua" w:eastAsia="宋体" w:hAnsi="Book Antiqua" w:cs="Times New Roman"/>
          <w:b/>
          <w:kern w:val="0"/>
          <w:sz w:val="24"/>
        </w:rPr>
      </w:pPr>
      <w:r>
        <w:rPr>
          <w:rFonts w:ascii="Book Antiqua" w:eastAsia="宋体" w:hAnsi="Book Antiqua" w:cs="Times New Roman"/>
          <w:b/>
          <w:kern w:val="0"/>
          <w:sz w:val="24"/>
        </w:rPr>
        <w:t>Serological examination:</w:t>
      </w:r>
      <w:r>
        <w:rPr>
          <w:rFonts w:ascii="Book Antiqua" w:eastAsia="宋体" w:hAnsi="Book Antiqua" w:cs="Times New Roman" w:hint="eastAsia"/>
          <w:b/>
          <w:kern w:val="0"/>
          <w:sz w:val="24"/>
        </w:rPr>
        <w:t xml:space="preserve"> </w:t>
      </w:r>
      <w:r>
        <w:rPr>
          <w:rFonts w:ascii="Book Antiqua" w:eastAsia="宋体" w:hAnsi="Book Antiqua" w:cs="Times New Roman"/>
          <w:bCs/>
          <w:kern w:val="0"/>
          <w:sz w:val="24"/>
        </w:rPr>
        <w:t xml:space="preserve">All patients received </w:t>
      </w:r>
      <w:r>
        <w:rPr>
          <w:rFonts w:ascii="Book Antiqua" w:eastAsia="宋体" w:hAnsi="Book Antiqua" w:cs="Times New Roman"/>
          <w:kern w:val="0"/>
          <w:sz w:val="24"/>
        </w:rPr>
        <w:t xml:space="preserve">carcinoembryonic antigen (CEA), carbohydrate </w:t>
      </w:r>
      <w:r>
        <w:rPr>
          <w:rFonts w:ascii="Book Antiqua" w:eastAsia="宋体" w:hAnsi="Book Antiqua" w:cs="Times New Roman"/>
          <w:kern w:val="0"/>
          <w:sz w:val="24"/>
        </w:rPr>
        <w:t>antigen 199 (CA199)</w:t>
      </w:r>
      <w:r>
        <w:rPr>
          <w:rFonts w:ascii="Book Antiqua" w:eastAsia="宋体" w:hAnsi="Book Antiqua" w:cs="Times New Roman"/>
          <w:bCs/>
          <w:kern w:val="0"/>
          <w:sz w:val="24"/>
        </w:rPr>
        <w:t xml:space="preserve">, C-reactive protein, albumin, D-dimer, and fibrinogen detection as well as routine blood tests one week before surgery. CEA and CA199 were tested </w:t>
      </w:r>
      <w:r w:rsidR="006B1F01">
        <w:rPr>
          <w:rFonts w:ascii="Book Antiqua" w:eastAsia="宋体" w:hAnsi="Book Antiqua" w:cs="Times New Roman"/>
          <w:bCs/>
          <w:kern w:val="0"/>
          <w:sz w:val="24"/>
        </w:rPr>
        <w:t xml:space="preserve">by </w:t>
      </w:r>
      <w:r w:rsidR="006B1F01">
        <w:rPr>
          <w:rFonts w:ascii="Book Antiqua" w:eastAsia="宋体" w:hAnsi="Book Antiqua" w:cs="Times New Roman"/>
          <w:bCs/>
          <w:kern w:val="0"/>
          <w:sz w:val="24"/>
        </w:rPr>
        <w:t>chemiluminescence</w:t>
      </w:r>
      <w:r w:rsidR="006B1F01">
        <w:rPr>
          <w:rFonts w:ascii="Book Antiqua" w:eastAsia="宋体" w:hAnsi="Book Antiqua" w:cs="Times New Roman"/>
          <w:bCs/>
          <w:kern w:val="0"/>
          <w:sz w:val="24"/>
        </w:rPr>
        <w:t xml:space="preserve"> </w:t>
      </w:r>
      <w:r>
        <w:rPr>
          <w:rFonts w:ascii="Book Antiqua" w:eastAsia="宋体" w:hAnsi="Book Antiqua" w:cs="Times New Roman"/>
          <w:bCs/>
          <w:kern w:val="0"/>
          <w:sz w:val="24"/>
        </w:rPr>
        <w:t>with a Roche kit</w:t>
      </w:r>
      <w:r>
        <w:rPr>
          <w:rFonts w:ascii="Book Antiqua" w:eastAsia="宋体" w:hAnsi="Book Antiqua" w:cs="Times New Roman"/>
          <w:bCs/>
          <w:kern w:val="0"/>
          <w:sz w:val="24"/>
        </w:rPr>
        <w:t>. Routine blood tests were performed with a CC-320</w:t>
      </w:r>
      <w:r>
        <w:rPr>
          <w:rFonts w:ascii="Book Antiqua" w:eastAsia="宋体" w:hAnsi="Book Antiqua" w:cs="Times New Roman"/>
          <w:bCs/>
          <w:kern w:val="0"/>
          <w:sz w:val="24"/>
        </w:rPr>
        <w:t xml:space="preserve">0 automatic blood tester and supporting kit. The numbers of neutrophil granulocytes, white blood cells, lymphocytes, and platelets were recorded, and NLR was calculated. C-reactive protein, albumin, D-dimer, and fibrinogen were detected using </w:t>
      </w:r>
      <w:r w:rsidR="006B1F01">
        <w:rPr>
          <w:rFonts w:ascii="Book Antiqua" w:eastAsia="宋体" w:hAnsi="Book Antiqua" w:cs="Times New Roman"/>
          <w:bCs/>
          <w:kern w:val="0"/>
          <w:sz w:val="24"/>
        </w:rPr>
        <w:t>an</w:t>
      </w:r>
      <w:r>
        <w:rPr>
          <w:rFonts w:ascii="Book Antiqua" w:eastAsia="宋体" w:hAnsi="Book Antiqua" w:cs="Times New Roman"/>
          <w:bCs/>
          <w:kern w:val="0"/>
          <w:sz w:val="24"/>
        </w:rPr>
        <w:t xml:space="preserve"> Abbott C1</w:t>
      </w:r>
      <w:r>
        <w:rPr>
          <w:rFonts w:ascii="Book Antiqua" w:eastAsia="宋体" w:hAnsi="Book Antiqua" w:cs="Times New Roman"/>
          <w:bCs/>
          <w:kern w:val="0"/>
          <w:sz w:val="24"/>
        </w:rPr>
        <w:t xml:space="preserve">6000 automatic biochemical analyzer (Abbott Laboratories, Inc.). CAR was </w:t>
      </w:r>
      <w:r>
        <w:rPr>
          <w:rFonts w:ascii="Book Antiqua" w:eastAsia="宋体" w:hAnsi="Book Antiqua" w:cs="Times New Roman"/>
          <w:bCs/>
          <w:kern w:val="0"/>
          <w:sz w:val="24"/>
        </w:rPr>
        <w:lastRenderedPageBreak/>
        <w:t>calculated. According to the results of C-reactive protein and albumin detection, GPS was calculated according to the following rules: (A) increased C-reactive protein; and (B) hypopr</w:t>
      </w:r>
      <w:r>
        <w:rPr>
          <w:rFonts w:ascii="Book Antiqua" w:eastAsia="宋体" w:hAnsi="Book Antiqua" w:cs="Times New Roman"/>
          <w:bCs/>
          <w:kern w:val="0"/>
          <w:sz w:val="24"/>
        </w:rPr>
        <w:t>oteinemia. Two points were recorded if both (1) and (2) were satisfied, 1 point if (1) or (2) was satisfied, and 0 points if normal C-reactive protein and no hypoproteinemia were found.</w:t>
      </w:r>
    </w:p>
    <w:p w:rsidR="00606EEE" w:rsidRDefault="00606EEE">
      <w:pPr>
        <w:spacing w:line="360" w:lineRule="auto"/>
        <w:rPr>
          <w:rFonts w:ascii="Book Antiqua" w:eastAsia="宋体" w:hAnsi="Book Antiqua" w:cs="Times New Roman"/>
          <w:b/>
          <w:kern w:val="0"/>
          <w:sz w:val="24"/>
        </w:rPr>
      </w:pPr>
    </w:p>
    <w:p w:rsidR="00606EEE" w:rsidRDefault="009A50EC">
      <w:pPr>
        <w:spacing w:line="360" w:lineRule="auto"/>
        <w:rPr>
          <w:rFonts w:ascii="Book Antiqua" w:eastAsia="宋体" w:hAnsi="Book Antiqua" w:cs="Times New Roman"/>
          <w:b/>
          <w:kern w:val="0"/>
          <w:sz w:val="24"/>
        </w:rPr>
      </w:pPr>
      <w:r>
        <w:rPr>
          <w:rFonts w:ascii="Book Antiqua" w:eastAsia="宋体" w:hAnsi="Book Antiqua" w:cs="Times New Roman"/>
          <w:b/>
          <w:kern w:val="0"/>
          <w:sz w:val="24"/>
        </w:rPr>
        <w:t>Surgery and histological examination:</w:t>
      </w:r>
      <w:r>
        <w:rPr>
          <w:rFonts w:ascii="Book Antiqua" w:eastAsia="宋体" w:hAnsi="Book Antiqua" w:cs="Times New Roman" w:hint="eastAsia"/>
          <w:b/>
          <w:kern w:val="0"/>
          <w:sz w:val="24"/>
        </w:rPr>
        <w:t xml:space="preserve"> </w:t>
      </w:r>
      <w:r>
        <w:rPr>
          <w:rFonts w:ascii="Book Antiqua" w:eastAsia="宋体" w:hAnsi="Book Antiqua" w:cs="Times New Roman"/>
          <w:bCs/>
          <w:kern w:val="0"/>
          <w:sz w:val="24"/>
        </w:rPr>
        <w:t>Under general anesthesia, color</w:t>
      </w:r>
      <w:r>
        <w:rPr>
          <w:rFonts w:ascii="Book Antiqua" w:eastAsia="宋体" w:hAnsi="Book Antiqua" w:cs="Times New Roman"/>
          <w:bCs/>
          <w:kern w:val="0"/>
          <w:sz w:val="24"/>
        </w:rPr>
        <w:t>ectal cancer radical surgery was performed. Tumor location, size, depth of invasion, lymph node metastasis, and distant metastasis were recorded. The excised specimens were flattened and fixed, and pathological examination was performed. The pathological t</w:t>
      </w:r>
      <w:r>
        <w:rPr>
          <w:rFonts w:ascii="Book Antiqua" w:eastAsia="宋体" w:hAnsi="Book Antiqua" w:cs="Times New Roman"/>
          <w:bCs/>
          <w:kern w:val="0"/>
          <w:sz w:val="24"/>
        </w:rPr>
        <w:t>issues were serially sectioned, fixed with 10% formalin, and embedded in paraffin, followed by hematoxylin-eosin and immunohistochemical staining. All the sections were observed by two experienced pathologists. The pathological tissue classification and ex</w:t>
      </w:r>
      <w:r>
        <w:rPr>
          <w:rFonts w:ascii="Book Antiqua" w:eastAsia="宋体" w:hAnsi="Book Antiqua" w:cs="Times New Roman"/>
          <w:bCs/>
          <w:kern w:val="0"/>
          <w:sz w:val="24"/>
        </w:rPr>
        <w:t xml:space="preserve">pression of </w:t>
      </w:r>
      <w:r>
        <w:rPr>
          <w:rFonts w:ascii="Book Antiqua" w:eastAsia="宋体" w:hAnsi="Book Antiqua" w:cs="Times New Roman"/>
          <w:kern w:val="0"/>
          <w:sz w:val="24"/>
        </w:rPr>
        <w:t>proliferating cell nuclear antigen</w:t>
      </w:r>
      <w:r>
        <w:rPr>
          <w:rFonts w:ascii="Book Antiqua" w:eastAsia="宋体" w:hAnsi="Book Antiqua" w:cs="Times New Roman"/>
          <w:bCs/>
          <w:kern w:val="0"/>
          <w:sz w:val="24"/>
        </w:rPr>
        <w:t xml:space="preserve"> (PCNA) and p53 were observed. After surgery, patients’ vital signs and wound oozing were closely observed. Anti-inflammatory drugs and intravenous nutrition were given regularly.</w:t>
      </w:r>
    </w:p>
    <w:p w:rsidR="00606EEE" w:rsidRDefault="00606EEE">
      <w:pPr>
        <w:spacing w:line="360" w:lineRule="auto"/>
        <w:rPr>
          <w:rFonts w:ascii="Book Antiqua" w:hAnsi="Book Antiqua" w:cs="Times New Roman"/>
          <w:b/>
          <w:bCs/>
          <w:i/>
          <w:iCs/>
          <w:sz w:val="24"/>
        </w:rPr>
      </w:pPr>
    </w:p>
    <w:p w:rsidR="00606EEE" w:rsidRDefault="009A50EC">
      <w:pPr>
        <w:spacing w:line="360" w:lineRule="auto"/>
        <w:rPr>
          <w:rFonts w:ascii="Book Antiqua" w:hAnsi="Book Antiqua" w:cs="Times New Roman"/>
          <w:b/>
          <w:bCs/>
          <w:i/>
          <w:iCs/>
          <w:sz w:val="24"/>
        </w:rPr>
      </w:pPr>
      <w:r>
        <w:rPr>
          <w:rFonts w:ascii="Book Antiqua" w:hAnsi="Book Antiqua" w:cs="Times New Roman"/>
          <w:b/>
          <w:bCs/>
          <w:i/>
          <w:iCs/>
          <w:sz w:val="24"/>
        </w:rPr>
        <w:t>Follow-up</w:t>
      </w:r>
    </w:p>
    <w:p w:rsidR="00606EEE" w:rsidRDefault="009A50EC">
      <w:pPr>
        <w:spacing w:line="360" w:lineRule="auto"/>
        <w:rPr>
          <w:rFonts w:ascii="Book Antiqua" w:hAnsi="Book Antiqua" w:cs="Times New Roman"/>
          <w:sz w:val="24"/>
        </w:rPr>
      </w:pPr>
      <w:r>
        <w:rPr>
          <w:rFonts w:ascii="Book Antiqua" w:hAnsi="Book Antiqua" w:cs="Times New Roman"/>
          <w:sz w:val="24"/>
        </w:rPr>
        <w:t>A total of 374 pati</w:t>
      </w:r>
      <w:r>
        <w:rPr>
          <w:rFonts w:ascii="Book Antiqua" w:hAnsi="Book Antiqua" w:cs="Times New Roman"/>
          <w:sz w:val="24"/>
        </w:rPr>
        <w:t>ents who participated in the study were followed for 3 years. The first follow-up was performed 1 mo after the end of treatment, followed by every 3 mo within 2 years. After 2 years, follow-up was performed every 6 mo. The endpoint events were defined as a</w:t>
      </w:r>
      <w:r>
        <w:rPr>
          <w:rFonts w:ascii="Book Antiqua" w:hAnsi="Book Antiqua" w:cs="Times New Roman"/>
          <w:sz w:val="24"/>
        </w:rPr>
        <w:t>dverse prognostic events during follow-up, including recurrence of colorectal cancer, increased stage, other organ metastases, and death from colorectal cancer and its complications. Patients’ refusal to visit, halfway out, and death from other reasons unr</w:t>
      </w:r>
      <w:r>
        <w:rPr>
          <w:rFonts w:ascii="Book Antiqua" w:hAnsi="Book Antiqua" w:cs="Times New Roman"/>
          <w:sz w:val="24"/>
        </w:rPr>
        <w:t>elated to the study were defined as loss to follow-up. According to the follow-up results, patients with endpoint events were defined as a poor prognosis group, and the remaining patients were defined as a good prognosis group. Differences in clinical data</w:t>
      </w:r>
      <w:r>
        <w:rPr>
          <w:rFonts w:ascii="Book Antiqua" w:hAnsi="Book Antiqua" w:cs="Times New Roman"/>
          <w:sz w:val="24"/>
        </w:rPr>
        <w:t>, serology, and histology were analyzed.</w:t>
      </w:r>
    </w:p>
    <w:p w:rsidR="00606EEE" w:rsidRDefault="00606EEE">
      <w:pPr>
        <w:spacing w:line="360" w:lineRule="auto"/>
        <w:rPr>
          <w:rFonts w:ascii="Book Antiqua" w:hAnsi="Book Antiqua" w:cs="Times New Roman"/>
          <w:b/>
          <w:bCs/>
          <w:i/>
          <w:iCs/>
          <w:sz w:val="24"/>
        </w:rPr>
      </w:pPr>
    </w:p>
    <w:p w:rsidR="00606EEE" w:rsidRDefault="009A50EC">
      <w:pPr>
        <w:spacing w:line="360" w:lineRule="auto"/>
        <w:rPr>
          <w:rFonts w:ascii="Book Antiqua" w:hAnsi="Book Antiqua" w:cs="Times New Roman"/>
          <w:b/>
          <w:bCs/>
          <w:i/>
          <w:iCs/>
          <w:sz w:val="24"/>
        </w:rPr>
      </w:pPr>
      <w:r>
        <w:rPr>
          <w:rFonts w:ascii="Book Antiqua" w:hAnsi="Book Antiqua" w:cs="Times New Roman"/>
          <w:b/>
          <w:bCs/>
          <w:i/>
          <w:iCs/>
          <w:sz w:val="24"/>
        </w:rPr>
        <w:t>Statistical analysis</w:t>
      </w:r>
    </w:p>
    <w:p w:rsidR="00606EEE" w:rsidRDefault="009A50EC">
      <w:pPr>
        <w:spacing w:line="360" w:lineRule="auto"/>
        <w:rPr>
          <w:rFonts w:ascii="Book Antiqua" w:hAnsi="Book Antiqua" w:cs="Times New Roman"/>
          <w:sz w:val="24"/>
        </w:rPr>
      </w:pPr>
      <w:r>
        <w:rPr>
          <w:rFonts w:ascii="Book Antiqua" w:hAnsi="Book Antiqua" w:cs="Times New Roman"/>
          <w:sz w:val="24"/>
        </w:rPr>
        <w:t>Analyses were performed using Statistical Product and Service Solutions software. The measurement data are expressed as the mean ± standard deviation, and comparisons were performed using an in</w:t>
      </w:r>
      <w:r>
        <w:rPr>
          <w:rFonts w:ascii="Book Antiqua" w:hAnsi="Book Antiqua" w:cs="Times New Roman"/>
          <w:sz w:val="24"/>
        </w:rPr>
        <w:t xml:space="preserve">dependent sample </w:t>
      </w:r>
      <w:r>
        <w:rPr>
          <w:rFonts w:ascii="Book Antiqua" w:hAnsi="Book Antiqua" w:cs="Times New Roman"/>
          <w:i/>
          <w:iCs/>
          <w:sz w:val="24"/>
        </w:rPr>
        <w:t>t</w:t>
      </w:r>
      <w:r>
        <w:rPr>
          <w:rFonts w:ascii="Book Antiqua" w:hAnsi="Book Antiqua" w:cs="Times New Roman"/>
          <w:sz w:val="24"/>
        </w:rPr>
        <w:t>-test. The count data are expressed in case (percentage), and the chi-square test was used for comparison. Survival analysis was performed by the Kaplan-Meier method. The poor prognosis rate was calculated and the survival curve was drawn</w:t>
      </w:r>
      <w:r>
        <w:rPr>
          <w:rFonts w:ascii="Book Antiqua" w:hAnsi="Book Antiqua" w:cs="Times New Roman"/>
          <w:sz w:val="24"/>
        </w:rPr>
        <w:t>. Multivariate COX regression was used to analyze independent influencing factors for the prognosis of colorectal cancer. The receiver-operating characteristic (ROC) curve was used to evaluate the predictive value of each independent influencing factor and</w:t>
      </w:r>
      <w:r>
        <w:rPr>
          <w:rFonts w:ascii="Book Antiqua" w:hAnsi="Book Antiqua" w:cs="Times New Roman"/>
          <w:sz w:val="24"/>
        </w:rPr>
        <w:t xml:space="preserve"> their combination for the prognosis of colorectal cancer. The difference was considered statistically significant at </w:t>
      </w:r>
      <w:r>
        <w:rPr>
          <w:rFonts w:ascii="Book Antiqua" w:hAnsi="Book Antiqua" w:cs="Times New Roman"/>
          <w:i/>
          <w:iCs/>
          <w:sz w:val="24"/>
        </w:rPr>
        <w:t>P</w:t>
      </w:r>
      <w:r>
        <w:rPr>
          <w:rFonts w:ascii="Book Antiqua" w:hAnsi="Book Antiqua" w:cs="Times New Roman"/>
          <w:sz w:val="24"/>
        </w:rPr>
        <w:t xml:space="preserve"> &lt; 0.05.</w:t>
      </w:r>
    </w:p>
    <w:p w:rsidR="00606EEE" w:rsidRDefault="00606EEE">
      <w:pPr>
        <w:spacing w:line="360" w:lineRule="auto"/>
        <w:rPr>
          <w:rFonts w:ascii="Book Antiqua" w:hAnsi="Book Antiqua" w:cs="Times New Roman"/>
          <w:sz w:val="24"/>
        </w:rPr>
      </w:pPr>
    </w:p>
    <w:p w:rsidR="00606EEE" w:rsidRDefault="009A50EC">
      <w:pPr>
        <w:spacing w:line="360" w:lineRule="auto"/>
        <w:rPr>
          <w:rFonts w:ascii="Book Antiqua" w:hAnsi="Book Antiqua" w:cs="Times New Roman"/>
          <w:b/>
          <w:bCs/>
          <w:caps/>
          <w:sz w:val="24"/>
        </w:rPr>
      </w:pPr>
      <w:r>
        <w:rPr>
          <w:rFonts w:ascii="Book Antiqua" w:hAnsi="Book Antiqua" w:cs="Times New Roman"/>
          <w:b/>
          <w:bCs/>
          <w:caps/>
          <w:sz w:val="24"/>
        </w:rPr>
        <w:t>Results</w:t>
      </w:r>
    </w:p>
    <w:p w:rsidR="00606EEE" w:rsidRDefault="009A50EC">
      <w:pPr>
        <w:spacing w:line="360" w:lineRule="auto"/>
        <w:rPr>
          <w:rFonts w:ascii="Book Antiqua" w:hAnsi="Book Antiqua" w:cs="Times New Roman"/>
          <w:b/>
          <w:bCs/>
          <w:i/>
          <w:iCs/>
          <w:sz w:val="24"/>
        </w:rPr>
      </w:pPr>
      <w:r>
        <w:rPr>
          <w:rFonts w:ascii="Book Antiqua" w:hAnsi="Book Antiqua" w:cs="Times New Roman"/>
          <w:b/>
          <w:bCs/>
          <w:i/>
          <w:iCs/>
          <w:sz w:val="24"/>
        </w:rPr>
        <w:t>Patient follow-up results</w:t>
      </w:r>
    </w:p>
    <w:p w:rsidR="00606EEE" w:rsidRDefault="009A50EC">
      <w:pPr>
        <w:spacing w:line="360" w:lineRule="auto"/>
        <w:rPr>
          <w:rFonts w:ascii="Book Antiqua" w:hAnsi="Book Antiqua" w:cs="Times New Roman"/>
          <w:sz w:val="24"/>
        </w:rPr>
      </w:pPr>
      <w:r>
        <w:rPr>
          <w:rFonts w:ascii="Book Antiqua" w:hAnsi="Book Antiqua" w:cs="Times New Roman"/>
          <w:sz w:val="24"/>
        </w:rPr>
        <w:t>A total of 374 patients were enrolled in the study. The Kaplan-Meier survival curve showed an</w:t>
      </w:r>
      <w:r>
        <w:rPr>
          <w:rFonts w:ascii="Book Antiqua" w:hAnsi="Book Antiqua" w:cs="Times New Roman"/>
          <w:sz w:val="24"/>
        </w:rPr>
        <w:t xml:space="preserve"> increase trend in the number of adverse prognosis cases over time (Figure 1). At the end of follow-up, 19 patients were lost to follow-up. There were a total of 355 patients with complete follow-up data, of whom 81 developed endpoint events. In these 81 p</w:t>
      </w:r>
      <w:r>
        <w:rPr>
          <w:rFonts w:ascii="Book Antiqua" w:hAnsi="Book Antiqua" w:cs="Times New Roman"/>
          <w:sz w:val="24"/>
        </w:rPr>
        <w:t>atients, 40 had recurrence of colorectal cancer (Figure 2A), 26 had liver metastases (Figure 2B), and 15 had bone metastases (Figure 2C). The poor prognosis rate was 22.82%.</w:t>
      </w:r>
    </w:p>
    <w:p w:rsidR="00606EEE" w:rsidRDefault="00606EEE">
      <w:pPr>
        <w:spacing w:line="360" w:lineRule="auto"/>
        <w:ind w:firstLine="210"/>
        <w:rPr>
          <w:rFonts w:ascii="Book Antiqua" w:hAnsi="Book Antiqua" w:cs="Times New Roman"/>
          <w:sz w:val="24"/>
        </w:rPr>
      </w:pPr>
    </w:p>
    <w:p w:rsidR="00606EEE" w:rsidRDefault="009A50EC">
      <w:pPr>
        <w:spacing w:line="360" w:lineRule="auto"/>
        <w:rPr>
          <w:rFonts w:ascii="Book Antiqua" w:eastAsia="宋体" w:hAnsi="Book Antiqua" w:cs="Times New Roman"/>
          <w:b/>
          <w:bCs/>
          <w:i/>
          <w:iCs/>
          <w:sz w:val="24"/>
        </w:rPr>
      </w:pPr>
      <w:r>
        <w:rPr>
          <w:rFonts w:ascii="Book Antiqua" w:eastAsia="宋体" w:hAnsi="Book Antiqua" w:cs="Times New Roman"/>
          <w:b/>
          <w:bCs/>
          <w:i/>
          <w:iCs/>
          <w:sz w:val="24"/>
        </w:rPr>
        <w:t>Comparison of indicators between the prognosis group and poor prognosis group</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 xml:space="preserve">Of </w:t>
      </w:r>
      <w:r>
        <w:rPr>
          <w:rFonts w:ascii="Book Antiqua" w:eastAsia="宋体" w:hAnsi="Book Antiqua" w:cs="Times New Roman"/>
          <w:sz w:val="24"/>
        </w:rPr>
        <w:t xml:space="preserve">the 355 patients with colorectal cancer who received complete follow-up data, 186 were male and 169 were female, with an average age of 59.83 ± 13.92 years and mean tumor size of 4.32 ± 2.56 cm. In terms of tumor location, there </w:t>
      </w:r>
      <w:r>
        <w:rPr>
          <w:rFonts w:ascii="Book Antiqua" w:eastAsia="宋体" w:hAnsi="Book Antiqua" w:cs="Times New Roman"/>
          <w:sz w:val="24"/>
        </w:rPr>
        <w:lastRenderedPageBreak/>
        <w:t>were 52 cases in the ascend</w:t>
      </w:r>
      <w:r>
        <w:rPr>
          <w:rFonts w:ascii="Book Antiqua" w:eastAsia="宋体" w:hAnsi="Book Antiqua" w:cs="Times New Roman"/>
          <w:sz w:val="24"/>
        </w:rPr>
        <w:t>ing colon, 21 in the transverse colon, 35 in the descending colon, 106 in the sigmoid colon, and 141 in the rectum. In terms of TNM stage, there were 16 cases of stage I, 251 stage II, 54 stage III, and 34 stage IV. In terms of Dukes stage, there were 17 c</w:t>
      </w:r>
      <w:r>
        <w:rPr>
          <w:rFonts w:ascii="Book Antiqua" w:eastAsia="宋体" w:hAnsi="Book Antiqua" w:cs="Times New Roman"/>
          <w:sz w:val="24"/>
        </w:rPr>
        <w:t>ases of grade A, 225 grade B, and 112 grade C. Among the pathological types, there were 230 cases of adenocarcinoma and 125 cases of mucinous adenocarcinoma and signet ring cell carcinoma.</w:t>
      </w:r>
    </w:p>
    <w:p w:rsidR="00606EEE" w:rsidRDefault="009A50EC">
      <w:pPr>
        <w:spacing w:line="360" w:lineRule="auto"/>
        <w:ind w:firstLineChars="100" w:firstLine="240"/>
        <w:rPr>
          <w:rFonts w:ascii="Book Antiqua" w:eastAsia="宋体" w:hAnsi="Book Antiqua" w:cs="Times New Roman"/>
          <w:sz w:val="24"/>
        </w:rPr>
      </w:pPr>
      <w:r>
        <w:rPr>
          <w:rFonts w:ascii="Book Antiqua" w:eastAsia="宋体" w:hAnsi="Book Antiqua" w:cs="Times New Roman"/>
          <w:sz w:val="24"/>
        </w:rPr>
        <w:t>According to the prognosis results, the prognosis group included 27</w:t>
      </w:r>
      <w:r>
        <w:rPr>
          <w:rFonts w:ascii="Book Antiqua" w:eastAsia="宋体" w:hAnsi="Book Antiqua" w:cs="Times New Roman"/>
          <w:sz w:val="24"/>
        </w:rPr>
        <w:t xml:space="preserve">4 patients and the poor prognosis group included 81 patients. The comparison of the indicators before treatment in the two groups of patients is shown in Table 1. The age, tumor diameter, TNM stage, PCNA index, GPS, C-reactive protein, albumin, </w:t>
      </w:r>
      <w:r>
        <w:rPr>
          <w:rFonts w:ascii="Book Antiqua" w:eastAsia="宋体" w:hAnsi="Book Antiqua" w:cs="Times New Roman"/>
          <w:kern w:val="0"/>
          <w:sz w:val="24"/>
        </w:rPr>
        <w:t>white blood</w:t>
      </w:r>
      <w:r>
        <w:rPr>
          <w:rFonts w:ascii="Book Antiqua" w:eastAsia="宋体" w:hAnsi="Book Antiqua" w:cs="Times New Roman"/>
          <w:kern w:val="0"/>
          <w:sz w:val="24"/>
        </w:rPr>
        <w:t xml:space="preserve"> cell (WBC)</w:t>
      </w:r>
      <w:r>
        <w:rPr>
          <w:rFonts w:ascii="Book Antiqua" w:eastAsia="宋体" w:hAnsi="Book Antiqua" w:cs="Times New Roman"/>
          <w:sz w:val="24"/>
        </w:rPr>
        <w:t xml:space="preserve"> count, NLR, CAR, D-dimer, fibrinogen, CEA, and </w:t>
      </w:r>
      <w:r>
        <w:rPr>
          <w:rFonts w:ascii="Book Antiqua" w:eastAsia="宋体" w:hAnsi="Book Antiqua" w:cs="Times New Roman"/>
          <w:kern w:val="0"/>
          <w:sz w:val="24"/>
        </w:rPr>
        <w:t xml:space="preserve">CA199 in the poor </w:t>
      </w:r>
      <w:r>
        <w:rPr>
          <w:rFonts w:ascii="Book Antiqua" w:eastAsia="宋体" w:hAnsi="Book Antiqua" w:cs="Times New Roman"/>
          <w:sz w:val="24"/>
        </w:rPr>
        <w:t>prognosis group were significantly higher than those in the good prognosis group (</w:t>
      </w:r>
      <w:r>
        <w:rPr>
          <w:rFonts w:ascii="Book Antiqua" w:eastAsia="宋体" w:hAnsi="Book Antiqua" w:cs="Times New Roman"/>
          <w:i/>
          <w:iCs/>
          <w:sz w:val="24"/>
        </w:rPr>
        <w:t>P</w:t>
      </w:r>
      <w:r>
        <w:rPr>
          <w:rFonts w:ascii="Book Antiqua" w:eastAsia="宋体" w:hAnsi="Book Antiqua" w:cs="Times New Roman"/>
          <w:sz w:val="24"/>
        </w:rPr>
        <w:t xml:space="preserve"> &lt; 0.05). The gender, BMI, smoking proportion, alcohol abuse ratio, family history ratio, tumor </w:t>
      </w:r>
      <w:r>
        <w:rPr>
          <w:rFonts w:ascii="Book Antiqua" w:eastAsia="宋体" w:hAnsi="Book Antiqua" w:cs="Times New Roman"/>
          <w:sz w:val="24"/>
        </w:rPr>
        <w:t>location, tumor histology type, Dukes grade, proportion of positive P53, and platelet count were similar between the two groups (</w:t>
      </w:r>
      <w:r>
        <w:rPr>
          <w:rFonts w:ascii="Book Antiqua" w:eastAsia="宋体" w:hAnsi="Book Antiqua" w:cs="Times New Roman"/>
          <w:i/>
          <w:iCs/>
          <w:sz w:val="24"/>
        </w:rPr>
        <w:t>P</w:t>
      </w:r>
      <w:r>
        <w:rPr>
          <w:rFonts w:ascii="Book Antiqua" w:eastAsia="宋体" w:hAnsi="Book Antiqua" w:cs="Times New Roman"/>
          <w:sz w:val="24"/>
        </w:rPr>
        <w:t xml:space="preserve"> &gt; 0.05).</w:t>
      </w:r>
    </w:p>
    <w:p w:rsidR="00606EEE" w:rsidRDefault="00606EEE">
      <w:pPr>
        <w:spacing w:line="360" w:lineRule="auto"/>
        <w:rPr>
          <w:rFonts w:ascii="Book Antiqua" w:eastAsia="宋体" w:hAnsi="Book Antiqua" w:cs="Times New Roman"/>
          <w:sz w:val="24"/>
        </w:rPr>
      </w:pPr>
    </w:p>
    <w:p w:rsidR="00606EEE" w:rsidRDefault="009A50EC">
      <w:pPr>
        <w:spacing w:line="360" w:lineRule="auto"/>
        <w:rPr>
          <w:rFonts w:ascii="Book Antiqua" w:eastAsia="宋体" w:hAnsi="Book Antiqua" w:cs="Times New Roman"/>
          <w:b/>
          <w:bCs/>
          <w:i/>
          <w:iCs/>
          <w:sz w:val="24"/>
        </w:rPr>
      </w:pPr>
      <w:r>
        <w:rPr>
          <w:rFonts w:ascii="Book Antiqua" w:eastAsia="宋体" w:hAnsi="Book Antiqua" w:cs="Times New Roman"/>
          <w:b/>
          <w:bCs/>
          <w:i/>
          <w:iCs/>
          <w:sz w:val="24"/>
        </w:rPr>
        <w:t xml:space="preserve">Multivariate </w:t>
      </w:r>
      <w:r>
        <w:rPr>
          <w:rFonts w:ascii="Book Antiqua" w:eastAsia="宋体" w:hAnsi="Book Antiqua" w:cs="Times New Roman"/>
          <w:b/>
          <w:bCs/>
          <w:i/>
          <w:iCs/>
          <w:caps/>
          <w:sz w:val="24"/>
        </w:rPr>
        <w:t>Cox</w:t>
      </w:r>
      <w:r>
        <w:rPr>
          <w:rFonts w:ascii="Book Antiqua" w:eastAsia="宋体" w:hAnsi="Book Antiqua" w:cs="Times New Roman"/>
          <w:b/>
          <w:bCs/>
          <w:i/>
          <w:iCs/>
          <w:sz w:val="24"/>
        </w:rPr>
        <w:t xml:space="preserve"> regression analysis of the prognosis in patients with colorectal cancer</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 xml:space="preserve">Further multivariate COX </w:t>
      </w:r>
      <w:r>
        <w:rPr>
          <w:rFonts w:ascii="Book Antiqua" w:eastAsia="宋体" w:hAnsi="Book Antiqua" w:cs="Times New Roman"/>
          <w:sz w:val="24"/>
        </w:rPr>
        <w:t>regression analysis was performed on the different indicators between the two groups. The results showed that the impact of age, tumor diameter, C-reactive protein, albumin, WBC count, fibrinogen, and CA199 on the prognosis was not significant (</w:t>
      </w:r>
      <w:r>
        <w:rPr>
          <w:rFonts w:ascii="Book Antiqua" w:eastAsia="宋体" w:hAnsi="Book Antiqua" w:cs="Times New Roman"/>
          <w:i/>
          <w:iCs/>
          <w:sz w:val="24"/>
        </w:rPr>
        <w:t>P</w:t>
      </w:r>
      <w:r>
        <w:rPr>
          <w:rFonts w:ascii="Book Antiqua" w:eastAsia="宋体" w:hAnsi="Book Antiqua" w:cs="Times New Roman"/>
          <w:sz w:val="24"/>
        </w:rPr>
        <w:t xml:space="preserve"> &gt; 0.05). </w:t>
      </w:r>
      <w:r>
        <w:rPr>
          <w:rFonts w:ascii="Book Antiqua" w:eastAsia="宋体" w:hAnsi="Book Antiqua" w:cs="Times New Roman"/>
          <w:sz w:val="24"/>
        </w:rPr>
        <w:t>TNM stage, PCNA, GPS, NLR, CAR, D-dimer, and CEA were independent influencing factors for the prognosis of colorectal cancer (</w:t>
      </w:r>
      <w:r>
        <w:rPr>
          <w:rFonts w:ascii="Book Antiqua" w:eastAsia="宋体" w:hAnsi="Book Antiqua" w:cs="Times New Roman"/>
          <w:i/>
          <w:iCs/>
          <w:sz w:val="24"/>
        </w:rPr>
        <w:t>P</w:t>
      </w:r>
      <w:r>
        <w:rPr>
          <w:rFonts w:ascii="Book Antiqua" w:eastAsia="宋体" w:hAnsi="Book Antiqua" w:cs="Times New Roman"/>
          <w:sz w:val="24"/>
        </w:rPr>
        <w:t xml:space="preserve"> = 0.000) (Table 2).</w:t>
      </w:r>
    </w:p>
    <w:p w:rsidR="00606EEE" w:rsidRDefault="00606EEE">
      <w:pPr>
        <w:spacing w:line="360" w:lineRule="auto"/>
        <w:rPr>
          <w:rFonts w:ascii="Book Antiqua" w:eastAsia="宋体" w:hAnsi="Book Antiqua" w:cs="Times New Roman"/>
          <w:sz w:val="24"/>
        </w:rPr>
      </w:pPr>
    </w:p>
    <w:p w:rsidR="00606EEE" w:rsidRDefault="009A50EC">
      <w:pPr>
        <w:spacing w:line="360" w:lineRule="auto"/>
        <w:rPr>
          <w:rFonts w:ascii="Book Antiqua" w:hAnsi="Book Antiqua" w:cs="Times New Roman"/>
          <w:b/>
          <w:bCs/>
          <w:i/>
          <w:iCs/>
          <w:sz w:val="24"/>
        </w:rPr>
      </w:pPr>
      <w:r>
        <w:rPr>
          <w:rFonts w:ascii="Book Antiqua" w:hAnsi="Book Antiqua" w:cs="Times New Roman"/>
          <w:b/>
          <w:bCs/>
          <w:i/>
          <w:iCs/>
          <w:sz w:val="24"/>
        </w:rPr>
        <w:t>Receiver operating characteristic curve analysis of potential indicators for predicting colorectal cancer p</w:t>
      </w:r>
      <w:r>
        <w:rPr>
          <w:rFonts w:ascii="Book Antiqua" w:hAnsi="Book Antiqua" w:cs="Times New Roman"/>
          <w:b/>
          <w:bCs/>
          <w:i/>
          <w:iCs/>
          <w:sz w:val="24"/>
        </w:rPr>
        <w:t>rognosis</w:t>
      </w:r>
    </w:p>
    <w:p w:rsidR="00606EEE" w:rsidRDefault="009A50EC">
      <w:pPr>
        <w:spacing w:line="360" w:lineRule="auto"/>
        <w:rPr>
          <w:rFonts w:ascii="Book Antiqua" w:hAnsi="Book Antiqua" w:cs="Times New Roman"/>
          <w:sz w:val="24"/>
        </w:rPr>
      </w:pPr>
      <w:r>
        <w:rPr>
          <w:rFonts w:ascii="Book Antiqua" w:hAnsi="Book Antiqua" w:cs="Times New Roman"/>
          <w:sz w:val="24"/>
        </w:rPr>
        <w:t xml:space="preserve">The ROC curve was used to further analyze the predictive value of TNM stage, </w:t>
      </w:r>
      <w:r>
        <w:rPr>
          <w:rFonts w:ascii="Book Antiqua" w:hAnsi="Book Antiqua" w:cs="Times New Roman"/>
          <w:sz w:val="24"/>
        </w:rPr>
        <w:lastRenderedPageBreak/>
        <w:t>PCNA, GPS, NLR, CAR, D-dimer, and CEA for the prognosis of colorectal cancer. The results showed that each indicator can predict the prognosis of colorectal cancer (AUC &gt;</w:t>
      </w:r>
      <w:r>
        <w:rPr>
          <w:rFonts w:ascii="Book Antiqua" w:hAnsi="Book Antiqua" w:cs="Times New Roman"/>
          <w:sz w:val="24"/>
        </w:rPr>
        <w:t xml:space="preserve"> 0.6 for all). Among them, NLR had the highest accuracy with an AUC of 0.925 (95%CI: 0.860-0.966), sensitivity of 94.12%, and slightly lower specificity of 80.25%. D-dimer was the second, and its AUC was 0.879 (95%CI: 0.841-0.911), with a specificity of 10</w:t>
      </w:r>
      <w:r>
        <w:rPr>
          <w:rFonts w:ascii="Book Antiqua" w:hAnsi="Book Antiqua" w:cs="Times New Roman"/>
          <w:sz w:val="24"/>
        </w:rPr>
        <w:t xml:space="preserve">0% and sensitivity of only 58.02%. GPS was the third, and its AUC was 0.872 (95%CI: 0.832-0.905), with a sensitivity and specificity </w:t>
      </w:r>
      <w:r w:rsidR="006B1F01">
        <w:rPr>
          <w:rFonts w:ascii="Book Antiqua" w:hAnsi="Book Antiqua" w:cs="Times New Roman"/>
          <w:sz w:val="24"/>
        </w:rPr>
        <w:t>of</w:t>
      </w:r>
      <w:r>
        <w:rPr>
          <w:rFonts w:ascii="Book Antiqua" w:hAnsi="Book Antiqua" w:cs="Times New Roman"/>
          <w:sz w:val="24"/>
        </w:rPr>
        <w:t xml:space="preserve"> 88.89% and 85.04%, respectively (Table 3 and Figure 3).</w:t>
      </w:r>
    </w:p>
    <w:p w:rsidR="00606EEE" w:rsidRDefault="009A50EC">
      <w:pPr>
        <w:spacing w:line="360" w:lineRule="auto"/>
        <w:ind w:firstLineChars="100" w:firstLine="240"/>
        <w:rPr>
          <w:rFonts w:ascii="Book Antiqua" w:eastAsia="宋体" w:hAnsi="Book Antiqua" w:cs="Times New Roman"/>
          <w:sz w:val="24"/>
        </w:rPr>
      </w:pPr>
      <w:r>
        <w:rPr>
          <w:rFonts w:ascii="Book Antiqua" w:eastAsia="宋体" w:hAnsi="Book Antiqua" w:cs="Times New Roman"/>
          <w:sz w:val="24"/>
        </w:rPr>
        <w:t>Each indicator had some limitations in predicting the prognosis</w:t>
      </w:r>
      <w:r>
        <w:rPr>
          <w:rFonts w:ascii="Book Antiqua" w:eastAsia="宋体" w:hAnsi="Book Antiqua" w:cs="Times New Roman"/>
          <w:sz w:val="24"/>
        </w:rPr>
        <w:t xml:space="preserve"> of colorectal cancer, respectively. Therefore, this study attempted to establish a combination model based on logistic regression to predict the prognosis. The result showed that the accuracy of the combination of all indicators </w:t>
      </w:r>
      <w:r w:rsidR="006B1F01">
        <w:rPr>
          <w:rFonts w:ascii="Book Antiqua" w:eastAsia="宋体" w:hAnsi="Book Antiqua" w:cs="Times New Roman"/>
          <w:sz w:val="24"/>
        </w:rPr>
        <w:t xml:space="preserve">in </w:t>
      </w:r>
      <w:r>
        <w:rPr>
          <w:rFonts w:ascii="Book Antiqua" w:eastAsia="宋体" w:hAnsi="Book Antiqua" w:cs="Times New Roman"/>
          <w:sz w:val="24"/>
        </w:rPr>
        <w:t>predicting the prognosis o</w:t>
      </w:r>
      <w:r>
        <w:rPr>
          <w:rFonts w:ascii="Book Antiqua" w:eastAsia="宋体" w:hAnsi="Book Antiqua" w:cs="Times New Roman"/>
          <w:sz w:val="24"/>
        </w:rPr>
        <w:t>f colorectal cancer was the highest (AUC = 0.973, 95%CI: 0.950-0.987), which was significantly higher than that of any indicator alone (</w:t>
      </w:r>
      <w:r>
        <w:rPr>
          <w:rFonts w:ascii="Book Antiqua" w:eastAsia="宋体" w:hAnsi="Book Antiqua" w:cs="Times New Roman"/>
          <w:i/>
          <w:iCs/>
          <w:sz w:val="24"/>
        </w:rPr>
        <w:t xml:space="preserve">P </w:t>
      </w:r>
      <w:r>
        <w:rPr>
          <w:rFonts w:ascii="Book Antiqua" w:eastAsia="宋体" w:hAnsi="Book Antiqua" w:cs="Times New Roman"/>
          <w:sz w:val="24"/>
        </w:rPr>
        <w:t>&lt; 0.05). The best diagnostic point was 0.206, with a sensitivity of 92.59% and specificity of 90.51% (Figure 4).</w:t>
      </w:r>
    </w:p>
    <w:p w:rsidR="00606EEE" w:rsidRDefault="00606EEE">
      <w:pPr>
        <w:spacing w:line="360" w:lineRule="auto"/>
        <w:rPr>
          <w:rFonts w:ascii="Book Antiqua" w:hAnsi="Book Antiqua" w:cs="Times New Roman"/>
          <w:sz w:val="24"/>
        </w:rPr>
      </w:pPr>
    </w:p>
    <w:p w:rsidR="00606EEE" w:rsidRDefault="009A50EC">
      <w:pPr>
        <w:spacing w:line="360" w:lineRule="auto"/>
        <w:rPr>
          <w:rFonts w:ascii="Book Antiqua" w:eastAsia="宋体" w:hAnsi="Book Antiqua" w:cs="Times New Roman"/>
          <w:b/>
          <w:bCs/>
          <w:caps/>
          <w:sz w:val="24"/>
        </w:rPr>
      </w:pPr>
      <w:r>
        <w:rPr>
          <w:rFonts w:ascii="Book Antiqua" w:eastAsia="宋体" w:hAnsi="Book Antiqua" w:cs="Times New Roman"/>
          <w:b/>
          <w:bCs/>
          <w:caps/>
          <w:sz w:val="24"/>
        </w:rPr>
        <w:t>Disc</w:t>
      </w:r>
      <w:r>
        <w:rPr>
          <w:rFonts w:ascii="Book Antiqua" w:eastAsia="宋体" w:hAnsi="Book Antiqua" w:cs="Times New Roman"/>
          <w:b/>
          <w:bCs/>
          <w:caps/>
          <w:sz w:val="24"/>
        </w:rPr>
        <w:t xml:space="preserve">ussion </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The detection rate of colorectal cancer has increased recently</w:t>
      </w:r>
      <w:r>
        <w:rPr>
          <w:rFonts w:ascii="Book Antiqua" w:eastAsia="宋体" w:hAnsi="Book Antiqua" w:cs="Times New Roman"/>
          <w:sz w:val="24"/>
          <w:vertAlign w:val="superscript"/>
        </w:rPr>
        <w:t>[21]</w:t>
      </w:r>
      <w:r>
        <w:rPr>
          <w:rFonts w:ascii="Book Antiqua" w:eastAsia="宋体" w:hAnsi="Book Antiqua" w:cs="Times New Roman"/>
          <w:sz w:val="24"/>
        </w:rPr>
        <w:t>. Because of the hidden symptoms in early stage, the prognosis of colorectal cancer is poor</w:t>
      </w:r>
      <w:r>
        <w:rPr>
          <w:rFonts w:ascii="Book Antiqua" w:eastAsia="宋体" w:hAnsi="Book Antiqua" w:cs="Times New Roman"/>
          <w:sz w:val="24"/>
          <w:vertAlign w:val="superscript"/>
        </w:rPr>
        <w:t>[22]</w:t>
      </w:r>
      <w:r>
        <w:rPr>
          <w:rFonts w:ascii="Book Antiqua" w:eastAsia="宋体" w:hAnsi="Book Antiqua" w:cs="Times New Roman"/>
          <w:sz w:val="24"/>
        </w:rPr>
        <w:t>. Accurate assessment of patient outcomes is critical to the choice of clinical treatme</w:t>
      </w:r>
      <w:r>
        <w:rPr>
          <w:rFonts w:ascii="Book Antiqua" w:eastAsia="宋体" w:hAnsi="Book Antiqua" w:cs="Times New Roman"/>
          <w:sz w:val="24"/>
        </w:rPr>
        <w:t xml:space="preserve">nts. Currently, the prognosis of colorectal cancer is predicted mainly through CEA level, pathological typing, TNM staging, </w:t>
      </w:r>
      <w:r>
        <w:rPr>
          <w:rFonts w:ascii="Book Antiqua" w:eastAsia="宋体" w:hAnsi="Book Antiqua" w:cs="Times New Roman"/>
          <w:i/>
          <w:iCs/>
          <w:sz w:val="24"/>
        </w:rPr>
        <w:t>etc.</w:t>
      </w:r>
      <w:r>
        <w:rPr>
          <w:rFonts w:ascii="Book Antiqua" w:eastAsia="宋体" w:hAnsi="Book Antiqua" w:cs="Times New Roman"/>
          <w:sz w:val="24"/>
          <w:vertAlign w:val="superscript"/>
        </w:rPr>
        <w:t>[23-25]</w:t>
      </w:r>
      <w:r>
        <w:rPr>
          <w:rFonts w:ascii="Book Antiqua" w:eastAsia="宋体" w:hAnsi="Book Antiqua" w:cs="Times New Roman"/>
          <w:sz w:val="24"/>
        </w:rPr>
        <w:t>, but the accuracy of prediction cannot be guaranteed due to different individuals</w:t>
      </w:r>
      <w:r>
        <w:rPr>
          <w:rFonts w:ascii="Book Antiqua" w:eastAsia="宋体" w:hAnsi="Book Antiqua" w:cs="Times New Roman"/>
          <w:sz w:val="24"/>
          <w:vertAlign w:val="superscript"/>
        </w:rPr>
        <w:t>[26]</w:t>
      </w:r>
      <w:r>
        <w:rPr>
          <w:rFonts w:ascii="Book Antiqua" w:eastAsia="宋体" w:hAnsi="Book Antiqua" w:cs="Times New Roman"/>
          <w:sz w:val="24"/>
        </w:rPr>
        <w:t>. Recent studies have shown that GP</w:t>
      </w:r>
      <w:r>
        <w:rPr>
          <w:rFonts w:ascii="Book Antiqua" w:eastAsia="宋体" w:hAnsi="Book Antiqua" w:cs="Times New Roman"/>
          <w:sz w:val="24"/>
        </w:rPr>
        <w:t>S, C-reactive protein, albumin, CAR, NLR and other inflammatory indicators can reveal the prognosis of malignant tumors, but the accuracy of different predictive indicators for the prognosis of colorectal cancer is uncertain</w:t>
      </w:r>
      <w:r>
        <w:rPr>
          <w:rFonts w:ascii="Book Antiqua" w:eastAsia="宋体" w:hAnsi="Book Antiqua" w:cs="Times New Roman"/>
          <w:sz w:val="24"/>
          <w:vertAlign w:val="superscript"/>
        </w:rPr>
        <w:t>[27]</w:t>
      </w:r>
      <w:r>
        <w:rPr>
          <w:rFonts w:ascii="Book Antiqua" w:eastAsia="宋体" w:hAnsi="Book Antiqua" w:cs="Times New Roman"/>
          <w:sz w:val="24"/>
        </w:rPr>
        <w:t>. Therefore, this study recr</w:t>
      </w:r>
      <w:r>
        <w:rPr>
          <w:rFonts w:ascii="Book Antiqua" w:eastAsia="宋体" w:hAnsi="Book Antiqua" w:cs="Times New Roman"/>
          <w:sz w:val="24"/>
        </w:rPr>
        <w:t xml:space="preserve">uited colorectal cancer patients and screened the clinical data and serology and pathology data </w:t>
      </w:r>
      <w:r>
        <w:rPr>
          <w:rFonts w:ascii="Book Antiqua" w:eastAsia="宋体" w:hAnsi="Book Antiqua" w:cs="Times New Roman"/>
          <w:sz w:val="24"/>
        </w:rPr>
        <w:lastRenderedPageBreak/>
        <w:t>to find the indicators that can accurately evaluate the prognosis.</w:t>
      </w:r>
    </w:p>
    <w:p w:rsidR="00606EEE" w:rsidRDefault="00606EEE">
      <w:pPr>
        <w:spacing w:line="360" w:lineRule="auto"/>
        <w:rPr>
          <w:rFonts w:ascii="Book Antiqua" w:eastAsia="宋体" w:hAnsi="Book Antiqua" w:cs="Times New Roman"/>
          <w:sz w:val="24"/>
        </w:rPr>
      </w:pPr>
    </w:p>
    <w:p w:rsidR="00606EEE" w:rsidRDefault="009A50EC">
      <w:pPr>
        <w:spacing w:line="360" w:lineRule="auto"/>
        <w:rPr>
          <w:rFonts w:ascii="Book Antiqua" w:eastAsia="宋体" w:hAnsi="Book Antiqua" w:cs="Times New Roman"/>
          <w:b/>
          <w:bCs/>
          <w:i/>
          <w:iCs/>
          <w:sz w:val="24"/>
        </w:rPr>
      </w:pPr>
      <w:r>
        <w:rPr>
          <w:rFonts w:ascii="Book Antiqua" w:eastAsia="宋体" w:hAnsi="Book Antiqua" w:cs="Times New Roman"/>
          <w:b/>
          <w:bCs/>
          <w:i/>
          <w:iCs/>
          <w:sz w:val="24"/>
        </w:rPr>
        <w:t>Survival analysis of patients with colorectal cancer</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 xml:space="preserve">The incidences of postoperative </w:t>
      </w:r>
      <w:r>
        <w:rPr>
          <w:rFonts w:ascii="Book Antiqua" w:eastAsia="宋体" w:hAnsi="Book Antiqua" w:cs="Times New Roman"/>
          <w:sz w:val="24"/>
        </w:rPr>
        <w:t>recurrence, metastasis, and tumor-related death are very high</w:t>
      </w:r>
      <w:r>
        <w:rPr>
          <w:rFonts w:ascii="Book Antiqua" w:eastAsia="宋体" w:hAnsi="Book Antiqua" w:cs="Times New Roman"/>
          <w:sz w:val="24"/>
          <w:vertAlign w:val="superscript"/>
        </w:rPr>
        <w:t>[28]</w:t>
      </w:r>
      <w:r>
        <w:rPr>
          <w:rFonts w:ascii="Book Antiqua" w:eastAsia="宋体" w:hAnsi="Book Antiqua" w:cs="Times New Roman"/>
          <w:sz w:val="24"/>
        </w:rPr>
        <w:t>. A 3-year follow-up analysis in the study showed that the survival curves decreased significantly at 12-18 mo and 30-36 mo, respectively. It indicated that the number of patients with a poor</w:t>
      </w:r>
      <w:r>
        <w:rPr>
          <w:rFonts w:ascii="Book Antiqua" w:eastAsia="宋体" w:hAnsi="Book Antiqua" w:cs="Times New Roman"/>
          <w:sz w:val="24"/>
        </w:rPr>
        <w:t xml:space="preserve"> prognosis increased rapidly at 12-18 mo and 30-36 mo. Among the patients with a poor prognosis, the incidence of colorectal cancer recurrence was the highest, accounting for 49.4% of all patients with a poor prognosis, followed by liver metastasis (32.1%)</w:t>
      </w:r>
      <w:r>
        <w:rPr>
          <w:rFonts w:ascii="Book Antiqua" w:eastAsia="宋体" w:hAnsi="Book Antiqua" w:cs="Times New Roman"/>
          <w:sz w:val="24"/>
        </w:rPr>
        <w:t xml:space="preserve"> and bone metastasis (18.5%). The overall poor prognosis rate was 22.82%, which is similar to the recent finding of Shen </w:t>
      </w:r>
      <w:r>
        <w:rPr>
          <w:rFonts w:ascii="Book Antiqua" w:eastAsia="宋体" w:hAnsi="Book Antiqua" w:cs="Times New Roman"/>
          <w:i/>
          <w:iCs/>
          <w:sz w:val="24"/>
        </w:rPr>
        <w:t>et al</w:t>
      </w:r>
      <w:r>
        <w:rPr>
          <w:rFonts w:ascii="Book Antiqua" w:eastAsia="宋体" w:hAnsi="Book Antiqua" w:cs="Times New Roman"/>
          <w:sz w:val="24"/>
          <w:vertAlign w:val="superscript"/>
        </w:rPr>
        <w:t>[29]</w:t>
      </w:r>
      <w:r>
        <w:rPr>
          <w:rFonts w:ascii="Book Antiqua" w:eastAsia="宋体" w:hAnsi="Book Antiqua" w:cs="Times New Roman"/>
          <w:sz w:val="24"/>
        </w:rPr>
        <w:t xml:space="preserve"> (24.3%), and lower than the result of Lujan </w:t>
      </w:r>
      <w:r>
        <w:rPr>
          <w:rFonts w:ascii="Book Antiqua" w:eastAsia="宋体" w:hAnsi="Book Antiqua" w:cs="Times New Roman"/>
          <w:i/>
          <w:iCs/>
          <w:sz w:val="24"/>
        </w:rPr>
        <w:t>et al</w:t>
      </w:r>
      <w:r>
        <w:rPr>
          <w:rFonts w:ascii="Book Antiqua" w:eastAsia="宋体" w:hAnsi="Book Antiqua" w:cs="Times New Roman"/>
          <w:sz w:val="24"/>
          <w:vertAlign w:val="superscript"/>
        </w:rPr>
        <w:t>[30]</w:t>
      </w:r>
      <w:r>
        <w:rPr>
          <w:rFonts w:ascii="Book Antiqua" w:eastAsia="宋体" w:hAnsi="Book Antiqua" w:cs="Times New Roman"/>
          <w:sz w:val="24"/>
        </w:rPr>
        <w:t xml:space="preserve"> (38.3%-45.6%). The possible reason is that with the improvement of peop</w:t>
      </w:r>
      <w:r>
        <w:rPr>
          <w:rFonts w:ascii="Book Antiqua" w:eastAsia="宋体" w:hAnsi="Book Antiqua" w:cs="Times New Roman"/>
          <w:sz w:val="24"/>
        </w:rPr>
        <w:t>le's health awareness, the detection rate of early colorectal cancer is increased. More patients can receive timely treatment in early stage, in addition to the popularization of endoscopic and laparoscopic treatment techniques. Hence the prognosis of colo</w:t>
      </w:r>
      <w:r>
        <w:rPr>
          <w:rFonts w:ascii="Book Antiqua" w:eastAsia="宋体" w:hAnsi="Book Antiqua" w:cs="Times New Roman"/>
          <w:sz w:val="24"/>
        </w:rPr>
        <w:t>rectal cancer is improved.</w:t>
      </w:r>
    </w:p>
    <w:p w:rsidR="00606EEE" w:rsidRDefault="00606EEE">
      <w:pPr>
        <w:spacing w:line="360" w:lineRule="auto"/>
        <w:rPr>
          <w:rFonts w:ascii="Book Antiqua" w:eastAsia="宋体" w:hAnsi="Book Antiqua" w:cs="Times New Roman"/>
          <w:sz w:val="24"/>
        </w:rPr>
      </w:pPr>
    </w:p>
    <w:p w:rsidR="00606EEE" w:rsidRDefault="009A50EC">
      <w:pPr>
        <w:spacing w:line="360" w:lineRule="auto"/>
        <w:rPr>
          <w:rFonts w:ascii="Book Antiqua" w:eastAsia="宋体" w:hAnsi="Book Antiqua" w:cs="Times New Roman"/>
          <w:b/>
          <w:bCs/>
          <w:i/>
          <w:iCs/>
          <w:sz w:val="24"/>
        </w:rPr>
      </w:pPr>
      <w:r>
        <w:rPr>
          <w:rFonts w:ascii="Book Antiqua" w:eastAsia="宋体" w:hAnsi="Book Antiqua" w:cs="Times New Roman"/>
          <w:b/>
          <w:bCs/>
          <w:i/>
          <w:iCs/>
          <w:sz w:val="24"/>
        </w:rPr>
        <w:t>Multivariate regression analysis of the prognosis after colorectal cancer surgery</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 xml:space="preserve">With the increase of age, the immune clearance ability and postoperative recovery ability of carcinoma are significantly reduced. The possibility </w:t>
      </w:r>
      <w:r>
        <w:rPr>
          <w:rFonts w:ascii="Book Antiqua" w:eastAsia="宋体" w:hAnsi="Book Antiqua" w:cs="Times New Roman"/>
          <w:sz w:val="24"/>
        </w:rPr>
        <w:t>of poor prognosis is gradually increased</w:t>
      </w:r>
      <w:r>
        <w:rPr>
          <w:rFonts w:ascii="Book Antiqua" w:eastAsia="宋体" w:hAnsi="Book Antiqua" w:cs="Times New Roman"/>
          <w:sz w:val="24"/>
          <w:vertAlign w:val="superscript"/>
        </w:rPr>
        <w:t>[31-33]</w:t>
      </w:r>
      <w:r>
        <w:rPr>
          <w:rFonts w:ascii="Book Antiqua" w:eastAsia="宋体" w:hAnsi="Book Antiqua" w:cs="Times New Roman"/>
          <w:sz w:val="24"/>
        </w:rPr>
        <w:t xml:space="preserve">. Studies have revealed that gender, smoking history, family history, </w:t>
      </w:r>
      <w:r>
        <w:rPr>
          <w:rFonts w:ascii="Book Antiqua" w:eastAsia="宋体" w:hAnsi="Book Antiqua" w:cs="Times New Roman"/>
          <w:i/>
          <w:iCs/>
          <w:sz w:val="24"/>
        </w:rPr>
        <w:t>etc</w:t>
      </w:r>
      <w:r>
        <w:rPr>
          <w:rFonts w:ascii="Book Antiqua" w:eastAsia="宋体" w:hAnsi="Book Antiqua" w:cs="Times New Roman"/>
          <w:sz w:val="24"/>
        </w:rPr>
        <w:t>. can affect the incidence and outcome of carcinoma</w:t>
      </w:r>
      <w:r>
        <w:rPr>
          <w:rFonts w:ascii="Book Antiqua" w:eastAsia="宋体" w:hAnsi="Book Antiqua" w:cs="Times New Roman"/>
          <w:sz w:val="24"/>
          <w:vertAlign w:val="superscript"/>
        </w:rPr>
        <w:t>[34-36]</w:t>
      </w:r>
      <w:r>
        <w:rPr>
          <w:rFonts w:ascii="Book Antiqua" w:eastAsia="宋体" w:hAnsi="Book Antiqua" w:cs="Times New Roman"/>
          <w:sz w:val="24"/>
        </w:rPr>
        <w:t>. Tumor location, size, TNM stage, Dukes stage, and pathological classificatio</w:t>
      </w:r>
      <w:r>
        <w:rPr>
          <w:rFonts w:ascii="Book Antiqua" w:eastAsia="宋体" w:hAnsi="Book Antiqua" w:cs="Times New Roman"/>
          <w:sz w:val="24"/>
        </w:rPr>
        <w:t>n can indicate the progression of colorectal cancer and its invasion and metastasis ability. They are often utilized to predict the prognosis of colorectal cancer</w:t>
      </w:r>
      <w:r>
        <w:rPr>
          <w:rFonts w:ascii="Book Antiqua" w:eastAsia="宋体" w:hAnsi="Book Antiqua" w:cs="Times New Roman"/>
          <w:sz w:val="24"/>
          <w:vertAlign w:val="superscript"/>
        </w:rPr>
        <w:t>[37]</w:t>
      </w:r>
      <w:r>
        <w:rPr>
          <w:rFonts w:ascii="Book Antiqua" w:eastAsia="宋体" w:hAnsi="Book Antiqua" w:cs="Times New Roman"/>
          <w:sz w:val="24"/>
        </w:rPr>
        <w:t xml:space="preserve">. PCNA and p53 are common clinical tumor-related detection indicators, and their abnormal </w:t>
      </w:r>
      <w:r>
        <w:rPr>
          <w:rFonts w:ascii="Book Antiqua" w:eastAsia="宋体" w:hAnsi="Book Antiqua" w:cs="Times New Roman"/>
          <w:sz w:val="24"/>
        </w:rPr>
        <w:t>expression levels may be associated with colorectal cancer recurrence and poor prognosis</w:t>
      </w:r>
      <w:r>
        <w:rPr>
          <w:rFonts w:ascii="Book Antiqua" w:eastAsia="宋体" w:hAnsi="Book Antiqua" w:cs="Times New Roman"/>
          <w:sz w:val="24"/>
          <w:vertAlign w:val="superscript"/>
        </w:rPr>
        <w:t>[38-42]</w:t>
      </w:r>
      <w:r>
        <w:rPr>
          <w:rFonts w:ascii="Book Antiqua" w:eastAsia="宋体" w:hAnsi="Book Antiqua" w:cs="Times New Roman"/>
          <w:sz w:val="24"/>
        </w:rPr>
        <w:t xml:space="preserve">. </w:t>
      </w:r>
      <w:r>
        <w:rPr>
          <w:rFonts w:ascii="Book Antiqua" w:eastAsia="宋体" w:hAnsi="Book Antiqua" w:cs="Times New Roman"/>
          <w:sz w:val="24"/>
        </w:rPr>
        <w:lastRenderedPageBreak/>
        <w:t xml:space="preserve">Serological indicators such as neutrophils, lymphocytes, albumin, and C-reactive protein are commonly used indicators for monitoring inflammation in the body. </w:t>
      </w:r>
      <w:r>
        <w:rPr>
          <w:rFonts w:ascii="Book Antiqua" w:eastAsia="宋体" w:hAnsi="Book Antiqua" w:cs="Times New Roman"/>
          <w:sz w:val="24"/>
        </w:rPr>
        <w:t>Studies have shown that inflammation can promote tumor metastasis and recurrence</w:t>
      </w:r>
      <w:r>
        <w:rPr>
          <w:rFonts w:ascii="Book Antiqua" w:eastAsia="宋体" w:hAnsi="Book Antiqua" w:cs="Times New Roman"/>
          <w:sz w:val="24"/>
          <w:vertAlign w:val="superscript"/>
        </w:rPr>
        <w:t>[43-44]</w:t>
      </w:r>
      <w:r>
        <w:rPr>
          <w:rFonts w:ascii="Book Antiqua" w:eastAsia="宋体" w:hAnsi="Book Antiqua" w:cs="Times New Roman"/>
          <w:sz w:val="24"/>
        </w:rPr>
        <w:t>. In addition, inflammatory factors can inhibit the body’s immune response to tumors and stimulate tumor formation around the tumor, thereby promoting tumor growth and m</w:t>
      </w:r>
      <w:r>
        <w:rPr>
          <w:rFonts w:ascii="Book Antiqua" w:eastAsia="宋体" w:hAnsi="Book Antiqua" w:cs="Times New Roman"/>
          <w:sz w:val="24"/>
        </w:rPr>
        <w:t>etastasis</w:t>
      </w:r>
      <w:r>
        <w:rPr>
          <w:rFonts w:ascii="Book Antiqua" w:eastAsia="宋体" w:hAnsi="Book Antiqua" w:cs="Times New Roman"/>
          <w:sz w:val="24"/>
          <w:vertAlign w:val="superscript"/>
        </w:rPr>
        <w:t>[45]</w:t>
      </w:r>
      <w:r>
        <w:rPr>
          <w:rFonts w:ascii="Book Antiqua" w:eastAsia="宋体" w:hAnsi="Book Antiqua" w:cs="Times New Roman"/>
          <w:sz w:val="24"/>
        </w:rPr>
        <w:t>.</w:t>
      </w:r>
    </w:p>
    <w:p w:rsidR="00606EEE" w:rsidRDefault="009A50EC">
      <w:pPr>
        <w:spacing w:line="360" w:lineRule="auto"/>
        <w:ind w:firstLineChars="100" w:firstLine="240"/>
        <w:rPr>
          <w:rFonts w:ascii="Book Antiqua" w:eastAsia="宋体" w:hAnsi="Book Antiqua" w:cs="Times New Roman"/>
          <w:sz w:val="24"/>
        </w:rPr>
      </w:pPr>
      <w:r>
        <w:rPr>
          <w:rFonts w:ascii="Book Antiqua" w:eastAsia="宋体" w:hAnsi="Book Antiqua" w:cs="Times New Roman"/>
          <w:sz w:val="24"/>
        </w:rPr>
        <w:t>This study compared clinical, serological, and histological indicators of patients with different prognoses. It indicated that age, tumor diameter, TNM stage, PCNA index, GPS, C-reactive protein, albumin, WBC count, NLR, CAR, D-dimer, fibrin</w:t>
      </w:r>
      <w:r>
        <w:rPr>
          <w:rFonts w:ascii="Book Antiqua" w:eastAsia="宋体" w:hAnsi="Book Antiqua" w:cs="Times New Roman"/>
          <w:sz w:val="24"/>
        </w:rPr>
        <w:t xml:space="preserve">ogen, CEA, and </w:t>
      </w:r>
      <w:r>
        <w:rPr>
          <w:rFonts w:ascii="Book Antiqua" w:eastAsia="宋体" w:hAnsi="Book Antiqua" w:cs="Times New Roman"/>
          <w:kern w:val="0"/>
          <w:sz w:val="24"/>
        </w:rPr>
        <w:t>CA199</w:t>
      </w:r>
      <w:r>
        <w:rPr>
          <w:rFonts w:ascii="Book Antiqua" w:eastAsia="宋体" w:hAnsi="Book Antiqua" w:cs="Times New Roman"/>
          <w:sz w:val="24"/>
        </w:rPr>
        <w:t xml:space="preserve"> were possible risk factors for poor prognosis in patients with colorectal cancer. Further multivariate</w:t>
      </w:r>
      <w:r>
        <w:rPr>
          <w:rFonts w:ascii="Book Antiqua" w:eastAsia="宋体" w:hAnsi="Book Antiqua" w:cs="Times New Roman"/>
          <w:caps/>
          <w:sz w:val="24"/>
        </w:rPr>
        <w:t xml:space="preserve"> Cox</w:t>
      </w:r>
      <w:r>
        <w:rPr>
          <w:rFonts w:ascii="Book Antiqua" w:eastAsia="宋体" w:hAnsi="Book Antiqua" w:cs="Times New Roman"/>
          <w:sz w:val="24"/>
        </w:rPr>
        <w:t xml:space="preserve"> regression analysis of the above indicators showed that TNM stage, PCNA, GPS, NLR, CAR, D-dimer, and CEA were independent influe</w:t>
      </w:r>
      <w:r>
        <w:rPr>
          <w:rFonts w:ascii="Book Antiqua" w:eastAsia="宋体" w:hAnsi="Book Antiqua" w:cs="Times New Roman"/>
          <w:sz w:val="24"/>
        </w:rPr>
        <w:t>ncing factors for the prognosis of colorectal cancer. It suggested that when advanced TNM stage, high PCNA expression levels, GPS &gt; 0, increase of NLR and CAR, or increase of D-dimer and CEA levels occurs, the possibility of poor prognosis should be guarde</w:t>
      </w:r>
      <w:r>
        <w:rPr>
          <w:rFonts w:ascii="Book Antiqua" w:eastAsia="宋体" w:hAnsi="Book Antiqua" w:cs="Times New Roman"/>
          <w:sz w:val="24"/>
        </w:rPr>
        <w:t xml:space="preserve">d. In addition, early treatment, control of inflammation levels, and monitoring of D-dimer and CEA levels can prevent poor prognosis. It is worth noticing that NLR, CAR, and GPS are calculated by two serological indicators, which can simultaneously reveal </w:t>
      </w:r>
      <w:r>
        <w:rPr>
          <w:rFonts w:ascii="Book Antiqua" w:eastAsia="宋体" w:hAnsi="Book Antiqua" w:cs="Times New Roman"/>
          <w:sz w:val="24"/>
        </w:rPr>
        <w:t>changes of two indicators. Furthermore, TNM staging includes tumor diameter, lymph node metastasis, and distant metastasis. It indicated that multiple indicators are preferred when the accuracy of prognosis assessment based on single factor is poor to impr</w:t>
      </w:r>
      <w:r>
        <w:rPr>
          <w:rFonts w:ascii="Book Antiqua" w:eastAsia="宋体" w:hAnsi="Book Antiqua" w:cs="Times New Roman"/>
          <w:sz w:val="24"/>
        </w:rPr>
        <w:t>ove the accuracy of the evaluation results.</w:t>
      </w:r>
    </w:p>
    <w:p w:rsidR="00606EEE" w:rsidRDefault="00606EEE">
      <w:pPr>
        <w:spacing w:line="360" w:lineRule="auto"/>
        <w:ind w:firstLineChars="100" w:firstLine="240"/>
        <w:rPr>
          <w:rFonts w:ascii="Book Antiqua" w:eastAsia="宋体" w:hAnsi="Book Antiqua" w:cs="Times New Roman"/>
          <w:sz w:val="24"/>
        </w:rPr>
      </w:pPr>
    </w:p>
    <w:p w:rsidR="00606EEE" w:rsidRDefault="009A50EC">
      <w:pPr>
        <w:spacing w:line="360" w:lineRule="auto"/>
        <w:rPr>
          <w:rFonts w:ascii="Book Antiqua" w:eastAsia="宋体" w:hAnsi="Book Antiqua" w:cs="Times New Roman"/>
          <w:b/>
          <w:bCs/>
          <w:i/>
          <w:iCs/>
          <w:sz w:val="24"/>
        </w:rPr>
      </w:pPr>
      <w:r>
        <w:rPr>
          <w:rFonts w:ascii="Book Antiqua" w:eastAsia="宋体" w:hAnsi="Book Antiqua" w:cs="Times New Roman"/>
          <w:b/>
          <w:bCs/>
          <w:i/>
          <w:iCs/>
          <w:sz w:val="24"/>
        </w:rPr>
        <w:t>Potential indicators predicting the prognosis of colorectal cancer</w:t>
      </w:r>
    </w:p>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Based on COX regression results, this study evaluated the ability of TNM stage, PCNA, GPS, NLR, CAR, D-dimer, and CEA to predict the prognosis o</w:t>
      </w:r>
      <w:r>
        <w:rPr>
          <w:rFonts w:ascii="Book Antiqua" w:eastAsia="宋体" w:hAnsi="Book Antiqua" w:cs="Times New Roman"/>
          <w:sz w:val="24"/>
        </w:rPr>
        <w:t xml:space="preserve">f colorectal cancer. According to the evaluation results, the accuracy of NLR, D-dimer, and GPS was significantly higher than that of TNM stage, PCNA, and </w:t>
      </w:r>
      <w:r>
        <w:rPr>
          <w:rFonts w:ascii="Book Antiqua" w:eastAsia="宋体" w:hAnsi="Book Antiqua" w:cs="Times New Roman"/>
          <w:sz w:val="24"/>
        </w:rPr>
        <w:lastRenderedPageBreak/>
        <w:t>CAR. Among them, NLR had the highest accuracy. The possible reason may be that NLR is the ratio of ne</w:t>
      </w:r>
      <w:r>
        <w:rPr>
          <w:rFonts w:ascii="Book Antiqua" w:eastAsia="宋体" w:hAnsi="Book Antiqua" w:cs="Times New Roman"/>
          <w:sz w:val="24"/>
        </w:rPr>
        <w:t>utrophils to lymphocytes. Both of them are reliable indicators for the inflammatory response</w:t>
      </w:r>
      <w:r>
        <w:rPr>
          <w:rFonts w:ascii="Book Antiqua" w:eastAsia="宋体" w:hAnsi="Book Antiqua" w:cs="Times New Roman"/>
          <w:i/>
          <w:iCs/>
          <w:sz w:val="24"/>
        </w:rPr>
        <w:t xml:space="preserve"> in vivo.</w:t>
      </w:r>
      <w:r>
        <w:rPr>
          <w:rFonts w:ascii="Book Antiqua" w:eastAsia="宋体" w:hAnsi="Book Antiqua" w:cs="Times New Roman"/>
          <w:sz w:val="24"/>
        </w:rPr>
        <w:t xml:space="preserve"> Neutrophils can release active factors to activate NF-κB, which is related to the formation of tumors. Also, it can inhibit the immunity of the body throu</w:t>
      </w:r>
      <w:r>
        <w:rPr>
          <w:rFonts w:ascii="Book Antiqua" w:eastAsia="宋体" w:hAnsi="Book Antiqua" w:cs="Times New Roman"/>
          <w:sz w:val="24"/>
        </w:rPr>
        <w:t>gh the inflammatory reaction, and help tumor cells escape from immunization. In addition, it can promote tumor growth by promoting neovascularization. Hence, its increase is beneficial to tumorigenesis</w:t>
      </w:r>
      <w:r>
        <w:rPr>
          <w:rFonts w:ascii="Book Antiqua" w:eastAsia="宋体" w:hAnsi="Book Antiqua" w:cs="Times New Roman"/>
          <w:sz w:val="24"/>
          <w:vertAlign w:val="superscript"/>
        </w:rPr>
        <w:t>[43,44]</w:t>
      </w:r>
      <w:r>
        <w:rPr>
          <w:rFonts w:ascii="Book Antiqua" w:eastAsia="宋体" w:hAnsi="Book Antiqua" w:cs="Times New Roman"/>
          <w:sz w:val="24"/>
        </w:rPr>
        <w:t>. As one of the main cells of the body’s immunit</w:t>
      </w:r>
      <w:r>
        <w:rPr>
          <w:rFonts w:ascii="Book Antiqua" w:eastAsia="宋体" w:hAnsi="Book Antiqua" w:cs="Times New Roman"/>
          <w:sz w:val="24"/>
        </w:rPr>
        <w:t xml:space="preserve">y, lymphocytes can produce an immune response to tumor cells, and the decrease of the lymphocytes leads to a decrease in the body’s ability to inhibit tumors. Therefore, increased NLR is beneficial to tumor survival </w:t>
      </w:r>
      <w:r w:rsidR="006B1F01">
        <w:rPr>
          <w:rFonts w:ascii="Book Antiqua" w:eastAsia="宋体" w:hAnsi="Book Antiqua" w:cs="Times New Roman"/>
          <w:sz w:val="24"/>
        </w:rPr>
        <w:t xml:space="preserve">and </w:t>
      </w:r>
      <w:r>
        <w:rPr>
          <w:rFonts w:ascii="Book Antiqua" w:eastAsia="宋体" w:hAnsi="Book Antiqua" w:cs="Times New Roman"/>
          <w:sz w:val="24"/>
        </w:rPr>
        <w:t>associated with a poor prognosis. The hy</w:t>
      </w:r>
      <w:r>
        <w:rPr>
          <w:rFonts w:ascii="Book Antiqua" w:eastAsia="宋体" w:hAnsi="Book Antiqua" w:cs="Times New Roman"/>
          <w:sz w:val="24"/>
        </w:rPr>
        <w:t>percoagulable state of the blood is beneficial for the metastasis of malignant tumors</w:t>
      </w:r>
      <w:r>
        <w:rPr>
          <w:rFonts w:ascii="Book Antiqua" w:eastAsia="宋体" w:hAnsi="Book Antiqua" w:cs="Times New Roman"/>
          <w:sz w:val="24"/>
          <w:vertAlign w:val="superscript"/>
        </w:rPr>
        <w:t>[46]</w:t>
      </w:r>
      <w:r>
        <w:rPr>
          <w:rFonts w:ascii="Book Antiqua" w:eastAsia="宋体" w:hAnsi="Book Antiqua" w:cs="Times New Roman"/>
          <w:sz w:val="24"/>
        </w:rPr>
        <w:t>. Studies have confirmed that preoperative D-dimer levels are associated with tumor prognosis</w:t>
      </w:r>
      <w:r>
        <w:rPr>
          <w:rFonts w:ascii="Book Antiqua" w:eastAsia="宋体" w:hAnsi="Book Antiqua" w:cs="Times New Roman"/>
          <w:sz w:val="24"/>
          <w:vertAlign w:val="superscript"/>
        </w:rPr>
        <w:t>[47-49]</w:t>
      </w:r>
      <w:r>
        <w:rPr>
          <w:rFonts w:ascii="Book Antiqua" w:eastAsia="宋体" w:hAnsi="Book Antiqua" w:cs="Times New Roman"/>
          <w:sz w:val="24"/>
        </w:rPr>
        <w:t>. In this study, D-dimer had a higher predictive ability for poor p</w:t>
      </w:r>
      <w:r>
        <w:rPr>
          <w:rFonts w:ascii="Book Antiqua" w:eastAsia="宋体" w:hAnsi="Book Antiqua" w:cs="Times New Roman"/>
          <w:sz w:val="24"/>
        </w:rPr>
        <w:t>rognosis of colorectal cancer, second only to NLR. GPS is determined by the level of serum C-reactive protein and whether it has hypoproteinemia, which can simultaneously indicate the inflammatory condition and nutritional status of the body. In this study</w:t>
      </w:r>
      <w:r>
        <w:rPr>
          <w:rFonts w:ascii="Book Antiqua" w:eastAsia="宋体" w:hAnsi="Book Antiqua" w:cs="Times New Roman"/>
          <w:sz w:val="24"/>
        </w:rPr>
        <w:t xml:space="preserve">, GPS also had a high predictive ability for poor prognosis of colorectal cancer, which is similar to the study by </w:t>
      </w:r>
      <w:r>
        <w:rPr>
          <w:rFonts w:ascii="Book Antiqua" w:hAnsi="Book Antiqua" w:cs="Times New Roman"/>
          <w:sz w:val="24"/>
        </w:rPr>
        <w:t xml:space="preserve">Wind </w:t>
      </w:r>
      <w:r>
        <w:rPr>
          <w:rFonts w:ascii="Book Antiqua" w:hAnsi="Book Antiqua" w:cs="Times New Roman"/>
          <w:i/>
          <w:iCs/>
          <w:sz w:val="24"/>
        </w:rPr>
        <w:t>et al</w:t>
      </w:r>
      <w:r>
        <w:rPr>
          <w:rFonts w:ascii="Book Antiqua" w:eastAsia="宋体" w:hAnsi="Book Antiqua" w:cs="Times New Roman"/>
          <w:sz w:val="24"/>
          <w:vertAlign w:val="superscript"/>
        </w:rPr>
        <w:t>[50]</w:t>
      </w:r>
      <w:r>
        <w:rPr>
          <w:rFonts w:ascii="Book Antiqua" w:eastAsia="宋体" w:hAnsi="Book Antiqua" w:cs="Times New Roman"/>
          <w:sz w:val="24"/>
        </w:rPr>
        <w:t>.</w:t>
      </w:r>
    </w:p>
    <w:p w:rsidR="00606EEE" w:rsidRDefault="009A50EC">
      <w:pPr>
        <w:spacing w:line="360" w:lineRule="auto"/>
        <w:ind w:firstLineChars="100" w:firstLine="240"/>
        <w:rPr>
          <w:rFonts w:ascii="Book Antiqua" w:eastAsia="宋体" w:hAnsi="Book Antiqua" w:cs="Times New Roman"/>
          <w:kern w:val="0"/>
          <w:sz w:val="24"/>
        </w:rPr>
      </w:pPr>
      <w:r>
        <w:rPr>
          <w:rFonts w:ascii="Book Antiqua" w:eastAsia="宋体" w:hAnsi="Book Antiqua" w:cs="Times New Roman"/>
          <w:kern w:val="0"/>
          <w:sz w:val="24"/>
        </w:rPr>
        <w:t xml:space="preserve">However, each indicator has a certain limitation in predicting the prognosis of colorectal cancer. Therefore, this study </w:t>
      </w:r>
      <w:r>
        <w:rPr>
          <w:rFonts w:ascii="Book Antiqua" w:eastAsia="宋体" w:hAnsi="Book Antiqua" w:cs="Times New Roman"/>
          <w:kern w:val="0"/>
          <w:sz w:val="24"/>
        </w:rPr>
        <w:t>combined the independent risk factors to evaluate the accuracy for predicting the prognosis. It revealed that the accuracy of the combination in predicting the prognosis of colorectal cancer was significantly higher than the accuracy of individual indicato</w:t>
      </w:r>
      <w:r>
        <w:rPr>
          <w:rFonts w:ascii="Book Antiqua" w:eastAsia="宋体" w:hAnsi="Book Antiqua" w:cs="Times New Roman"/>
          <w:kern w:val="0"/>
          <w:sz w:val="24"/>
        </w:rPr>
        <w:t>rs. It suggested that in the evaluation of surgical outcomes in patients with colorectal cancer, the combination of TNM stage, PCNA, GPS, NLR, CAR, D-dimer, and CEA has a higher accuracy.</w:t>
      </w:r>
    </w:p>
    <w:p w:rsidR="00606EEE" w:rsidRDefault="00606EEE">
      <w:pPr>
        <w:spacing w:line="360" w:lineRule="auto"/>
        <w:ind w:firstLineChars="100" w:firstLine="240"/>
        <w:rPr>
          <w:rFonts w:ascii="Book Antiqua" w:eastAsia="宋体" w:hAnsi="Book Antiqua" w:cs="Times New Roman"/>
          <w:kern w:val="0"/>
          <w:sz w:val="24"/>
        </w:rPr>
      </w:pPr>
    </w:p>
    <w:p w:rsidR="00606EEE" w:rsidRDefault="009A50EC">
      <w:pPr>
        <w:spacing w:line="360" w:lineRule="auto"/>
        <w:rPr>
          <w:rFonts w:ascii="Book Antiqua" w:hAnsi="Book Antiqua" w:cs="Times New Roman"/>
          <w:b/>
          <w:bCs/>
          <w:i/>
          <w:iCs/>
          <w:sz w:val="24"/>
          <w:shd w:val="clear" w:color="auto" w:fill="FFFFFF"/>
        </w:rPr>
      </w:pPr>
      <w:r>
        <w:rPr>
          <w:rFonts w:ascii="Book Antiqua" w:hAnsi="Book Antiqua" w:cs="Times New Roman"/>
          <w:b/>
          <w:bCs/>
          <w:i/>
          <w:iCs/>
          <w:sz w:val="24"/>
          <w:shd w:val="clear" w:color="auto" w:fill="FFFFFF"/>
        </w:rPr>
        <w:t>Insufficient and prospects</w:t>
      </w:r>
    </w:p>
    <w:p w:rsidR="00606EEE" w:rsidRDefault="009A50EC">
      <w:pPr>
        <w:spacing w:line="360" w:lineRule="auto"/>
        <w:rPr>
          <w:rFonts w:ascii="Book Antiqua" w:hAnsi="Book Antiqua" w:cs="Times New Roman"/>
          <w:sz w:val="24"/>
          <w:shd w:val="clear" w:color="auto" w:fill="FFFFFF"/>
        </w:rPr>
      </w:pPr>
      <w:r>
        <w:rPr>
          <w:rFonts w:ascii="Book Antiqua" w:hAnsi="Book Antiqua" w:cs="Times New Roman"/>
          <w:sz w:val="24"/>
          <w:shd w:val="clear" w:color="auto" w:fill="FFFFFF"/>
        </w:rPr>
        <w:lastRenderedPageBreak/>
        <w:t xml:space="preserve">This study is a single-center study and </w:t>
      </w:r>
      <w:r>
        <w:rPr>
          <w:rFonts w:ascii="Book Antiqua" w:hAnsi="Book Antiqua" w:cs="Times New Roman"/>
          <w:sz w:val="24"/>
          <w:shd w:val="clear" w:color="auto" w:fill="FFFFFF"/>
        </w:rPr>
        <w:t>may have certain limitations. The follow-up time was short, and the indicators affecting long-term prognosis may be ignored. In future</w:t>
      </w:r>
      <w:r>
        <w:rPr>
          <w:rFonts w:ascii="Book Antiqua" w:hAnsi="Book Antiqua" w:cs="Times New Roman"/>
          <w:sz w:val="24"/>
          <w:shd w:val="clear" w:color="auto" w:fill="FFFFFF"/>
        </w:rPr>
        <w:t>, multi-center research is considered to expand the sample size for improving the reliability of the research res</w:t>
      </w:r>
      <w:r>
        <w:rPr>
          <w:rFonts w:ascii="Book Antiqua" w:hAnsi="Book Antiqua" w:cs="Times New Roman"/>
          <w:sz w:val="24"/>
          <w:shd w:val="clear" w:color="auto" w:fill="FFFFFF"/>
        </w:rPr>
        <w:t>ults. Meanwhile, the length of follow-up can be extended. The influencing factors on short-term and long-term prognosis of colorectal cancer should be analyzed respectively.</w:t>
      </w:r>
    </w:p>
    <w:p w:rsidR="00606EEE" w:rsidRDefault="009A50EC">
      <w:pPr>
        <w:spacing w:line="360" w:lineRule="auto"/>
        <w:ind w:firstLineChars="100" w:firstLine="240"/>
        <w:rPr>
          <w:rFonts w:ascii="Book Antiqua" w:eastAsia="宋体" w:hAnsi="Book Antiqua" w:cs="Times New Roman"/>
          <w:kern w:val="0"/>
          <w:sz w:val="24"/>
        </w:rPr>
      </w:pPr>
      <w:r>
        <w:rPr>
          <w:rFonts w:ascii="Book Antiqua" w:eastAsia="宋体" w:hAnsi="Book Antiqua" w:cs="Times New Roman"/>
          <w:kern w:val="0"/>
          <w:sz w:val="24"/>
        </w:rPr>
        <w:t>In conclusion, this study analyzed the clinical data and serological and pathologi</w:t>
      </w:r>
      <w:r>
        <w:rPr>
          <w:rFonts w:ascii="Book Antiqua" w:eastAsia="宋体" w:hAnsi="Book Antiqua" w:cs="Times New Roman"/>
          <w:kern w:val="0"/>
          <w:sz w:val="24"/>
        </w:rPr>
        <w:t>cal indicators that may affect the prognosis of colorectal cancer. It indicated that the independent influencing factors for the prognosis of colorectal cancer include TNM stage, PCNA, GPS, NLR, CAR, D-dimer, and CEA. Among them, NLR, D-dimer, and GPS have</w:t>
      </w:r>
      <w:r>
        <w:rPr>
          <w:rFonts w:ascii="Book Antiqua" w:eastAsia="宋体" w:hAnsi="Book Antiqua" w:cs="Times New Roman"/>
          <w:kern w:val="0"/>
          <w:sz w:val="24"/>
        </w:rPr>
        <w:t xml:space="preserve"> higher prediction capabilities. The combination of all independent factors can make a more accurate assessment of the prognosis of colorectal cancer.</w:t>
      </w:r>
    </w:p>
    <w:p w:rsidR="00606EEE" w:rsidRDefault="00606EEE">
      <w:pPr>
        <w:snapToGrid w:val="0"/>
        <w:spacing w:line="360" w:lineRule="auto"/>
        <w:rPr>
          <w:rFonts w:ascii="Book Antiqua" w:hAnsi="Book Antiqua" w:cs="Times New Roman"/>
          <w:b/>
          <w:caps/>
          <w:sz w:val="24"/>
          <w:shd w:val="clear" w:color="auto" w:fill="FFFFFF"/>
        </w:rPr>
      </w:pPr>
      <w:bookmarkStart w:id="148" w:name="_Hlk15543807"/>
    </w:p>
    <w:p w:rsidR="00606EEE" w:rsidRDefault="009A50EC">
      <w:pPr>
        <w:snapToGrid w:val="0"/>
        <w:spacing w:line="360" w:lineRule="auto"/>
        <w:rPr>
          <w:rFonts w:ascii="Book Antiqua" w:hAnsi="Book Antiqua" w:cs="Times New Roman"/>
          <w:b/>
          <w:caps/>
          <w:sz w:val="24"/>
        </w:rPr>
      </w:pPr>
      <w:r>
        <w:rPr>
          <w:rFonts w:ascii="Book Antiqua" w:hAnsi="Book Antiqua" w:cs="Times New Roman"/>
          <w:b/>
          <w:caps/>
          <w:sz w:val="24"/>
          <w:shd w:val="clear" w:color="auto" w:fill="FFFFFF"/>
        </w:rPr>
        <w:t>Article Highlights</w:t>
      </w:r>
    </w:p>
    <w:p w:rsidR="00606EEE" w:rsidRDefault="009A50EC">
      <w:pPr>
        <w:adjustRightInd w:val="0"/>
        <w:snapToGrid w:val="0"/>
        <w:spacing w:line="360" w:lineRule="auto"/>
        <w:rPr>
          <w:rFonts w:ascii="Book Antiqua" w:hAnsi="Book Antiqua" w:cs="Times New Roman"/>
          <w:b/>
          <w:i/>
          <w:sz w:val="24"/>
        </w:rPr>
      </w:pPr>
      <w:r>
        <w:rPr>
          <w:rFonts w:ascii="Book Antiqua" w:hAnsi="Book Antiqua" w:cs="Times New Roman"/>
          <w:b/>
          <w:i/>
          <w:sz w:val="24"/>
        </w:rPr>
        <w:t>Research background</w:t>
      </w:r>
    </w:p>
    <w:p w:rsidR="00606EEE" w:rsidRDefault="009A50EC">
      <w:pPr>
        <w:adjustRightInd w:val="0"/>
        <w:snapToGrid w:val="0"/>
        <w:spacing w:line="360" w:lineRule="auto"/>
        <w:rPr>
          <w:rFonts w:ascii="Book Antiqua" w:hAnsi="Book Antiqua" w:cs="Times New Roman"/>
          <w:bCs/>
          <w:iCs/>
          <w:sz w:val="24"/>
        </w:rPr>
      </w:pPr>
      <w:r>
        <w:rPr>
          <w:rFonts w:ascii="Book Antiqua" w:hAnsi="Book Antiqua" w:cs="Times New Roman"/>
          <w:bCs/>
          <w:iCs/>
          <w:sz w:val="24"/>
        </w:rPr>
        <w:t xml:space="preserve">The prognosis of colorectal cancer is poor. Surgery is the main treatment for patients with colorectal cancer. Accurate assessment of surgical prognosis has an important impact on the choice of treatments for patients. Currently, there are many methods to </w:t>
      </w:r>
      <w:r>
        <w:rPr>
          <w:rFonts w:ascii="Book Antiqua" w:hAnsi="Book Antiqua" w:cs="Times New Roman"/>
          <w:bCs/>
          <w:iCs/>
          <w:sz w:val="24"/>
        </w:rPr>
        <w:t>evaluate the prognosis after</w:t>
      </w:r>
      <w:r w:rsidR="006B1F01">
        <w:rPr>
          <w:rFonts w:ascii="Book Antiqua" w:hAnsi="Book Antiqua" w:cs="Times New Roman"/>
          <w:bCs/>
          <w:iCs/>
          <w:sz w:val="24"/>
        </w:rPr>
        <w:t xml:space="preserve"> </w:t>
      </w:r>
      <w:bookmarkStart w:id="149" w:name="_GoBack"/>
      <w:bookmarkEnd w:id="149"/>
      <w:r>
        <w:rPr>
          <w:rFonts w:ascii="Book Antiqua" w:hAnsi="Book Antiqua" w:cs="Times New Roman"/>
          <w:bCs/>
          <w:iCs/>
          <w:sz w:val="24"/>
        </w:rPr>
        <w:t xml:space="preserve">colorectal cancer surgery, including </w:t>
      </w:r>
      <w:r>
        <w:rPr>
          <w:rFonts w:ascii="Book Antiqua" w:eastAsia="宋体" w:hAnsi="Book Antiqua" w:cs="Times New Roman" w:hint="eastAsia"/>
          <w:kern w:val="0"/>
          <w:sz w:val="24"/>
        </w:rPr>
        <w:t>t</w:t>
      </w:r>
      <w:r>
        <w:rPr>
          <w:rFonts w:ascii="Book Antiqua" w:eastAsia="宋体" w:hAnsi="Book Antiqua" w:cs="Times New Roman"/>
          <w:kern w:val="0"/>
          <w:sz w:val="24"/>
        </w:rPr>
        <w:t>umor-node-metastasis</w:t>
      </w:r>
      <w:r>
        <w:rPr>
          <w:rFonts w:ascii="Book Antiqua" w:hAnsi="Book Antiqua" w:cs="Times New Roman"/>
          <w:bCs/>
          <w:iCs/>
          <w:sz w:val="24"/>
        </w:rPr>
        <w:t xml:space="preserve"> (TNM) stage, </w:t>
      </w:r>
      <w:r>
        <w:rPr>
          <w:rFonts w:ascii="Book Antiqua" w:eastAsia="宋体" w:hAnsi="Book Antiqua" w:cs="Times New Roman"/>
          <w:sz w:val="24"/>
        </w:rPr>
        <w:t>Glasgow prognostic score</w:t>
      </w:r>
      <w:r>
        <w:rPr>
          <w:rFonts w:ascii="Book Antiqua" w:hAnsi="Book Antiqua" w:cs="Times New Roman"/>
          <w:bCs/>
          <w:iCs/>
          <w:sz w:val="24"/>
        </w:rPr>
        <w:t xml:space="preserve"> (GPS) score and so on. However, the systematic analysis about the factors affecting the prognosis of colorectal cancer is still lim</w:t>
      </w:r>
      <w:r>
        <w:rPr>
          <w:rFonts w:ascii="Book Antiqua" w:hAnsi="Book Antiqua" w:cs="Times New Roman"/>
          <w:bCs/>
          <w:iCs/>
          <w:sz w:val="24"/>
        </w:rPr>
        <w:t>ited.</w:t>
      </w:r>
    </w:p>
    <w:p w:rsidR="00606EEE" w:rsidRDefault="00606EEE">
      <w:pPr>
        <w:adjustRightInd w:val="0"/>
        <w:snapToGrid w:val="0"/>
        <w:spacing w:line="360" w:lineRule="auto"/>
        <w:rPr>
          <w:rFonts w:ascii="Book Antiqua" w:hAnsi="Book Antiqua" w:cs="Times New Roman"/>
          <w:b/>
          <w:i/>
          <w:sz w:val="24"/>
        </w:rPr>
      </w:pPr>
    </w:p>
    <w:p w:rsidR="00606EEE" w:rsidRDefault="009A50EC">
      <w:pPr>
        <w:adjustRightInd w:val="0"/>
        <w:snapToGrid w:val="0"/>
        <w:spacing w:line="360" w:lineRule="auto"/>
        <w:rPr>
          <w:rFonts w:ascii="Book Antiqua" w:hAnsi="Book Antiqua" w:cs="Times New Roman"/>
          <w:b/>
          <w:i/>
          <w:sz w:val="24"/>
        </w:rPr>
      </w:pPr>
      <w:r>
        <w:rPr>
          <w:rFonts w:ascii="Book Antiqua" w:hAnsi="Book Antiqua" w:cs="Times New Roman"/>
          <w:b/>
          <w:i/>
          <w:sz w:val="24"/>
        </w:rPr>
        <w:t>Research motivation</w:t>
      </w:r>
    </w:p>
    <w:p w:rsidR="00606EEE" w:rsidRDefault="009A50EC">
      <w:pPr>
        <w:adjustRightInd w:val="0"/>
        <w:snapToGrid w:val="0"/>
        <w:spacing w:line="360" w:lineRule="auto"/>
        <w:rPr>
          <w:rFonts w:ascii="Book Antiqua" w:hAnsi="Book Antiqua" w:cs="Times New Roman"/>
          <w:bCs/>
          <w:iCs/>
          <w:sz w:val="24"/>
        </w:rPr>
      </w:pPr>
      <w:r>
        <w:rPr>
          <w:rFonts w:ascii="Book Antiqua" w:hAnsi="Book Antiqua" w:cs="Times New Roman"/>
          <w:bCs/>
          <w:iCs/>
          <w:sz w:val="24"/>
        </w:rPr>
        <w:t xml:space="preserve">Currently, the prognosis of colorectal cancer is mainly predicted by </w:t>
      </w:r>
      <w:r>
        <w:rPr>
          <w:rFonts w:ascii="Book Antiqua" w:eastAsia="宋体" w:hAnsi="Book Antiqua" w:cs="Times New Roman"/>
          <w:kern w:val="0"/>
          <w:sz w:val="24"/>
        </w:rPr>
        <w:t>carcinoembryonic antigen</w:t>
      </w:r>
      <w:r>
        <w:rPr>
          <w:rFonts w:ascii="Book Antiqua" w:hAnsi="Book Antiqua" w:cs="Times New Roman"/>
          <w:bCs/>
          <w:iCs/>
          <w:sz w:val="24"/>
        </w:rPr>
        <w:t xml:space="preserve"> (CEA) level, pathological classification, and TNM stage. However, the accuracy of prediction cannot be guaranteed due to the influence of individual and environmental factors. Besides, studies have revealed that some inflammatory indicators are also relat</w:t>
      </w:r>
      <w:r>
        <w:rPr>
          <w:rFonts w:ascii="Book Antiqua" w:hAnsi="Book Antiqua" w:cs="Times New Roman"/>
          <w:bCs/>
          <w:iCs/>
          <w:sz w:val="24"/>
        </w:rPr>
        <w:t xml:space="preserve">ed to the prognosis of cancer. </w:t>
      </w:r>
    </w:p>
    <w:p w:rsidR="00606EEE" w:rsidRDefault="00606EEE">
      <w:pPr>
        <w:adjustRightInd w:val="0"/>
        <w:snapToGrid w:val="0"/>
        <w:spacing w:line="360" w:lineRule="auto"/>
        <w:rPr>
          <w:rFonts w:ascii="Book Antiqua" w:hAnsi="Book Antiqua" w:cs="Times New Roman"/>
          <w:b/>
          <w:i/>
          <w:sz w:val="24"/>
        </w:rPr>
      </w:pPr>
    </w:p>
    <w:p w:rsidR="00606EEE" w:rsidRDefault="009A50EC">
      <w:pPr>
        <w:adjustRightInd w:val="0"/>
        <w:snapToGrid w:val="0"/>
        <w:spacing w:line="360" w:lineRule="auto"/>
        <w:rPr>
          <w:rFonts w:ascii="Book Antiqua" w:hAnsi="Book Antiqua" w:cs="Times New Roman"/>
          <w:b/>
          <w:i/>
          <w:sz w:val="24"/>
        </w:rPr>
      </w:pPr>
      <w:r>
        <w:rPr>
          <w:rFonts w:ascii="Book Antiqua" w:hAnsi="Book Antiqua" w:cs="Times New Roman"/>
          <w:b/>
          <w:i/>
          <w:sz w:val="24"/>
        </w:rPr>
        <w:t>Research objectives</w:t>
      </w:r>
    </w:p>
    <w:p w:rsidR="00606EEE" w:rsidRDefault="009A50EC">
      <w:pPr>
        <w:adjustRightInd w:val="0"/>
        <w:snapToGrid w:val="0"/>
        <w:spacing w:line="360" w:lineRule="auto"/>
        <w:rPr>
          <w:rFonts w:ascii="Book Antiqua" w:hAnsi="Book Antiqua" w:cs="Times New Roman"/>
          <w:bCs/>
          <w:iCs/>
          <w:sz w:val="24"/>
        </w:rPr>
      </w:pPr>
      <w:r>
        <w:rPr>
          <w:rFonts w:ascii="Book Antiqua" w:hAnsi="Book Antiqua" w:cs="Times New Roman"/>
          <w:bCs/>
          <w:iCs/>
          <w:sz w:val="24"/>
        </w:rPr>
        <w:t xml:space="preserve">In this study, we analyzed the influence of clinical data, serology, and histology on the prognosis of patients with colorectal cancer, and assessed the accuracy of the combination of all indicators for </w:t>
      </w:r>
      <w:r>
        <w:rPr>
          <w:rFonts w:ascii="Book Antiqua" w:hAnsi="Book Antiqua" w:cs="Times New Roman"/>
          <w:bCs/>
          <w:iCs/>
          <w:sz w:val="24"/>
        </w:rPr>
        <w:t>the prognosis evaluation. The purpose of this study was to provide a new method for predicting the prognosis of colorectal cancer in the early stage.</w:t>
      </w:r>
    </w:p>
    <w:p w:rsidR="00606EEE" w:rsidRDefault="00606EEE">
      <w:pPr>
        <w:adjustRightInd w:val="0"/>
        <w:snapToGrid w:val="0"/>
        <w:spacing w:line="360" w:lineRule="auto"/>
        <w:rPr>
          <w:rFonts w:ascii="Book Antiqua" w:hAnsi="Book Antiqua" w:cs="Times New Roman"/>
          <w:b/>
          <w:i/>
          <w:sz w:val="24"/>
        </w:rPr>
      </w:pPr>
    </w:p>
    <w:p w:rsidR="00606EEE" w:rsidRDefault="009A50EC">
      <w:pPr>
        <w:adjustRightInd w:val="0"/>
        <w:snapToGrid w:val="0"/>
        <w:spacing w:line="360" w:lineRule="auto"/>
        <w:rPr>
          <w:rFonts w:ascii="Book Antiqua" w:hAnsi="Book Antiqua" w:cs="Times New Roman"/>
          <w:b/>
          <w:i/>
          <w:sz w:val="24"/>
        </w:rPr>
      </w:pPr>
      <w:r>
        <w:rPr>
          <w:rFonts w:ascii="Book Antiqua" w:hAnsi="Book Antiqua" w:cs="Times New Roman"/>
          <w:b/>
          <w:i/>
          <w:sz w:val="24"/>
        </w:rPr>
        <w:t>Research methods</w:t>
      </w:r>
    </w:p>
    <w:p w:rsidR="00606EEE" w:rsidRDefault="009A50EC">
      <w:pPr>
        <w:adjustRightInd w:val="0"/>
        <w:snapToGrid w:val="0"/>
        <w:spacing w:line="360" w:lineRule="auto"/>
        <w:rPr>
          <w:rFonts w:ascii="Book Antiqua" w:hAnsi="Book Antiqua" w:cs="Times New Roman"/>
          <w:bCs/>
          <w:iCs/>
          <w:sz w:val="24"/>
        </w:rPr>
      </w:pPr>
      <w:r>
        <w:rPr>
          <w:rFonts w:ascii="Book Antiqua" w:hAnsi="Book Antiqua" w:cs="Times New Roman"/>
          <w:bCs/>
          <w:iCs/>
          <w:sz w:val="24"/>
        </w:rPr>
        <w:t>A total of 374 patients were recruited, and the patients were divided into a good progno</w:t>
      </w:r>
      <w:r>
        <w:rPr>
          <w:rFonts w:ascii="Book Antiqua" w:hAnsi="Book Antiqua" w:cs="Times New Roman"/>
          <w:bCs/>
          <w:iCs/>
          <w:sz w:val="24"/>
        </w:rPr>
        <w:t>sis group and a poor prognosis group. Relevant clinical indicators were recorded. The differences in clinical data, serology, and histology between the two groups were analyzed. Multivariate COX regression was used to analyze the independent influencing fa</w:t>
      </w:r>
      <w:r>
        <w:rPr>
          <w:rFonts w:ascii="Book Antiqua" w:hAnsi="Book Antiqua" w:cs="Times New Roman"/>
          <w:bCs/>
          <w:iCs/>
          <w:sz w:val="24"/>
        </w:rPr>
        <w:t xml:space="preserve">ctors for the prognosis of colorectal cancer. The </w:t>
      </w:r>
      <w:r>
        <w:rPr>
          <w:rFonts w:ascii="Book Antiqua" w:hAnsi="Book Antiqua" w:cs="Times New Roman"/>
          <w:sz w:val="24"/>
        </w:rPr>
        <w:t>receiver operating characteristic</w:t>
      </w:r>
      <w:r>
        <w:rPr>
          <w:rFonts w:ascii="Book Antiqua" w:hAnsi="Book Antiqua" w:cs="Times New Roman"/>
          <w:bCs/>
          <w:iCs/>
          <w:sz w:val="24"/>
        </w:rPr>
        <w:t xml:space="preserve"> curve was used to test the accuracy of different indicators and their combination for the prognostic evaluation of colorectal cancer.</w:t>
      </w:r>
    </w:p>
    <w:p w:rsidR="00606EEE" w:rsidRDefault="00606EEE">
      <w:pPr>
        <w:adjustRightInd w:val="0"/>
        <w:snapToGrid w:val="0"/>
        <w:spacing w:line="360" w:lineRule="auto"/>
        <w:rPr>
          <w:rFonts w:ascii="Book Antiqua" w:hAnsi="Book Antiqua" w:cs="Times New Roman"/>
          <w:b/>
          <w:i/>
          <w:sz w:val="24"/>
        </w:rPr>
      </w:pPr>
    </w:p>
    <w:p w:rsidR="00606EEE" w:rsidRDefault="009A50EC">
      <w:pPr>
        <w:adjustRightInd w:val="0"/>
        <w:snapToGrid w:val="0"/>
        <w:spacing w:line="360" w:lineRule="auto"/>
        <w:rPr>
          <w:rFonts w:ascii="Book Antiqua" w:hAnsi="Book Antiqua" w:cs="Times New Roman"/>
          <w:b/>
          <w:i/>
          <w:sz w:val="24"/>
        </w:rPr>
      </w:pPr>
      <w:r>
        <w:rPr>
          <w:rFonts w:ascii="Book Antiqua" w:hAnsi="Book Antiqua" w:cs="Times New Roman"/>
          <w:b/>
          <w:i/>
          <w:sz w:val="24"/>
        </w:rPr>
        <w:t>Research results</w:t>
      </w:r>
    </w:p>
    <w:p w:rsidR="00606EEE" w:rsidRDefault="009A50EC">
      <w:pPr>
        <w:adjustRightInd w:val="0"/>
        <w:snapToGrid w:val="0"/>
        <w:spacing w:line="360" w:lineRule="auto"/>
        <w:rPr>
          <w:rFonts w:ascii="Book Antiqua" w:hAnsi="Book Antiqua" w:cs="Times New Roman"/>
          <w:bCs/>
          <w:iCs/>
          <w:sz w:val="24"/>
        </w:rPr>
      </w:pPr>
      <w:r>
        <w:rPr>
          <w:rFonts w:ascii="Book Antiqua" w:hAnsi="Book Antiqua" w:cs="Times New Roman"/>
          <w:bCs/>
          <w:iCs/>
          <w:sz w:val="24"/>
        </w:rPr>
        <w:t xml:space="preserve">The TNM stage, </w:t>
      </w:r>
      <w:r>
        <w:rPr>
          <w:rFonts w:ascii="Book Antiqua" w:eastAsia="宋体" w:hAnsi="Book Antiqua" w:cs="Times New Roman"/>
          <w:kern w:val="0"/>
          <w:sz w:val="24"/>
        </w:rPr>
        <w:t>proli</w:t>
      </w:r>
      <w:r>
        <w:rPr>
          <w:rFonts w:ascii="Book Antiqua" w:eastAsia="宋体" w:hAnsi="Book Antiqua" w:cs="Times New Roman"/>
          <w:kern w:val="0"/>
          <w:sz w:val="24"/>
        </w:rPr>
        <w:t>ferating cell nuclear antigen</w:t>
      </w:r>
      <w:r>
        <w:rPr>
          <w:rFonts w:ascii="Book Antiqua" w:hAnsi="Book Antiqua" w:cs="Times New Roman"/>
          <w:bCs/>
          <w:iCs/>
          <w:sz w:val="24"/>
        </w:rPr>
        <w:t xml:space="preserve"> (PCNA), GPS, </w:t>
      </w:r>
      <w:r>
        <w:rPr>
          <w:rFonts w:ascii="Book Antiqua" w:eastAsia="宋体" w:hAnsi="Book Antiqua" w:cs="Times New Roman"/>
          <w:sz w:val="24"/>
        </w:rPr>
        <w:t>neutrophil-lymphocyte ratio</w:t>
      </w:r>
      <w:r>
        <w:rPr>
          <w:rFonts w:ascii="Book Antiqua" w:hAnsi="Book Antiqua" w:cs="Times New Roman"/>
          <w:bCs/>
          <w:iCs/>
          <w:sz w:val="24"/>
        </w:rPr>
        <w:t xml:space="preserve"> (NLR), </w:t>
      </w:r>
      <w:r>
        <w:rPr>
          <w:rFonts w:ascii="Book Antiqua" w:eastAsia="宋体" w:hAnsi="Book Antiqua" w:cs="Times New Roman"/>
          <w:caps/>
          <w:sz w:val="24"/>
        </w:rPr>
        <w:t>c</w:t>
      </w:r>
      <w:r>
        <w:rPr>
          <w:rFonts w:ascii="Book Antiqua" w:eastAsia="宋体" w:hAnsi="Book Antiqua" w:cs="Times New Roman"/>
          <w:sz w:val="24"/>
        </w:rPr>
        <w:t>-reactive protein/albumin ratio</w:t>
      </w:r>
      <w:r>
        <w:rPr>
          <w:rFonts w:ascii="Book Antiqua" w:hAnsi="Book Antiqua" w:cs="Times New Roman"/>
          <w:bCs/>
          <w:iCs/>
          <w:sz w:val="24"/>
        </w:rPr>
        <w:t xml:space="preserve"> (CAR), D-dimer, and CEA were independent influencing factors for the prognosis of colorectal cancer (</w:t>
      </w:r>
      <w:r>
        <w:rPr>
          <w:rFonts w:ascii="Book Antiqua" w:hAnsi="Book Antiqua" w:cs="Times New Roman"/>
          <w:bCs/>
          <w:i/>
          <w:sz w:val="24"/>
        </w:rPr>
        <w:t>P</w:t>
      </w:r>
      <w:r>
        <w:rPr>
          <w:rFonts w:ascii="Book Antiqua" w:hAnsi="Book Antiqua" w:cs="Times New Roman"/>
          <w:bCs/>
          <w:iCs/>
          <w:sz w:val="24"/>
        </w:rPr>
        <w:t xml:space="preserve"> = 0.000). NLR, D-dimer, and GPS had the hi</w:t>
      </w:r>
      <w:r>
        <w:rPr>
          <w:rFonts w:ascii="Book Antiqua" w:hAnsi="Book Antiqua" w:cs="Times New Roman"/>
          <w:bCs/>
          <w:iCs/>
          <w:sz w:val="24"/>
        </w:rPr>
        <w:t>ghest predictive power for colorectal cancer prognosis. But their accuracies were significantly lower than that of the combination of all indicators (AUC = 0.973; sensitivity, 92.59%; specificity, 90.51%).</w:t>
      </w:r>
    </w:p>
    <w:p w:rsidR="00606EEE" w:rsidRDefault="00606EEE">
      <w:pPr>
        <w:adjustRightInd w:val="0"/>
        <w:snapToGrid w:val="0"/>
        <w:spacing w:line="360" w:lineRule="auto"/>
        <w:rPr>
          <w:rFonts w:ascii="Book Antiqua" w:hAnsi="Book Antiqua" w:cs="Times New Roman"/>
          <w:b/>
          <w:i/>
          <w:sz w:val="24"/>
        </w:rPr>
      </w:pPr>
    </w:p>
    <w:p w:rsidR="00606EEE" w:rsidRDefault="009A50EC">
      <w:pPr>
        <w:adjustRightInd w:val="0"/>
        <w:snapToGrid w:val="0"/>
        <w:spacing w:line="360" w:lineRule="auto"/>
        <w:rPr>
          <w:rFonts w:ascii="Book Antiqua" w:hAnsi="Book Antiqua" w:cs="Times New Roman"/>
          <w:b/>
          <w:i/>
          <w:sz w:val="24"/>
        </w:rPr>
      </w:pPr>
      <w:r>
        <w:rPr>
          <w:rFonts w:ascii="Book Antiqua" w:hAnsi="Book Antiqua" w:cs="Times New Roman"/>
          <w:b/>
          <w:i/>
          <w:sz w:val="24"/>
        </w:rPr>
        <w:t>Research conclusions</w:t>
      </w:r>
    </w:p>
    <w:p w:rsidR="00606EEE" w:rsidRDefault="009A50EC">
      <w:pPr>
        <w:adjustRightInd w:val="0"/>
        <w:snapToGrid w:val="0"/>
        <w:spacing w:line="360" w:lineRule="auto"/>
        <w:rPr>
          <w:rFonts w:ascii="Book Antiqua" w:hAnsi="Book Antiqua" w:cs="Times New Roman"/>
          <w:bCs/>
          <w:iCs/>
          <w:sz w:val="24"/>
        </w:rPr>
      </w:pPr>
      <w:r>
        <w:rPr>
          <w:rFonts w:ascii="Book Antiqua" w:hAnsi="Book Antiqua" w:cs="Times New Roman"/>
          <w:bCs/>
          <w:iCs/>
          <w:sz w:val="24"/>
        </w:rPr>
        <w:t>TNM stage, PCNA, GPS, NLR, C</w:t>
      </w:r>
      <w:r>
        <w:rPr>
          <w:rFonts w:ascii="Book Antiqua" w:hAnsi="Book Antiqua" w:cs="Times New Roman"/>
          <w:bCs/>
          <w:iCs/>
          <w:sz w:val="24"/>
        </w:rPr>
        <w:t xml:space="preserve">AR, D-dimer, and CEA are the independent influencing factors for the prognosis of colorectal cancer. Combined evaluation of independent factors is the most accurate method to predict the prognosis of </w:t>
      </w:r>
      <w:r>
        <w:rPr>
          <w:rFonts w:ascii="Book Antiqua" w:hAnsi="Book Antiqua" w:cs="Times New Roman"/>
          <w:bCs/>
          <w:iCs/>
          <w:sz w:val="24"/>
        </w:rPr>
        <w:lastRenderedPageBreak/>
        <w:t>colorectal cancer.</w:t>
      </w:r>
    </w:p>
    <w:p w:rsidR="00606EEE" w:rsidRDefault="00606EEE">
      <w:pPr>
        <w:adjustRightInd w:val="0"/>
        <w:snapToGrid w:val="0"/>
        <w:spacing w:line="360" w:lineRule="auto"/>
        <w:rPr>
          <w:rFonts w:ascii="Book Antiqua" w:hAnsi="Book Antiqua" w:cs="Times New Roman"/>
          <w:b/>
          <w:i/>
          <w:sz w:val="24"/>
        </w:rPr>
      </w:pPr>
    </w:p>
    <w:p w:rsidR="00606EEE" w:rsidRDefault="009A50EC">
      <w:pPr>
        <w:adjustRightInd w:val="0"/>
        <w:snapToGrid w:val="0"/>
        <w:spacing w:line="360" w:lineRule="auto"/>
        <w:rPr>
          <w:rFonts w:ascii="Book Antiqua" w:hAnsi="Book Antiqua" w:cs="Times New Roman"/>
          <w:b/>
          <w:i/>
          <w:sz w:val="24"/>
        </w:rPr>
      </w:pPr>
      <w:r>
        <w:rPr>
          <w:rFonts w:ascii="Book Antiqua" w:hAnsi="Book Antiqua" w:cs="Times New Roman"/>
          <w:b/>
          <w:i/>
          <w:sz w:val="24"/>
        </w:rPr>
        <w:t>Research perspectives</w:t>
      </w:r>
    </w:p>
    <w:bookmarkEnd w:id="148"/>
    <w:p w:rsidR="00606EEE" w:rsidRDefault="009A50EC">
      <w:pPr>
        <w:spacing w:line="360" w:lineRule="auto"/>
        <w:rPr>
          <w:rFonts w:ascii="Book Antiqua" w:eastAsia="宋体" w:hAnsi="Book Antiqua" w:cs="Times New Roman"/>
          <w:kern w:val="0"/>
          <w:sz w:val="24"/>
        </w:rPr>
      </w:pPr>
      <w:r>
        <w:rPr>
          <w:rFonts w:ascii="Book Antiqua" w:eastAsia="宋体" w:hAnsi="Book Antiqua" w:cs="Times New Roman"/>
          <w:kern w:val="0"/>
          <w:sz w:val="24"/>
        </w:rPr>
        <w:t>On the purpose</w:t>
      </w:r>
      <w:r>
        <w:rPr>
          <w:rFonts w:ascii="Book Antiqua" w:eastAsia="宋体" w:hAnsi="Book Antiqua" w:cs="Times New Roman"/>
          <w:kern w:val="0"/>
          <w:sz w:val="24"/>
        </w:rPr>
        <w:t xml:space="preserve"> of avoiding the interference caused by the differences of individual and environmental factors, multi-center studies would be considered to enlarge the size of simple to improve the reliability of the research results. Besides that, long-term research is </w:t>
      </w:r>
      <w:r>
        <w:rPr>
          <w:rFonts w:ascii="Book Antiqua" w:eastAsia="宋体" w:hAnsi="Book Antiqua" w:cs="Times New Roman"/>
          <w:kern w:val="0"/>
          <w:sz w:val="24"/>
        </w:rPr>
        <w:t>also planned to make up the ignorance of the factors affecting long-term prognosis in this study.</w:t>
      </w:r>
    </w:p>
    <w:p w:rsidR="00606EEE" w:rsidRDefault="009A50EC">
      <w:pPr>
        <w:widowControl/>
        <w:jc w:val="left"/>
        <w:rPr>
          <w:rFonts w:ascii="Book Antiqua" w:eastAsia="宋体" w:hAnsi="Book Antiqua" w:cs="Times New Roman"/>
          <w:b/>
          <w:bCs/>
          <w:caps/>
          <w:kern w:val="0"/>
          <w:sz w:val="24"/>
        </w:rPr>
      </w:pPr>
      <w:r>
        <w:rPr>
          <w:rFonts w:ascii="Book Antiqua" w:eastAsia="宋体" w:hAnsi="Book Antiqua" w:cs="Times New Roman"/>
          <w:b/>
          <w:bCs/>
          <w:caps/>
          <w:kern w:val="0"/>
          <w:sz w:val="24"/>
        </w:rPr>
        <w:br w:type="page"/>
      </w:r>
    </w:p>
    <w:p w:rsidR="00606EEE" w:rsidRDefault="009A50EC">
      <w:pPr>
        <w:spacing w:line="360" w:lineRule="auto"/>
        <w:rPr>
          <w:rFonts w:ascii="Book Antiqua" w:hAnsi="Book Antiqua"/>
          <w:b/>
          <w:sz w:val="24"/>
        </w:rPr>
      </w:pPr>
      <w:r>
        <w:rPr>
          <w:rFonts w:ascii="Book Antiqua" w:hAnsi="Book Antiqua"/>
          <w:b/>
          <w:sz w:val="24"/>
        </w:rPr>
        <w:lastRenderedPageBreak/>
        <w:t>REFERENCES</w:t>
      </w:r>
    </w:p>
    <w:p w:rsidR="00606EEE" w:rsidRDefault="009A50EC">
      <w:pPr>
        <w:spacing w:line="360" w:lineRule="auto"/>
        <w:rPr>
          <w:rFonts w:ascii="Book Antiqua" w:hAnsi="Book Antiqua"/>
          <w:sz w:val="24"/>
        </w:rPr>
      </w:pPr>
      <w:bookmarkStart w:id="150" w:name="OLE_LINK2"/>
      <w:r>
        <w:rPr>
          <w:rFonts w:ascii="Book Antiqua" w:hAnsi="Book Antiqua"/>
          <w:sz w:val="24"/>
        </w:rPr>
        <w:t xml:space="preserve">1 </w:t>
      </w:r>
      <w:r>
        <w:rPr>
          <w:rFonts w:ascii="Book Antiqua" w:hAnsi="Book Antiqua"/>
          <w:b/>
          <w:sz w:val="24"/>
        </w:rPr>
        <w:t>Torre LA</w:t>
      </w:r>
      <w:r>
        <w:rPr>
          <w:rFonts w:ascii="Book Antiqua" w:hAnsi="Book Antiqua"/>
          <w:sz w:val="24"/>
        </w:rPr>
        <w:t xml:space="preserve">, Bray F, Siegel RL, Ferlay J, Lortet-Tieulent J, Jemal A. Global cancer statistics, 2012. </w:t>
      </w:r>
      <w:r>
        <w:rPr>
          <w:rFonts w:ascii="Book Antiqua" w:hAnsi="Book Antiqua"/>
          <w:i/>
          <w:sz w:val="24"/>
        </w:rPr>
        <w:t>CA Cancer J Clin</w:t>
      </w:r>
      <w:r>
        <w:rPr>
          <w:rFonts w:ascii="Book Antiqua" w:hAnsi="Book Antiqua"/>
          <w:sz w:val="24"/>
        </w:rPr>
        <w:t xml:space="preserve"> 2015; </w:t>
      </w:r>
      <w:r>
        <w:rPr>
          <w:rFonts w:ascii="Book Antiqua" w:hAnsi="Book Antiqua"/>
          <w:b/>
          <w:sz w:val="24"/>
        </w:rPr>
        <w:t>65</w:t>
      </w:r>
      <w:r>
        <w:rPr>
          <w:rFonts w:ascii="Book Antiqua" w:hAnsi="Book Antiqua"/>
          <w:sz w:val="24"/>
        </w:rPr>
        <w:t xml:space="preserve">: 87-108 [PMID: </w:t>
      </w:r>
      <w:r>
        <w:rPr>
          <w:rFonts w:ascii="Book Antiqua" w:hAnsi="Book Antiqua"/>
          <w:sz w:val="24"/>
        </w:rPr>
        <w:t>25651787 DOI: 10.3322/caac.21262]</w:t>
      </w:r>
    </w:p>
    <w:p w:rsidR="00606EEE" w:rsidRDefault="009A50EC">
      <w:pPr>
        <w:spacing w:line="360" w:lineRule="auto"/>
        <w:rPr>
          <w:rFonts w:ascii="Book Antiqua" w:hAnsi="Book Antiqua"/>
          <w:sz w:val="24"/>
        </w:rPr>
      </w:pPr>
      <w:r>
        <w:rPr>
          <w:rFonts w:ascii="Book Antiqua" w:hAnsi="Book Antiqua"/>
          <w:sz w:val="24"/>
        </w:rPr>
        <w:t xml:space="preserve">2 </w:t>
      </w:r>
      <w:r>
        <w:rPr>
          <w:rFonts w:ascii="Book Antiqua" w:hAnsi="Book Antiqua"/>
          <w:b/>
          <w:sz w:val="24"/>
        </w:rPr>
        <w:t>Barontini J</w:t>
      </w:r>
      <w:r>
        <w:rPr>
          <w:rFonts w:ascii="Book Antiqua" w:hAnsi="Book Antiqua"/>
          <w:sz w:val="24"/>
        </w:rPr>
        <w:t xml:space="preserve">, Antinucci M, Tofanelli S, Cammalleri M, Dal Monte M, Gemignani F, Vodicka P, Marangoni R, Vodickova L, Kupcinskas J, Vymetalkova V, Forsti A, Canzian F, Stein A, Moreno V, Mastrodonato N, Tavano F, Panza A, </w:t>
      </w:r>
      <w:r>
        <w:rPr>
          <w:rFonts w:ascii="Book Antiqua" w:hAnsi="Book Antiqua"/>
          <w:sz w:val="24"/>
        </w:rPr>
        <w:t xml:space="preserve">Barale R, Landi S, Campa D. Association between polymorphisms of TAS2R16 and susceptibility to colorectal cancer. </w:t>
      </w:r>
      <w:r>
        <w:rPr>
          <w:rFonts w:ascii="Book Antiqua" w:hAnsi="Book Antiqua"/>
          <w:i/>
          <w:sz w:val="24"/>
        </w:rPr>
        <w:t>BMC Gastroenterol</w:t>
      </w:r>
      <w:r>
        <w:rPr>
          <w:rFonts w:ascii="Book Antiqua" w:hAnsi="Book Antiqua"/>
          <w:sz w:val="24"/>
        </w:rPr>
        <w:t xml:space="preserve"> 2017; </w:t>
      </w:r>
      <w:r>
        <w:rPr>
          <w:rFonts w:ascii="Book Antiqua" w:hAnsi="Book Antiqua"/>
          <w:b/>
          <w:sz w:val="24"/>
        </w:rPr>
        <w:t>17</w:t>
      </w:r>
      <w:r>
        <w:rPr>
          <w:rFonts w:ascii="Book Antiqua" w:hAnsi="Book Antiqua"/>
          <w:sz w:val="24"/>
        </w:rPr>
        <w:t>: 104 [PMID: 28915899 DOI: 10.1186/s12876-017-0659-9]</w:t>
      </w:r>
    </w:p>
    <w:p w:rsidR="00606EEE" w:rsidRDefault="009A50EC">
      <w:pPr>
        <w:spacing w:line="360" w:lineRule="auto"/>
        <w:rPr>
          <w:rFonts w:ascii="Book Antiqua" w:hAnsi="Book Antiqua"/>
          <w:sz w:val="24"/>
        </w:rPr>
      </w:pPr>
      <w:r>
        <w:rPr>
          <w:rFonts w:ascii="Book Antiqua" w:hAnsi="Book Antiqua"/>
          <w:sz w:val="24"/>
        </w:rPr>
        <w:t xml:space="preserve">3 </w:t>
      </w:r>
      <w:r>
        <w:rPr>
          <w:rFonts w:ascii="Book Antiqua" w:hAnsi="Book Antiqua"/>
          <w:b/>
          <w:sz w:val="24"/>
        </w:rPr>
        <w:t>Hassan C</w:t>
      </w:r>
      <w:r>
        <w:rPr>
          <w:rFonts w:ascii="Book Antiqua" w:hAnsi="Book Antiqua"/>
          <w:sz w:val="24"/>
        </w:rPr>
        <w:t>, Quintero E, Dumonceau JM, Regula J, Brandão C, Cha</w:t>
      </w:r>
      <w:r>
        <w:rPr>
          <w:rFonts w:ascii="Book Antiqua" w:hAnsi="Book Antiqua"/>
          <w:sz w:val="24"/>
        </w:rPr>
        <w:t>ussade S, Dekker E, Dinis-Ribeiro M, Ferlitsch M, Gimeno-García A, Hazewinkel Y, Jover R, Kalager M, Loberg M, Pox C, Rembacken B, Lieberman D; European Society of Gastrointestinal Endoscopy. Post-polypectomy colonoscopy surveillance: European Society of G</w:t>
      </w:r>
      <w:r>
        <w:rPr>
          <w:rFonts w:ascii="Book Antiqua" w:hAnsi="Book Antiqua"/>
          <w:sz w:val="24"/>
        </w:rPr>
        <w:t xml:space="preserve">astrointestinal Endoscopy (ESGE) Guideline. </w:t>
      </w:r>
      <w:r>
        <w:rPr>
          <w:rFonts w:ascii="Book Antiqua" w:hAnsi="Book Antiqua"/>
          <w:i/>
          <w:sz w:val="24"/>
        </w:rPr>
        <w:t>Endoscopy</w:t>
      </w:r>
      <w:r>
        <w:rPr>
          <w:rFonts w:ascii="Book Antiqua" w:hAnsi="Book Antiqua"/>
          <w:sz w:val="24"/>
        </w:rPr>
        <w:t xml:space="preserve"> 2013; </w:t>
      </w:r>
      <w:r>
        <w:rPr>
          <w:rFonts w:ascii="Book Antiqua" w:hAnsi="Book Antiqua"/>
          <w:b/>
          <w:sz w:val="24"/>
        </w:rPr>
        <w:t>45</w:t>
      </w:r>
      <w:r>
        <w:rPr>
          <w:rFonts w:ascii="Book Antiqua" w:hAnsi="Book Antiqua"/>
          <w:sz w:val="24"/>
        </w:rPr>
        <w:t>: 842-851 [PMID: 24030244 DOI: 10.1055/s-0033-1344548]</w:t>
      </w:r>
    </w:p>
    <w:p w:rsidR="00606EEE" w:rsidRDefault="009A50EC">
      <w:pPr>
        <w:spacing w:line="360" w:lineRule="auto"/>
        <w:rPr>
          <w:rFonts w:ascii="Book Antiqua" w:hAnsi="Book Antiqua"/>
          <w:sz w:val="24"/>
        </w:rPr>
      </w:pPr>
      <w:r>
        <w:rPr>
          <w:rFonts w:ascii="Book Antiqua" w:hAnsi="Book Antiqua"/>
          <w:sz w:val="24"/>
        </w:rPr>
        <w:t xml:space="preserve">4 </w:t>
      </w:r>
      <w:r>
        <w:rPr>
          <w:rFonts w:ascii="Book Antiqua" w:hAnsi="Book Antiqua"/>
          <w:b/>
          <w:sz w:val="24"/>
        </w:rPr>
        <w:t>Liu Y</w:t>
      </w:r>
      <w:r>
        <w:rPr>
          <w:rFonts w:ascii="Book Antiqua" w:hAnsi="Book Antiqua"/>
          <w:sz w:val="24"/>
        </w:rPr>
        <w:t>, He X, Pan J, Chen S, Wang L. Prognostic role of Glasgow prognostic score in patients with colorectal cancer: evidence from populat</w:t>
      </w:r>
      <w:r>
        <w:rPr>
          <w:rFonts w:ascii="Book Antiqua" w:hAnsi="Book Antiqua"/>
          <w:sz w:val="24"/>
        </w:rPr>
        <w:t xml:space="preserve">ion studies. </w:t>
      </w:r>
      <w:r>
        <w:rPr>
          <w:rFonts w:ascii="Book Antiqua" w:hAnsi="Book Antiqua"/>
          <w:i/>
          <w:sz w:val="24"/>
        </w:rPr>
        <w:t>Sci Rep</w:t>
      </w:r>
      <w:r>
        <w:rPr>
          <w:rFonts w:ascii="Book Antiqua" w:hAnsi="Book Antiqua"/>
          <w:sz w:val="24"/>
        </w:rPr>
        <w:t xml:space="preserve"> 2017; </w:t>
      </w:r>
      <w:r>
        <w:rPr>
          <w:rFonts w:ascii="Book Antiqua" w:hAnsi="Book Antiqua"/>
          <w:b/>
          <w:sz w:val="24"/>
        </w:rPr>
        <w:t>7</w:t>
      </w:r>
      <w:r>
        <w:rPr>
          <w:rFonts w:ascii="Book Antiqua" w:hAnsi="Book Antiqua"/>
          <w:sz w:val="24"/>
        </w:rPr>
        <w:t>: 6144 [PMID: 28733646 DOI: 10.1038/s41598-017-06577-2]</w:t>
      </w:r>
    </w:p>
    <w:p w:rsidR="00606EEE" w:rsidRDefault="009A50EC">
      <w:pPr>
        <w:spacing w:line="360" w:lineRule="auto"/>
        <w:rPr>
          <w:rFonts w:ascii="Book Antiqua" w:hAnsi="Book Antiqua"/>
          <w:sz w:val="24"/>
        </w:rPr>
      </w:pPr>
      <w:r>
        <w:rPr>
          <w:rFonts w:ascii="Book Antiqua" w:hAnsi="Book Antiqua"/>
          <w:sz w:val="24"/>
        </w:rPr>
        <w:t xml:space="preserve">5 </w:t>
      </w:r>
      <w:r>
        <w:rPr>
          <w:rFonts w:ascii="Book Antiqua" w:hAnsi="Book Antiqua"/>
          <w:b/>
          <w:sz w:val="24"/>
        </w:rPr>
        <w:t>He L</w:t>
      </w:r>
      <w:r>
        <w:rPr>
          <w:rFonts w:ascii="Book Antiqua" w:hAnsi="Book Antiqua"/>
          <w:sz w:val="24"/>
        </w:rPr>
        <w:t>, Li H, Cai J, Chen L, Yao J, Zhang Y, Xu W, Geng L, Yang M, Chen P, Zheng J, Yang Y, Gong S. Prognostic Value of the Glasgow Prognostic Score or Modified Glasgow Pro</w:t>
      </w:r>
      <w:r>
        <w:rPr>
          <w:rFonts w:ascii="Book Antiqua" w:hAnsi="Book Antiqua"/>
          <w:sz w:val="24"/>
        </w:rPr>
        <w:t xml:space="preserve">gnostic Score for Patients with Colorectal Cancer Receiving Various Treatments: a Systematic Review and Meta-Analysis. </w:t>
      </w:r>
      <w:r>
        <w:rPr>
          <w:rFonts w:ascii="Book Antiqua" w:hAnsi="Book Antiqua"/>
          <w:i/>
          <w:sz w:val="24"/>
        </w:rPr>
        <w:t>Cell Physiol Biochem</w:t>
      </w:r>
      <w:r>
        <w:rPr>
          <w:rFonts w:ascii="Book Antiqua" w:hAnsi="Book Antiqua"/>
          <w:sz w:val="24"/>
        </w:rPr>
        <w:t xml:space="preserve"> 2018; </w:t>
      </w:r>
      <w:r>
        <w:rPr>
          <w:rFonts w:ascii="Book Antiqua" w:hAnsi="Book Antiqua"/>
          <w:b/>
          <w:sz w:val="24"/>
        </w:rPr>
        <w:t>51</w:t>
      </w:r>
      <w:r>
        <w:rPr>
          <w:rFonts w:ascii="Book Antiqua" w:hAnsi="Book Antiqua"/>
          <w:sz w:val="24"/>
        </w:rPr>
        <w:t>: 1237-1249 [PMID: 30481755 DOI: 10.1159/000495500]</w:t>
      </w:r>
    </w:p>
    <w:p w:rsidR="00606EEE" w:rsidRDefault="009A50EC">
      <w:pPr>
        <w:spacing w:line="360" w:lineRule="auto"/>
        <w:rPr>
          <w:rFonts w:ascii="Book Antiqua" w:hAnsi="Book Antiqua"/>
          <w:sz w:val="24"/>
        </w:rPr>
      </w:pPr>
      <w:r>
        <w:rPr>
          <w:rFonts w:ascii="Book Antiqua" w:hAnsi="Book Antiqua"/>
          <w:sz w:val="24"/>
        </w:rPr>
        <w:t xml:space="preserve">6 </w:t>
      </w:r>
      <w:r>
        <w:rPr>
          <w:rFonts w:ascii="Book Antiqua" w:hAnsi="Book Antiqua"/>
          <w:b/>
          <w:sz w:val="24"/>
        </w:rPr>
        <w:t>Eren T</w:t>
      </w:r>
      <w:r>
        <w:rPr>
          <w:rFonts w:ascii="Book Antiqua" w:hAnsi="Book Antiqua"/>
          <w:sz w:val="24"/>
        </w:rPr>
        <w:t>, Burcu B, Tombalak E, Ozdemir T, Leblebici M, O</w:t>
      </w:r>
      <w:r>
        <w:rPr>
          <w:rFonts w:ascii="Book Antiqua" w:hAnsi="Book Antiqua"/>
          <w:sz w:val="24"/>
        </w:rPr>
        <w:t xml:space="preserve">zemir IA, Ziyade S, Alimoglu O. Clinical Significance of the Glasgow Prognostic Score for Survival after Colorectal Cancer Surgery. </w:t>
      </w:r>
      <w:r>
        <w:rPr>
          <w:rFonts w:ascii="Book Antiqua" w:hAnsi="Book Antiqua"/>
          <w:i/>
          <w:sz w:val="24"/>
        </w:rPr>
        <w:t>J Gastrointest Surg</w:t>
      </w:r>
      <w:r>
        <w:rPr>
          <w:rFonts w:ascii="Book Antiqua" w:hAnsi="Book Antiqua"/>
          <w:sz w:val="24"/>
        </w:rPr>
        <w:t xml:space="preserve"> 2016; </w:t>
      </w:r>
      <w:r>
        <w:rPr>
          <w:rFonts w:ascii="Book Antiqua" w:hAnsi="Book Antiqua"/>
          <w:b/>
          <w:sz w:val="24"/>
        </w:rPr>
        <w:t>20</w:t>
      </w:r>
      <w:r>
        <w:rPr>
          <w:rFonts w:ascii="Book Antiqua" w:hAnsi="Book Antiqua"/>
          <w:sz w:val="24"/>
        </w:rPr>
        <w:t>: 1231-1238 [PMID: 26925798 DOI: 10.1007/s11605-016-3114-2]</w:t>
      </w:r>
    </w:p>
    <w:p w:rsidR="00606EEE" w:rsidRDefault="009A50EC">
      <w:pPr>
        <w:spacing w:line="360" w:lineRule="auto"/>
        <w:rPr>
          <w:rFonts w:ascii="Book Antiqua" w:hAnsi="Book Antiqua"/>
          <w:sz w:val="24"/>
        </w:rPr>
      </w:pPr>
      <w:r>
        <w:rPr>
          <w:rFonts w:ascii="Book Antiqua" w:hAnsi="Book Antiqua"/>
          <w:sz w:val="24"/>
        </w:rPr>
        <w:t xml:space="preserve">7 </w:t>
      </w:r>
      <w:r>
        <w:rPr>
          <w:rFonts w:ascii="Book Antiqua" w:hAnsi="Book Antiqua"/>
          <w:b/>
          <w:sz w:val="24"/>
        </w:rPr>
        <w:t>Arfa N</w:t>
      </w:r>
      <w:r>
        <w:rPr>
          <w:rFonts w:ascii="Book Antiqua" w:hAnsi="Book Antiqua"/>
          <w:sz w:val="24"/>
        </w:rPr>
        <w:t>, Hamdani I, Gharbi L, Ben A</w:t>
      </w:r>
      <w:r>
        <w:rPr>
          <w:rFonts w:ascii="Book Antiqua" w:hAnsi="Book Antiqua"/>
          <w:sz w:val="24"/>
        </w:rPr>
        <w:t xml:space="preserve">bid S, Ghariani B, Mannai S, Mestiri H, Khalfallah MT, Mzabi SR. [Survival and prognostic factors of colorectal </w:t>
      </w:r>
      <w:r>
        <w:rPr>
          <w:rFonts w:ascii="Book Antiqua" w:hAnsi="Book Antiqua"/>
          <w:sz w:val="24"/>
        </w:rPr>
        <w:lastRenderedPageBreak/>
        <w:t xml:space="preserve">adenocarcinoma: analytic multifactor review of 150 cases]. </w:t>
      </w:r>
      <w:r>
        <w:rPr>
          <w:rFonts w:ascii="Book Antiqua" w:hAnsi="Book Antiqua"/>
          <w:i/>
          <w:sz w:val="24"/>
        </w:rPr>
        <w:t>Ann Chir</w:t>
      </w:r>
      <w:r>
        <w:rPr>
          <w:rFonts w:ascii="Book Antiqua" w:hAnsi="Book Antiqua"/>
          <w:sz w:val="24"/>
        </w:rPr>
        <w:t xml:space="preserve"> 2006; </w:t>
      </w:r>
      <w:r>
        <w:rPr>
          <w:rFonts w:ascii="Book Antiqua" w:hAnsi="Book Antiqua"/>
          <w:b/>
          <w:sz w:val="24"/>
        </w:rPr>
        <w:t>131</w:t>
      </w:r>
      <w:r>
        <w:rPr>
          <w:rFonts w:ascii="Book Antiqua" w:hAnsi="Book Antiqua"/>
          <w:sz w:val="24"/>
        </w:rPr>
        <w:t>: 104-111 [PMID: 16443189 DOI: 10.1016/j.anchir.2005.12.012]</w:t>
      </w:r>
    </w:p>
    <w:p w:rsidR="00606EEE" w:rsidRDefault="009A50EC">
      <w:pPr>
        <w:spacing w:line="360" w:lineRule="auto"/>
        <w:rPr>
          <w:rFonts w:ascii="Book Antiqua" w:hAnsi="Book Antiqua"/>
          <w:sz w:val="24"/>
        </w:rPr>
      </w:pPr>
      <w:r>
        <w:rPr>
          <w:rFonts w:ascii="Book Antiqua" w:hAnsi="Book Antiqua"/>
          <w:sz w:val="24"/>
        </w:rPr>
        <w:t xml:space="preserve">8 </w:t>
      </w:r>
      <w:r>
        <w:rPr>
          <w:rFonts w:ascii="Book Antiqua" w:hAnsi="Book Antiqua"/>
          <w:b/>
          <w:sz w:val="24"/>
        </w:rPr>
        <w:t>Kane</w:t>
      </w:r>
      <w:r>
        <w:rPr>
          <w:rFonts w:ascii="Book Antiqua" w:hAnsi="Book Antiqua"/>
          <w:b/>
          <w:sz w:val="24"/>
        </w:rPr>
        <w:t>mitsu Y</w:t>
      </w:r>
      <w:r>
        <w:rPr>
          <w:rFonts w:ascii="Book Antiqua" w:hAnsi="Book Antiqua"/>
          <w:sz w:val="24"/>
        </w:rPr>
        <w:t xml:space="preserve">, Kato T, Hirai T, Yasui K, Morimoto T, Shimizu Y, Kodera Y, Yamamura Y. Survival after curative resection for mucinous adenocarcinoma of the colorectum. </w:t>
      </w:r>
      <w:r>
        <w:rPr>
          <w:rFonts w:ascii="Book Antiqua" w:hAnsi="Book Antiqua"/>
          <w:i/>
          <w:sz w:val="24"/>
        </w:rPr>
        <w:t>Dis Colon Rectum</w:t>
      </w:r>
      <w:r>
        <w:rPr>
          <w:rFonts w:ascii="Book Antiqua" w:hAnsi="Book Antiqua"/>
          <w:sz w:val="24"/>
        </w:rPr>
        <w:t xml:space="preserve"> 2003; </w:t>
      </w:r>
      <w:r>
        <w:rPr>
          <w:rFonts w:ascii="Book Antiqua" w:hAnsi="Book Antiqua"/>
          <w:b/>
          <w:sz w:val="24"/>
        </w:rPr>
        <w:t>46</w:t>
      </w:r>
      <w:r>
        <w:rPr>
          <w:rFonts w:ascii="Book Antiqua" w:hAnsi="Book Antiqua"/>
          <w:sz w:val="24"/>
        </w:rPr>
        <w:t>: 160-167 [PMID: 12576888 DOI: 10.1007/s10350-004-6518-0]</w:t>
      </w:r>
    </w:p>
    <w:p w:rsidR="00606EEE" w:rsidRDefault="009A50EC">
      <w:pPr>
        <w:spacing w:line="360" w:lineRule="auto"/>
        <w:rPr>
          <w:rFonts w:ascii="Book Antiqua" w:hAnsi="Book Antiqua"/>
          <w:sz w:val="24"/>
        </w:rPr>
      </w:pPr>
      <w:r>
        <w:rPr>
          <w:rFonts w:ascii="Book Antiqua" w:hAnsi="Book Antiqua"/>
          <w:sz w:val="24"/>
        </w:rPr>
        <w:t xml:space="preserve">9 </w:t>
      </w:r>
      <w:r>
        <w:rPr>
          <w:rFonts w:ascii="Book Antiqua" w:hAnsi="Book Antiqua"/>
          <w:b/>
          <w:sz w:val="24"/>
        </w:rPr>
        <w:t>Abu-Remaileh M</w:t>
      </w:r>
      <w:r>
        <w:rPr>
          <w:rFonts w:ascii="Book Antiqua" w:hAnsi="Book Antiqua"/>
          <w:sz w:val="24"/>
        </w:rPr>
        <w:t xml:space="preserve">, Bender S, Raddatz G, Ansari I, Cohen D, Gutekunst J, Musch T, Linhart H, Breiling A, Pikarsky E, Bergman Y, Lyko F. Chronic inflammation induces a novel epigenetic program that is conserved in intestinal adenomas and in colorectal cancer. </w:t>
      </w:r>
      <w:r>
        <w:rPr>
          <w:rFonts w:ascii="Book Antiqua" w:hAnsi="Book Antiqua"/>
          <w:i/>
          <w:sz w:val="24"/>
        </w:rPr>
        <w:t>C</w:t>
      </w:r>
      <w:r>
        <w:rPr>
          <w:rFonts w:ascii="Book Antiqua" w:hAnsi="Book Antiqua"/>
          <w:i/>
          <w:sz w:val="24"/>
        </w:rPr>
        <w:t>ancer Res</w:t>
      </w:r>
      <w:r>
        <w:rPr>
          <w:rFonts w:ascii="Book Antiqua" w:hAnsi="Book Antiqua"/>
          <w:sz w:val="24"/>
        </w:rPr>
        <w:t xml:space="preserve"> 2015; </w:t>
      </w:r>
      <w:r>
        <w:rPr>
          <w:rFonts w:ascii="Book Antiqua" w:hAnsi="Book Antiqua"/>
          <w:b/>
          <w:sz w:val="24"/>
        </w:rPr>
        <w:t>75</w:t>
      </w:r>
      <w:r>
        <w:rPr>
          <w:rFonts w:ascii="Book Antiqua" w:hAnsi="Book Antiqua"/>
          <w:sz w:val="24"/>
        </w:rPr>
        <w:t>: 2120-2130 [PMID: 25808873 DOI: 10.1158/0008-5472.CAN-14-3295]</w:t>
      </w:r>
    </w:p>
    <w:p w:rsidR="00606EEE" w:rsidRDefault="009A50EC">
      <w:pPr>
        <w:spacing w:line="360" w:lineRule="auto"/>
        <w:rPr>
          <w:rFonts w:ascii="Book Antiqua" w:hAnsi="Book Antiqua"/>
          <w:sz w:val="24"/>
        </w:rPr>
      </w:pPr>
      <w:r>
        <w:rPr>
          <w:rFonts w:ascii="Book Antiqua" w:hAnsi="Book Antiqua"/>
          <w:sz w:val="24"/>
        </w:rPr>
        <w:t xml:space="preserve">10 </w:t>
      </w:r>
      <w:r>
        <w:rPr>
          <w:rFonts w:ascii="Book Antiqua" w:hAnsi="Book Antiqua"/>
          <w:b/>
          <w:sz w:val="24"/>
        </w:rPr>
        <w:t>Deme D</w:t>
      </w:r>
      <w:r>
        <w:rPr>
          <w:rFonts w:ascii="Book Antiqua" w:hAnsi="Book Antiqua"/>
          <w:sz w:val="24"/>
        </w:rPr>
        <w:t xml:space="preserve">, Telekes A. [Prognostic importance of plasma C-reactive protein (CRP) in oncology]. </w:t>
      </w:r>
      <w:r>
        <w:rPr>
          <w:rFonts w:ascii="Book Antiqua" w:hAnsi="Book Antiqua"/>
          <w:i/>
          <w:sz w:val="24"/>
        </w:rPr>
        <w:t>Orv Hetil</w:t>
      </w:r>
      <w:r>
        <w:rPr>
          <w:rFonts w:ascii="Book Antiqua" w:hAnsi="Book Antiqua"/>
          <w:sz w:val="24"/>
        </w:rPr>
        <w:t xml:space="preserve"> 2017; </w:t>
      </w:r>
      <w:r>
        <w:rPr>
          <w:rFonts w:ascii="Book Antiqua" w:hAnsi="Book Antiqua"/>
          <w:b/>
          <w:sz w:val="24"/>
        </w:rPr>
        <w:t>158</w:t>
      </w:r>
      <w:r>
        <w:rPr>
          <w:rFonts w:ascii="Book Antiqua" w:hAnsi="Book Antiqua"/>
          <w:sz w:val="24"/>
        </w:rPr>
        <w:t>: 243-256 [PMID: 28462626 DOI: 10.1556/650.2017.30646]</w:t>
      </w:r>
    </w:p>
    <w:p w:rsidR="00606EEE" w:rsidRDefault="009A50EC">
      <w:pPr>
        <w:spacing w:line="360" w:lineRule="auto"/>
        <w:rPr>
          <w:rFonts w:ascii="Book Antiqua" w:hAnsi="Book Antiqua"/>
          <w:sz w:val="24"/>
        </w:rPr>
      </w:pPr>
      <w:r>
        <w:rPr>
          <w:rFonts w:ascii="Book Antiqua" w:hAnsi="Book Antiqua"/>
          <w:sz w:val="24"/>
        </w:rPr>
        <w:t xml:space="preserve">11 </w:t>
      </w:r>
      <w:r>
        <w:rPr>
          <w:rFonts w:ascii="Book Antiqua" w:hAnsi="Book Antiqua"/>
          <w:b/>
          <w:sz w:val="24"/>
        </w:rPr>
        <w:t xml:space="preserve">Li </w:t>
      </w:r>
      <w:r>
        <w:rPr>
          <w:rFonts w:ascii="Book Antiqua" w:hAnsi="Book Antiqua"/>
          <w:b/>
          <w:sz w:val="24"/>
        </w:rPr>
        <w:t>C</w:t>
      </w:r>
      <w:r>
        <w:rPr>
          <w:rFonts w:ascii="Book Antiqua" w:hAnsi="Book Antiqua"/>
          <w:sz w:val="24"/>
        </w:rPr>
        <w:t xml:space="preserve">, Xu Q, Chen L, Luo C, Ying J, Liu J. C-reactive protein (CRP) as a prognostic factor for colorectal cancer after surgical resection of pulmonary metastases. </w:t>
      </w:r>
      <w:r>
        <w:rPr>
          <w:rFonts w:ascii="Book Antiqua" w:hAnsi="Book Antiqua"/>
          <w:i/>
          <w:sz w:val="24"/>
        </w:rPr>
        <w:t>Bull Cancer</w:t>
      </w:r>
      <w:r>
        <w:rPr>
          <w:rFonts w:ascii="Book Antiqua" w:hAnsi="Book Antiqua"/>
          <w:sz w:val="24"/>
        </w:rPr>
        <w:t xml:space="preserve"> 2017; </w:t>
      </w:r>
      <w:r>
        <w:rPr>
          <w:rFonts w:ascii="Book Antiqua" w:hAnsi="Book Antiqua"/>
          <w:b/>
          <w:sz w:val="24"/>
        </w:rPr>
        <w:t>104</w:t>
      </w:r>
      <w:r>
        <w:rPr>
          <w:rFonts w:ascii="Book Antiqua" w:hAnsi="Book Antiqua"/>
          <w:sz w:val="24"/>
        </w:rPr>
        <w:t>: 232-236 [PMID: 28063672 DOI: 10.1016/j.bulcan.2016.11.016]</w:t>
      </w:r>
    </w:p>
    <w:p w:rsidR="00606EEE" w:rsidRDefault="009A50EC">
      <w:pPr>
        <w:spacing w:line="360" w:lineRule="auto"/>
        <w:rPr>
          <w:rFonts w:ascii="Book Antiqua" w:hAnsi="Book Antiqua"/>
          <w:sz w:val="24"/>
        </w:rPr>
      </w:pPr>
      <w:r>
        <w:rPr>
          <w:rFonts w:ascii="Book Antiqua" w:hAnsi="Book Antiqua"/>
          <w:sz w:val="24"/>
        </w:rPr>
        <w:t xml:space="preserve">12 </w:t>
      </w:r>
      <w:r>
        <w:rPr>
          <w:rFonts w:ascii="Book Antiqua" w:hAnsi="Book Antiqua"/>
          <w:b/>
          <w:sz w:val="24"/>
        </w:rPr>
        <w:t>Li N</w:t>
      </w:r>
      <w:r>
        <w:rPr>
          <w:rFonts w:ascii="Book Antiqua" w:hAnsi="Book Antiqua"/>
          <w:sz w:val="24"/>
        </w:rPr>
        <w:t>, Tian G</w:t>
      </w:r>
      <w:r>
        <w:rPr>
          <w:rFonts w:ascii="Book Antiqua" w:hAnsi="Book Antiqua"/>
          <w:sz w:val="24"/>
        </w:rPr>
        <w:t xml:space="preserve">W, Wang Y, Zhang H, Wang ZH, Li G. Prognostic Role of the Pretreatment C-Reactive Protein/Albumin Ratio in Solid Cancers: A Meta-Analysis. </w:t>
      </w:r>
      <w:r>
        <w:rPr>
          <w:rFonts w:ascii="Book Antiqua" w:hAnsi="Book Antiqua"/>
          <w:i/>
          <w:sz w:val="24"/>
        </w:rPr>
        <w:t>Sci Rep</w:t>
      </w:r>
      <w:r>
        <w:rPr>
          <w:rFonts w:ascii="Book Antiqua" w:hAnsi="Book Antiqua"/>
          <w:sz w:val="24"/>
        </w:rPr>
        <w:t xml:space="preserve"> 2017; </w:t>
      </w:r>
      <w:r>
        <w:rPr>
          <w:rFonts w:ascii="Book Antiqua" w:hAnsi="Book Antiqua"/>
          <w:b/>
          <w:sz w:val="24"/>
        </w:rPr>
        <w:t>7</w:t>
      </w:r>
      <w:r>
        <w:rPr>
          <w:rFonts w:ascii="Book Antiqua" w:hAnsi="Book Antiqua"/>
          <w:sz w:val="24"/>
        </w:rPr>
        <w:t>: 41298 [PMID: 28128229 DOI: 10.1038/srep41298]</w:t>
      </w:r>
    </w:p>
    <w:p w:rsidR="00606EEE" w:rsidRDefault="009A50EC">
      <w:pPr>
        <w:spacing w:line="360" w:lineRule="auto"/>
        <w:rPr>
          <w:rFonts w:ascii="Book Antiqua" w:hAnsi="Book Antiqua"/>
          <w:sz w:val="24"/>
        </w:rPr>
      </w:pPr>
      <w:r>
        <w:rPr>
          <w:rFonts w:ascii="Book Antiqua" w:hAnsi="Book Antiqua"/>
          <w:sz w:val="24"/>
        </w:rPr>
        <w:t xml:space="preserve">13 </w:t>
      </w:r>
      <w:r>
        <w:rPr>
          <w:rFonts w:ascii="Book Antiqua" w:hAnsi="Book Antiqua"/>
          <w:b/>
          <w:sz w:val="24"/>
        </w:rPr>
        <w:t>Shibutani M</w:t>
      </w:r>
      <w:r>
        <w:rPr>
          <w:rFonts w:ascii="Book Antiqua" w:hAnsi="Book Antiqua"/>
          <w:sz w:val="24"/>
        </w:rPr>
        <w:t>, Maeda K, Nagahara H, Iseki Y, Ikeya T,</w:t>
      </w:r>
      <w:r>
        <w:rPr>
          <w:rFonts w:ascii="Book Antiqua" w:hAnsi="Book Antiqua"/>
          <w:sz w:val="24"/>
        </w:rPr>
        <w:t xml:space="preserve"> Hirakawa K. Prognostic Significance of the Preoperative Ratio of C-Reactive Protein to Albumin in Patients with Colorectal Cancer. </w:t>
      </w:r>
      <w:r>
        <w:rPr>
          <w:rFonts w:ascii="Book Antiqua" w:hAnsi="Book Antiqua"/>
          <w:i/>
          <w:sz w:val="24"/>
        </w:rPr>
        <w:t>Anticancer Res</w:t>
      </w:r>
      <w:r>
        <w:rPr>
          <w:rFonts w:ascii="Book Antiqua" w:hAnsi="Book Antiqua"/>
          <w:sz w:val="24"/>
        </w:rPr>
        <w:t xml:space="preserve"> 2016; </w:t>
      </w:r>
      <w:r>
        <w:rPr>
          <w:rFonts w:ascii="Book Antiqua" w:hAnsi="Book Antiqua"/>
          <w:b/>
          <w:sz w:val="24"/>
        </w:rPr>
        <w:t>36</w:t>
      </w:r>
      <w:r>
        <w:rPr>
          <w:rFonts w:ascii="Book Antiqua" w:hAnsi="Book Antiqua"/>
          <w:sz w:val="24"/>
        </w:rPr>
        <w:t>: 995-1001 [PMID: 26976989 DOI: 10.3892/ol.2016.5487]</w:t>
      </w:r>
    </w:p>
    <w:p w:rsidR="00606EEE" w:rsidRDefault="009A50EC">
      <w:pPr>
        <w:spacing w:line="360" w:lineRule="auto"/>
        <w:rPr>
          <w:rFonts w:ascii="Book Antiqua" w:hAnsi="Book Antiqua"/>
          <w:sz w:val="24"/>
        </w:rPr>
      </w:pPr>
      <w:r>
        <w:rPr>
          <w:rFonts w:ascii="Book Antiqua" w:hAnsi="Book Antiqua"/>
          <w:sz w:val="24"/>
        </w:rPr>
        <w:t xml:space="preserve">14 </w:t>
      </w:r>
      <w:r>
        <w:rPr>
          <w:rFonts w:ascii="Book Antiqua" w:hAnsi="Book Antiqua"/>
          <w:b/>
          <w:sz w:val="24"/>
        </w:rPr>
        <w:t>Kinoshita A</w:t>
      </w:r>
      <w:r>
        <w:rPr>
          <w:rFonts w:ascii="Book Antiqua" w:hAnsi="Book Antiqua"/>
          <w:sz w:val="24"/>
        </w:rPr>
        <w:t>, Onoda H, Imai N, Iwaku A, Oishi</w:t>
      </w:r>
      <w:r>
        <w:rPr>
          <w:rFonts w:ascii="Book Antiqua" w:hAnsi="Book Antiqua"/>
          <w:sz w:val="24"/>
        </w:rPr>
        <w:t xml:space="preserve"> M, Tanaka K, Fushiya N, Koike K, Nishino H, Matsushima M. The C-reactive protein/albumin ratio, a novel inflammation-based prognostic score, predicts outcomes in patients with hepatocellular carcinoma. </w:t>
      </w:r>
      <w:r>
        <w:rPr>
          <w:rFonts w:ascii="Book Antiqua" w:hAnsi="Book Antiqua"/>
          <w:i/>
          <w:sz w:val="24"/>
        </w:rPr>
        <w:t>Ann Surg Oncol</w:t>
      </w:r>
      <w:r>
        <w:rPr>
          <w:rFonts w:ascii="Book Antiqua" w:hAnsi="Book Antiqua"/>
          <w:sz w:val="24"/>
        </w:rPr>
        <w:t xml:space="preserve"> 2015; </w:t>
      </w:r>
      <w:r>
        <w:rPr>
          <w:rFonts w:ascii="Book Antiqua" w:hAnsi="Book Antiqua"/>
          <w:b/>
          <w:sz w:val="24"/>
        </w:rPr>
        <w:t>22</w:t>
      </w:r>
      <w:r>
        <w:rPr>
          <w:rFonts w:ascii="Book Antiqua" w:hAnsi="Book Antiqua"/>
          <w:sz w:val="24"/>
        </w:rPr>
        <w:t>: 803-810 [PMID: 25190127 DOI:</w:t>
      </w:r>
      <w:r>
        <w:rPr>
          <w:rFonts w:ascii="Book Antiqua" w:hAnsi="Book Antiqua"/>
          <w:sz w:val="24"/>
        </w:rPr>
        <w:t xml:space="preserve"> 10.1245/s10434-014-4048-0]</w:t>
      </w:r>
    </w:p>
    <w:p w:rsidR="00606EEE" w:rsidRDefault="009A50EC">
      <w:pPr>
        <w:spacing w:line="360" w:lineRule="auto"/>
        <w:rPr>
          <w:rFonts w:ascii="Book Antiqua" w:hAnsi="Book Antiqua"/>
          <w:sz w:val="24"/>
        </w:rPr>
      </w:pPr>
      <w:r>
        <w:rPr>
          <w:rFonts w:ascii="Book Antiqua" w:hAnsi="Book Antiqua"/>
          <w:sz w:val="24"/>
        </w:rPr>
        <w:lastRenderedPageBreak/>
        <w:t xml:space="preserve">15 </w:t>
      </w:r>
      <w:r>
        <w:rPr>
          <w:rFonts w:ascii="Book Antiqua" w:hAnsi="Book Antiqua"/>
          <w:b/>
          <w:sz w:val="24"/>
        </w:rPr>
        <w:t>Ishizuka M</w:t>
      </w:r>
      <w:r>
        <w:rPr>
          <w:rFonts w:ascii="Book Antiqua" w:hAnsi="Book Antiqua"/>
          <w:sz w:val="24"/>
        </w:rPr>
        <w:t xml:space="preserve">, Nagata H, Takagi K, Iwasaki Y, Shibuya N, Kubota K. Clinical Significance of the C-Reactive Protein to Albumin Ratio for Survival After Surgery for Colorectal Cancer. </w:t>
      </w:r>
      <w:r>
        <w:rPr>
          <w:rFonts w:ascii="Book Antiqua" w:hAnsi="Book Antiqua"/>
          <w:i/>
          <w:sz w:val="24"/>
        </w:rPr>
        <w:t>Ann Surg Oncol</w:t>
      </w:r>
      <w:r>
        <w:rPr>
          <w:rFonts w:ascii="Book Antiqua" w:hAnsi="Book Antiqua"/>
          <w:sz w:val="24"/>
        </w:rPr>
        <w:t xml:space="preserve"> 2016; </w:t>
      </w:r>
      <w:r>
        <w:rPr>
          <w:rFonts w:ascii="Book Antiqua" w:hAnsi="Book Antiqua"/>
          <w:b/>
          <w:sz w:val="24"/>
        </w:rPr>
        <w:t>23</w:t>
      </w:r>
      <w:r>
        <w:rPr>
          <w:rFonts w:ascii="Book Antiqua" w:hAnsi="Book Antiqua"/>
          <w:sz w:val="24"/>
        </w:rPr>
        <w:t>: 900-907 [PMID: 265304</w:t>
      </w:r>
      <w:r>
        <w:rPr>
          <w:rFonts w:ascii="Book Antiqua" w:hAnsi="Book Antiqua"/>
          <w:sz w:val="24"/>
        </w:rPr>
        <w:t>45 DOI: 10.1245/s10434-015-4948-7]</w:t>
      </w:r>
    </w:p>
    <w:p w:rsidR="00606EEE" w:rsidRDefault="009A50EC">
      <w:pPr>
        <w:spacing w:line="360" w:lineRule="auto"/>
        <w:rPr>
          <w:rFonts w:ascii="Book Antiqua" w:hAnsi="Book Antiqua"/>
          <w:sz w:val="24"/>
        </w:rPr>
      </w:pPr>
      <w:r>
        <w:rPr>
          <w:rFonts w:ascii="Book Antiqua" w:hAnsi="Book Antiqua"/>
          <w:sz w:val="24"/>
        </w:rPr>
        <w:t xml:space="preserve">16 </w:t>
      </w:r>
      <w:r>
        <w:rPr>
          <w:rFonts w:ascii="Book Antiqua" w:hAnsi="Book Antiqua"/>
          <w:b/>
          <w:sz w:val="24"/>
        </w:rPr>
        <w:t>Koh YW</w:t>
      </w:r>
      <w:r>
        <w:rPr>
          <w:rFonts w:ascii="Book Antiqua" w:hAnsi="Book Antiqua"/>
          <w:sz w:val="24"/>
        </w:rPr>
        <w:t xml:space="preserve">, Lee HW. Prognostic impact of C-reactive protein/albumin ratio on the overall survival of patients with advanced nonsmall cell lung cancers receiving palliative chemotherapy. </w:t>
      </w:r>
      <w:r>
        <w:rPr>
          <w:rFonts w:ascii="Book Antiqua" w:hAnsi="Book Antiqua"/>
          <w:i/>
          <w:sz w:val="24"/>
        </w:rPr>
        <w:t>Medicine (Baltimore)</w:t>
      </w:r>
      <w:r>
        <w:rPr>
          <w:rFonts w:ascii="Book Antiqua" w:hAnsi="Book Antiqua"/>
          <w:sz w:val="24"/>
        </w:rPr>
        <w:t xml:space="preserve"> 2017; </w:t>
      </w:r>
      <w:r>
        <w:rPr>
          <w:rFonts w:ascii="Book Antiqua" w:hAnsi="Book Antiqua"/>
          <w:b/>
          <w:sz w:val="24"/>
        </w:rPr>
        <w:t>96</w:t>
      </w:r>
      <w:r>
        <w:rPr>
          <w:rFonts w:ascii="Book Antiqua" w:hAnsi="Book Antiqua"/>
          <w:sz w:val="24"/>
        </w:rPr>
        <w:t>: e6848</w:t>
      </w:r>
      <w:r>
        <w:rPr>
          <w:rFonts w:ascii="Book Antiqua" w:hAnsi="Book Antiqua"/>
          <w:sz w:val="24"/>
        </w:rPr>
        <w:t xml:space="preserve"> [PMID: 28489774 DOI: 10.1097/MD.0000000000006848]</w:t>
      </w:r>
    </w:p>
    <w:p w:rsidR="00606EEE" w:rsidRDefault="009A50EC">
      <w:pPr>
        <w:spacing w:line="360" w:lineRule="auto"/>
        <w:rPr>
          <w:rFonts w:ascii="Book Antiqua" w:hAnsi="Book Antiqua"/>
          <w:sz w:val="24"/>
        </w:rPr>
      </w:pPr>
      <w:r>
        <w:rPr>
          <w:rFonts w:ascii="Book Antiqua" w:hAnsi="Book Antiqua"/>
          <w:sz w:val="24"/>
        </w:rPr>
        <w:t xml:space="preserve">17 </w:t>
      </w:r>
      <w:r>
        <w:rPr>
          <w:rFonts w:ascii="Book Antiqua" w:hAnsi="Book Antiqua"/>
          <w:b/>
          <w:sz w:val="24"/>
        </w:rPr>
        <w:t>Tsai PL</w:t>
      </w:r>
      <w:r>
        <w:rPr>
          <w:rFonts w:ascii="Book Antiqua" w:hAnsi="Book Antiqua"/>
          <w:sz w:val="24"/>
        </w:rPr>
        <w:t xml:space="preserve">, Su WJ, Leung WH, Lai CT, Liu CK. Neutrophil-lymphocyte ratio and CEA level as prognostic and predictive factors in colorectal cancer: A systematic review and meta-analysis. </w:t>
      </w:r>
      <w:r>
        <w:rPr>
          <w:rFonts w:ascii="Book Antiqua" w:hAnsi="Book Antiqua"/>
          <w:i/>
          <w:sz w:val="24"/>
        </w:rPr>
        <w:t>J Cancer Res Ther</w:t>
      </w:r>
      <w:r>
        <w:rPr>
          <w:rFonts w:ascii="Book Antiqua" w:hAnsi="Book Antiqua"/>
          <w:sz w:val="24"/>
        </w:rPr>
        <w:t xml:space="preserve"> 20</w:t>
      </w:r>
      <w:r>
        <w:rPr>
          <w:rFonts w:ascii="Book Antiqua" w:hAnsi="Book Antiqua"/>
          <w:sz w:val="24"/>
        </w:rPr>
        <w:t xml:space="preserve">16; </w:t>
      </w:r>
      <w:r>
        <w:rPr>
          <w:rFonts w:ascii="Book Antiqua" w:hAnsi="Book Antiqua"/>
          <w:b/>
          <w:sz w:val="24"/>
        </w:rPr>
        <w:t>12</w:t>
      </w:r>
      <w:r>
        <w:rPr>
          <w:rFonts w:ascii="Book Antiqua" w:hAnsi="Book Antiqua"/>
          <w:sz w:val="24"/>
        </w:rPr>
        <w:t>: 582-589 [PMID: 27461614 DOI: 10.4103/0973-1482.144356]</w:t>
      </w:r>
    </w:p>
    <w:p w:rsidR="00606EEE" w:rsidRDefault="009A50EC">
      <w:pPr>
        <w:spacing w:line="360" w:lineRule="auto"/>
        <w:rPr>
          <w:rFonts w:ascii="Book Antiqua" w:hAnsi="Book Antiqua"/>
          <w:sz w:val="24"/>
        </w:rPr>
      </w:pPr>
      <w:r>
        <w:rPr>
          <w:rFonts w:ascii="Book Antiqua" w:hAnsi="Book Antiqua"/>
          <w:sz w:val="24"/>
        </w:rPr>
        <w:t xml:space="preserve">18 </w:t>
      </w:r>
      <w:r>
        <w:rPr>
          <w:rFonts w:ascii="Book Antiqua" w:hAnsi="Book Antiqua"/>
          <w:b/>
          <w:sz w:val="24"/>
        </w:rPr>
        <w:t>Akinci Ozyurek B</w:t>
      </w:r>
      <w:r>
        <w:rPr>
          <w:rFonts w:ascii="Book Antiqua" w:hAnsi="Book Antiqua"/>
          <w:sz w:val="24"/>
        </w:rPr>
        <w:t xml:space="preserve">, Sahin Ozdemirel T, Buyukyaylaci Ozden S, Erdogan Y, Kaplan B, Kaplan T. Prognostic Value of the Neutrophil to Lymphocyte Ratio (NLR) in Lung Cancer Cases </w:t>
      </w:r>
      <w:r>
        <w:rPr>
          <w:rFonts w:ascii="Book Antiqua" w:hAnsi="Book Antiqua"/>
          <w:i/>
          <w:sz w:val="24"/>
        </w:rPr>
        <w:t>Asian Pac J Cancer</w:t>
      </w:r>
      <w:r>
        <w:rPr>
          <w:rFonts w:ascii="Book Antiqua" w:hAnsi="Book Antiqua"/>
          <w:i/>
          <w:sz w:val="24"/>
        </w:rPr>
        <w:t xml:space="preserve"> Prev</w:t>
      </w:r>
      <w:r>
        <w:rPr>
          <w:rFonts w:ascii="Book Antiqua" w:hAnsi="Book Antiqua"/>
          <w:sz w:val="24"/>
        </w:rPr>
        <w:t xml:space="preserve"> 2017; </w:t>
      </w:r>
      <w:r>
        <w:rPr>
          <w:rFonts w:ascii="Book Antiqua" w:hAnsi="Book Antiqua"/>
          <w:b/>
          <w:sz w:val="24"/>
        </w:rPr>
        <w:t>18</w:t>
      </w:r>
      <w:r>
        <w:rPr>
          <w:rFonts w:ascii="Book Antiqua" w:hAnsi="Book Antiqua"/>
          <w:sz w:val="24"/>
        </w:rPr>
        <w:t>: 1417-1421 [PMID: 28612596 DOI: 10.22034/APJCP.2017.18.5.1417]</w:t>
      </w:r>
    </w:p>
    <w:p w:rsidR="00606EEE" w:rsidRDefault="009A50EC">
      <w:pPr>
        <w:spacing w:line="360" w:lineRule="auto"/>
        <w:rPr>
          <w:rFonts w:ascii="Book Antiqua" w:hAnsi="Book Antiqua"/>
          <w:sz w:val="24"/>
        </w:rPr>
      </w:pPr>
      <w:r>
        <w:rPr>
          <w:rFonts w:ascii="Book Antiqua" w:hAnsi="Book Antiqua"/>
          <w:sz w:val="24"/>
        </w:rPr>
        <w:t xml:space="preserve">19 </w:t>
      </w:r>
      <w:r>
        <w:rPr>
          <w:rFonts w:ascii="Book Antiqua" w:hAnsi="Book Antiqua"/>
          <w:b/>
          <w:sz w:val="24"/>
        </w:rPr>
        <w:t>Rashtak S</w:t>
      </w:r>
      <w:r>
        <w:rPr>
          <w:rFonts w:ascii="Book Antiqua" w:hAnsi="Book Antiqua"/>
          <w:sz w:val="24"/>
        </w:rPr>
        <w:t xml:space="preserve">, Ruan X, Druliner BR, Liu H, Therneau T, Mouchli M, Boardman LA. Peripheral Neutrophil to Lymphocyte Ratio Improves Prognostication in Colon Cancer. </w:t>
      </w:r>
      <w:r>
        <w:rPr>
          <w:rFonts w:ascii="Book Antiqua" w:hAnsi="Book Antiqua"/>
          <w:i/>
          <w:sz w:val="24"/>
        </w:rPr>
        <w:t xml:space="preserve">Clin Colorectal </w:t>
      </w:r>
      <w:r>
        <w:rPr>
          <w:rFonts w:ascii="Book Antiqua" w:hAnsi="Book Antiqua"/>
          <w:i/>
          <w:sz w:val="24"/>
        </w:rPr>
        <w:t>Cancer</w:t>
      </w:r>
      <w:r>
        <w:rPr>
          <w:rFonts w:ascii="Book Antiqua" w:hAnsi="Book Antiqua"/>
          <w:sz w:val="24"/>
        </w:rPr>
        <w:t xml:space="preserve"> 2017; </w:t>
      </w:r>
      <w:r>
        <w:rPr>
          <w:rFonts w:ascii="Book Antiqua" w:hAnsi="Book Antiqua"/>
          <w:b/>
          <w:sz w:val="24"/>
        </w:rPr>
        <w:t>16</w:t>
      </w:r>
      <w:r>
        <w:rPr>
          <w:rFonts w:ascii="Book Antiqua" w:hAnsi="Book Antiqua"/>
          <w:sz w:val="24"/>
        </w:rPr>
        <w:t>: 115-123.e3 [PMID: 28365393 DOI: 10.1016/j.clcc.2017.01.008]</w:t>
      </w:r>
    </w:p>
    <w:p w:rsidR="00606EEE" w:rsidRDefault="009A50EC">
      <w:pPr>
        <w:spacing w:line="360" w:lineRule="auto"/>
        <w:rPr>
          <w:rFonts w:ascii="Book Antiqua" w:hAnsi="Book Antiqua"/>
          <w:sz w:val="24"/>
        </w:rPr>
      </w:pPr>
      <w:r>
        <w:rPr>
          <w:rFonts w:ascii="Book Antiqua" w:hAnsi="Book Antiqua"/>
          <w:sz w:val="24"/>
        </w:rPr>
        <w:t xml:space="preserve">20 </w:t>
      </w:r>
      <w:r>
        <w:rPr>
          <w:rFonts w:ascii="Book Antiqua" w:hAnsi="Book Antiqua"/>
          <w:b/>
          <w:sz w:val="24"/>
        </w:rPr>
        <w:t>Kee KM</w:t>
      </w:r>
      <w:r>
        <w:rPr>
          <w:rFonts w:ascii="Book Antiqua" w:hAnsi="Book Antiqua"/>
          <w:sz w:val="24"/>
        </w:rPr>
        <w:t>, Wang JH, Lee CM, Chen CL, Changchien CS, Hu TH, Cheng YF, Hsu HC, Wang CC, Chen TY, Lin CY, Lu SN. Validation of clinical AJCC/UICC TNM staging system for hepatocellula</w:t>
      </w:r>
      <w:r>
        <w:rPr>
          <w:rFonts w:ascii="Book Antiqua" w:hAnsi="Book Antiqua"/>
          <w:sz w:val="24"/>
        </w:rPr>
        <w:t xml:space="preserve">r carcinoma: analysis of 5,613 cases from a medical center in southern Taiwan. </w:t>
      </w:r>
      <w:r>
        <w:rPr>
          <w:rFonts w:ascii="Book Antiqua" w:hAnsi="Book Antiqua"/>
          <w:i/>
          <w:sz w:val="24"/>
        </w:rPr>
        <w:t>Int J Cancer</w:t>
      </w:r>
      <w:r>
        <w:rPr>
          <w:rFonts w:ascii="Book Antiqua" w:hAnsi="Book Antiqua"/>
          <w:sz w:val="24"/>
        </w:rPr>
        <w:t xml:space="preserve"> 2007; </w:t>
      </w:r>
      <w:r>
        <w:rPr>
          <w:rFonts w:ascii="Book Antiqua" w:hAnsi="Book Antiqua"/>
          <w:b/>
          <w:sz w:val="24"/>
        </w:rPr>
        <w:t>120</w:t>
      </w:r>
      <w:r>
        <w:rPr>
          <w:rFonts w:ascii="Book Antiqua" w:hAnsi="Book Antiqua"/>
          <w:sz w:val="24"/>
        </w:rPr>
        <w:t>: 2650-2655 [PMID: 17304512 DOI: 10.1002/ijc.22616]</w:t>
      </w:r>
    </w:p>
    <w:p w:rsidR="00606EEE" w:rsidRDefault="009A50EC">
      <w:pPr>
        <w:spacing w:line="360" w:lineRule="auto"/>
        <w:rPr>
          <w:rFonts w:ascii="Book Antiqua" w:hAnsi="Book Antiqua"/>
          <w:sz w:val="24"/>
        </w:rPr>
      </w:pPr>
      <w:r>
        <w:rPr>
          <w:rFonts w:ascii="Book Antiqua" w:hAnsi="Book Antiqua"/>
          <w:sz w:val="24"/>
        </w:rPr>
        <w:t xml:space="preserve">21 </w:t>
      </w:r>
      <w:r>
        <w:rPr>
          <w:rFonts w:ascii="Book Antiqua" w:hAnsi="Book Antiqua"/>
          <w:b/>
          <w:sz w:val="24"/>
        </w:rPr>
        <w:t>Jideh B</w:t>
      </w:r>
      <w:r>
        <w:rPr>
          <w:rFonts w:ascii="Book Antiqua" w:hAnsi="Book Antiqua"/>
          <w:sz w:val="24"/>
        </w:rPr>
        <w:t xml:space="preserve">, Bourke MJ. Colorectal cancer screening reduces incidence, mortality and morbidity. </w:t>
      </w:r>
      <w:r>
        <w:rPr>
          <w:rFonts w:ascii="Book Antiqua" w:hAnsi="Book Antiqua"/>
          <w:i/>
          <w:sz w:val="24"/>
        </w:rPr>
        <w:t>Med J Au</w:t>
      </w:r>
      <w:r>
        <w:rPr>
          <w:rFonts w:ascii="Book Antiqua" w:hAnsi="Book Antiqua"/>
          <w:i/>
          <w:sz w:val="24"/>
        </w:rPr>
        <w:t>st</w:t>
      </w:r>
      <w:r>
        <w:rPr>
          <w:rFonts w:ascii="Book Antiqua" w:hAnsi="Book Antiqua"/>
          <w:sz w:val="24"/>
        </w:rPr>
        <w:t xml:space="preserve"> 2018; </w:t>
      </w:r>
      <w:r>
        <w:rPr>
          <w:rFonts w:ascii="Book Antiqua" w:hAnsi="Book Antiqua"/>
          <w:b/>
          <w:sz w:val="24"/>
        </w:rPr>
        <w:t>208</w:t>
      </w:r>
      <w:r>
        <w:rPr>
          <w:rFonts w:ascii="Book Antiqua" w:hAnsi="Book Antiqua"/>
          <w:sz w:val="24"/>
        </w:rPr>
        <w:t>: 483-484 [PMID: 29902408 DOI: 10.5694/mja18.00279]</w:t>
      </w:r>
    </w:p>
    <w:p w:rsidR="00606EEE" w:rsidRDefault="009A50EC">
      <w:pPr>
        <w:spacing w:line="360" w:lineRule="auto"/>
        <w:rPr>
          <w:rFonts w:ascii="Book Antiqua" w:hAnsi="Book Antiqua"/>
          <w:sz w:val="24"/>
        </w:rPr>
      </w:pPr>
      <w:r>
        <w:rPr>
          <w:rFonts w:ascii="Book Antiqua" w:hAnsi="Book Antiqua"/>
          <w:sz w:val="24"/>
        </w:rPr>
        <w:t xml:space="preserve">22 </w:t>
      </w:r>
      <w:r>
        <w:rPr>
          <w:rFonts w:ascii="Book Antiqua" w:hAnsi="Book Antiqua"/>
          <w:b/>
          <w:sz w:val="24"/>
        </w:rPr>
        <w:t>Das V</w:t>
      </w:r>
      <w:r>
        <w:rPr>
          <w:rFonts w:ascii="Book Antiqua" w:hAnsi="Book Antiqua"/>
          <w:sz w:val="24"/>
        </w:rPr>
        <w:t xml:space="preserve">, Kalita J, Pal M. Predictive and prognostic biomarkers in colorectal cancer: A systematic review of recent advances and challenges. </w:t>
      </w:r>
      <w:r>
        <w:rPr>
          <w:rFonts w:ascii="Book Antiqua" w:hAnsi="Book Antiqua"/>
          <w:i/>
          <w:sz w:val="24"/>
        </w:rPr>
        <w:t xml:space="preserve">Biomed </w:t>
      </w:r>
      <w:r>
        <w:rPr>
          <w:rFonts w:ascii="Book Antiqua" w:hAnsi="Book Antiqua"/>
          <w:i/>
          <w:sz w:val="24"/>
        </w:rPr>
        <w:lastRenderedPageBreak/>
        <w:t>Pharmacother</w:t>
      </w:r>
      <w:r>
        <w:rPr>
          <w:rFonts w:ascii="Book Antiqua" w:hAnsi="Book Antiqua"/>
          <w:sz w:val="24"/>
        </w:rPr>
        <w:t xml:space="preserve"> 2017; </w:t>
      </w:r>
      <w:r>
        <w:rPr>
          <w:rFonts w:ascii="Book Antiqua" w:hAnsi="Book Antiqua"/>
          <w:b/>
          <w:sz w:val="24"/>
        </w:rPr>
        <w:t>87</w:t>
      </w:r>
      <w:r>
        <w:rPr>
          <w:rFonts w:ascii="Book Antiqua" w:hAnsi="Book Antiqua"/>
          <w:sz w:val="24"/>
        </w:rPr>
        <w:t xml:space="preserve">: 8-19 [PMID: 28040600 </w:t>
      </w:r>
      <w:r>
        <w:rPr>
          <w:rFonts w:ascii="Book Antiqua" w:hAnsi="Book Antiqua"/>
          <w:sz w:val="24"/>
        </w:rPr>
        <w:t>DOI: 10.1016/j.biopha.2016.12.064]</w:t>
      </w:r>
    </w:p>
    <w:p w:rsidR="00606EEE" w:rsidRDefault="009A50EC">
      <w:pPr>
        <w:spacing w:line="360" w:lineRule="auto"/>
        <w:rPr>
          <w:rFonts w:ascii="Book Antiqua" w:hAnsi="Book Antiqua"/>
          <w:sz w:val="24"/>
        </w:rPr>
      </w:pPr>
      <w:r>
        <w:rPr>
          <w:rFonts w:ascii="Book Antiqua" w:hAnsi="Book Antiqua"/>
          <w:sz w:val="24"/>
        </w:rPr>
        <w:t xml:space="preserve">23 </w:t>
      </w:r>
      <w:r>
        <w:rPr>
          <w:rFonts w:ascii="Book Antiqua" w:hAnsi="Book Antiqua"/>
          <w:b/>
          <w:sz w:val="24"/>
        </w:rPr>
        <w:t>Stojkovic Lalosevic M</w:t>
      </w:r>
      <w:r>
        <w:rPr>
          <w:rFonts w:ascii="Book Antiqua" w:hAnsi="Book Antiqua"/>
          <w:sz w:val="24"/>
        </w:rPr>
        <w:t>, Stankovic S, Stojkovic M, Markovic V, Dimitrijevic I, Lalosevic J, Petrovic J, Brankovic M, Pavlovic Markovic A, Krivokapic Z. Can preoperative CEA and CA19-9 serum concentrations suggest metasta</w:t>
      </w:r>
      <w:r>
        <w:rPr>
          <w:rFonts w:ascii="Book Antiqua" w:hAnsi="Book Antiqua"/>
          <w:sz w:val="24"/>
        </w:rPr>
        <w:t xml:space="preserve">tic disease in colorectal cancer patients? </w:t>
      </w:r>
      <w:r>
        <w:rPr>
          <w:rFonts w:ascii="Book Antiqua" w:hAnsi="Book Antiqua"/>
          <w:i/>
          <w:sz w:val="24"/>
        </w:rPr>
        <w:t>Hell J Nucl Med</w:t>
      </w:r>
      <w:r>
        <w:rPr>
          <w:rFonts w:ascii="Book Antiqua" w:hAnsi="Book Antiqua"/>
          <w:sz w:val="24"/>
        </w:rPr>
        <w:t xml:space="preserve"> 2017; </w:t>
      </w:r>
      <w:r>
        <w:rPr>
          <w:rFonts w:ascii="Book Antiqua" w:hAnsi="Book Antiqua"/>
          <w:b/>
          <w:sz w:val="24"/>
        </w:rPr>
        <w:t>20</w:t>
      </w:r>
      <w:r>
        <w:rPr>
          <w:rFonts w:ascii="Book Antiqua" w:hAnsi="Book Antiqua"/>
          <w:sz w:val="24"/>
        </w:rPr>
        <w:t>: 41-45 [PMID: 28315907 DOI: 10.1967/s002449910505]</w:t>
      </w:r>
    </w:p>
    <w:p w:rsidR="00606EEE" w:rsidRDefault="009A50EC">
      <w:pPr>
        <w:spacing w:line="360" w:lineRule="auto"/>
        <w:rPr>
          <w:rFonts w:ascii="Book Antiqua" w:hAnsi="Book Antiqua"/>
          <w:sz w:val="24"/>
        </w:rPr>
      </w:pPr>
      <w:r>
        <w:rPr>
          <w:rFonts w:ascii="Book Antiqua" w:hAnsi="Book Antiqua"/>
          <w:sz w:val="24"/>
        </w:rPr>
        <w:t xml:space="preserve">24 </w:t>
      </w:r>
      <w:r>
        <w:rPr>
          <w:rFonts w:ascii="Book Antiqua" w:hAnsi="Book Antiqua"/>
          <w:b/>
          <w:sz w:val="24"/>
        </w:rPr>
        <w:t>Moertel CG</w:t>
      </w:r>
      <w:r>
        <w:rPr>
          <w:rFonts w:ascii="Book Antiqua" w:hAnsi="Book Antiqua"/>
          <w:sz w:val="24"/>
        </w:rPr>
        <w:t>, Fleming TR, Macdonald JS, Haller DG, Laurie JA, Tangen C. An evaluation of the carcinoembryonic antigen (CEA) test for mon</w:t>
      </w:r>
      <w:r>
        <w:rPr>
          <w:rFonts w:ascii="Book Antiqua" w:hAnsi="Book Antiqua"/>
          <w:sz w:val="24"/>
        </w:rPr>
        <w:t xml:space="preserve">itoring patients with resected colon cancer. </w:t>
      </w:r>
      <w:r>
        <w:rPr>
          <w:rFonts w:ascii="Book Antiqua" w:hAnsi="Book Antiqua"/>
          <w:i/>
          <w:sz w:val="24"/>
        </w:rPr>
        <w:t>JAMA</w:t>
      </w:r>
      <w:r>
        <w:rPr>
          <w:rFonts w:ascii="Book Antiqua" w:hAnsi="Book Antiqua"/>
          <w:sz w:val="24"/>
        </w:rPr>
        <w:t xml:space="preserve"> 1993; </w:t>
      </w:r>
      <w:r>
        <w:rPr>
          <w:rFonts w:ascii="Book Antiqua" w:hAnsi="Book Antiqua"/>
          <w:b/>
          <w:sz w:val="24"/>
        </w:rPr>
        <w:t>270</w:t>
      </w:r>
      <w:r>
        <w:rPr>
          <w:rFonts w:ascii="Book Antiqua" w:hAnsi="Book Antiqua"/>
          <w:sz w:val="24"/>
        </w:rPr>
        <w:t>: 943-947 [PMID: 8141873 DOI: 10.1001/jama.270.8.943]</w:t>
      </w:r>
    </w:p>
    <w:p w:rsidR="00606EEE" w:rsidRDefault="009A50EC">
      <w:pPr>
        <w:spacing w:line="360" w:lineRule="auto"/>
        <w:rPr>
          <w:rFonts w:ascii="Book Antiqua" w:hAnsi="Book Antiqua"/>
          <w:sz w:val="24"/>
        </w:rPr>
      </w:pPr>
      <w:r>
        <w:rPr>
          <w:rFonts w:ascii="Book Antiqua" w:hAnsi="Book Antiqua"/>
          <w:sz w:val="24"/>
        </w:rPr>
        <w:t xml:space="preserve">25 </w:t>
      </w:r>
      <w:r>
        <w:rPr>
          <w:rFonts w:ascii="Book Antiqua" w:hAnsi="Book Antiqua"/>
          <w:b/>
          <w:sz w:val="24"/>
        </w:rPr>
        <w:t>Cao B</w:t>
      </w:r>
      <w:r>
        <w:rPr>
          <w:rFonts w:ascii="Book Antiqua" w:hAnsi="Book Antiqua"/>
          <w:sz w:val="24"/>
        </w:rPr>
        <w:t xml:space="preserve">, Zhou X, Yang W, Ma J, Zhou W, Fan D, Hong L. The role of cell-free DNA in predicting colorectal cancer prognosis. </w:t>
      </w:r>
      <w:r>
        <w:rPr>
          <w:rFonts w:ascii="Book Antiqua" w:hAnsi="Book Antiqua"/>
          <w:i/>
          <w:sz w:val="24"/>
        </w:rPr>
        <w:t>Expert Rev Gastroen</w:t>
      </w:r>
      <w:r>
        <w:rPr>
          <w:rFonts w:ascii="Book Antiqua" w:hAnsi="Book Antiqua"/>
          <w:i/>
          <w:sz w:val="24"/>
        </w:rPr>
        <w:t>terol Hepatol</w:t>
      </w:r>
      <w:r>
        <w:rPr>
          <w:rFonts w:ascii="Book Antiqua" w:hAnsi="Book Antiqua"/>
          <w:sz w:val="24"/>
        </w:rPr>
        <w:t xml:space="preserve"> 2018; </w:t>
      </w:r>
      <w:r>
        <w:rPr>
          <w:rFonts w:ascii="Book Antiqua" w:hAnsi="Book Antiqua"/>
          <w:b/>
          <w:sz w:val="24"/>
        </w:rPr>
        <w:t>12</w:t>
      </w:r>
      <w:r>
        <w:rPr>
          <w:rFonts w:ascii="Book Antiqua" w:hAnsi="Book Antiqua"/>
          <w:sz w:val="24"/>
        </w:rPr>
        <w:t>: 39-48 [PMID: 28838275 DOI: 10.1080/17474124.2017.1372191]</w:t>
      </w:r>
    </w:p>
    <w:p w:rsidR="00606EEE" w:rsidRDefault="009A50EC">
      <w:pPr>
        <w:spacing w:line="360" w:lineRule="auto"/>
        <w:rPr>
          <w:rFonts w:ascii="Book Antiqua" w:hAnsi="Book Antiqua"/>
          <w:sz w:val="24"/>
        </w:rPr>
      </w:pPr>
      <w:r>
        <w:rPr>
          <w:rFonts w:ascii="Book Antiqua" w:hAnsi="Book Antiqua"/>
          <w:sz w:val="24"/>
        </w:rPr>
        <w:t xml:space="preserve">26 </w:t>
      </w:r>
      <w:r>
        <w:rPr>
          <w:rFonts w:ascii="Book Antiqua" w:hAnsi="Book Antiqua"/>
          <w:b/>
          <w:sz w:val="24"/>
        </w:rPr>
        <w:t>Sun D</w:t>
      </w:r>
      <w:r>
        <w:rPr>
          <w:rFonts w:ascii="Book Antiqua" w:hAnsi="Book Antiqua"/>
          <w:sz w:val="24"/>
        </w:rPr>
        <w:t xml:space="preserve">, Chen J, Liu L, Zhao G, Dong P, Wu B, Wang J, Dong L. Establishment of a 12-gene expression signature to predict colon cancer prognosis. </w:t>
      </w:r>
      <w:r>
        <w:rPr>
          <w:rFonts w:ascii="Book Antiqua" w:hAnsi="Book Antiqua"/>
          <w:i/>
          <w:sz w:val="24"/>
        </w:rPr>
        <w:t>PeerJ</w:t>
      </w:r>
      <w:r>
        <w:rPr>
          <w:rFonts w:ascii="Book Antiqua" w:hAnsi="Book Antiqua"/>
          <w:sz w:val="24"/>
        </w:rPr>
        <w:t xml:space="preserve"> 2018; </w:t>
      </w:r>
      <w:r>
        <w:rPr>
          <w:rFonts w:ascii="Book Antiqua" w:hAnsi="Book Antiqua"/>
          <w:b/>
          <w:sz w:val="24"/>
        </w:rPr>
        <w:t>6</w:t>
      </w:r>
      <w:r>
        <w:rPr>
          <w:rFonts w:ascii="Book Antiqua" w:hAnsi="Book Antiqua"/>
          <w:sz w:val="24"/>
        </w:rPr>
        <w:t xml:space="preserve">: e4942 [PMID: </w:t>
      </w:r>
      <w:r>
        <w:rPr>
          <w:rFonts w:ascii="Book Antiqua" w:hAnsi="Book Antiqua"/>
          <w:sz w:val="24"/>
        </w:rPr>
        <w:t>29915691 DOI: 10.7717/peerj.4942]</w:t>
      </w:r>
    </w:p>
    <w:p w:rsidR="00606EEE" w:rsidRDefault="009A50EC">
      <w:pPr>
        <w:spacing w:line="360" w:lineRule="auto"/>
        <w:rPr>
          <w:rFonts w:ascii="Book Antiqua" w:hAnsi="Book Antiqua"/>
          <w:sz w:val="24"/>
        </w:rPr>
      </w:pPr>
      <w:r>
        <w:rPr>
          <w:rFonts w:ascii="Book Antiqua" w:hAnsi="Book Antiqua"/>
          <w:sz w:val="24"/>
        </w:rPr>
        <w:t xml:space="preserve">27 </w:t>
      </w:r>
      <w:r>
        <w:rPr>
          <w:rFonts w:ascii="Book Antiqua" w:hAnsi="Book Antiqua"/>
          <w:b/>
          <w:sz w:val="24"/>
        </w:rPr>
        <w:t>Long AG</w:t>
      </w:r>
      <w:r>
        <w:rPr>
          <w:rFonts w:ascii="Book Antiqua" w:hAnsi="Book Antiqua"/>
          <w:sz w:val="24"/>
        </w:rPr>
        <w:t xml:space="preserve">, Lundsmith ET, Hamilton KE. Inflammation and Colorectal Cancer. </w:t>
      </w:r>
      <w:r>
        <w:rPr>
          <w:rFonts w:ascii="Book Antiqua" w:hAnsi="Book Antiqua"/>
          <w:i/>
          <w:sz w:val="24"/>
        </w:rPr>
        <w:t>Curr Colorectal Cancer Rep</w:t>
      </w:r>
      <w:r>
        <w:rPr>
          <w:rFonts w:ascii="Book Antiqua" w:hAnsi="Book Antiqua"/>
          <w:sz w:val="24"/>
        </w:rPr>
        <w:t xml:space="preserve"> 2017; </w:t>
      </w:r>
      <w:r>
        <w:rPr>
          <w:rFonts w:ascii="Book Antiqua" w:hAnsi="Book Antiqua"/>
          <w:b/>
          <w:sz w:val="24"/>
        </w:rPr>
        <w:t>13</w:t>
      </w:r>
      <w:r>
        <w:rPr>
          <w:rFonts w:ascii="Book Antiqua" w:hAnsi="Book Antiqua"/>
          <w:sz w:val="24"/>
        </w:rPr>
        <w:t>: 341-351 [PMID: 29129972 DOI: 10.1007/s11888-017-0373-6]</w:t>
      </w:r>
    </w:p>
    <w:p w:rsidR="00606EEE" w:rsidRDefault="009A50EC">
      <w:pPr>
        <w:spacing w:line="360" w:lineRule="auto"/>
        <w:rPr>
          <w:rFonts w:ascii="Book Antiqua" w:hAnsi="Book Antiqua"/>
          <w:sz w:val="24"/>
        </w:rPr>
      </w:pPr>
      <w:r>
        <w:rPr>
          <w:rFonts w:ascii="Book Antiqua" w:hAnsi="Book Antiqua"/>
          <w:sz w:val="24"/>
        </w:rPr>
        <w:t xml:space="preserve">28 </w:t>
      </w:r>
      <w:r>
        <w:rPr>
          <w:rFonts w:ascii="Book Antiqua" w:hAnsi="Book Antiqua"/>
          <w:b/>
          <w:sz w:val="24"/>
        </w:rPr>
        <w:t>Mei Z</w:t>
      </w:r>
      <w:r>
        <w:rPr>
          <w:rFonts w:ascii="Book Antiqua" w:hAnsi="Book Antiqua"/>
          <w:sz w:val="24"/>
        </w:rPr>
        <w:t xml:space="preserve">, Liu Y, Liu C, Cui L. Response to comment on </w:t>
      </w:r>
      <w:r>
        <w:rPr>
          <w:rFonts w:ascii="Book Antiqua" w:hAnsi="Book Antiqua"/>
          <w:sz w:val="24"/>
        </w:rPr>
        <w:t xml:space="preserve">'Tumour-infiltrating inflammation and prognosis in colorectal cancer: systematic review and meta-analysis'. </w:t>
      </w:r>
      <w:r>
        <w:rPr>
          <w:rFonts w:ascii="Book Antiqua" w:hAnsi="Book Antiqua"/>
          <w:i/>
          <w:sz w:val="24"/>
        </w:rPr>
        <w:t>Br J Cancer</w:t>
      </w:r>
      <w:r>
        <w:rPr>
          <w:rFonts w:ascii="Book Antiqua" w:hAnsi="Book Antiqua"/>
          <w:sz w:val="24"/>
        </w:rPr>
        <w:t xml:space="preserve"> 2014; </w:t>
      </w:r>
      <w:r>
        <w:rPr>
          <w:rFonts w:ascii="Book Antiqua" w:hAnsi="Book Antiqua"/>
          <w:b/>
          <w:sz w:val="24"/>
        </w:rPr>
        <w:t>111</w:t>
      </w:r>
      <w:r>
        <w:rPr>
          <w:rFonts w:ascii="Book Antiqua" w:hAnsi="Book Antiqua"/>
          <w:sz w:val="24"/>
        </w:rPr>
        <w:t>: 2372-2373 [PMID: 25349969 DOI: 10.1038/bjc.2014.285]</w:t>
      </w:r>
    </w:p>
    <w:p w:rsidR="00606EEE" w:rsidRDefault="009A50EC">
      <w:pPr>
        <w:spacing w:line="360" w:lineRule="auto"/>
        <w:rPr>
          <w:rFonts w:ascii="Book Antiqua" w:hAnsi="Book Antiqua"/>
          <w:sz w:val="24"/>
        </w:rPr>
      </w:pPr>
      <w:r>
        <w:rPr>
          <w:rFonts w:ascii="Book Antiqua" w:hAnsi="Book Antiqua"/>
          <w:sz w:val="24"/>
        </w:rPr>
        <w:t xml:space="preserve">29 </w:t>
      </w:r>
      <w:r>
        <w:rPr>
          <w:rFonts w:ascii="Book Antiqua" w:hAnsi="Book Antiqua"/>
          <w:b/>
          <w:sz w:val="24"/>
        </w:rPr>
        <w:t>Shen L</w:t>
      </w:r>
      <w:r>
        <w:rPr>
          <w:rFonts w:ascii="Book Antiqua" w:hAnsi="Book Antiqua"/>
          <w:sz w:val="24"/>
        </w:rPr>
        <w:t xml:space="preserve">, Mo M, Jia L, Jia H, Li Q, Liang L, Shi D, Zhang Z, Cai S, Li </w:t>
      </w:r>
      <w:r>
        <w:rPr>
          <w:rFonts w:ascii="Book Antiqua" w:hAnsi="Book Antiqua"/>
          <w:sz w:val="24"/>
        </w:rPr>
        <w:t xml:space="preserve">X, Zhu J. Poorer prognosis in young female patients with non-metastatic colorectal cancer: a hospital-based analysis of 5,047 patients in China. </w:t>
      </w:r>
      <w:r>
        <w:rPr>
          <w:rFonts w:ascii="Book Antiqua" w:hAnsi="Book Antiqua"/>
          <w:i/>
          <w:sz w:val="24"/>
        </w:rPr>
        <w:t>Cancer Manag Res</w:t>
      </w:r>
      <w:r>
        <w:rPr>
          <w:rFonts w:ascii="Book Antiqua" w:hAnsi="Book Antiqua"/>
          <w:sz w:val="24"/>
        </w:rPr>
        <w:t xml:space="preserve"> 2018; </w:t>
      </w:r>
      <w:r>
        <w:rPr>
          <w:rFonts w:ascii="Book Antiqua" w:hAnsi="Book Antiqua"/>
          <w:b/>
          <w:sz w:val="24"/>
        </w:rPr>
        <w:t>10</w:t>
      </w:r>
      <w:r>
        <w:rPr>
          <w:rFonts w:ascii="Book Antiqua" w:hAnsi="Book Antiqua"/>
          <w:sz w:val="24"/>
        </w:rPr>
        <w:t>: 653-661 [PMID: 29670399 DOI: 10.2147/CMAR.S159901]</w:t>
      </w:r>
    </w:p>
    <w:p w:rsidR="00606EEE" w:rsidRDefault="009A50EC">
      <w:pPr>
        <w:spacing w:line="360" w:lineRule="auto"/>
        <w:rPr>
          <w:rFonts w:ascii="Book Antiqua" w:hAnsi="Book Antiqua"/>
          <w:sz w:val="24"/>
        </w:rPr>
      </w:pPr>
      <w:r>
        <w:rPr>
          <w:rFonts w:ascii="Book Antiqua" w:hAnsi="Book Antiqua"/>
          <w:sz w:val="24"/>
        </w:rPr>
        <w:t xml:space="preserve">30 </w:t>
      </w:r>
      <w:r>
        <w:rPr>
          <w:rFonts w:ascii="Book Antiqua" w:hAnsi="Book Antiqua"/>
          <w:b/>
          <w:sz w:val="24"/>
        </w:rPr>
        <w:t>Lujan J</w:t>
      </w:r>
      <w:r>
        <w:rPr>
          <w:rFonts w:ascii="Book Antiqua" w:hAnsi="Book Antiqua"/>
          <w:sz w:val="24"/>
        </w:rPr>
        <w:t>, Valero G, Biondo S, E</w:t>
      </w:r>
      <w:r>
        <w:rPr>
          <w:rFonts w:ascii="Book Antiqua" w:hAnsi="Book Antiqua"/>
          <w:sz w:val="24"/>
        </w:rPr>
        <w:t xml:space="preserve">spin E, Parrilla P, Ortiz H. Laparoscopic versus open surgery for rectal cancer: results of a prospective multicentre analysis of 4,970 patients. </w:t>
      </w:r>
      <w:r>
        <w:rPr>
          <w:rFonts w:ascii="Book Antiqua" w:hAnsi="Book Antiqua"/>
          <w:i/>
          <w:sz w:val="24"/>
        </w:rPr>
        <w:t>Surg Endosc</w:t>
      </w:r>
      <w:r>
        <w:rPr>
          <w:rFonts w:ascii="Book Antiqua" w:hAnsi="Book Antiqua"/>
          <w:sz w:val="24"/>
        </w:rPr>
        <w:t xml:space="preserve"> 2013; </w:t>
      </w:r>
      <w:r>
        <w:rPr>
          <w:rFonts w:ascii="Book Antiqua" w:hAnsi="Book Antiqua"/>
          <w:b/>
          <w:sz w:val="24"/>
        </w:rPr>
        <w:t>27</w:t>
      </w:r>
      <w:r>
        <w:rPr>
          <w:rFonts w:ascii="Book Antiqua" w:hAnsi="Book Antiqua"/>
          <w:sz w:val="24"/>
        </w:rPr>
        <w:t xml:space="preserve">: 295-302 [PMID: 22736289 DOI: </w:t>
      </w:r>
      <w:r>
        <w:rPr>
          <w:rFonts w:ascii="Book Antiqua" w:hAnsi="Book Antiqua"/>
          <w:sz w:val="24"/>
        </w:rPr>
        <w:lastRenderedPageBreak/>
        <w:t>10.1007/s00464-012-2444-8]</w:t>
      </w:r>
    </w:p>
    <w:p w:rsidR="00606EEE" w:rsidRDefault="009A50EC">
      <w:pPr>
        <w:spacing w:line="360" w:lineRule="auto"/>
        <w:rPr>
          <w:rFonts w:ascii="Book Antiqua" w:hAnsi="Book Antiqua"/>
          <w:sz w:val="24"/>
        </w:rPr>
      </w:pPr>
      <w:r>
        <w:rPr>
          <w:rFonts w:ascii="Book Antiqua" w:hAnsi="Book Antiqua"/>
          <w:sz w:val="24"/>
        </w:rPr>
        <w:t xml:space="preserve">31 </w:t>
      </w:r>
      <w:r>
        <w:rPr>
          <w:rFonts w:ascii="Book Antiqua" w:hAnsi="Book Antiqua"/>
          <w:b/>
          <w:sz w:val="24"/>
        </w:rPr>
        <w:t>McKay A</w:t>
      </w:r>
      <w:r>
        <w:rPr>
          <w:rFonts w:ascii="Book Antiqua" w:hAnsi="Book Antiqua"/>
          <w:sz w:val="24"/>
        </w:rPr>
        <w:t xml:space="preserve">, Donaleshen J, Helewa RM, Park J, Wirtzfeld D, Hochman D, Singh H, Turner D. Does young age influence the prognosis of colorectal cancer: a population-based analysis. </w:t>
      </w:r>
      <w:r>
        <w:rPr>
          <w:rFonts w:ascii="Book Antiqua" w:hAnsi="Book Antiqua"/>
          <w:i/>
          <w:sz w:val="24"/>
        </w:rPr>
        <w:t>World J Surg Oncol</w:t>
      </w:r>
      <w:r>
        <w:rPr>
          <w:rFonts w:ascii="Book Antiqua" w:hAnsi="Book Antiqua"/>
          <w:sz w:val="24"/>
        </w:rPr>
        <w:t xml:space="preserve"> 2014; </w:t>
      </w:r>
      <w:r>
        <w:rPr>
          <w:rFonts w:ascii="Book Antiqua" w:hAnsi="Book Antiqua"/>
          <w:b/>
          <w:sz w:val="24"/>
        </w:rPr>
        <w:t>12</w:t>
      </w:r>
      <w:r>
        <w:rPr>
          <w:rFonts w:ascii="Book Antiqua" w:hAnsi="Book Antiqua"/>
          <w:sz w:val="24"/>
        </w:rPr>
        <w:t>: 370 [PMID: 25466394 DOI: 10.1186/1477-7819-12-370]</w:t>
      </w:r>
    </w:p>
    <w:p w:rsidR="00606EEE" w:rsidRDefault="009A50EC">
      <w:pPr>
        <w:spacing w:line="360" w:lineRule="auto"/>
        <w:rPr>
          <w:rFonts w:ascii="Book Antiqua" w:hAnsi="Book Antiqua"/>
          <w:sz w:val="24"/>
        </w:rPr>
      </w:pPr>
      <w:r>
        <w:rPr>
          <w:rFonts w:ascii="Book Antiqua" w:hAnsi="Book Antiqua"/>
          <w:sz w:val="24"/>
        </w:rPr>
        <w:t xml:space="preserve">32 </w:t>
      </w:r>
      <w:r>
        <w:rPr>
          <w:rFonts w:ascii="Book Antiqua" w:hAnsi="Book Antiqua"/>
          <w:b/>
          <w:sz w:val="24"/>
        </w:rPr>
        <w:t>O'Con</w:t>
      </w:r>
      <w:r>
        <w:rPr>
          <w:rFonts w:ascii="Book Antiqua" w:hAnsi="Book Antiqua"/>
          <w:b/>
          <w:sz w:val="24"/>
        </w:rPr>
        <w:t>nell JB</w:t>
      </w:r>
      <w:r>
        <w:rPr>
          <w:rFonts w:ascii="Book Antiqua" w:hAnsi="Book Antiqua"/>
          <w:sz w:val="24"/>
        </w:rPr>
        <w:t xml:space="preserve">, Maggard MA, Livingston EH, Yo CK. Colorectal cancer in the young. </w:t>
      </w:r>
      <w:r>
        <w:rPr>
          <w:rFonts w:ascii="Book Antiqua" w:hAnsi="Book Antiqua"/>
          <w:i/>
          <w:sz w:val="24"/>
        </w:rPr>
        <w:t>Am J Surg</w:t>
      </w:r>
      <w:r>
        <w:rPr>
          <w:rFonts w:ascii="Book Antiqua" w:hAnsi="Book Antiqua"/>
          <w:sz w:val="24"/>
        </w:rPr>
        <w:t xml:space="preserve"> 2004; </w:t>
      </w:r>
      <w:r>
        <w:rPr>
          <w:rFonts w:ascii="Book Antiqua" w:hAnsi="Book Antiqua"/>
          <w:b/>
          <w:sz w:val="24"/>
        </w:rPr>
        <w:t>187</w:t>
      </w:r>
      <w:r>
        <w:rPr>
          <w:rFonts w:ascii="Book Antiqua" w:hAnsi="Book Antiqua"/>
          <w:sz w:val="24"/>
        </w:rPr>
        <w:t>: 343-348 [PMID: 15006562 DOI: 10.1016/j.amjsurg.2003.12.020]</w:t>
      </w:r>
    </w:p>
    <w:p w:rsidR="00606EEE" w:rsidRDefault="009A50EC">
      <w:pPr>
        <w:spacing w:line="360" w:lineRule="auto"/>
        <w:rPr>
          <w:rFonts w:ascii="Book Antiqua" w:hAnsi="Book Antiqua"/>
          <w:sz w:val="24"/>
        </w:rPr>
      </w:pPr>
      <w:r>
        <w:rPr>
          <w:rFonts w:ascii="Book Antiqua" w:hAnsi="Book Antiqua"/>
          <w:sz w:val="24"/>
        </w:rPr>
        <w:t xml:space="preserve">33 </w:t>
      </w:r>
      <w:r>
        <w:rPr>
          <w:rFonts w:ascii="Book Antiqua" w:hAnsi="Book Antiqua"/>
          <w:b/>
          <w:sz w:val="24"/>
        </w:rPr>
        <w:t>Chou CL</w:t>
      </w:r>
      <w:r>
        <w:rPr>
          <w:rFonts w:ascii="Book Antiqua" w:hAnsi="Book Antiqua"/>
          <w:sz w:val="24"/>
        </w:rPr>
        <w:t xml:space="preserve">, Chang SC, Lin TC, Chen WS, Jiang JK, Wang HS, Yang SH, Liang WY, Lin JK. Differences in </w:t>
      </w:r>
      <w:r>
        <w:rPr>
          <w:rFonts w:ascii="Book Antiqua" w:hAnsi="Book Antiqua"/>
          <w:sz w:val="24"/>
        </w:rPr>
        <w:t xml:space="preserve">clinicopathological characteristics of colorectal cancer between younger and elderly patients: an analysis of 322 patients from a single institution. </w:t>
      </w:r>
      <w:r>
        <w:rPr>
          <w:rFonts w:ascii="Book Antiqua" w:hAnsi="Book Antiqua"/>
          <w:i/>
          <w:sz w:val="24"/>
        </w:rPr>
        <w:t>Am J Surg</w:t>
      </w:r>
      <w:r>
        <w:rPr>
          <w:rFonts w:ascii="Book Antiqua" w:hAnsi="Book Antiqua"/>
          <w:sz w:val="24"/>
        </w:rPr>
        <w:t xml:space="preserve"> 2011; </w:t>
      </w:r>
      <w:r>
        <w:rPr>
          <w:rFonts w:ascii="Book Antiqua" w:hAnsi="Book Antiqua"/>
          <w:b/>
          <w:sz w:val="24"/>
        </w:rPr>
        <w:t>202</w:t>
      </w:r>
      <w:r>
        <w:rPr>
          <w:rFonts w:ascii="Book Antiqua" w:hAnsi="Book Antiqua"/>
          <w:sz w:val="24"/>
        </w:rPr>
        <w:t>: 574-582 [PMID: 21872205 DOI: 10.1016/j.amjsurg.2010.10.014]</w:t>
      </w:r>
    </w:p>
    <w:p w:rsidR="00606EEE" w:rsidRDefault="009A50EC">
      <w:pPr>
        <w:spacing w:line="360" w:lineRule="auto"/>
        <w:rPr>
          <w:rFonts w:ascii="Book Antiqua" w:hAnsi="Book Antiqua"/>
          <w:sz w:val="24"/>
        </w:rPr>
      </w:pPr>
      <w:r>
        <w:rPr>
          <w:rFonts w:ascii="Book Antiqua" w:hAnsi="Book Antiqua"/>
          <w:sz w:val="24"/>
        </w:rPr>
        <w:t xml:space="preserve">34 </w:t>
      </w:r>
      <w:r>
        <w:rPr>
          <w:rFonts w:ascii="Book Antiqua" w:hAnsi="Book Antiqua"/>
          <w:b/>
          <w:sz w:val="24"/>
        </w:rPr>
        <w:t>Yeo SA</w:t>
      </w:r>
      <w:r>
        <w:rPr>
          <w:rFonts w:ascii="Book Antiqua" w:hAnsi="Book Antiqua"/>
          <w:sz w:val="24"/>
        </w:rPr>
        <w:t>, Chew MH, Koh P</w:t>
      </w:r>
      <w:r>
        <w:rPr>
          <w:rFonts w:ascii="Book Antiqua" w:hAnsi="Book Antiqua"/>
          <w:sz w:val="24"/>
        </w:rPr>
        <w:t xml:space="preserve">K, Tang CL. Young colorectal carcinoma patients do not have a poorer prognosis: a comparative review of 2,426 cases. </w:t>
      </w:r>
      <w:r>
        <w:rPr>
          <w:rFonts w:ascii="Book Antiqua" w:hAnsi="Book Antiqua"/>
          <w:i/>
          <w:sz w:val="24"/>
        </w:rPr>
        <w:t>Tech Coloproctol</w:t>
      </w:r>
      <w:r>
        <w:rPr>
          <w:rFonts w:ascii="Book Antiqua" w:hAnsi="Book Antiqua"/>
          <w:sz w:val="24"/>
        </w:rPr>
        <w:t xml:space="preserve"> 2013; </w:t>
      </w:r>
      <w:r>
        <w:rPr>
          <w:rFonts w:ascii="Book Antiqua" w:hAnsi="Book Antiqua"/>
          <w:b/>
          <w:sz w:val="24"/>
        </w:rPr>
        <w:t>17</w:t>
      </w:r>
      <w:r>
        <w:rPr>
          <w:rFonts w:ascii="Book Antiqua" w:hAnsi="Book Antiqua"/>
          <w:sz w:val="24"/>
        </w:rPr>
        <w:t>: 653-661 [PMID: 23460362 DOI: 10.1007/s10151-013-0977-z]</w:t>
      </w:r>
    </w:p>
    <w:p w:rsidR="00606EEE" w:rsidRDefault="009A50EC">
      <w:pPr>
        <w:spacing w:line="360" w:lineRule="auto"/>
        <w:rPr>
          <w:rFonts w:ascii="Book Antiqua" w:hAnsi="Book Antiqua"/>
          <w:sz w:val="24"/>
        </w:rPr>
      </w:pPr>
      <w:r>
        <w:rPr>
          <w:rFonts w:ascii="Book Antiqua" w:hAnsi="Book Antiqua"/>
          <w:sz w:val="24"/>
        </w:rPr>
        <w:t xml:space="preserve">35 </w:t>
      </w:r>
      <w:r>
        <w:rPr>
          <w:rFonts w:ascii="Book Antiqua" w:hAnsi="Book Antiqua"/>
          <w:b/>
          <w:sz w:val="24"/>
        </w:rPr>
        <w:t>Li Q</w:t>
      </w:r>
      <w:r>
        <w:rPr>
          <w:rFonts w:ascii="Book Antiqua" w:hAnsi="Book Antiqua"/>
          <w:sz w:val="24"/>
        </w:rPr>
        <w:t>, Cai G, Li D, Wang Y, Zhuo C, Cai S. Better long</w:t>
      </w:r>
      <w:r>
        <w:rPr>
          <w:rFonts w:ascii="Book Antiqua" w:hAnsi="Book Antiqua"/>
          <w:sz w:val="24"/>
        </w:rPr>
        <w:t xml:space="preserve">-term survival in young patients with non-metastatic colorectal cancer after surgery, an analysis of 69,835 patients in SEER database. </w:t>
      </w:r>
      <w:r>
        <w:rPr>
          <w:rFonts w:ascii="Book Antiqua" w:hAnsi="Book Antiqua"/>
          <w:i/>
          <w:sz w:val="24"/>
        </w:rPr>
        <w:t>PLoS One</w:t>
      </w:r>
      <w:r>
        <w:rPr>
          <w:rFonts w:ascii="Book Antiqua" w:hAnsi="Book Antiqua"/>
          <w:sz w:val="24"/>
        </w:rPr>
        <w:t xml:space="preserve"> 2014; </w:t>
      </w:r>
      <w:r>
        <w:rPr>
          <w:rFonts w:ascii="Book Antiqua" w:hAnsi="Book Antiqua"/>
          <w:b/>
          <w:sz w:val="24"/>
        </w:rPr>
        <w:t>9</w:t>
      </w:r>
      <w:r>
        <w:rPr>
          <w:rFonts w:ascii="Book Antiqua" w:hAnsi="Book Antiqua"/>
          <w:sz w:val="24"/>
        </w:rPr>
        <w:t>: e93756 [PMID: 24699879 DOI: 10.1371/journal.pone.0093756]</w:t>
      </w:r>
    </w:p>
    <w:p w:rsidR="00606EEE" w:rsidRDefault="009A50EC">
      <w:pPr>
        <w:spacing w:line="360" w:lineRule="auto"/>
        <w:rPr>
          <w:rFonts w:ascii="Book Antiqua" w:hAnsi="Book Antiqua"/>
          <w:sz w:val="24"/>
        </w:rPr>
      </w:pPr>
      <w:r>
        <w:rPr>
          <w:rFonts w:ascii="Book Antiqua" w:hAnsi="Book Antiqua"/>
          <w:sz w:val="24"/>
        </w:rPr>
        <w:t xml:space="preserve">36 </w:t>
      </w:r>
      <w:r>
        <w:rPr>
          <w:rFonts w:ascii="Book Antiqua" w:hAnsi="Book Antiqua"/>
          <w:b/>
          <w:sz w:val="24"/>
        </w:rPr>
        <w:t>Le D</w:t>
      </w:r>
      <w:r>
        <w:rPr>
          <w:rFonts w:ascii="Book Antiqua" w:hAnsi="Book Antiqua"/>
          <w:sz w:val="24"/>
        </w:rPr>
        <w:t>, Holt CL, Pisu M, Brown-Galvan A, Fai</w:t>
      </w:r>
      <w:r>
        <w:rPr>
          <w:rFonts w:ascii="Book Antiqua" w:hAnsi="Book Antiqua"/>
          <w:sz w:val="24"/>
        </w:rPr>
        <w:t xml:space="preserve">rley TL, Lee Smith J, White A, Hall IJ, Oster RA, Martin MY. The role of social support in posttreatment surveillance among African American survivors of colorectal cancer. </w:t>
      </w:r>
      <w:r>
        <w:rPr>
          <w:rFonts w:ascii="Book Antiqua" w:hAnsi="Book Antiqua"/>
          <w:i/>
          <w:sz w:val="24"/>
        </w:rPr>
        <w:t>J Psychosoc Oncol</w:t>
      </w:r>
      <w:r>
        <w:rPr>
          <w:rFonts w:ascii="Book Antiqua" w:hAnsi="Book Antiqua"/>
          <w:sz w:val="24"/>
        </w:rPr>
        <w:t xml:space="preserve"> 2014; </w:t>
      </w:r>
      <w:r>
        <w:rPr>
          <w:rFonts w:ascii="Book Antiqua" w:hAnsi="Book Antiqua"/>
          <w:b/>
          <w:sz w:val="24"/>
        </w:rPr>
        <w:t>32</w:t>
      </w:r>
      <w:r>
        <w:rPr>
          <w:rFonts w:ascii="Book Antiqua" w:hAnsi="Book Antiqua"/>
          <w:sz w:val="24"/>
        </w:rPr>
        <w:t>: 245-263 [PMID: 24611486 DOI: 10.1080/07347332.2014.8972</w:t>
      </w:r>
      <w:r>
        <w:rPr>
          <w:rFonts w:ascii="Book Antiqua" w:hAnsi="Book Antiqua"/>
          <w:sz w:val="24"/>
        </w:rPr>
        <w:t>93]</w:t>
      </w:r>
    </w:p>
    <w:p w:rsidR="00606EEE" w:rsidRDefault="009A50EC">
      <w:pPr>
        <w:spacing w:line="360" w:lineRule="auto"/>
        <w:rPr>
          <w:rFonts w:ascii="Book Antiqua" w:hAnsi="Book Antiqua"/>
          <w:sz w:val="24"/>
        </w:rPr>
      </w:pPr>
      <w:r>
        <w:rPr>
          <w:rFonts w:ascii="Book Antiqua" w:hAnsi="Book Antiqua"/>
          <w:sz w:val="24"/>
        </w:rPr>
        <w:t xml:space="preserve">37 </w:t>
      </w:r>
      <w:r>
        <w:rPr>
          <w:rFonts w:ascii="Book Antiqua" w:hAnsi="Book Antiqua"/>
          <w:b/>
          <w:sz w:val="24"/>
        </w:rPr>
        <w:t>Takii Y</w:t>
      </w:r>
      <w:r>
        <w:rPr>
          <w:rFonts w:ascii="Book Antiqua" w:hAnsi="Book Antiqua"/>
          <w:sz w:val="24"/>
        </w:rPr>
        <w:t xml:space="preserve">, Maruyama S, Nogami H. Can the prognosis of colorectal cancer be improved by surgery? </w:t>
      </w:r>
      <w:r>
        <w:rPr>
          <w:rFonts w:ascii="Book Antiqua" w:hAnsi="Book Antiqua"/>
          <w:i/>
          <w:sz w:val="24"/>
        </w:rPr>
        <w:t>World J Gastrointest Surg</w:t>
      </w:r>
      <w:r>
        <w:rPr>
          <w:rFonts w:ascii="Book Antiqua" w:hAnsi="Book Antiqua"/>
          <w:sz w:val="24"/>
        </w:rPr>
        <w:t xml:space="preserve"> 2016; </w:t>
      </w:r>
      <w:r>
        <w:rPr>
          <w:rFonts w:ascii="Book Antiqua" w:hAnsi="Book Antiqua"/>
          <w:b/>
          <w:sz w:val="24"/>
        </w:rPr>
        <w:t>8</w:t>
      </w:r>
      <w:r>
        <w:rPr>
          <w:rFonts w:ascii="Book Antiqua" w:hAnsi="Book Antiqua"/>
          <w:sz w:val="24"/>
        </w:rPr>
        <w:t>: 574-577 [PMID: 27648161 DOI: 10.4240/wjgs.v8.i8.574]</w:t>
      </w:r>
    </w:p>
    <w:p w:rsidR="00606EEE" w:rsidRDefault="009A50EC">
      <w:pPr>
        <w:spacing w:line="360" w:lineRule="auto"/>
        <w:rPr>
          <w:rFonts w:ascii="Book Antiqua" w:hAnsi="Book Antiqua"/>
          <w:sz w:val="24"/>
        </w:rPr>
      </w:pPr>
      <w:r>
        <w:rPr>
          <w:rFonts w:ascii="Book Antiqua" w:hAnsi="Book Antiqua"/>
          <w:sz w:val="24"/>
        </w:rPr>
        <w:t xml:space="preserve">38 </w:t>
      </w:r>
      <w:r>
        <w:rPr>
          <w:rFonts w:ascii="Book Antiqua" w:hAnsi="Book Antiqua"/>
          <w:b/>
          <w:sz w:val="24"/>
        </w:rPr>
        <w:t>Paradiso A</w:t>
      </w:r>
      <w:r>
        <w:rPr>
          <w:rFonts w:ascii="Book Antiqua" w:hAnsi="Book Antiqua"/>
          <w:sz w:val="24"/>
        </w:rPr>
        <w:t>, Rabinovich M, Vallejo C, Machiavelli M, Romero A, Pe</w:t>
      </w:r>
      <w:r>
        <w:rPr>
          <w:rFonts w:ascii="Book Antiqua" w:hAnsi="Book Antiqua"/>
          <w:sz w:val="24"/>
        </w:rPr>
        <w:t xml:space="preserve">rez J, Lacava J, Cuevas MA, Rodriquez R, Leone B, Sapia MG, Simone G, De Lena M. </w:t>
      </w:r>
      <w:r>
        <w:rPr>
          <w:rFonts w:ascii="Book Antiqua" w:hAnsi="Book Antiqua"/>
          <w:sz w:val="24"/>
        </w:rPr>
        <w:lastRenderedPageBreak/>
        <w:t xml:space="preserve">p53 and PCNA expression in advanced colorectal cancer: response to chemotherapy and long-term prognosis. </w:t>
      </w:r>
      <w:r>
        <w:rPr>
          <w:rFonts w:ascii="Book Antiqua" w:hAnsi="Book Antiqua"/>
          <w:i/>
          <w:sz w:val="24"/>
        </w:rPr>
        <w:t>Int J Cancer</w:t>
      </w:r>
      <w:r>
        <w:rPr>
          <w:rFonts w:ascii="Book Antiqua" w:hAnsi="Book Antiqua"/>
          <w:sz w:val="24"/>
        </w:rPr>
        <w:t xml:space="preserve"> 1996; </w:t>
      </w:r>
      <w:r>
        <w:rPr>
          <w:rFonts w:ascii="Book Antiqua" w:hAnsi="Book Antiqua"/>
          <w:b/>
          <w:sz w:val="24"/>
        </w:rPr>
        <w:t>69</w:t>
      </w:r>
      <w:r>
        <w:rPr>
          <w:rFonts w:ascii="Book Antiqua" w:hAnsi="Book Antiqua"/>
          <w:sz w:val="24"/>
        </w:rPr>
        <w:t>: 437-441 [PMID: 8980242 DOI: 10.1002/(SICI)1097-</w:t>
      </w:r>
      <w:r>
        <w:rPr>
          <w:rFonts w:ascii="Book Antiqua" w:hAnsi="Book Antiqua"/>
          <w:sz w:val="24"/>
        </w:rPr>
        <w:t>0215(19961220)69:6&lt;437::AID-IJC2&gt;3.0.CO;2-5]</w:t>
      </w:r>
    </w:p>
    <w:p w:rsidR="00606EEE" w:rsidRDefault="009A50EC">
      <w:pPr>
        <w:spacing w:line="360" w:lineRule="auto"/>
        <w:rPr>
          <w:rFonts w:ascii="Book Antiqua" w:hAnsi="Book Antiqua"/>
          <w:sz w:val="24"/>
        </w:rPr>
      </w:pPr>
      <w:r>
        <w:rPr>
          <w:rFonts w:ascii="Book Antiqua" w:hAnsi="Book Antiqua"/>
          <w:sz w:val="24"/>
        </w:rPr>
        <w:t xml:space="preserve">39 </w:t>
      </w:r>
      <w:r>
        <w:rPr>
          <w:rFonts w:ascii="Book Antiqua" w:hAnsi="Book Antiqua"/>
          <w:b/>
          <w:sz w:val="24"/>
        </w:rPr>
        <w:t>Verma S</w:t>
      </w:r>
      <w:r>
        <w:rPr>
          <w:rFonts w:ascii="Book Antiqua" w:hAnsi="Book Antiqua"/>
          <w:sz w:val="24"/>
        </w:rPr>
        <w:t xml:space="preserve">, Das P, Kumar VL. Chemoprevention by artesunate in a preclinical model of colorectal cancer involves down regulation of β-catenin, suppression of angiogenesis, cellular proliferation and induction of apoptosis. </w:t>
      </w:r>
      <w:r>
        <w:rPr>
          <w:rFonts w:ascii="Book Antiqua" w:hAnsi="Book Antiqua"/>
          <w:i/>
          <w:sz w:val="24"/>
        </w:rPr>
        <w:t>Chem Biol Interact</w:t>
      </w:r>
      <w:r>
        <w:rPr>
          <w:rFonts w:ascii="Book Antiqua" w:hAnsi="Book Antiqua"/>
          <w:sz w:val="24"/>
        </w:rPr>
        <w:t xml:space="preserve"> 2017; </w:t>
      </w:r>
      <w:r>
        <w:rPr>
          <w:rFonts w:ascii="Book Antiqua" w:hAnsi="Book Antiqua"/>
          <w:b/>
          <w:sz w:val="24"/>
        </w:rPr>
        <w:t>278</w:t>
      </w:r>
      <w:r>
        <w:rPr>
          <w:rFonts w:ascii="Book Antiqua" w:hAnsi="Book Antiqua"/>
          <w:sz w:val="24"/>
        </w:rPr>
        <w:t>: 84-91 [PMID: 2</w:t>
      </w:r>
      <w:r>
        <w:rPr>
          <w:rFonts w:ascii="Book Antiqua" w:hAnsi="Book Antiqua"/>
          <w:sz w:val="24"/>
        </w:rPr>
        <w:t>9031619 DOI: 10.1016/j.cbi.2017.10.011]</w:t>
      </w:r>
    </w:p>
    <w:p w:rsidR="00606EEE" w:rsidRDefault="009A50EC">
      <w:pPr>
        <w:spacing w:line="360" w:lineRule="auto"/>
        <w:rPr>
          <w:rFonts w:ascii="Book Antiqua" w:hAnsi="Book Antiqua"/>
          <w:sz w:val="24"/>
        </w:rPr>
      </w:pPr>
      <w:r>
        <w:rPr>
          <w:rFonts w:ascii="Book Antiqua" w:hAnsi="Book Antiqua"/>
          <w:sz w:val="24"/>
        </w:rPr>
        <w:t xml:space="preserve">40 </w:t>
      </w:r>
      <w:r>
        <w:rPr>
          <w:rFonts w:ascii="Book Antiqua" w:hAnsi="Book Antiqua"/>
          <w:b/>
          <w:sz w:val="24"/>
        </w:rPr>
        <w:t>Risio M</w:t>
      </w:r>
      <w:r>
        <w:rPr>
          <w:rFonts w:ascii="Book Antiqua" w:hAnsi="Book Antiqua"/>
          <w:sz w:val="24"/>
        </w:rPr>
        <w:t xml:space="preserve">, Rocci MP. Intermediate biomarkers in the colorectal tumor progression. </w:t>
      </w:r>
      <w:r>
        <w:rPr>
          <w:rFonts w:ascii="Book Antiqua" w:hAnsi="Book Antiqua"/>
          <w:i/>
          <w:sz w:val="24"/>
        </w:rPr>
        <w:t>Tumori</w:t>
      </w:r>
      <w:r>
        <w:rPr>
          <w:rFonts w:ascii="Book Antiqua" w:hAnsi="Book Antiqua"/>
          <w:sz w:val="24"/>
        </w:rPr>
        <w:t xml:space="preserve"> 1995; </w:t>
      </w:r>
      <w:r>
        <w:rPr>
          <w:rFonts w:ascii="Book Antiqua" w:hAnsi="Book Antiqua"/>
          <w:b/>
          <w:sz w:val="24"/>
        </w:rPr>
        <w:t>81</w:t>
      </w:r>
      <w:r>
        <w:rPr>
          <w:rFonts w:ascii="Book Antiqua" w:hAnsi="Book Antiqua"/>
          <w:sz w:val="24"/>
        </w:rPr>
        <w:t>: 16-18 [PMID: 7571048 DOI: 10.1007/BF00368895]</w:t>
      </w:r>
    </w:p>
    <w:p w:rsidR="00606EEE" w:rsidRDefault="009A50EC">
      <w:pPr>
        <w:spacing w:line="360" w:lineRule="auto"/>
        <w:rPr>
          <w:rFonts w:ascii="Book Antiqua" w:hAnsi="Book Antiqua"/>
          <w:sz w:val="24"/>
        </w:rPr>
      </w:pPr>
      <w:r>
        <w:rPr>
          <w:rFonts w:ascii="Book Antiqua" w:hAnsi="Book Antiqua"/>
          <w:sz w:val="24"/>
        </w:rPr>
        <w:t xml:space="preserve">41 </w:t>
      </w:r>
      <w:r>
        <w:rPr>
          <w:rFonts w:ascii="Book Antiqua" w:hAnsi="Book Antiqua"/>
          <w:b/>
          <w:sz w:val="24"/>
        </w:rPr>
        <w:t>Lv Q</w:t>
      </w:r>
      <w:r>
        <w:rPr>
          <w:rFonts w:ascii="Book Antiqua" w:hAnsi="Book Antiqua"/>
          <w:sz w:val="24"/>
        </w:rPr>
        <w:t>, Zhang J, Yi Y, Huang Y, Wang Y, Wang Y, Zhang W. Proliferatin</w:t>
      </w:r>
      <w:r>
        <w:rPr>
          <w:rFonts w:ascii="Book Antiqua" w:hAnsi="Book Antiqua"/>
          <w:sz w:val="24"/>
        </w:rPr>
        <w:t xml:space="preserve">g Cell Nuclear Antigen Has an Association with Prognosis and Risks Factors of Cancer Patients: a Systematic Review. </w:t>
      </w:r>
      <w:r>
        <w:rPr>
          <w:rFonts w:ascii="Book Antiqua" w:hAnsi="Book Antiqua"/>
          <w:i/>
          <w:sz w:val="24"/>
        </w:rPr>
        <w:t>Mol Neurobiol</w:t>
      </w:r>
      <w:r>
        <w:rPr>
          <w:rFonts w:ascii="Book Antiqua" w:hAnsi="Book Antiqua"/>
          <w:sz w:val="24"/>
        </w:rPr>
        <w:t xml:space="preserve"> 2016; </w:t>
      </w:r>
      <w:r>
        <w:rPr>
          <w:rFonts w:ascii="Book Antiqua" w:hAnsi="Book Antiqua"/>
          <w:b/>
          <w:sz w:val="24"/>
        </w:rPr>
        <w:t>53</w:t>
      </w:r>
      <w:r>
        <w:rPr>
          <w:rFonts w:ascii="Book Antiqua" w:hAnsi="Book Antiqua"/>
          <w:sz w:val="24"/>
        </w:rPr>
        <w:t>: 6209-6217 [PMID: 26558632 DOI: 10.1007/s12035-015-9525-3]</w:t>
      </w:r>
    </w:p>
    <w:p w:rsidR="00606EEE" w:rsidRDefault="009A50EC">
      <w:pPr>
        <w:spacing w:line="360" w:lineRule="auto"/>
        <w:rPr>
          <w:rFonts w:ascii="Book Antiqua" w:hAnsi="Book Antiqua"/>
          <w:sz w:val="24"/>
        </w:rPr>
      </w:pPr>
      <w:r>
        <w:rPr>
          <w:rFonts w:ascii="Book Antiqua" w:hAnsi="Book Antiqua"/>
          <w:sz w:val="24"/>
        </w:rPr>
        <w:t xml:space="preserve">42 </w:t>
      </w:r>
      <w:r>
        <w:rPr>
          <w:rFonts w:ascii="Book Antiqua" w:hAnsi="Book Antiqua"/>
          <w:b/>
          <w:sz w:val="24"/>
        </w:rPr>
        <w:t>Tanaka S</w:t>
      </w:r>
      <w:r>
        <w:rPr>
          <w:rFonts w:ascii="Book Antiqua" w:hAnsi="Book Antiqua"/>
          <w:sz w:val="24"/>
        </w:rPr>
        <w:t xml:space="preserve">, Haruma K, Tatsuta S, Hiraga Y, Teixeira CR, Shimamoto F, Yoshihara M, Sumii K, Kajiyama G. Proliferating cell nuclear antigen expression correlates with the metastatic potential of submucosal invasive colorectal carcinoma. </w:t>
      </w:r>
      <w:r>
        <w:rPr>
          <w:rFonts w:ascii="Book Antiqua" w:hAnsi="Book Antiqua"/>
          <w:i/>
          <w:sz w:val="24"/>
        </w:rPr>
        <w:t>Oncology</w:t>
      </w:r>
      <w:r>
        <w:rPr>
          <w:rFonts w:ascii="Book Antiqua" w:hAnsi="Book Antiqua"/>
          <w:sz w:val="24"/>
        </w:rPr>
        <w:t xml:space="preserve"> 1995; </w:t>
      </w:r>
      <w:r>
        <w:rPr>
          <w:rFonts w:ascii="Book Antiqua" w:hAnsi="Book Antiqua"/>
          <w:b/>
          <w:sz w:val="24"/>
        </w:rPr>
        <w:t>52</w:t>
      </w:r>
      <w:r>
        <w:rPr>
          <w:rFonts w:ascii="Book Antiqua" w:hAnsi="Book Antiqua"/>
          <w:sz w:val="24"/>
        </w:rPr>
        <w:t>: 134-139 [PMI</w:t>
      </w:r>
      <w:r>
        <w:rPr>
          <w:rFonts w:ascii="Book Antiqua" w:hAnsi="Book Antiqua"/>
          <w:sz w:val="24"/>
        </w:rPr>
        <w:t>D: 7854773 DOI: 10.1159/000227444]</w:t>
      </w:r>
    </w:p>
    <w:p w:rsidR="00606EEE" w:rsidRDefault="009A50EC">
      <w:pPr>
        <w:spacing w:line="360" w:lineRule="auto"/>
        <w:rPr>
          <w:rFonts w:ascii="Book Antiqua" w:hAnsi="Book Antiqua"/>
          <w:sz w:val="24"/>
        </w:rPr>
      </w:pPr>
      <w:r>
        <w:rPr>
          <w:rFonts w:ascii="Book Antiqua" w:hAnsi="Book Antiqua"/>
          <w:sz w:val="24"/>
        </w:rPr>
        <w:t xml:space="preserve">43 </w:t>
      </w:r>
      <w:r>
        <w:rPr>
          <w:rFonts w:ascii="Book Antiqua" w:hAnsi="Book Antiqua"/>
          <w:b/>
          <w:sz w:val="24"/>
        </w:rPr>
        <w:t>Farhan-Alanie OM</w:t>
      </w:r>
      <w:r>
        <w:rPr>
          <w:rFonts w:ascii="Book Antiqua" w:hAnsi="Book Antiqua"/>
          <w:sz w:val="24"/>
        </w:rPr>
        <w:t xml:space="preserve">, McMahon J, McMillan DC. Systemic inflammatory response and survival in patients undergoing curative resection of oral squamous cell carcinoma. </w:t>
      </w:r>
      <w:r>
        <w:rPr>
          <w:rFonts w:ascii="Book Antiqua" w:hAnsi="Book Antiqua"/>
          <w:i/>
          <w:sz w:val="24"/>
        </w:rPr>
        <w:t>Br J Oral Maxillofac Surg</w:t>
      </w:r>
      <w:r>
        <w:rPr>
          <w:rFonts w:ascii="Book Antiqua" w:hAnsi="Book Antiqua"/>
          <w:sz w:val="24"/>
        </w:rPr>
        <w:t xml:space="preserve"> 2015; </w:t>
      </w:r>
      <w:r>
        <w:rPr>
          <w:rFonts w:ascii="Book Antiqua" w:hAnsi="Book Antiqua"/>
          <w:b/>
          <w:sz w:val="24"/>
        </w:rPr>
        <w:t>53</w:t>
      </w:r>
      <w:r>
        <w:rPr>
          <w:rFonts w:ascii="Book Antiqua" w:hAnsi="Book Antiqua"/>
          <w:sz w:val="24"/>
        </w:rPr>
        <w:t>: 126-131 [PMID: 254401</w:t>
      </w:r>
      <w:r>
        <w:rPr>
          <w:rFonts w:ascii="Book Antiqua" w:hAnsi="Book Antiqua"/>
          <w:sz w:val="24"/>
        </w:rPr>
        <w:t>50 DOI: 10.1016/j.bjoms.2014.10.007]</w:t>
      </w:r>
    </w:p>
    <w:p w:rsidR="00606EEE" w:rsidRDefault="009A50EC">
      <w:pPr>
        <w:spacing w:line="360" w:lineRule="auto"/>
        <w:rPr>
          <w:rFonts w:ascii="Book Antiqua" w:hAnsi="Book Antiqua"/>
          <w:sz w:val="24"/>
        </w:rPr>
      </w:pPr>
      <w:r>
        <w:rPr>
          <w:rFonts w:ascii="Book Antiqua" w:hAnsi="Book Antiqua"/>
          <w:sz w:val="24"/>
        </w:rPr>
        <w:t xml:space="preserve">44 </w:t>
      </w:r>
      <w:r>
        <w:rPr>
          <w:rFonts w:ascii="Book Antiqua" w:hAnsi="Book Antiqua"/>
          <w:b/>
          <w:sz w:val="24"/>
        </w:rPr>
        <w:t>Nielsen HJ</w:t>
      </w:r>
      <w:r>
        <w:rPr>
          <w:rFonts w:ascii="Book Antiqua" w:hAnsi="Book Antiqua"/>
          <w:sz w:val="24"/>
        </w:rPr>
        <w:t xml:space="preserve">, Hansen U, Christensen IJ, Reimert CM, Brünner N, Moesgaard F. Independent prognostic value of eosinophil and mast cell infiltration in colorectal cancer tissue. </w:t>
      </w:r>
      <w:r>
        <w:rPr>
          <w:rFonts w:ascii="Book Antiqua" w:hAnsi="Book Antiqua"/>
          <w:i/>
          <w:sz w:val="24"/>
        </w:rPr>
        <w:t>J Pathol</w:t>
      </w:r>
      <w:r>
        <w:rPr>
          <w:rFonts w:ascii="Book Antiqua" w:hAnsi="Book Antiqua"/>
          <w:sz w:val="24"/>
        </w:rPr>
        <w:t xml:space="preserve"> 1999; </w:t>
      </w:r>
      <w:r>
        <w:rPr>
          <w:rFonts w:ascii="Book Antiqua" w:hAnsi="Book Antiqua"/>
          <w:b/>
          <w:sz w:val="24"/>
        </w:rPr>
        <w:t>189</w:t>
      </w:r>
      <w:r>
        <w:rPr>
          <w:rFonts w:ascii="Book Antiqua" w:hAnsi="Book Antiqua"/>
          <w:sz w:val="24"/>
        </w:rPr>
        <w:t>: 487-495 [PMID: 10629548</w:t>
      </w:r>
      <w:r>
        <w:rPr>
          <w:rFonts w:ascii="Book Antiqua" w:hAnsi="Book Antiqua"/>
          <w:sz w:val="24"/>
        </w:rPr>
        <w:t xml:space="preserve"> DOI: 10.1002/(SICI)1096-9896(199912)189:4&lt;487::AID-PATH484&gt;3.0.CO;2-I]</w:t>
      </w:r>
    </w:p>
    <w:p w:rsidR="00606EEE" w:rsidRDefault="009A50EC">
      <w:pPr>
        <w:spacing w:line="360" w:lineRule="auto"/>
        <w:rPr>
          <w:rFonts w:ascii="Book Antiqua" w:hAnsi="Book Antiqua"/>
          <w:sz w:val="24"/>
        </w:rPr>
      </w:pPr>
      <w:r>
        <w:rPr>
          <w:rFonts w:ascii="Book Antiqua" w:hAnsi="Book Antiqua"/>
          <w:sz w:val="24"/>
        </w:rPr>
        <w:t xml:space="preserve">45 </w:t>
      </w:r>
      <w:r>
        <w:rPr>
          <w:rFonts w:ascii="Book Antiqua" w:hAnsi="Book Antiqua"/>
          <w:b/>
          <w:sz w:val="24"/>
        </w:rPr>
        <w:t>Isella C</w:t>
      </w:r>
      <w:r>
        <w:rPr>
          <w:rFonts w:ascii="Book Antiqua" w:hAnsi="Book Antiqua"/>
          <w:sz w:val="24"/>
        </w:rPr>
        <w:t xml:space="preserve">, Terrasi A, Bellomo SE, Petti C, Galatola G, Muratore A, Mellano A, Senetta R, Cassenti A, Sonetto C, Inghirami G, Trusolino L, Fekete Z, De Ridder M, Cassoni P, Storme G, </w:t>
      </w:r>
      <w:r>
        <w:rPr>
          <w:rFonts w:ascii="Book Antiqua" w:hAnsi="Book Antiqua"/>
          <w:sz w:val="24"/>
        </w:rPr>
        <w:t xml:space="preserve">Bertotti A, Medico E. Stromal contribution to the </w:t>
      </w:r>
      <w:r>
        <w:rPr>
          <w:rFonts w:ascii="Book Antiqua" w:hAnsi="Book Antiqua"/>
          <w:sz w:val="24"/>
        </w:rPr>
        <w:lastRenderedPageBreak/>
        <w:t xml:space="preserve">colorectal cancer transcriptome. </w:t>
      </w:r>
      <w:r>
        <w:rPr>
          <w:rFonts w:ascii="Book Antiqua" w:hAnsi="Book Antiqua"/>
          <w:i/>
          <w:sz w:val="24"/>
        </w:rPr>
        <w:t>Nat Genet</w:t>
      </w:r>
      <w:r>
        <w:rPr>
          <w:rFonts w:ascii="Book Antiqua" w:hAnsi="Book Antiqua"/>
          <w:sz w:val="24"/>
        </w:rPr>
        <w:t xml:space="preserve"> 2015; </w:t>
      </w:r>
      <w:r>
        <w:rPr>
          <w:rFonts w:ascii="Book Antiqua" w:hAnsi="Book Antiqua"/>
          <w:b/>
          <w:sz w:val="24"/>
        </w:rPr>
        <w:t>47</w:t>
      </w:r>
      <w:r>
        <w:rPr>
          <w:rFonts w:ascii="Book Antiqua" w:hAnsi="Book Antiqua"/>
          <w:sz w:val="24"/>
        </w:rPr>
        <w:t>: 312-319 [PMID: 25706627 DOI: 10.1038/ng.3224]</w:t>
      </w:r>
    </w:p>
    <w:p w:rsidR="00606EEE" w:rsidRDefault="009A50EC">
      <w:pPr>
        <w:spacing w:line="360" w:lineRule="auto"/>
        <w:rPr>
          <w:rFonts w:ascii="Book Antiqua" w:hAnsi="Book Antiqua"/>
          <w:sz w:val="24"/>
        </w:rPr>
      </w:pPr>
      <w:r>
        <w:rPr>
          <w:rFonts w:ascii="Book Antiqua" w:hAnsi="Book Antiqua"/>
          <w:sz w:val="24"/>
        </w:rPr>
        <w:t xml:space="preserve">46 </w:t>
      </w:r>
      <w:r>
        <w:rPr>
          <w:rFonts w:ascii="Book Antiqua" w:hAnsi="Book Antiqua"/>
          <w:b/>
          <w:sz w:val="24"/>
        </w:rPr>
        <w:t>Falanga A</w:t>
      </w:r>
      <w:r>
        <w:rPr>
          <w:rFonts w:ascii="Book Antiqua" w:hAnsi="Book Antiqua"/>
          <w:sz w:val="24"/>
        </w:rPr>
        <w:t xml:space="preserve">, Marchetti M, Vignoli A. Coagulation and cancer: biological and clinical aspects. </w:t>
      </w:r>
      <w:r>
        <w:rPr>
          <w:rFonts w:ascii="Book Antiqua" w:hAnsi="Book Antiqua"/>
          <w:i/>
          <w:sz w:val="24"/>
        </w:rPr>
        <w:t>J Thromb Hae</w:t>
      </w:r>
      <w:r>
        <w:rPr>
          <w:rFonts w:ascii="Book Antiqua" w:hAnsi="Book Antiqua"/>
          <w:i/>
          <w:sz w:val="24"/>
        </w:rPr>
        <w:t>most</w:t>
      </w:r>
      <w:r>
        <w:rPr>
          <w:rFonts w:ascii="Book Antiqua" w:hAnsi="Book Antiqua"/>
          <w:sz w:val="24"/>
        </w:rPr>
        <w:t xml:space="preserve"> 2013; </w:t>
      </w:r>
      <w:r>
        <w:rPr>
          <w:rFonts w:ascii="Book Antiqua" w:hAnsi="Book Antiqua"/>
          <w:b/>
          <w:sz w:val="24"/>
        </w:rPr>
        <w:t>11</w:t>
      </w:r>
      <w:r>
        <w:rPr>
          <w:rFonts w:ascii="Book Antiqua" w:hAnsi="Book Antiqua"/>
          <w:sz w:val="24"/>
        </w:rPr>
        <w:t>: 223-233 [PMID: 23279708 DOI: 10.1111/jth.12075]</w:t>
      </w:r>
    </w:p>
    <w:p w:rsidR="00606EEE" w:rsidRDefault="009A50EC">
      <w:pPr>
        <w:spacing w:line="360" w:lineRule="auto"/>
        <w:rPr>
          <w:rFonts w:ascii="Book Antiqua" w:hAnsi="Book Antiqua"/>
          <w:sz w:val="24"/>
        </w:rPr>
      </w:pPr>
      <w:r>
        <w:rPr>
          <w:rFonts w:ascii="Book Antiqua" w:hAnsi="Book Antiqua"/>
          <w:sz w:val="24"/>
        </w:rPr>
        <w:t xml:space="preserve">47 </w:t>
      </w:r>
      <w:r>
        <w:rPr>
          <w:rFonts w:ascii="Book Antiqua" w:hAnsi="Book Antiqua"/>
          <w:b/>
          <w:sz w:val="24"/>
        </w:rPr>
        <w:t>İnal T</w:t>
      </w:r>
      <w:r>
        <w:rPr>
          <w:rFonts w:ascii="Book Antiqua" w:hAnsi="Book Antiqua"/>
          <w:sz w:val="24"/>
        </w:rPr>
        <w:t xml:space="preserve">, Anar C, Polat G, Ünsal İ, Halilçolar H. The prognostic value of D-dimer in lung cancer. </w:t>
      </w:r>
      <w:r>
        <w:rPr>
          <w:rFonts w:ascii="Book Antiqua" w:hAnsi="Book Antiqua"/>
          <w:i/>
          <w:sz w:val="24"/>
        </w:rPr>
        <w:t>Clin Respir J</w:t>
      </w:r>
      <w:r>
        <w:rPr>
          <w:rFonts w:ascii="Book Antiqua" w:hAnsi="Book Antiqua"/>
          <w:sz w:val="24"/>
        </w:rPr>
        <w:t xml:space="preserve"> 2015; </w:t>
      </w:r>
      <w:r>
        <w:rPr>
          <w:rFonts w:ascii="Book Antiqua" w:hAnsi="Book Antiqua"/>
          <w:b/>
          <w:sz w:val="24"/>
        </w:rPr>
        <w:t>9</w:t>
      </w:r>
      <w:r>
        <w:rPr>
          <w:rFonts w:ascii="Book Antiqua" w:hAnsi="Book Antiqua"/>
          <w:sz w:val="24"/>
        </w:rPr>
        <w:t>: 305-313 [PMID: 24720709 DOI: 10.1111/crj.12144]</w:t>
      </w:r>
    </w:p>
    <w:p w:rsidR="00606EEE" w:rsidRDefault="009A50EC">
      <w:pPr>
        <w:spacing w:line="360" w:lineRule="auto"/>
        <w:rPr>
          <w:rFonts w:ascii="Book Antiqua" w:hAnsi="Book Antiqua"/>
          <w:sz w:val="24"/>
        </w:rPr>
      </w:pPr>
      <w:r>
        <w:rPr>
          <w:rFonts w:ascii="Book Antiqua" w:hAnsi="Book Antiqua"/>
          <w:sz w:val="24"/>
        </w:rPr>
        <w:t xml:space="preserve">48 </w:t>
      </w:r>
      <w:r>
        <w:rPr>
          <w:rFonts w:ascii="Book Antiqua" w:hAnsi="Book Antiqua"/>
          <w:b/>
          <w:sz w:val="24"/>
        </w:rPr>
        <w:t>Liu L</w:t>
      </w:r>
      <w:r>
        <w:rPr>
          <w:rFonts w:ascii="Book Antiqua" w:hAnsi="Book Antiqua"/>
          <w:sz w:val="24"/>
        </w:rPr>
        <w:t xml:space="preserve">, Zhang X, Yan </w:t>
      </w:r>
      <w:r>
        <w:rPr>
          <w:rFonts w:ascii="Book Antiqua" w:hAnsi="Book Antiqua"/>
          <w:sz w:val="24"/>
        </w:rPr>
        <w:t xml:space="preserve">B, Gu Q, Zhang X, Jiao J, Sun D, Wang N, Yue X. Elevated plasma D-dimer levels correlate with long term survival of gastric cancer patients. </w:t>
      </w:r>
      <w:r>
        <w:rPr>
          <w:rFonts w:ascii="Book Antiqua" w:hAnsi="Book Antiqua"/>
          <w:i/>
          <w:sz w:val="24"/>
        </w:rPr>
        <w:t>PLoS One</w:t>
      </w:r>
      <w:r>
        <w:rPr>
          <w:rFonts w:ascii="Book Antiqua" w:hAnsi="Book Antiqua"/>
          <w:sz w:val="24"/>
        </w:rPr>
        <w:t xml:space="preserve"> 2014; </w:t>
      </w:r>
      <w:r>
        <w:rPr>
          <w:rFonts w:ascii="Book Antiqua" w:hAnsi="Book Antiqua"/>
          <w:b/>
          <w:sz w:val="24"/>
        </w:rPr>
        <w:t>9</w:t>
      </w:r>
      <w:r>
        <w:rPr>
          <w:rFonts w:ascii="Book Antiqua" w:hAnsi="Book Antiqua"/>
          <w:sz w:val="24"/>
        </w:rPr>
        <w:t>: e90547 [PMID: 24618826 DOI: 10.1371/journal.pone.0090547]</w:t>
      </w:r>
    </w:p>
    <w:p w:rsidR="00606EEE" w:rsidRDefault="009A50EC">
      <w:pPr>
        <w:spacing w:line="360" w:lineRule="auto"/>
        <w:rPr>
          <w:rFonts w:ascii="Book Antiqua" w:hAnsi="Book Antiqua"/>
          <w:sz w:val="24"/>
        </w:rPr>
      </w:pPr>
      <w:r>
        <w:rPr>
          <w:rFonts w:ascii="Book Antiqua" w:hAnsi="Book Antiqua"/>
          <w:sz w:val="24"/>
        </w:rPr>
        <w:t xml:space="preserve">49 </w:t>
      </w:r>
      <w:r>
        <w:rPr>
          <w:rFonts w:ascii="Book Antiqua" w:hAnsi="Book Antiqua"/>
          <w:b/>
          <w:sz w:val="24"/>
        </w:rPr>
        <w:t>Man YN</w:t>
      </w:r>
      <w:r>
        <w:rPr>
          <w:rFonts w:ascii="Book Antiqua" w:hAnsi="Book Antiqua"/>
          <w:sz w:val="24"/>
        </w:rPr>
        <w:t>, Wang YN, Hao J, Liu X, Liu C</w:t>
      </w:r>
      <w:r>
        <w:rPr>
          <w:rFonts w:ascii="Book Antiqua" w:hAnsi="Book Antiqua"/>
          <w:sz w:val="24"/>
        </w:rPr>
        <w:t xml:space="preserve">, Zhu C, Wu XZ. Pretreatment plasma D-dimer, fibrinogen, and platelet levels significantly impact prognosis in patients with epithelial ovarian cancer independently of venous thromboembolism. </w:t>
      </w:r>
      <w:r>
        <w:rPr>
          <w:rFonts w:ascii="Book Antiqua" w:hAnsi="Book Antiqua"/>
          <w:i/>
          <w:sz w:val="24"/>
        </w:rPr>
        <w:t>Int J Gynecol Cancer</w:t>
      </w:r>
      <w:r>
        <w:rPr>
          <w:rFonts w:ascii="Book Antiqua" w:hAnsi="Book Antiqua"/>
          <w:sz w:val="24"/>
        </w:rPr>
        <w:t xml:space="preserve"> 2015; </w:t>
      </w:r>
      <w:r>
        <w:rPr>
          <w:rFonts w:ascii="Book Antiqua" w:hAnsi="Book Antiqua"/>
          <w:b/>
          <w:sz w:val="24"/>
        </w:rPr>
        <w:t>25</w:t>
      </w:r>
      <w:r>
        <w:rPr>
          <w:rFonts w:ascii="Book Antiqua" w:hAnsi="Book Antiqua"/>
          <w:sz w:val="24"/>
        </w:rPr>
        <w:t>: 24-32 [PMID: 25347092 DOI: 10.109</w:t>
      </w:r>
      <w:r>
        <w:rPr>
          <w:rFonts w:ascii="Book Antiqua" w:hAnsi="Book Antiqua"/>
          <w:sz w:val="24"/>
        </w:rPr>
        <w:t>7/IGC.0000000000000303]</w:t>
      </w:r>
    </w:p>
    <w:p w:rsidR="00606EEE" w:rsidRDefault="009A50EC">
      <w:pPr>
        <w:spacing w:line="360" w:lineRule="auto"/>
        <w:rPr>
          <w:rFonts w:ascii="Book Antiqua" w:hAnsi="Book Antiqua"/>
          <w:sz w:val="24"/>
        </w:rPr>
      </w:pPr>
      <w:r>
        <w:rPr>
          <w:rFonts w:ascii="Book Antiqua" w:hAnsi="Book Antiqua"/>
          <w:sz w:val="24"/>
        </w:rPr>
        <w:t xml:space="preserve">50 </w:t>
      </w:r>
      <w:r>
        <w:rPr>
          <w:rFonts w:ascii="Book Antiqua" w:hAnsi="Book Antiqua"/>
          <w:b/>
          <w:sz w:val="24"/>
        </w:rPr>
        <w:t>Wind J</w:t>
      </w:r>
      <w:r>
        <w:rPr>
          <w:rFonts w:ascii="Book Antiqua" w:hAnsi="Book Antiqua"/>
          <w:sz w:val="24"/>
        </w:rPr>
        <w:t xml:space="preserve">, Duineveld LA, van der Heijden RP, van Asselt KM, Bemelman WA, van Weert HC. Follow-up after colon cancer treatment in the Netherlands; a survey of patients, GPs, and colorectal surgeons. </w:t>
      </w:r>
      <w:r>
        <w:rPr>
          <w:rFonts w:ascii="Book Antiqua" w:hAnsi="Book Antiqua"/>
          <w:i/>
          <w:sz w:val="24"/>
        </w:rPr>
        <w:t>Eur J Surg Oncol</w:t>
      </w:r>
      <w:r>
        <w:rPr>
          <w:rFonts w:ascii="Book Antiqua" w:hAnsi="Book Antiqua"/>
          <w:sz w:val="24"/>
        </w:rPr>
        <w:t xml:space="preserve"> 2013; </w:t>
      </w:r>
      <w:r>
        <w:rPr>
          <w:rFonts w:ascii="Book Antiqua" w:hAnsi="Book Antiqua"/>
          <w:b/>
          <w:sz w:val="24"/>
        </w:rPr>
        <w:t>39</w:t>
      </w:r>
      <w:r>
        <w:rPr>
          <w:rFonts w:ascii="Book Antiqua" w:hAnsi="Book Antiqua"/>
          <w:sz w:val="24"/>
        </w:rPr>
        <w:t>: 837-843</w:t>
      </w:r>
      <w:r>
        <w:rPr>
          <w:rFonts w:ascii="Book Antiqua" w:hAnsi="Book Antiqua"/>
          <w:sz w:val="24"/>
        </w:rPr>
        <w:t xml:space="preserve"> [PMID: 23692700 DOI: 10.1016/j.ejso.2013.04.001]</w:t>
      </w:r>
    </w:p>
    <w:bookmarkEnd w:id="150"/>
    <w:p w:rsidR="00606EEE" w:rsidRDefault="00606EEE">
      <w:pPr>
        <w:spacing w:line="360" w:lineRule="auto"/>
        <w:rPr>
          <w:rStyle w:val="ab"/>
          <w:rFonts w:ascii="Book Antiqua" w:hAnsi="Book Antiqua" w:cs="Times New Roman"/>
          <w:sz w:val="24"/>
          <w:szCs w:val="24"/>
        </w:rPr>
      </w:pPr>
    </w:p>
    <w:p w:rsidR="00606EEE" w:rsidRDefault="009A50EC">
      <w:pPr>
        <w:snapToGrid w:val="0"/>
        <w:spacing w:line="360" w:lineRule="auto"/>
        <w:ind w:left="361" w:hangingChars="150" w:hanging="361"/>
        <w:rPr>
          <w:rFonts w:ascii="Book Antiqua" w:hAnsi="Book Antiqua"/>
          <w:sz w:val="24"/>
        </w:rPr>
      </w:pPr>
      <w:r>
        <w:rPr>
          <w:rFonts w:ascii="Book Antiqua" w:hAnsi="Book Antiqua"/>
          <w:b/>
          <w:bCs/>
          <w:sz w:val="24"/>
        </w:rPr>
        <w:t xml:space="preserve">P-Reviewer: </w:t>
      </w:r>
      <w:r>
        <w:rPr>
          <w:rFonts w:ascii="Book Antiqua" w:hAnsi="Book Antiqua"/>
          <w:sz w:val="24"/>
          <w:shd w:val="clear" w:color="auto" w:fill="FFFFFF"/>
        </w:rPr>
        <w:t xml:space="preserve">Jorge AG, Orbell JH, Garcia SS </w:t>
      </w:r>
      <w:r>
        <w:rPr>
          <w:rFonts w:ascii="Book Antiqua" w:hAnsi="Book Antiqua"/>
          <w:b/>
          <w:bCs/>
          <w:sz w:val="24"/>
        </w:rPr>
        <w:t>S-Editor:</w:t>
      </w:r>
      <w:r>
        <w:rPr>
          <w:rFonts w:ascii="Book Antiqua" w:hAnsi="Book Antiqua"/>
          <w:sz w:val="24"/>
        </w:rPr>
        <w:t xml:space="preserve"> Zhang L</w:t>
      </w:r>
      <w:r>
        <w:rPr>
          <w:rFonts w:ascii="Book Antiqua" w:eastAsia="等线" w:hAnsi="Book Antiqua"/>
          <w:sz w:val="24"/>
        </w:rPr>
        <w:t xml:space="preserve"> </w:t>
      </w:r>
      <w:r>
        <w:rPr>
          <w:rFonts w:ascii="Book Antiqua" w:hAnsi="Book Antiqua"/>
          <w:b/>
          <w:bCs/>
          <w:sz w:val="24"/>
        </w:rPr>
        <w:t>L-Editor:</w:t>
      </w:r>
      <w:r>
        <w:rPr>
          <w:rFonts w:ascii="Book Antiqua" w:hAnsi="Book Antiqua"/>
          <w:sz w:val="24"/>
        </w:rPr>
        <w:t xml:space="preserve"> Wang TQ </w:t>
      </w:r>
      <w:r>
        <w:rPr>
          <w:rFonts w:ascii="Book Antiqua" w:hAnsi="Book Antiqua"/>
          <w:b/>
          <w:bCs/>
          <w:sz w:val="24"/>
        </w:rPr>
        <w:t>E-Editor:</w:t>
      </w:r>
    </w:p>
    <w:p w:rsidR="00606EEE" w:rsidRDefault="00606EEE">
      <w:pPr>
        <w:shd w:val="clear" w:color="auto" w:fill="FFFFFF"/>
        <w:snapToGrid w:val="0"/>
        <w:spacing w:line="360" w:lineRule="auto"/>
        <w:rPr>
          <w:rFonts w:ascii="Book Antiqua" w:hAnsi="Book Antiqua" w:cs="Helvetica"/>
          <w:b/>
          <w:sz w:val="24"/>
        </w:rPr>
      </w:pPr>
    </w:p>
    <w:p w:rsidR="00606EEE" w:rsidRDefault="009A50EC">
      <w:pPr>
        <w:shd w:val="clear" w:color="auto" w:fill="FFFFFF"/>
        <w:snapToGrid w:val="0"/>
        <w:spacing w:line="360" w:lineRule="auto"/>
        <w:rPr>
          <w:rFonts w:ascii="Book Antiqua" w:hAnsi="Book Antiqua" w:cs="Helvetica"/>
          <w:b/>
          <w:sz w:val="24"/>
        </w:rPr>
      </w:pPr>
      <w:r>
        <w:rPr>
          <w:rFonts w:ascii="Book Antiqua" w:hAnsi="Book Antiqua" w:cs="Helvetica"/>
          <w:b/>
          <w:sz w:val="24"/>
        </w:rPr>
        <w:t xml:space="preserve">Specialty type: </w:t>
      </w:r>
      <w:r>
        <w:rPr>
          <w:rFonts w:ascii="Book Antiqua" w:eastAsia="微软雅黑" w:hAnsi="Book Antiqua" w:cs="宋体"/>
          <w:kern w:val="0"/>
          <w:sz w:val="24"/>
        </w:rPr>
        <w:t>Oncology</w:t>
      </w:r>
      <w:r>
        <w:rPr>
          <w:rFonts w:ascii="Book Antiqua" w:hAnsi="Book Antiqua" w:cs="Helvetica"/>
          <w:b/>
          <w:sz w:val="24"/>
        </w:rPr>
        <w:t xml:space="preserve"> </w:t>
      </w:r>
    </w:p>
    <w:p w:rsidR="00606EEE" w:rsidRDefault="009A50EC">
      <w:pPr>
        <w:shd w:val="clear" w:color="auto" w:fill="FFFFFF"/>
        <w:snapToGrid w:val="0"/>
        <w:spacing w:line="360" w:lineRule="auto"/>
        <w:rPr>
          <w:rFonts w:ascii="Book Antiqua" w:hAnsi="Book Antiqua" w:cs="Helvetica"/>
          <w:sz w:val="24"/>
        </w:rPr>
      </w:pPr>
      <w:r>
        <w:rPr>
          <w:rFonts w:ascii="Book Antiqua" w:hAnsi="Book Antiqua" w:cs="Helvetica"/>
          <w:b/>
          <w:sz w:val="24"/>
        </w:rPr>
        <w:t xml:space="preserve">Country of origin: </w:t>
      </w:r>
      <w:r>
        <w:rPr>
          <w:rFonts w:ascii="Book Antiqua" w:hAnsi="Book Antiqua" w:cs="Helvetica"/>
          <w:sz w:val="24"/>
        </w:rPr>
        <w:t>China</w:t>
      </w:r>
    </w:p>
    <w:p w:rsidR="00606EEE" w:rsidRDefault="009A50EC">
      <w:pPr>
        <w:shd w:val="clear" w:color="auto" w:fill="FFFFFF"/>
        <w:snapToGrid w:val="0"/>
        <w:spacing w:line="360" w:lineRule="auto"/>
        <w:rPr>
          <w:rFonts w:ascii="Book Antiqua" w:hAnsi="Book Antiqua" w:cs="Helvetica"/>
          <w:b/>
          <w:sz w:val="24"/>
        </w:rPr>
      </w:pPr>
      <w:r>
        <w:rPr>
          <w:rFonts w:ascii="Book Antiqua" w:hAnsi="Book Antiqua" w:cs="Helvetica"/>
          <w:b/>
          <w:sz w:val="24"/>
        </w:rPr>
        <w:t>Peer-review report classification</w:t>
      </w:r>
    </w:p>
    <w:p w:rsidR="00606EEE" w:rsidRDefault="009A50EC">
      <w:pPr>
        <w:shd w:val="clear" w:color="auto" w:fill="FFFFFF"/>
        <w:snapToGrid w:val="0"/>
        <w:spacing w:line="360" w:lineRule="auto"/>
        <w:rPr>
          <w:rFonts w:ascii="Book Antiqua" w:hAnsi="Book Antiqua" w:cs="Helvetica"/>
          <w:sz w:val="24"/>
        </w:rPr>
      </w:pPr>
      <w:r>
        <w:rPr>
          <w:rFonts w:ascii="Book Antiqua" w:hAnsi="Book Antiqua" w:cs="Helvetica"/>
          <w:sz w:val="24"/>
        </w:rPr>
        <w:t>Grade A (Excellent): 0</w:t>
      </w:r>
    </w:p>
    <w:p w:rsidR="00606EEE" w:rsidRDefault="009A50EC">
      <w:pPr>
        <w:shd w:val="clear" w:color="auto" w:fill="FFFFFF"/>
        <w:snapToGrid w:val="0"/>
        <w:spacing w:line="360" w:lineRule="auto"/>
        <w:rPr>
          <w:rFonts w:ascii="Book Antiqua" w:hAnsi="Book Antiqua" w:cs="Helvetica"/>
          <w:sz w:val="24"/>
        </w:rPr>
      </w:pPr>
      <w:r>
        <w:rPr>
          <w:rFonts w:ascii="Book Antiqua" w:hAnsi="Book Antiqua" w:cs="Helvetica"/>
          <w:sz w:val="24"/>
        </w:rPr>
        <w:t xml:space="preserve">Grade B (Very good): B, B, </w:t>
      </w:r>
    </w:p>
    <w:p w:rsidR="00606EEE" w:rsidRDefault="009A50EC">
      <w:pPr>
        <w:shd w:val="clear" w:color="auto" w:fill="FFFFFF"/>
        <w:snapToGrid w:val="0"/>
        <w:spacing w:line="360" w:lineRule="auto"/>
        <w:rPr>
          <w:rFonts w:ascii="Book Antiqua" w:hAnsi="Book Antiqua" w:cs="Helvetica"/>
          <w:sz w:val="24"/>
        </w:rPr>
      </w:pPr>
      <w:r>
        <w:rPr>
          <w:rFonts w:ascii="Book Antiqua" w:hAnsi="Book Antiqua" w:cs="Helvetica"/>
          <w:sz w:val="24"/>
        </w:rPr>
        <w:lastRenderedPageBreak/>
        <w:t>Grade C (Good): C</w:t>
      </w:r>
    </w:p>
    <w:p w:rsidR="00606EEE" w:rsidRDefault="009A50EC">
      <w:pPr>
        <w:shd w:val="clear" w:color="auto" w:fill="FFFFFF"/>
        <w:snapToGrid w:val="0"/>
        <w:spacing w:line="360" w:lineRule="auto"/>
        <w:rPr>
          <w:rFonts w:ascii="Book Antiqua" w:hAnsi="Book Antiqua" w:cs="Helvetica"/>
          <w:sz w:val="24"/>
        </w:rPr>
      </w:pPr>
      <w:r>
        <w:rPr>
          <w:rFonts w:ascii="Book Antiqua" w:hAnsi="Book Antiqua" w:cs="Helvetica"/>
          <w:sz w:val="24"/>
        </w:rPr>
        <w:t>Grade D (Fair): 0</w:t>
      </w:r>
    </w:p>
    <w:p w:rsidR="00606EEE" w:rsidRDefault="009A50EC">
      <w:pPr>
        <w:shd w:val="clear" w:color="auto" w:fill="FFFFFF"/>
        <w:snapToGrid w:val="0"/>
        <w:spacing w:line="360" w:lineRule="auto"/>
        <w:rPr>
          <w:rFonts w:ascii="Book Antiqua" w:hAnsi="Book Antiqua" w:cs="Helvetica"/>
          <w:sz w:val="24"/>
        </w:rPr>
      </w:pPr>
      <w:r>
        <w:rPr>
          <w:rFonts w:ascii="Book Antiqua" w:hAnsi="Book Antiqua" w:cs="Helvetica"/>
          <w:sz w:val="24"/>
        </w:rPr>
        <w:t>Grade E (Poor): 0</w:t>
      </w:r>
    </w:p>
    <w:p w:rsidR="00606EEE" w:rsidRDefault="00606EEE">
      <w:pPr>
        <w:spacing w:line="360" w:lineRule="auto"/>
        <w:rPr>
          <w:rStyle w:val="ab"/>
          <w:rFonts w:ascii="Book Antiqua" w:hAnsi="Book Antiqua" w:cs="Times New Roman"/>
          <w:sz w:val="24"/>
          <w:szCs w:val="24"/>
        </w:rPr>
      </w:pPr>
    </w:p>
    <w:p w:rsidR="00606EEE" w:rsidRDefault="009A50EC">
      <w:pPr>
        <w:widowControl/>
        <w:jc w:val="left"/>
        <w:rPr>
          <w:rFonts w:ascii="Book Antiqua" w:eastAsia="宋体" w:hAnsi="Book Antiqua" w:cs="Times New Roman"/>
          <w:b/>
          <w:bCs/>
          <w:sz w:val="24"/>
        </w:rPr>
      </w:pPr>
      <w:r>
        <w:rPr>
          <w:rFonts w:ascii="Book Antiqua" w:eastAsia="宋体" w:hAnsi="Book Antiqua" w:cs="Times New Roman"/>
          <w:b/>
          <w:bCs/>
          <w:sz w:val="24"/>
        </w:rPr>
        <w:br w:type="page"/>
      </w:r>
    </w:p>
    <w:p w:rsidR="00606EEE" w:rsidRDefault="009A50EC">
      <w:pPr>
        <w:spacing w:line="360" w:lineRule="auto"/>
        <w:rPr>
          <w:rFonts w:ascii="Book Antiqua" w:eastAsia="宋体" w:hAnsi="Book Antiqua" w:cs="Times New Roman"/>
          <w:b/>
          <w:bCs/>
          <w:sz w:val="24"/>
        </w:rPr>
      </w:pPr>
      <w:r>
        <w:rPr>
          <w:rFonts w:ascii="Book Antiqua" w:eastAsia="宋体" w:hAnsi="Book Antiqua" w:cs="Times New Roman"/>
          <w:b/>
          <w:bCs/>
          <w:sz w:val="24"/>
        </w:rPr>
        <w:lastRenderedPageBreak/>
        <w:t>Table 1 Comparison of indicators between the good prognosis group and poor prognosis group before treatment</w:t>
      </w:r>
    </w:p>
    <w:tbl>
      <w:tblPr>
        <w:tblW w:w="8326" w:type="dxa"/>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991"/>
        <w:gridCol w:w="1996"/>
        <w:gridCol w:w="1701"/>
        <w:gridCol w:w="1701"/>
        <w:gridCol w:w="996"/>
        <w:gridCol w:w="941"/>
      </w:tblGrid>
      <w:tr w:rsidR="00606EEE">
        <w:trPr>
          <w:trHeight w:val="540"/>
        </w:trPr>
        <w:tc>
          <w:tcPr>
            <w:tcW w:w="2987" w:type="dxa"/>
            <w:gridSpan w:val="2"/>
            <w:tcBorders>
              <w:bottom w:val="single" w:sz="8" w:space="0" w:color="000000"/>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b/>
                <w:bCs/>
                <w:sz w:val="24"/>
              </w:rPr>
            </w:pPr>
          </w:p>
        </w:tc>
        <w:tc>
          <w:tcPr>
            <w:tcW w:w="1701" w:type="dxa"/>
            <w:tcBorders>
              <w:bottom w:val="single" w:sz="8" w:space="0" w:color="000000"/>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Good prognosis group (</w:t>
            </w:r>
            <w:r>
              <w:rPr>
                <w:rStyle w:val="font21"/>
                <w:rFonts w:ascii="Book Antiqua" w:eastAsia="宋体" w:hAnsi="Book Antiqua"/>
                <w:b/>
                <w:bCs/>
                <w:i/>
                <w:iCs/>
                <w:color w:val="auto"/>
                <w:sz w:val="24"/>
                <w:szCs w:val="24"/>
              </w:rPr>
              <w:t xml:space="preserve">n </w:t>
            </w:r>
            <w:r>
              <w:rPr>
                <w:rStyle w:val="font21"/>
                <w:rFonts w:ascii="Book Antiqua" w:eastAsia="宋体" w:hAnsi="Book Antiqua"/>
                <w:b/>
                <w:bCs/>
                <w:color w:val="auto"/>
                <w:sz w:val="24"/>
                <w:szCs w:val="24"/>
              </w:rPr>
              <w:t>= 274</w:t>
            </w:r>
            <w:r>
              <w:rPr>
                <w:rStyle w:val="font11"/>
                <w:rFonts w:ascii="Book Antiqua" w:hAnsi="Book Antiqua" w:cs="Times New Roman" w:hint="default"/>
                <w:b/>
                <w:bCs/>
                <w:color w:val="auto"/>
                <w:sz w:val="24"/>
                <w:szCs w:val="24"/>
              </w:rPr>
              <w:t>)</w:t>
            </w:r>
          </w:p>
        </w:tc>
        <w:tc>
          <w:tcPr>
            <w:tcW w:w="1701" w:type="dxa"/>
            <w:tcBorders>
              <w:bottom w:val="single" w:sz="8" w:space="0" w:color="000000"/>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Poor prognosis group (</w:t>
            </w:r>
            <w:r>
              <w:rPr>
                <w:rStyle w:val="font21"/>
                <w:rFonts w:ascii="Book Antiqua" w:eastAsia="宋体" w:hAnsi="Book Antiqua"/>
                <w:b/>
                <w:bCs/>
                <w:i/>
                <w:iCs/>
                <w:color w:val="auto"/>
                <w:sz w:val="24"/>
                <w:szCs w:val="24"/>
              </w:rPr>
              <w:t>n</w:t>
            </w:r>
            <w:r>
              <w:rPr>
                <w:rStyle w:val="font21"/>
                <w:rFonts w:ascii="Book Antiqua" w:eastAsia="宋体" w:hAnsi="Book Antiqua"/>
                <w:b/>
                <w:bCs/>
                <w:color w:val="auto"/>
                <w:sz w:val="24"/>
                <w:szCs w:val="24"/>
              </w:rPr>
              <w:t xml:space="preserve"> = 81</w:t>
            </w:r>
            <w:r>
              <w:rPr>
                <w:rStyle w:val="font11"/>
                <w:rFonts w:ascii="Book Antiqua" w:hAnsi="Book Antiqua" w:cs="Times New Roman" w:hint="default"/>
                <w:b/>
                <w:bCs/>
                <w:color w:val="auto"/>
                <w:sz w:val="24"/>
                <w:szCs w:val="24"/>
              </w:rPr>
              <w:t>)</w:t>
            </w:r>
          </w:p>
        </w:tc>
        <w:tc>
          <w:tcPr>
            <w:tcW w:w="996" w:type="dxa"/>
            <w:tcBorders>
              <w:bottom w:val="single" w:sz="8" w:space="0" w:color="000000"/>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i/>
                <w:iCs/>
                <w:kern w:val="0"/>
                <w:sz w:val="24"/>
              </w:rPr>
              <w:t>t</w:t>
            </w:r>
            <w:r>
              <w:rPr>
                <w:rStyle w:val="font21"/>
                <w:rFonts w:ascii="Book Antiqua" w:eastAsia="宋体" w:hAnsi="Book Antiqua"/>
                <w:b/>
                <w:bCs/>
                <w:color w:val="auto"/>
                <w:sz w:val="24"/>
                <w:szCs w:val="24"/>
              </w:rPr>
              <w:t>/</w:t>
            </w:r>
            <w:r>
              <w:rPr>
                <w:rStyle w:val="font21"/>
                <w:rFonts w:ascii="Book Antiqua" w:eastAsia="宋体" w:hAnsi="Book Antiqua"/>
                <w:b/>
                <w:bCs/>
                <w:i/>
                <w:iCs/>
                <w:color w:val="auto"/>
                <w:sz w:val="24"/>
                <w:szCs w:val="24"/>
              </w:rPr>
              <w:t>X</w:t>
            </w:r>
            <w:r>
              <w:rPr>
                <w:rStyle w:val="font21"/>
                <w:rFonts w:ascii="Book Antiqua" w:eastAsia="宋体" w:hAnsi="Book Antiqua"/>
                <w:b/>
                <w:bCs/>
                <w:i/>
                <w:iCs/>
                <w:color w:val="auto"/>
                <w:sz w:val="24"/>
                <w:szCs w:val="24"/>
                <w:vertAlign w:val="superscript"/>
              </w:rPr>
              <w:t>2</w:t>
            </w:r>
            <w:r>
              <w:rPr>
                <w:rStyle w:val="font21"/>
                <w:rFonts w:ascii="Book Antiqua" w:eastAsia="宋体" w:hAnsi="Book Antiqua"/>
                <w:b/>
                <w:bCs/>
                <w:color w:val="auto"/>
                <w:sz w:val="24"/>
                <w:szCs w:val="24"/>
                <w:vertAlign w:val="superscript"/>
              </w:rPr>
              <w:t xml:space="preserve"> </w:t>
            </w:r>
            <w:r>
              <w:rPr>
                <w:rStyle w:val="font11"/>
                <w:rFonts w:ascii="Book Antiqua" w:hAnsi="Book Antiqua" w:cs="Times New Roman" w:hint="default"/>
                <w:b/>
                <w:bCs/>
                <w:color w:val="auto"/>
                <w:sz w:val="24"/>
                <w:szCs w:val="24"/>
              </w:rPr>
              <w:t>value</w:t>
            </w:r>
          </w:p>
        </w:tc>
        <w:tc>
          <w:tcPr>
            <w:tcW w:w="941" w:type="dxa"/>
            <w:tcBorders>
              <w:bottom w:val="single" w:sz="8" w:space="0" w:color="000000"/>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i/>
                <w:iCs/>
                <w:kern w:val="0"/>
                <w:sz w:val="24"/>
              </w:rPr>
              <w:t>P</w:t>
            </w:r>
            <w:r>
              <w:rPr>
                <w:rFonts w:ascii="Book Antiqua" w:eastAsia="宋体" w:hAnsi="Book Antiqua" w:cs="Times New Roman"/>
                <w:b/>
                <w:bCs/>
                <w:kern w:val="0"/>
                <w:sz w:val="24"/>
              </w:rPr>
              <w:t>-</w:t>
            </w:r>
            <w:r>
              <w:rPr>
                <w:rStyle w:val="font11"/>
                <w:rFonts w:ascii="Book Antiqua" w:hAnsi="Book Antiqua" w:cs="Times New Roman" w:hint="default"/>
                <w:b/>
                <w:bCs/>
                <w:color w:val="auto"/>
                <w:sz w:val="24"/>
                <w:szCs w:val="24"/>
              </w:rPr>
              <w:t>value</w:t>
            </w:r>
          </w:p>
        </w:tc>
      </w:tr>
      <w:tr w:rsidR="00606EEE">
        <w:trPr>
          <w:trHeight w:val="300"/>
        </w:trPr>
        <w:tc>
          <w:tcPr>
            <w:tcW w:w="2987" w:type="dxa"/>
            <w:gridSpan w:val="2"/>
            <w:tcBorders>
              <w:top w:val="single" w:sz="8" w:space="0" w:color="000000"/>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Age</w:t>
            </w:r>
          </w:p>
        </w:tc>
        <w:tc>
          <w:tcPr>
            <w:tcW w:w="1701" w:type="dxa"/>
            <w:tcBorders>
              <w:top w:val="single" w:sz="8" w:space="0" w:color="000000"/>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53.64 ± 15.38</w:t>
            </w:r>
          </w:p>
        </w:tc>
        <w:tc>
          <w:tcPr>
            <w:tcW w:w="1701" w:type="dxa"/>
            <w:tcBorders>
              <w:top w:val="single" w:sz="8" w:space="0" w:color="000000"/>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60.47 ± 8.34</w:t>
            </w:r>
          </w:p>
        </w:tc>
        <w:tc>
          <w:tcPr>
            <w:tcW w:w="996" w:type="dxa"/>
            <w:tcBorders>
              <w:top w:val="single" w:sz="8" w:space="0" w:color="000000"/>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3.831</w:t>
            </w:r>
          </w:p>
        </w:tc>
        <w:tc>
          <w:tcPr>
            <w:tcW w:w="941" w:type="dxa"/>
            <w:tcBorders>
              <w:top w:val="single" w:sz="8" w:space="0" w:color="000000"/>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00"/>
        </w:trPr>
        <w:tc>
          <w:tcPr>
            <w:tcW w:w="2987" w:type="dxa"/>
            <w:gridSpan w:val="2"/>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Gender</w:t>
            </w:r>
            <w:r>
              <w:rPr>
                <w:rFonts w:ascii="Book Antiqua" w:eastAsia="宋体" w:hAnsi="Book Antiqua" w:cs="Times New Roman" w:hint="eastAsia"/>
                <w:kern w:val="0"/>
                <w:sz w:val="24"/>
              </w:rPr>
              <w:t xml:space="preserve"> </w:t>
            </w:r>
            <w:r>
              <w:rPr>
                <w:rFonts w:ascii="Book Antiqua" w:eastAsia="宋体" w:hAnsi="Book Antiqua" w:cs="Times New Roman"/>
                <w:kern w:val="0"/>
                <w:sz w:val="24"/>
              </w:rPr>
              <w:t>(Male/Female</w:t>
            </w:r>
            <w:r>
              <w:rPr>
                <w:rFonts w:ascii="Book Antiqua" w:eastAsia="宋体" w:hAnsi="Book Antiqua" w:cs="Times New Roman" w:hint="eastAsia"/>
                <w:kern w:val="0"/>
                <w:sz w:val="24"/>
              </w:rPr>
              <w:t>)</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143/131</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43/38</w:t>
            </w:r>
          </w:p>
        </w:tc>
        <w:tc>
          <w:tcPr>
            <w:tcW w:w="996"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0.020</w:t>
            </w:r>
          </w:p>
        </w:tc>
        <w:tc>
          <w:tcPr>
            <w:tcW w:w="94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0.887</w:t>
            </w:r>
          </w:p>
        </w:tc>
      </w:tr>
      <w:tr w:rsidR="00606EEE">
        <w:trPr>
          <w:trHeight w:val="300"/>
        </w:trPr>
        <w:tc>
          <w:tcPr>
            <w:tcW w:w="2987" w:type="dxa"/>
            <w:gridSpan w:val="2"/>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BMI (kg/m</w:t>
            </w:r>
            <w:r>
              <w:rPr>
                <w:rFonts w:ascii="Book Antiqua" w:eastAsia="宋体" w:hAnsi="Book Antiqua" w:cs="Times New Roman"/>
                <w:kern w:val="0"/>
                <w:sz w:val="24"/>
                <w:vertAlign w:val="superscript"/>
              </w:rPr>
              <w:t>2</w:t>
            </w:r>
            <w:r>
              <w:rPr>
                <w:rFonts w:ascii="Book Antiqua" w:eastAsia="宋体" w:hAnsi="Book Antiqua" w:cs="Times New Roman"/>
                <w:kern w:val="0"/>
                <w:sz w:val="24"/>
              </w:rPr>
              <w:t>)</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26.49 ± 5.34</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25.39 ± 5.91</w:t>
            </w:r>
          </w:p>
        </w:tc>
        <w:tc>
          <w:tcPr>
            <w:tcW w:w="996"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1.589</w:t>
            </w:r>
          </w:p>
        </w:tc>
        <w:tc>
          <w:tcPr>
            <w:tcW w:w="94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0.113</w:t>
            </w:r>
          </w:p>
        </w:tc>
      </w:tr>
      <w:tr w:rsidR="00606EEE">
        <w:trPr>
          <w:trHeight w:val="300"/>
        </w:trPr>
        <w:tc>
          <w:tcPr>
            <w:tcW w:w="2987" w:type="dxa"/>
            <w:gridSpan w:val="2"/>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Smoking [</w:t>
            </w:r>
            <w:r>
              <w:rPr>
                <w:rFonts w:ascii="Book Antiqua" w:eastAsia="宋体" w:hAnsi="Book Antiqua" w:cs="Times New Roman"/>
                <w:i/>
                <w:iCs/>
                <w:kern w:val="0"/>
                <w:sz w:val="24"/>
              </w:rPr>
              <w:t>n</w:t>
            </w:r>
            <w:r>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74 (27.01%)</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24 (29.63%)</w:t>
            </w:r>
          </w:p>
        </w:tc>
        <w:tc>
          <w:tcPr>
            <w:tcW w:w="996"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0.215</w:t>
            </w:r>
          </w:p>
        </w:tc>
        <w:tc>
          <w:tcPr>
            <w:tcW w:w="94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0.643</w:t>
            </w:r>
          </w:p>
        </w:tc>
      </w:tr>
      <w:tr w:rsidR="00606EEE">
        <w:trPr>
          <w:trHeight w:val="300"/>
        </w:trPr>
        <w:tc>
          <w:tcPr>
            <w:tcW w:w="2987" w:type="dxa"/>
            <w:gridSpan w:val="2"/>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History of alcohol abuse [</w:t>
            </w:r>
            <w:r>
              <w:rPr>
                <w:rFonts w:ascii="Book Antiqua" w:eastAsia="宋体" w:hAnsi="Book Antiqua" w:cs="Times New Roman"/>
                <w:i/>
                <w:iCs/>
                <w:kern w:val="0"/>
                <w:sz w:val="24"/>
              </w:rPr>
              <w:t>n</w:t>
            </w:r>
            <w:r>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39 </w:t>
            </w:r>
            <w:r>
              <w:rPr>
                <w:rFonts w:ascii="Book Antiqua" w:eastAsia="宋体" w:hAnsi="Book Antiqua" w:cs="Times New Roman"/>
                <w:kern w:val="0"/>
                <w:sz w:val="24"/>
              </w:rPr>
              <w:t>(14.23%)</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13 (16.05%)</w:t>
            </w:r>
          </w:p>
        </w:tc>
        <w:tc>
          <w:tcPr>
            <w:tcW w:w="996"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0.165</w:t>
            </w:r>
          </w:p>
        </w:tc>
        <w:tc>
          <w:tcPr>
            <w:tcW w:w="94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0.685</w:t>
            </w:r>
          </w:p>
        </w:tc>
      </w:tr>
      <w:tr w:rsidR="00606EEE">
        <w:trPr>
          <w:trHeight w:val="300"/>
        </w:trPr>
        <w:tc>
          <w:tcPr>
            <w:tcW w:w="2987" w:type="dxa"/>
            <w:gridSpan w:val="2"/>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Family history [</w:t>
            </w:r>
            <w:r>
              <w:rPr>
                <w:rFonts w:ascii="Book Antiqua" w:eastAsia="宋体" w:hAnsi="Book Antiqua" w:cs="Times New Roman"/>
                <w:i/>
                <w:iCs/>
                <w:kern w:val="0"/>
                <w:sz w:val="24"/>
              </w:rPr>
              <w:t>n</w:t>
            </w:r>
            <w:r>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46 (16.79%)</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20 (24.69%)</w:t>
            </w:r>
          </w:p>
        </w:tc>
        <w:tc>
          <w:tcPr>
            <w:tcW w:w="996"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2.580</w:t>
            </w:r>
          </w:p>
        </w:tc>
        <w:tc>
          <w:tcPr>
            <w:tcW w:w="94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0.108</w:t>
            </w:r>
          </w:p>
        </w:tc>
      </w:tr>
      <w:tr w:rsidR="00606EEE">
        <w:trPr>
          <w:trHeight w:val="300"/>
        </w:trPr>
        <w:tc>
          <w:tcPr>
            <w:tcW w:w="2987" w:type="dxa"/>
            <w:gridSpan w:val="2"/>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Tumor diameter (cm)</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2.08 ± 1.47</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5.69 ± 2.54</w:t>
            </w:r>
          </w:p>
        </w:tc>
        <w:tc>
          <w:tcPr>
            <w:tcW w:w="996"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16.125</w:t>
            </w:r>
          </w:p>
        </w:tc>
        <w:tc>
          <w:tcPr>
            <w:tcW w:w="94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00"/>
        </w:trPr>
        <w:tc>
          <w:tcPr>
            <w:tcW w:w="991"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Tumor location</w:t>
            </w: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Ascending colon [</w:t>
            </w:r>
            <w:r>
              <w:rPr>
                <w:rFonts w:ascii="Book Antiqua" w:eastAsia="宋体" w:hAnsi="Book Antiqua" w:cs="Times New Roman"/>
                <w:i/>
                <w:iCs/>
                <w:kern w:val="0"/>
                <w:sz w:val="24"/>
              </w:rPr>
              <w:t xml:space="preserve">n </w:t>
            </w:r>
            <w:r>
              <w:rPr>
                <w:rFonts w:ascii="Book Antiqua" w:eastAsia="宋体" w:hAnsi="Book Antiqua" w:cs="Times New Roman"/>
                <w:kern w:val="0"/>
                <w:sz w:val="24"/>
              </w:rPr>
              <w:t>(%)]</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39</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13</w:t>
            </w:r>
          </w:p>
        </w:tc>
        <w:tc>
          <w:tcPr>
            <w:tcW w:w="996"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3.139</w:t>
            </w:r>
          </w:p>
        </w:tc>
        <w:tc>
          <w:tcPr>
            <w:tcW w:w="941"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0.535</w:t>
            </w:r>
          </w:p>
        </w:tc>
      </w:tr>
      <w:tr w:rsidR="00606EEE">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Transverse colon [</w:t>
            </w:r>
            <w:r>
              <w:rPr>
                <w:rFonts w:ascii="Book Antiqua" w:eastAsia="宋体" w:hAnsi="Book Antiqua" w:cs="Times New Roman"/>
                <w:i/>
                <w:iCs/>
                <w:kern w:val="0"/>
                <w:sz w:val="24"/>
              </w:rPr>
              <w:t>n</w:t>
            </w:r>
            <w:r>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14</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7</w:t>
            </w:r>
          </w:p>
        </w:tc>
        <w:tc>
          <w:tcPr>
            <w:tcW w:w="996"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Lower colon</w:t>
            </w:r>
            <w:r>
              <w:rPr>
                <w:rFonts w:ascii="Book Antiqua" w:eastAsia="宋体" w:hAnsi="Book Antiqua" w:cs="Times New Roman"/>
                <w:kern w:val="0"/>
                <w:sz w:val="24"/>
              </w:rPr>
              <w:t xml:space="preserve"> [</w:t>
            </w:r>
            <w:r>
              <w:rPr>
                <w:rFonts w:ascii="Book Antiqua" w:eastAsia="宋体" w:hAnsi="Book Antiqua" w:cs="Times New Roman"/>
                <w:i/>
                <w:iCs/>
                <w:kern w:val="0"/>
                <w:sz w:val="24"/>
              </w:rPr>
              <w:t>n</w:t>
            </w:r>
            <w:r>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25</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10</w:t>
            </w:r>
          </w:p>
        </w:tc>
        <w:tc>
          <w:tcPr>
            <w:tcW w:w="996"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Sigmoid colon [</w:t>
            </w:r>
            <w:r>
              <w:rPr>
                <w:rFonts w:ascii="Book Antiqua" w:eastAsia="宋体" w:hAnsi="Book Antiqua" w:cs="Times New Roman"/>
                <w:i/>
                <w:iCs/>
                <w:kern w:val="0"/>
                <w:sz w:val="24"/>
              </w:rPr>
              <w:t>n</w:t>
            </w:r>
            <w:r>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84</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22</w:t>
            </w:r>
          </w:p>
        </w:tc>
        <w:tc>
          <w:tcPr>
            <w:tcW w:w="996"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Rectum [</w:t>
            </w:r>
            <w:r>
              <w:rPr>
                <w:rFonts w:ascii="Book Antiqua" w:eastAsia="宋体" w:hAnsi="Book Antiqua" w:cs="Times New Roman"/>
                <w:i/>
                <w:iCs/>
                <w:kern w:val="0"/>
                <w:sz w:val="24"/>
              </w:rPr>
              <w:t>n</w:t>
            </w:r>
            <w:r>
              <w:rPr>
                <w:rFonts w:ascii="Book Antiqua" w:eastAsia="宋体" w:hAnsi="Book Antiqua" w:cs="Times New Roman"/>
                <w:kern w:val="0"/>
                <w:sz w:val="24"/>
              </w:rPr>
              <w:t xml:space="preserve"> (%)]</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112</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29</w:t>
            </w:r>
          </w:p>
        </w:tc>
        <w:tc>
          <w:tcPr>
            <w:tcW w:w="996"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sz w:val="24"/>
              </w:rPr>
              <w:t>Tumor histology type</w:t>
            </w:r>
          </w:p>
        </w:tc>
        <w:tc>
          <w:tcPr>
            <w:tcW w:w="1996" w:type="dxa"/>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Adenocarcinoma</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177</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53</w:t>
            </w:r>
          </w:p>
        </w:tc>
        <w:tc>
          <w:tcPr>
            <w:tcW w:w="996"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0.019</w:t>
            </w:r>
          </w:p>
        </w:tc>
        <w:tc>
          <w:tcPr>
            <w:tcW w:w="941"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0.890</w:t>
            </w:r>
          </w:p>
        </w:tc>
      </w:tr>
      <w:tr w:rsidR="00606EEE">
        <w:trPr>
          <w:trHeight w:val="315"/>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tcMar>
              <w:top w:w="10" w:type="dxa"/>
              <w:left w:w="10" w:type="dxa"/>
              <w:right w:w="10" w:type="dxa"/>
            </w:tcMar>
          </w:tcPr>
          <w:p w:rsidR="00606EEE" w:rsidRDefault="009A50EC">
            <w:pPr>
              <w:widowControl/>
              <w:spacing w:line="360" w:lineRule="auto"/>
              <w:textAlignment w:val="top"/>
              <w:rPr>
                <w:rFonts w:ascii="Book Antiqua" w:eastAsia="宋体" w:hAnsi="Book Antiqua" w:cs="Times New Roman"/>
                <w:sz w:val="24"/>
              </w:rPr>
            </w:pPr>
            <w:r>
              <w:rPr>
                <w:rFonts w:ascii="Book Antiqua" w:eastAsia="宋体" w:hAnsi="Book Antiqua" w:cs="Times New Roman"/>
                <w:kern w:val="0"/>
                <w:sz w:val="24"/>
              </w:rPr>
              <w:t>Mucinous adenocarcinoma and signet ring cell carcinoma</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97</w:t>
            </w:r>
          </w:p>
        </w:tc>
        <w:tc>
          <w:tcPr>
            <w:tcW w:w="1701" w:type="dxa"/>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28</w:t>
            </w:r>
          </w:p>
        </w:tc>
        <w:tc>
          <w:tcPr>
            <w:tcW w:w="996"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TNM stage</w:t>
            </w: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I</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10 (3.65%)</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6 (7.41%)</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29.292</w:t>
            </w:r>
          </w:p>
        </w:tc>
        <w:tc>
          <w:tcPr>
            <w:tcW w:w="941"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II</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213 </w:t>
            </w:r>
            <w:r>
              <w:rPr>
                <w:rFonts w:ascii="Book Antiqua" w:eastAsia="宋体" w:hAnsi="Book Antiqua" w:cs="Times New Roman"/>
                <w:kern w:val="0"/>
                <w:sz w:val="24"/>
              </w:rPr>
              <w:t>(77.74%)</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38 (46.91%)</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III</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30 (10.95%)</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24 (29.63%)</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IV</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21 (7.66%)</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13 (16.05%)</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Dukes stage</w:t>
            </w: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A</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17 (6.20%)</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 (1.23%)</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w:t>
            </w:r>
          </w:p>
        </w:tc>
        <w:tc>
          <w:tcPr>
            <w:tcW w:w="941"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0.062</w:t>
            </w: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B</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177 (64.60%)</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48 (59.26%)</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C</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80 (29.20%)</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32 (39.51%)</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PCNA</w:t>
            </w: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98</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114.291</w:t>
            </w:r>
          </w:p>
        </w:tc>
        <w:tc>
          <w:tcPr>
            <w:tcW w:w="941"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122</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11</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45</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43</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9</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23</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P53</w:t>
            </w: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34</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11</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4.908</w:t>
            </w:r>
          </w:p>
        </w:tc>
        <w:tc>
          <w:tcPr>
            <w:tcW w:w="941"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0.297</w:t>
            </w:r>
          </w:p>
        </w:tc>
      </w:tr>
      <w:tr w:rsidR="00606EEE">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64</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14</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61</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17</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78</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23</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37</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19</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val="restart"/>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GPS</w:t>
            </w: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233 (85.04%)</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9 (11.11%)</w:t>
            </w:r>
          </w:p>
        </w:tc>
        <w:tc>
          <w:tcPr>
            <w:tcW w:w="996"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157.579</w:t>
            </w:r>
          </w:p>
        </w:tc>
        <w:tc>
          <w:tcPr>
            <w:tcW w:w="941" w:type="dxa"/>
            <w:vMerge w:val="restart"/>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24 (8.76%)</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40 (49.38%)</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991" w:type="dxa"/>
            <w:vMerge/>
            <w:tcBorders>
              <w:tl2br w:val="nil"/>
              <w:tr2bl w:val="nil"/>
            </w:tcBorders>
            <w:shd w:val="clear" w:color="auto" w:fill="auto"/>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1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17 (6.20%)</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32 (39.51%)</w:t>
            </w:r>
          </w:p>
        </w:tc>
        <w:tc>
          <w:tcPr>
            <w:tcW w:w="996"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941" w:type="dxa"/>
            <w:vMerge/>
            <w:tcBorders>
              <w:tl2br w:val="nil"/>
              <w:tr2bl w:val="nil"/>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r>
      <w:tr w:rsidR="00606EEE">
        <w:trPr>
          <w:trHeight w:val="300"/>
        </w:trPr>
        <w:tc>
          <w:tcPr>
            <w:tcW w:w="2987" w:type="dxa"/>
            <w:gridSpan w:val="2"/>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C-reactive protein (mg/L)</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2.73 ± 0.64</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21.83 ± 16.34</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19.364</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00"/>
        </w:trPr>
        <w:tc>
          <w:tcPr>
            <w:tcW w:w="2987" w:type="dxa"/>
            <w:gridSpan w:val="2"/>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Albumin </w:t>
            </w:r>
            <w:r>
              <w:rPr>
                <w:rFonts w:ascii="Book Antiqua" w:eastAsia="宋体" w:hAnsi="Book Antiqua" w:cs="Times New Roman"/>
                <w:kern w:val="0"/>
                <w:sz w:val="24"/>
              </w:rPr>
              <w:t>(g/L)</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42.43 ± 7.93</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33.74 ± 6.21</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9.071</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10"/>
        </w:trPr>
        <w:tc>
          <w:tcPr>
            <w:tcW w:w="2987" w:type="dxa"/>
            <w:gridSpan w:val="2"/>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WBC count (9 × 10</w:t>
            </w:r>
            <w:r>
              <w:rPr>
                <w:rFonts w:ascii="Book Antiqua" w:eastAsia="宋体" w:hAnsi="Book Antiqua" w:cs="Times New Roman"/>
                <w:kern w:val="0"/>
                <w:sz w:val="24"/>
                <w:vertAlign w:val="superscript"/>
              </w:rPr>
              <w:t>3</w:t>
            </w:r>
            <w:r>
              <w:rPr>
                <w:rFonts w:ascii="Book Antiqua" w:eastAsia="宋体" w:hAnsi="Book Antiqua" w:cs="Times New Roman"/>
                <w:kern w:val="0"/>
                <w:sz w:val="24"/>
              </w:rPr>
              <w:t>/mm</w:t>
            </w:r>
            <w:r>
              <w:rPr>
                <w:rFonts w:ascii="Book Antiqua" w:eastAsia="宋体" w:hAnsi="Book Antiqua" w:cs="Times New Roman"/>
                <w:kern w:val="0"/>
                <w:sz w:val="24"/>
                <w:vertAlign w:val="superscript"/>
              </w:rPr>
              <w:t>3</w:t>
            </w:r>
            <w:r>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5.89 ± 1.98</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8.53 ± 2.83</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9.481</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10"/>
        </w:trPr>
        <w:tc>
          <w:tcPr>
            <w:tcW w:w="2987" w:type="dxa"/>
            <w:gridSpan w:val="2"/>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Platelet count (9 × 10</w:t>
            </w:r>
            <w:r>
              <w:rPr>
                <w:rFonts w:ascii="Book Antiqua" w:eastAsia="宋体" w:hAnsi="Book Antiqua" w:cs="Times New Roman"/>
                <w:kern w:val="0"/>
                <w:sz w:val="24"/>
                <w:vertAlign w:val="superscript"/>
              </w:rPr>
              <w:t>4</w:t>
            </w:r>
            <w:r>
              <w:rPr>
                <w:rFonts w:ascii="Book Antiqua" w:eastAsia="宋体" w:hAnsi="Book Antiqua" w:cs="Times New Roman"/>
                <w:kern w:val="0"/>
                <w:sz w:val="24"/>
              </w:rPr>
              <w:t>/mm</w:t>
            </w:r>
            <w:r>
              <w:rPr>
                <w:rFonts w:ascii="Book Antiqua" w:eastAsia="宋体" w:hAnsi="Book Antiqua" w:cs="Times New Roman"/>
                <w:kern w:val="0"/>
                <w:sz w:val="24"/>
                <w:vertAlign w:val="superscript"/>
              </w:rPr>
              <w:t>3</w:t>
            </w:r>
            <w:r>
              <w:rPr>
                <w:rFonts w:ascii="Book Antiqua" w:eastAsia="宋体" w:hAnsi="Book Antiqua" w:cs="Times New Roman"/>
                <w:kern w:val="0"/>
                <w:sz w:val="24"/>
              </w:rPr>
              <w:t>)</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237.43 ± 103.28</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247.23 ± 116.39</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0.728</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0.467</w:t>
            </w:r>
          </w:p>
        </w:tc>
      </w:tr>
      <w:tr w:rsidR="00606EEE">
        <w:trPr>
          <w:trHeight w:val="300"/>
        </w:trPr>
        <w:tc>
          <w:tcPr>
            <w:tcW w:w="2987" w:type="dxa"/>
            <w:gridSpan w:val="2"/>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NLR</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2.68 ± 1.73</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4.53 ± 3.29</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6.699</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00"/>
        </w:trPr>
        <w:tc>
          <w:tcPr>
            <w:tcW w:w="2987" w:type="dxa"/>
            <w:gridSpan w:val="2"/>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CAR</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0.089 ± 0.017</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0.175 ± 0.092</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14.693</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10"/>
        </w:trPr>
        <w:tc>
          <w:tcPr>
            <w:tcW w:w="2987" w:type="dxa"/>
            <w:gridSpan w:val="2"/>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D-dimer (μg/mL)</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kern w:val="0"/>
                <w:sz w:val="24"/>
              </w:rPr>
            </w:pPr>
            <w:r>
              <w:rPr>
                <w:rFonts w:ascii="Book Antiqua" w:eastAsia="宋体" w:hAnsi="Book Antiqua" w:cs="Times New Roman"/>
                <w:kern w:val="0"/>
                <w:sz w:val="24"/>
              </w:rPr>
              <w:t>0.553 ± 0.207</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kern w:val="0"/>
                <w:sz w:val="24"/>
              </w:rPr>
            </w:pPr>
            <w:r>
              <w:rPr>
                <w:rFonts w:ascii="Book Antiqua" w:eastAsia="宋体" w:hAnsi="Book Antiqua" w:cs="Times New Roman"/>
                <w:kern w:val="0"/>
                <w:sz w:val="24"/>
              </w:rPr>
              <w:t>0.943 ± 0.375</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kern w:val="0"/>
                <w:sz w:val="24"/>
              </w:rPr>
            </w:pPr>
            <w:r>
              <w:rPr>
                <w:rFonts w:ascii="Book Antiqua" w:eastAsia="宋体" w:hAnsi="Book Antiqua" w:cs="Times New Roman"/>
                <w:kern w:val="0"/>
                <w:sz w:val="24"/>
              </w:rPr>
              <w:t>13.117</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00"/>
        </w:trPr>
        <w:tc>
          <w:tcPr>
            <w:tcW w:w="2987" w:type="dxa"/>
            <w:gridSpan w:val="2"/>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sz w:val="24"/>
              </w:rPr>
              <w:t>Fibrinogen</w:t>
            </w:r>
            <w:r>
              <w:rPr>
                <w:rFonts w:ascii="Book Antiqua" w:eastAsia="宋体" w:hAnsi="Book Antiqua" w:cs="Times New Roman"/>
                <w:kern w:val="0"/>
                <w:sz w:val="24"/>
              </w:rPr>
              <w:t xml:space="preserve"> (g/L)</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3.121 ± 1.542</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3.524 ± 1.053</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2.204</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0.028</w:t>
            </w:r>
          </w:p>
        </w:tc>
      </w:tr>
      <w:tr w:rsidR="00606EEE">
        <w:trPr>
          <w:trHeight w:val="300"/>
        </w:trPr>
        <w:tc>
          <w:tcPr>
            <w:tcW w:w="2987" w:type="dxa"/>
            <w:gridSpan w:val="2"/>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CEA (ng/mL)</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3.34 ± 1.82</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6.13 ± 2.36</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11.281</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r w:rsidR="00606EEE">
        <w:trPr>
          <w:trHeight w:val="300"/>
        </w:trPr>
        <w:tc>
          <w:tcPr>
            <w:tcW w:w="2987" w:type="dxa"/>
            <w:gridSpan w:val="2"/>
            <w:tcBorders>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CA199 (U/mL)</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186.82 ± 139.74</w:t>
            </w:r>
          </w:p>
        </w:tc>
        <w:tc>
          <w:tcPr>
            <w:tcW w:w="170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635.24 ± 284.38</w:t>
            </w:r>
          </w:p>
        </w:tc>
        <w:tc>
          <w:tcPr>
            <w:tcW w:w="996"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15.067</w:t>
            </w:r>
          </w:p>
        </w:tc>
        <w:tc>
          <w:tcPr>
            <w:tcW w:w="94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0.000</w:t>
            </w:r>
          </w:p>
        </w:tc>
      </w:tr>
    </w:tbl>
    <w:p w:rsidR="00606EEE" w:rsidRDefault="009A50EC">
      <w:pPr>
        <w:spacing w:line="360" w:lineRule="auto"/>
        <w:rPr>
          <w:rFonts w:ascii="Book Antiqua" w:eastAsia="宋体" w:hAnsi="Book Antiqua" w:cs="Times New Roman"/>
          <w:kern w:val="0"/>
          <w:sz w:val="24"/>
        </w:rPr>
      </w:pPr>
      <w:r>
        <w:rPr>
          <w:rFonts w:ascii="Book Antiqua" w:eastAsia="宋体" w:hAnsi="Book Antiqua" w:cs="Times New Roman"/>
          <w:kern w:val="0"/>
          <w:sz w:val="24"/>
        </w:rPr>
        <w:t xml:space="preserve">BMI: Body mass index; TNM: Tumor-node-metastasis; PCNA: Proliferating cell nuclear antigen; </w:t>
      </w:r>
      <w:r>
        <w:rPr>
          <w:rFonts w:ascii="Book Antiqua" w:eastAsia="宋体" w:hAnsi="Book Antiqua" w:cs="Times New Roman"/>
          <w:sz w:val="24"/>
        </w:rPr>
        <w:t>GPS: Glasgow prognostic score;</w:t>
      </w:r>
      <w:r>
        <w:rPr>
          <w:rFonts w:ascii="Book Antiqua" w:eastAsia="宋体" w:hAnsi="Book Antiqua" w:cs="Times New Roman"/>
          <w:kern w:val="0"/>
          <w:sz w:val="24"/>
        </w:rPr>
        <w:t xml:space="preserve"> WBC: White blood cell; NLR: </w:t>
      </w:r>
      <w:r>
        <w:rPr>
          <w:rFonts w:ascii="Book Antiqua" w:eastAsia="宋体" w:hAnsi="Book Antiqua" w:cs="Times New Roman"/>
          <w:kern w:val="0"/>
          <w:sz w:val="24"/>
        </w:rPr>
        <w:lastRenderedPageBreak/>
        <w:t xml:space="preserve">Neutrophil-lymphocyte ratio; </w:t>
      </w:r>
      <w:r>
        <w:rPr>
          <w:rFonts w:ascii="Book Antiqua" w:eastAsia="宋体" w:hAnsi="Book Antiqua" w:cs="Times New Roman"/>
          <w:sz w:val="24"/>
        </w:rPr>
        <w:t>CAR: C-reactive protein/albumin ratio;</w:t>
      </w:r>
      <w:r>
        <w:rPr>
          <w:rFonts w:ascii="Book Antiqua" w:eastAsia="宋体" w:hAnsi="Book Antiqua" w:cs="Times New Roman"/>
          <w:kern w:val="0"/>
          <w:sz w:val="24"/>
        </w:rPr>
        <w:t xml:space="preserve"> CEA: Carcinoembryonic antigen; CA199:</w:t>
      </w:r>
      <w:r>
        <w:rPr>
          <w:rFonts w:ascii="Book Antiqua" w:eastAsia="宋体" w:hAnsi="Book Antiqua" w:cs="Times New Roman"/>
          <w:kern w:val="0"/>
          <w:sz w:val="24"/>
        </w:rPr>
        <w:t xml:space="preserve"> Carbohydrate antigen 199.</w:t>
      </w:r>
    </w:p>
    <w:p w:rsidR="00606EEE" w:rsidRDefault="00606EEE">
      <w:pPr>
        <w:spacing w:line="360" w:lineRule="auto"/>
        <w:rPr>
          <w:rFonts w:ascii="Book Antiqua" w:eastAsia="宋体" w:hAnsi="Book Antiqua" w:cs="Times New Roman"/>
          <w:sz w:val="24"/>
        </w:rPr>
      </w:pPr>
    </w:p>
    <w:p w:rsidR="00606EEE" w:rsidRDefault="009A50EC">
      <w:pPr>
        <w:widowControl/>
        <w:jc w:val="left"/>
        <w:rPr>
          <w:rFonts w:ascii="Book Antiqua" w:eastAsia="宋体" w:hAnsi="Book Antiqua" w:cs="Times New Roman"/>
          <w:b/>
          <w:bCs/>
          <w:sz w:val="24"/>
        </w:rPr>
      </w:pPr>
      <w:r>
        <w:rPr>
          <w:rFonts w:ascii="Book Antiqua" w:eastAsia="宋体" w:hAnsi="Book Antiqua" w:cs="Times New Roman"/>
          <w:b/>
          <w:bCs/>
          <w:sz w:val="24"/>
        </w:rPr>
        <w:br w:type="page"/>
      </w:r>
    </w:p>
    <w:p w:rsidR="00606EEE" w:rsidRDefault="009A50EC">
      <w:pPr>
        <w:spacing w:line="360" w:lineRule="auto"/>
        <w:rPr>
          <w:rFonts w:ascii="Book Antiqua" w:eastAsia="宋体" w:hAnsi="Book Antiqua" w:cs="Times New Roman"/>
          <w:b/>
          <w:bCs/>
          <w:sz w:val="24"/>
        </w:rPr>
      </w:pPr>
      <w:r>
        <w:rPr>
          <w:rFonts w:ascii="Book Antiqua" w:eastAsia="宋体" w:hAnsi="Book Antiqua" w:cs="Times New Roman"/>
          <w:b/>
          <w:bCs/>
          <w:sz w:val="24"/>
        </w:rPr>
        <w:lastRenderedPageBreak/>
        <w:t xml:space="preserve">Table 2 </w:t>
      </w:r>
      <w:r>
        <w:rPr>
          <w:rFonts w:ascii="Book Antiqua" w:eastAsia="宋体" w:hAnsi="Book Antiqua" w:cs="Times New Roman"/>
          <w:b/>
          <w:bCs/>
          <w:caps/>
          <w:sz w:val="24"/>
        </w:rPr>
        <w:t xml:space="preserve">Cox </w:t>
      </w:r>
      <w:r>
        <w:rPr>
          <w:rFonts w:ascii="Book Antiqua" w:eastAsia="宋体" w:hAnsi="Book Antiqua" w:cs="Times New Roman"/>
          <w:b/>
          <w:bCs/>
          <w:sz w:val="24"/>
        </w:rPr>
        <w:t>regression analysis of influencing factors for the prognosis of colorectal cancer</w:t>
      </w:r>
    </w:p>
    <w:tbl>
      <w:tblPr>
        <w:tblW w:w="8326" w:type="dxa"/>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1942"/>
        <w:gridCol w:w="745"/>
        <w:gridCol w:w="584"/>
        <w:gridCol w:w="721"/>
        <w:gridCol w:w="980"/>
        <w:gridCol w:w="690"/>
        <w:gridCol w:w="1347"/>
        <w:gridCol w:w="1317"/>
      </w:tblGrid>
      <w:tr w:rsidR="00606EEE">
        <w:trPr>
          <w:trHeight w:val="310"/>
        </w:trPr>
        <w:tc>
          <w:tcPr>
            <w:tcW w:w="1942" w:type="dxa"/>
            <w:vMerge w:val="restart"/>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745" w:type="dxa"/>
            <w:vMerge w:val="restart"/>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B</w:t>
            </w:r>
          </w:p>
        </w:tc>
        <w:tc>
          <w:tcPr>
            <w:tcW w:w="584" w:type="dxa"/>
            <w:vMerge w:val="restart"/>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SE</w:t>
            </w:r>
          </w:p>
        </w:tc>
        <w:tc>
          <w:tcPr>
            <w:tcW w:w="721" w:type="dxa"/>
            <w:vMerge w:val="restart"/>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Wald</w:t>
            </w:r>
          </w:p>
        </w:tc>
        <w:tc>
          <w:tcPr>
            <w:tcW w:w="980" w:type="dxa"/>
            <w:vMerge w:val="restart"/>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i/>
                <w:iCs/>
                <w:kern w:val="0"/>
                <w:sz w:val="24"/>
              </w:rPr>
              <w:t>P</w:t>
            </w:r>
            <w:r>
              <w:rPr>
                <w:rStyle w:val="font71"/>
                <w:rFonts w:ascii="Book Antiqua" w:hAnsi="Book Antiqua" w:cs="Times New Roman" w:hint="default"/>
                <w:b/>
                <w:bCs/>
                <w:color w:val="auto"/>
              </w:rPr>
              <w:t>-value</w:t>
            </w:r>
          </w:p>
        </w:tc>
        <w:tc>
          <w:tcPr>
            <w:tcW w:w="690" w:type="dxa"/>
            <w:vMerge w:val="restart"/>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RR</w:t>
            </w:r>
          </w:p>
        </w:tc>
        <w:tc>
          <w:tcPr>
            <w:tcW w:w="2664" w:type="dxa"/>
            <w:gridSpan w:val="2"/>
            <w:tcBorders>
              <w:bottom w:val="single" w:sz="8" w:space="0" w:color="000000"/>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95.0%CI</w:t>
            </w:r>
          </w:p>
        </w:tc>
      </w:tr>
      <w:tr w:rsidR="00606EEE">
        <w:trPr>
          <w:trHeight w:val="300"/>
        </w:trPr>
        <w:tc>
          <w:tcPr>
            <w:tcW w:w="1942" w:type="dxa"/>
            <w:vMerge/>
            <w:tcBorders>
              <w:bottom w:val="single" w:sz="8" w:space="0" w:color="000000"/>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sz w:val="24"/>
              </w:rPr>
            </w:pPr>
          </w:p>
        </w:tc>
        <w:tc>
          <w:tcPr>
            <w:tcW w:w="745" w:type="dxa"/>
            <w:vMerge/>
            <w:tcBorders>
              <w:bottom w:val="single" w:sz="8" w:space="0" w:color="000000"/>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b/>
                <w:bCs/>
                <w:sz w:val="24"/>
              </w:rPr>
            </w:pPr>
          </w:p>
        </w:tc>
        <w:tc>
          <w:tcPr>
            <w:tcW w:w="584" w:type="dxa"/>
            <w:vMerge/>
            <w:tcBorders>
              <w:bottom w:val="single" w:sz="8" w:space="0" w:color="000000"/>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b/>
                <w:bCs/>
                <w:sz w:val="24"/>
              </w:rPr>
            </w:pPr>
          </w:p>
        </w:tc>
        <w:tc>
          <w:tcPr>
            <w:tcW w:w="721" w:type="dxa"/>
            <w:vMerge/>
            <w:tcBorders>
              <w:bottom w:val="single" w:sz="8" w:space="0" w:color="000000"/>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b/>
                <w:bCs/>
                <w:sz w:val="24"/>
              </w:rPr>
            </w:pPr>
          </w:p>
        </w:tc>
        <w:tc>
          <w:tcPr>
            <w:tcW w:w="980" w:type="dxa"/>
            <w:vMerge/>
            <w:tcBorders>
              <w:bottom w:val="single" w:sz="8" w:space="0" w:color="000000"/>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b/>
                <w:bCs/>
                <w:sz w:val="24"/>
              </w:rPr>
            </w:pPr>
          </w:p>
        </w:tc>
        <w:tc>
          <w:tcPr>
            <w:tcW w:w="690" w:type="dxa"/>
            <w:vMerge/>
            <w:tcBorders>
              <w:bottom w:val="single" w:sz="8" w:space="0" w:color="000000"/>
            </w:tcBorders>
            <w:shd w:val="clear" w:color="auto" w:fill="auto"/>
            <w:noWrap/>
            <w:tcMar>
              <w:top w:w="10" w:type="dxa"/>
              <w:left w:w="10" w:type="dxa"/>
              <w:right w:w="10" w:type="dxa"/>
            </w:tcMar>
            <w:vAlign w:val="center"/>
          </w:tcPr>
          <w:p w:rsidR="00606EEE" w:rsidRDefault="00606EEE">
            <w:pPr>
              <w:spacing w:line="360" w:lineRule="auto"/>
              <w:rPr>
                <w:rFonts w:ascii="Book Antiqua" w:eastAsia="宋体" w:hAnsi="Book Antiqua" w:cs="Times New Roman"/>
                <w:b/>
                <w:bCs/>
                <w:sz w:val="24"/>
              </w:rPr>
            </w:pPr>
          </w:p>
        </w:tc>
        <w:tc>
          <w:tcPr>
            <w:tcW w:w="1347" w:type="dxa"/>
            <w:tcBorders>
              <w:top w:val="single" w:sz="8" w:space="0" w:color="000000"/>
              <w:bottom w:val="single" w:sz="8" w:space="0" w:color="000000"/>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Lower limit</w:t>
            </w:r>
          </w:p>
        </w:tc>
        <w:tc>
          <w:tcPr>
            <w:tcW w:w="1317" w:type="dxa"/>
            <w:tcBorders>
              <w:top w:val="single" w:sz="8" w:space="0" w:color="000000"/>
              <w:bottom w:val="single" w:sz="8" w:space="0" w:color="000000"/>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Upper limit</w:t>
            </w:r>
          </w:p>
        </w:tc>
      </w:tr>
      <w:tr w:rsidR="00606EEE">
        <w:trPr>
          <w:trHeight w:val="310"/>
        </w:trPr>
        <w:tc>
          <w:tcPr>
            <w:tcW w:w="1942" w:type="dxa"/>
            <w:tcBorders>
              <w:top w:val="single" w:sz="8" w:space="0" w:color="000000"/>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Age</w:t>
            </w:r>
          </w:p>
        </w:tc>
        <w:tc>
          <w:tcPr>
            <w:tcW w:w="745" w:type="dxa"/>
            <w:tcBorders>
              <w:top w:val="single" w:sz="8" w:space="0" w:color="000000"/>
              <w:tl2br w:val="nil"/>
              <w:tr2bl w:val="nil"/>
            </w:tcBorders>
            <w:shd w:val="clear" w:color="auto" w:fill="auto"/>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0.241 </w:t>
            </w:r>
          </w:p>
        </w:tc>
        <w:tc>
          <w:tcPr>
            <w:tcW w:w="584" w:type="dxa"/>
            <w:tcBorders>
              <w:top w:val="single" w:sz="8" w:space="0" w:color="000000"/>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0.223 </w:t>
            </w:r>
          </w:p>
        </w:tc>
        <w:tc>
          <w:tcPr>
            <w:tcW w:w="721" w:type="dxa"/>
            <w:tcBorders>
              <w:top w:val="single" w:sz="8" w:space="0" w:color="000000"/>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1.328 </w:t>
            </w:r>
          </w:p>
        </w:tc>
        <w:tc>
          <w:tcPr>
            <w:tcW w:w="980" w:type="dxa"/>
            <w:tcBorders>
              <w:top w:val="single" w:sz="8" w:space="0" w:color="000000"/>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0.154 </w:t>
            </w:r>
          </w:p>
        </w:tc>
        <w:tc>
          <w:tcPr>
            <w:tcW w:w="690" w:type="dxa"/>
            <w:tcBorders>
              <w:top w:val="single" w:sz="8" w:space="0" w:color="000000"/>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1.273 </w:t>
            </w:r>
          </w:p>
        </w:tc>
        <w:tc>
          <w:tcPr>
            <w:tcW w:w="1347" w:type="dxa"/>
            <w:tcBorders>
              <w:top w:val="single" w:sz="8" w:space="0" w:color="000000"/>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0.822 </w:t>
            </w:r>
          </w:p>
        </w:tc>
        <w:tc>
          <w:tcPr>
            <w:tcW w:w="1317" w:type="dxa"/>
            <w:tcBorders>
              <w:top w:val="single" w:sz="8" w:space="0" w:color="000000"/>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1.971 </w:t>
            </w:r>
          </w:p>
        </w:tc>
      </w:tr>
      <w:tr w:rsidR="00606EEE">
        <w:trPr>
          <w:trHeight w:val="28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Tumor diameter</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0.160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0.315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1.142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0.328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1.173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0.633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2.175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TNM stage</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1.762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0.442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7.364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5.824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2.449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13.850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PCNA</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1.534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0.382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6.338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4.635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2.192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9.800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GPS</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2.238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0.448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8.927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9.377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3.897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22.564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C-reactive protein</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0.454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0.355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2.773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0.058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1.574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0.785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3.156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Albumin</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-0.129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0.371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2.538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0.105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0.879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0.425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1.819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WBC count</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0.149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0.433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1.292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0.183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1.161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0.497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2.713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NLR</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0.816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0.233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6.792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2.261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1.432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3.570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CAR</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2.678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0.341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9.338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14.552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7.459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28.391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D-dimer</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2.498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0.636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8.923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12.153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3.494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42.272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sz w:val="24"/>
              </w:rPr>
              <w:t>Fibrinogen</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0.603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0.386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0.751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0.625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1.827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0.857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3.893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CEA</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1.342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0.492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6.877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0.000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3.827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1.459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10.038 </w:t>
            </w:r>
          </w:p>
        </w:tc>
      </w:tr>
      <w:tr w:rsidR="00606EEE">
        <w:trPr>
          <w:trHeight w:val="310"/>
        </w:trPr>
        <w:tc>
          <w:tcPr>
            <w:tcW w:w="1942"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CA199</w:t>
            </w:r>
          </w:p>
        </w:tc>
        <w:tc>
          <w:tcPr>
            <w:tcW w:w="745"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0.226 </w:t>
            </w:r>
          </w:p>
        </w:tc>
        <w:tc>
          <w:tcPr>
            <w:tcW w:w="584"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0.553 </w:t>
            </w:r>
          </w:p>
        </w:tc>
        <w:tc>
          <w:tcPr>
            <w:tcW w:w="721"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1.149 </w:t>
            </w:r>
          </w:p>
        </w:tc>
        <w:tc>
          <w:tcPr>
            <w:tcW w:w="98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0.322 </w:t>
            </w:r>
          </w:p>
        </w:tc>
        <w:tc>
          <w:tcPr>
            <w:tcW w:w="690"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1.253 </w:t>
            </w:r>
          </w:p>
        </w:tc>
        <w:tc>
          <w:tcPr>
            <w:tcW w:w="134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0.424 </w:t>
            </w:r>
          </w:p>
        </w:tc>
        <w:tc>
          <w:tcPr>
            <w:tcW w:w="1317" w:type="dxa"/>
            <w:tcBorders>
              <w:tl2br w:val="nil"/>
              <w:tr2bl w:val="nil"/>
            </w:tcBorders>
            <w:shd w:val="clear" w:color="auto" w:fill="auto"/>
            <w:noWrap/>
            <w:tcMar>
              <w:top w:w="10" w:type="dxa"/>
              <w:left w:w="10" w:type="dxa"/>
              <w:right w:w="10" w:type="dxa"/>
            </w:tcMar>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 xml:space="preserve">3.704 </w:t>
            </w:r>
          </w:p>
        </w:tc>
      </w:tr>
    </w:tbl>
    <w:p w:rsidR="00606EEE" w:rsidRDefault="009A50EC">
      <w:pPr>
        <w:spacing w:line="360" w:lineRule="auto"/>
        <w:rPr>
          <w:rFonts w:ascii="Book Antiqua" w:eastAsia="宋体" w:hAnsi="Book Antiqua" w:cs="Times New Roman"/>
          <w:sz w:val="24"/>
        </w:rPr>
      </w:pPr>
      <w:r>
        <w:rPr>
          <w:rFonts w:ascii="Book Antiqua" w:eastAsia="宋体" w:hAnsi="Book Antiqua" w:cs="Times New Roman"/>
          <w:kern w:val="0"/>
          <w:sz w:val="24"/>
        </w:rPr>
        <w:t xml:space="preserve">TNM: Tumor-node-metastasis; PCNA: Proliferating cell nuclear antigen; </w:t>
      </w:r>
      <w:r>
        <w:rPr>
          <w:rFonts w:ascii="Book Antiqua" w:eastAsia="宋体" w:hAnsi="Book Antiqua" w:cs="Times New Roman"/>
          <w:sz w:val="24"/>
        </w:rPr>
        <w:t>GPS: Glasgow prognostic score;</w:t>
      </w:r>
      <w:r>
        <w:rPr>
          <w:rFonts w:ascii="Book Antiqua" w:eastAsia="宋体" w:hAnsi="Book Antiqua" w:cs="Times New Roman"/>
          <w:kern w:val="0"/>
          <w:sz w:val="24"/>
        </w:rPr>
        <w:t xml:space="preserve"> WBC: White blood cell; NLR: Neutrophil-lymphocyte ratio;</w:t>
      </w:r>
      <w:r>
        <w:rPr>
          <w:rFonts w:ascii="Book Antiqua" w:eastAsia="宋体" w:hAnsi="Book Antiqua" w:cs="Times New Roman"/>
          <w:sz w:val="24"/>
        </w:rPr>
        <w:t xml:space="preserve"> CAR:</w:t>
      </w:r>
      <w:r>
        <w:rPr>
          <w:rFonts w:ascii="Book Antiqua" w:eastAsia="宋体" w:hAnsi="Book Antiqua" w:cs="Times New Roman"/>
          <w:kern w:val="0"/>
          <w:sz w:val="24"/>
        </w:rPr>
        <w:t xml:space="preserve"> </w:t>
      </w:r>
      <w:r>
        <w:rPr>
          <w:rFonts w:ascii="Book Antiqua" w:eastAsia="宋体" w:hAnsi="Book Antiqua" w:cs="Times New Roman"/>
          <w:sz w:val="24"/>
        </w:rPr>
        <w:t>C-reactive protein/albumin ratio;</w:t>
      </w:r>
      <w:r>
        <w:rPr>
          <w:rFonts w:ascii="Book Antiqua" w:eastAsia="宋体" w:hAnsi="Book Antiqua" w:cs="Times New Roman"/>
          <w:kern w:val="0"/>
          <w:sz w:val="24"/>
        </w:rPr>
        <w:t xml:space="preserve"> CEA: Carcinoembryonic antigen; CA199: Carbohydrate antigen </w:t>
      </w:r>
      <w:r>
        <w:rPr>
          <w:rFonts w:ascii="Book Antiqua" w:eastAsia="宋体" w:hAnsi="Book Antiqua" w:cs="Times New Roman"/>
          <w:kern w:val="0"/>
          <w:sz w:val="24"/>
        </w:rPr>
        <w:t>199.</w:t>
      </w:r>
    </w:p>
    <w:p w:rsidR="00606EEE" w:rsidRDefault="00606EEE">
      <w:pPr>
        <w:spacing w:line="360" w:lineRule="auto"/>
        <w:rPr>
          <w:rFonts w:ascii="Book Antiqua" w:hAnsi="Book Antiqua" w:cs="Times New Roman"/>
          <w:sz w:val="24"/>
        </w:rPr>
      </w:pPr>
    </w:p>
    <w:p w:rsidR="00606EEE" w:rsidRDefault="009A50EC">
      <w:pPr>
        <w:widowControl/>
        <w:jc w:val="left"/>
        <w:rPr>
          <w:rFonts w:ascii="Book Antiqua" w:hAnsi="Book Antiqua" w:cs="Times New Roman"/>
          <w:b/>
          <w:bCs/>
          <w:sz w:val="24"/>
        </w:rPr>
      </w:pPr>
      <w:r>
        <w:rPr>
          <w:rFonts w:ascii="Book Antiqua" w:hAnsi="Book Antiqua" w:cs="Times New Roman"/>
          <w:b/>
          <w:bCs/>
          <w:sz w:val="24"/>
        </w:rPr>
        <w:br w:type="page"/>
      </w:r>
    </w:p>
    <w:p w:rsidR="00606EEE" w:rsidRDefault="009A50EC">
      <w:pPr>
        <w:spacing w:line="360" w:lineRule="auto"/>
        <w:rPr>
          <w:rFonts w:ascii="Book Antiqua" w:hAnsi="Book Antiqua" w:cs="Times New Roman"/>
          <w:b/>
          <w:bCs/>
          <w:sz w:val="24"/>
        </w:rPr>
      </w:pPr>
      <w:r>
        <w:rPr>
          <w:rFonts w:ascii="Book Antiqua" w:hAnsi="Book Antiqua" w:cs="Times New Roman"/>
          <w:b/>
          <w:bCs/>
          <w:sz w:val="24"/>
        </w:rPr>
        <w:lastRenderedPageBreak/>
        <w:t xml:space="preserve">Table 3 Receiver operating characteristic (ROC) curve analysis of potential indicators for predicting the prognosis of </w:t>
      </w:r>
      <w:r>
        <w:rPr>
          <w:rFonts w:ascii="Book Antiqua" w:eastAsia="宋体" w:hAnsi="Book Antiqua" w:cs="Times New Roman"/>
          <w:b/>
          <w:bCs/>
          <w:sz w:val="24"/>
        </w:rPr>
        <w:t>colorectal cancer</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800"/>
        <w:gridCol w:w="750"/>
        <w:gridCol w:w="1498"/>
        <w:gridCol w:w="1526"/>
        <w:gridCol w:w="889"/>
        <w:gridCol w:w="873"/>
      </w:tblGrid>
      <w:tr w:rsidR="00606EEE">
        <w:trPr>
          <w:trHeight w:val="191"/>
        </w:trPr>
        <w:tc>
          <w:tcPr>
            <w:tcW w:w="2800" w:type="dxa"/>
            <w:tcBorders>
              <w:top w:val="single" w:sz="12" w:space="0" w:color="auto"/>
              <w:bottom w:val="single" w:sz="4" w:space="0" w:color="auto"/>
              <w:tl2br w:val="nil"/>
              <w:tr2bl w:val="nil"/>
            </w:tcBorders>
            <w:vAlign w:val="center"/>
          </w:tcPr>
          <w:p w:rsidR="00606EEE" w:rsidRDefault="00606EEE">
            <w:pPr>
              <w:spacing w:line="360" w:lineRule="auto"/>
              <w:rPr>
                <w:rFonts w:ascii="Book Antiqua" w:eastAsia="宋体" w:hAnsi="Book Antiqua" w:cs="Times New Roman"/>
                <w:sz w:val="24"/>
              </w:rPr>
            </w:pPr>
          </w:p>
        </w:tc>
        <w:tc>
          <w:tcPr>
            <w:tcW w:w="750" w:type="dxa"/>
            <w:tcBorders>
              <w:top w:val="single" w:sz="12" w:space="0" w:color="auto"/>
              <w:bottom w:val="single" w:sz="4" w:space="0" w:color="auto"/>
              <w:tl2br w:val="nil"/>
              <w:tr2bl w:val="nil"/>
            </w:tcBorders>
            <w:vAlign w:val="center"/>
          </w:tcPr>
          <w:p w:rsidR="00606EEE" w:rsidRDefault="009A50EC">
            <w:pPr>
              <w:widowControl/>
              <w:spacing w:line="360" w:lineRule="auto"/>
              <w:textAlignment w:val="center"/>
              <w:rPr>
                <w:rFonts w:ascii="Book Antiqua" w:eastAsia="宋体" w:hAnsi="Book Antiqua" w:cs="Times New Roman"/>
                <w:b/>
                <w:bCs/>
                <w:kern w:val="0"/>
                <w:sz w:val="24"/>
              </w:rPr>
            </w:pPr>
            <w:r>
              <w:rPr>
                <w:rFonts w:ascii="Book Antiqua" w:eastAsia="宋体" w:hAnsi="Book Antiqua" w:cs="Times New Roman"/>
                <w:b/>
                <w:bCs/>
                <w:kern w:val="0"/>
                <w:sz w:val="24"/>
              </w:rPr>
              <w:t>AUC</w:t>
            </w:r>
          </w:p>
        </w:tc>
        <w:tc>
          <w:tcPr>
            <w:tcW w:w="1498" w:type="dxa"/>
            <w:tcBorders>
              <w:top w:val="single" w:sz="12" w:space="0" w:color="auto"/>
              <w:bottom w:val="single" w:sz="4" w:space="0" w:color="auto"/>
              <w:tl2br w:val="nil"/>
              <w:tr2bl w:val="nil"/>
            </w:tcBorders>
            <w:vAlign w:val="center"/>
          </w:tcPr>
          <w:p w:rsidR="00606EEE" w:rsidRDefault="009A50EC">
            <w:pPr>
              <w:widowControl/>
              <w:spacing w:line="360" w:lineRule="auto"/>
              <w:textAlignment w:val="center"/>
              <w:rPr>
                <w:rFonts w:ascii="Book Antiqua" w:eastAsia="宋体" w:hAnsi="Book Antiqua" w:cs="Times New Roman"/>
                <w:b/>
                <w:bCs/>
                <w:kern w:val="0"/>
                <w:sz w:val="24"/>
              </w:rPr>
            </w:pPr>
            <w:r>
              <w:rPr>
                <w:rFonts w:ascii="Book Antiqua" w:eastAsia="宋体" w:hAnsi="Book Antiqua" w:cs="Times New Roman"/>
                <w:b/>
                <w:bCs/>
                <w:kern w:val="0"/>
                <w:sz w:val="24"/>
              </w:rPr>
              <w:t>95%CI</w:t>
            </w:r>
          </w:p>
        </w:tc>
        <w:tc>
          <w:tcPr>
            <w:tcW w:w="1526" w:type="dxa"/>
            <w:tcBorders>
              <w:top w:val="single" w:sz="12" w:space="0" w:color="auto"/>
              <w:bottom w:val="single" w:sz="4" w:space="0" w:color="auto"/>
              <w:tl2br w:val="nil"/>
              <w:tr2bl w:val="nil"/>
            </w:tcBorders>
            <w:vAlign w:val="center"/>
          </w:tcPr>
          <w:p w:rsidR="00606EEE" w:rsidRDefault="009A50EC">
            <w:pPr>
              <w:widowControl/>
              <w:spacing w:line="360" w:lineRule="auto"/>
              <w:textAlignment w:val="center"/>
              <w:rPr>
                <w:rFonts w:ascii="Book Antiqua" w:eastAsia="宋体" w:hAnsi="Book Antiqua" w:cs="Times New Roman"/>
                <w:b/>
                <w:bCs/>
                <w:kern w:val="0"/>
                <w:sz w:val="24"/>
              </w:rPr>
            </w:pPr>
            <w:r>
              <w:rPr>
                <w:rFonts w:ascii="Book Antiqua" w:eastAsia="宋体" w:hAnsi="Book Antiqua" w:cs="Times New Roman"/>
                <w:b/>
                <w:bCs/>
                <w:kern w:val="0"/>
                <w:sz w:val="24"/>
              </w:rPr>
              <w:t>Cutoff</w:t>
            </w:r>
          </w:p>
        </w:tc>
        <w:tc>
          <w:tcPr>
            <w:tcW w:w="889" w:type="dxa"/>
            <w:tcBorders>
              <w:top w:val="single" w:sz="12" w:space="0" w:color="auto"/>
              <w:bottom w:val="single" w:sz="4" w:space="0" w:color="auto"/>
              <w:tl2br w:val="nil"/>
              <w:tr2bl w:val="nil"/>
            </w:tcBorders>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sz w:val="24"/>
              </w:rPr>
              <w:t>Sensitivity (%)</w:t>
            </w:r>
          </w:p>
        </w:tc>
        <w:tc>
          <w:tcPr>
            <w:tcW w:w="873" w:type="dxa"/>
            <w:tcBorders>
              <w:top w:val="single" w:sz="12" w:space="0" w:color="auto"/>
              <w:bottom w:val="single" w:sz="4" w:space="0" w:color="auto"/>
              <w:tl2br w:val="nil"/>
              <w:tr2bl w:val="nil"/>
            </w:tcBorders>
            <w:vAlign w:val="center"/>
          </w:tcPr>
          <w:p w:rsidR="00606EEE" w:rsidRDefault="009A50EC">
            <w:pPr>
              <w:widowControl/>
              <w:spacing w:line="360" w:lineRule="auto"/>
              <w:textAlignment w:val="center"/>
              <w:rPr>
                <w:rFonts w:ascii="Book Antiqua" w:eastAsia="宋体" w:hAnsi="Book Antiqua" w:cs="Times New Roman"/>
                <w:b/>
                <w:bCs/>
                <w:sz w:val="24"/>
              </w:rPr>
            </w:pPr>
            <w:r>
              <w:rPr>
                <w:rFonts w:ascii="Book Antiqua" w:eastAsia="宋体" w:hAnsi="Book Antiqua" w:cs="Times New Roman"/>
                <w:b/>
                <w:bCs/>
                <w:kern w:val="0"/>
                <w:sz w:val="24"/>
              </w:rPr>
              <w:t>Specificity (%)</w:t>
            </w:r>
          </w:p>
        </w:tc>
      </w:tr>
      <w:tr w:rsidR="00606EEE">
        <w:trPr>
          <w:trHeight w:val="810"/>
        </w:trPr>
        <w:tc>
          <w:tcPr>
            <w:tcW w:w="2800" w:type="dxa"/>
            <w:tcBorders>
              <w:top w:val="single" w:sz="4" w:space="0" w:color="auto"/>
              <w:tl2br w:val="nil"/>
              <w:tr2bl w:val="nil"/>
            </w:tcBorders>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TNM stage</w:t>
            </w:r>
          </w:p>
        </w:tc>
        <w:tc>
          <w:tcPr>
            <w:tcW w:w="750" w:type="dxa"/>
            <w:tcBorders>
              <w:top w:val="single" w:sz="4" w:space="0" w:color="auto"/>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0.613</w:t>
            </w:r>
          </w:p>
        </w:tc>
        <w:tc>
          <w:tcPr>
            <w:tcW w:w="1498" w:type="dxa"/>
            <w:tcBorders>
              <w:top w:val="single" w:sz="4" w:space="0" w:color="auto"/>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0.560-0.663</w:t>
            </w:r>
          </w:p>
        </w:tc>
        <w:tc>
          <w:tcPr>
            <w:tcW w:w="1526" w:type="dxa"/>
            <w:tcBorders>
              <w:top w:val="single" w:sz="4" w:space="0" w:color="auto"/>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2</w:t>
            </w:r>
          </w:p>
        </w:tc>
        <w:tc>
          <w:tcPr>
            <w:tcW w:w="889" w:type="dxa"/>
            <w:tcBorders>
              <w:top w:val="single" w:sz="4" w:space="0" w:color="auto"/>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45.68</w:t>
            </w:r>
          </w:p>
        </w:tc>
        <w:tc>
          <w:tcPr>
            <w:tcW w:w="873" w:type="dxa"/>
            <w:tcBorders>
              <w:top w:val="single" w:sz="4" w:space="0" w:color="auto"/>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81.39</w:t>
            </w:r>
          </w:p>
        </w:tc>
      </w:tr>
      <w:tr w:rsidR="00606EEE">
        <w:trPr>
          <w:trHeight w:val="540"/>
        </w:trPr>
        <w:tc>
          <w:tcPr>
            <w:tcW w:w="2800" w:type="dxa"/>
            <w:tcBorders>
              <w:tl2br w:val="nil"/>
              <w:tr2bl w:val="nil"/>
            </w:tcBorders>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PCNA</w:t>
            </w:r>
          </w:p>
        </w:tc>
        <w:tc>
          <w:tcPr>
            <w:tcW w:w="750"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0.837</w:t>
            </w:r>
          </w:p>
        </w:tc>
        <w:tc>
          <w:tcPr>
            <w:tcW w:w="1498"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0.794-0.874</w:t>
            </w:r>
          </w:p>
        </w:tc>
        <w:tc>
          <w:tcPr>
            <w:tcW w:w="1526"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2</w:t>
            </w:r>
          </w:p>
        </w:tc>
        <w:tc>
          <w:tcPr>
            <w:tcW w:w="889"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81.48</w:t>
            </w:r>
          </w:p>
        </w:tc>
        <w:tc>
          <w:tcPr>
            <w:tcW w:w="873"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80.29</w:t>
            </w:r>
          </w:p>
        </w:tc>
      </w:tr>
      <w:tr w:rsidR="00606EEE">
        <w:trPr>
          <w:trHeight w:val="540"/>
        </w:trPr>
        <w:tc>
          <w:tcPr>
            <w:tcW w:w="2800" w:type="dxa"/>
            <w:tcBorders>
              <w:tl2br w:val="nil"/>
              <w:tr2bl w:val="nil"/>
            </w:tcBorders>
            <w:vAlign w:val="center"/>
          </w:tcPr>
          <w:p w:rsidR="00606EEE" w:rsidRDefault="009A50EC">
            <w:pPr>
              <w:widowControl/>
              <w:spacing w:line="360" w:lineRule="auto"/>
              <w:textAlignment w:val="center"/>
              <w:rPr>
                <w:rFonts w:ascii="Book Antiqua" w:eastAsia="宋体" w:hAnsi="Book Antiqua" w:cs="Times New Roman"/>
                <w:sz w:val="24"/>
              </w:rPr>
            </w:pPr>
            <w:r>
              <w:rPr>
                <w:rFonts w:ascii="Book Antiqua" w:eastAsia="宋体" w:hAnsi="Book Antiqua" w:cs="Times New Roman"/>
                <w:kern w:val="0"/>
                <w:sz w:val="24"/>
              </w:rPr>
              <w:t>GPS</w:t>
            </w:r>
          </w:p>
        </w:tc>
        <w:tc>
          <w:tcPr>
            <w:tcW w:w="750"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0.872</w:t>
            </w:r>
          </w:p>
        </w:tc>
        <w:tc>
          <w:tcPr>
            <w:tcW w:w="1498"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0.832-0.905</w:t>
            </w:r>
          </w:p>
        </w:tc>
        <w:tc>
          <w:tcPr>
            <w:tcW w:w="1526"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1</w:t>
            </w:r>
          </w:p>
        </w:tc>
        <w:tc>
          <w:tcPr>
            <w:tcW w:w="889"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88.89</w:t>
            </w:r>
          </w:p>
        </w:tc>
        <w:tc>
          <w:tcPr>
            <w:tcW w:w="873"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85.04</w:t>
            </w:r>
          </w:p>
        </w:tc>
      </w:tr>
      <w:tr w:rsidR="00606EEE">
        <w:trPr>
          <w:trHeight w:val="540"/>
        </w:trPr>
        <w:tc>
          <w:tcPr>
            <w:tcW w:w="2800" w:type="dxa"/>
            <w:tcBorders>
              <w:tl2br w:val="nil"/>
              <w:tr2bl w:val="nil"/>
            </w:tcBorders>
            <w:vAlign w:val="center"/>
          </w:tcPr>
          <w:p w:rsidR="00606EEE" w:rsidRDefault="009A50EC">
            <w:pPr>
              <w:widowControl/>
              <w:spacing w:line="360" w:lineRule="auto"/>
              <w:textAlignment w:val="center"/>
              <w:rPr>
                <w:rFonts w:ascii="Book Antiqua" w:eastAsia="宋体" w:hAnsi="Book Antiqua" w:cs="Times New Roman"/>
                <w:bCs/>
                <w:kern w:val="0"/>
                <w:sz w:val="24"/>
              </w:rPr>
            </w:pPr>
            <w:r>
              <w:rPr>
                <w:rFonts w:ascii="Book Antiqua" w:eastAsia="宋体" w:hAnsi="Book Antiqua" w:cs="Times New Roman"/>
                <w:kern w:val="0"/>
                <w:sz w:val="24"/>
              </w:rPr>
              <w:t>NLR</w:t>
            </w:r>
          </w:p>
        </w:tc>
        <w:tc>
          <w:tcPr>
            <w:tcW w:w="750"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Style w:val="result"/>
                <w:rFonts w:ascii="Book Antiqua" w:eastAsia="宋体" w:hAnsi="Book Antiqua" w:cs="Times New Roman"/>
                <w:color w:val="auto"/>
                <w:sz w:val="24"/>
              </w:rPr>
              <w:t>0.925</w:t>
            </w:r>
          </w:p>
        </w:tc>
        <w:tc>
          <w:tcPr>
            <w:tcW w:w="1498"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Style w:val="result"/>
                <w:rFonts w:ascii="Book Antiqua" w:eastAsia="宋体" w:hAnsi="Book Antiqua" w:cs="Times New Roman"/>
                <w:color w:val="auto"/>
                <w:sz w:val="24"/>
              </w:rPr>
              <w:t>0.860-0.966</w:t>
            </w:r>
          </w:p>
        </w:tc>
        <w:tc>
          <w:tcPr>
            <w:tcW w:w="1526"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0.206</w:t>
            </w:r>
          </w:p>
        </w:tc>
        <w:tc>
          <w:tcPr>
            <w:tcW w:w="889"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94.12</w:t>
            </w:r>
          </w:p>
        </w:tc>
        <w:tc>
          <w:tcPr>
            <w:tcW w:w="873"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eastAsia="宋体" w:hAnsi="Book Antiqua" w:cs="Times New Roman"/>
                <w:sz w:val="24"/>
              </w:rPr>
              <w:t>80.25</w:t>
            </w:r>
          </w:p>
        </w:tc>
      </w:tr>
      <w:tr w:rsidR="00606EEE">
        <w:trPr>
          <w:trHeight w:val="540"/>
        </w:trPr>
        <w:tc>
          <w:tcPr>
            <w:tcW w:w="2800" w:type="dxa"/>
            <w:tcBorders>
              <w:tl2br w:val="nil"/>
              <w:tr2bl w:val="nil"/>
            </w:tcBorders>
            <w:vAlign w:val="center"/>
          </w:tcPr>
          <w:p w:rsidR="00606EEE" w:rsidRDefault="009A50EC">
            <w:pPr>
              <w:widowControl/>
              <w:spacing w:line="360" w:lineRule="auto"/>
              <w:textAlignment w:val="center"/>
              <w:rPr>
                <w:rStyle w:val="result"/>
                <w:rFonts w:ascii="Book Antiqua" w:eastAsia="宋体" w:hAnsi="Book Antiqua" w:cs="Times New Roman"/>
                <w:color w:val="auto"/>
                <w:sz w:val="24"/>
              </w:rPr>
            </w:pPr>
            <w:r>
              <w:rPr>
                <w:rFonts w:ascii="Book Antiqua" w:eastAsia="宋体" w:hAnsi="Book Antiqua" w:cs="Times New Roman"/>
                <w:kern w:val="0"/>
                <w:sz w:val="24"/>
              </w:rPr>
              <w:t>CAR</w:t>
            </w:r>
          </w:p>
        </w:tc>
        <w:tc>
          <w:tcPr>
            <w:tcW w:w="750" w:type="dxa"/>
            <w:tcBorders>
              <w:tl2br w:val="nil"/>
              <w:tr2bl w:val="nil"/>
            </w:tcBorders>
            <w:vAlign w:val="center"/>
          </w:tcPr>
          <w:p w:rsidR="00606EEE" w:rsidRDefault="009A50EC">
            <w:pPr>
              <w:spacing w:line="360" w:lineRule="auto"/>
              <w:rPr>
                <w:rStyle w:val="result"/>
                <w:rFonts w:ascii="Book Antiqua" w:eastAsia="宋体" w:hAnsi="Book Antiqua" w:cs="Times New Roman"/>
                <w:color w:val="auto"/>
                <w:sz w:val="24"/>
              </w:rPr>
            </w:pPr>
            <w:r>
              <w:rPr>
                <w:rFonts w:ascii="Book Antiqua" w:hAnsi="Book Antiqua" w:cs="Times New Roman"/>
                <w:sz w:val="24"/>
              </w:rPr>
              <w:t>0.743</w:t>
            </w:r>
          </w:p>
        </w:tc>
        <w:tc>
          <w:tcPr>
            <w:tcW w:w="1498" w:type="dxa"/>
            <w:tcBorders>
              <w:tl2br w:val="nil"/>
              <w:tr2bl w:val="nil"/>
            </w:tcBorders>
            <w:vAlign w:val="center"/>
          </w:tcPr>
          <w:p w:rsidR="00606EEE" w:rsidRDefault="009A50EC">
            <w:pPr>
              <w:spacing w:line="360" w:lineRule="auto"/>
              <w:rPr>
                <w:rStyle w:val="result"/>
                <w:rFonts w:ascii="Book Antiqua" w:eastAsia="宋体" w:hAnsi="Book Antiqua" w:cs="Times New Roman"/>
                <w:color w:val="auto"/>
                <w:sz w:val="24"/>
              </w:rPr>
            </w:pPr>
            <w:r>
              <w:rPr>
                <w:rFonts w:ascii="Book Antiqua" w:hAnsi="Book Antiqua" w:cs="Times New Roman"/>
                <w:sz w:val="24"/>
              </w:rPr>
              <w:t>0.695-0.788</w:t>
            </w:r>
          </w:p>
        </w:tc>
        <w:tc>
          <w:tcPr>
            <w:tcW w:w="1526"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4.81</w:t>
            </w:r>
          </w:p>
        </w:tc>
        <w:tc>
          <w:tcPr>
            <w:tcW w:w="889"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45.68</w:t>
            </w:r>
          </w:p>
        </w:tc>
        <w:tc>
          <w:tcPr>
            <w:tcW w:w="873"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94.53</w:t>
            </w:r>
          </w:p>
        </w:tc>
      </w:tr>
      <w:tr w:rsidR="00606EEE">
        <w:trPr>
          <w:trHeight w:val="540"/>
        </w:trPr>
        <w:tc>
          <w:tcPr>
            <w:tcW w:w="2800" w:type="dxa"/>
            <w:tcBorders>
              <w:tl2br w:val="nil"/>
              <w:tr2bl w:val="nil"/>
            </w:tcBorders>
            <w:vAlign w:val="center"/>
          </w:tcPr>
          <w:p w:rsidR="00606EEE" w:rsidRDefault="009A50EC">
            <w:pPr>
              <w:widowControl/>
              <w:spacing w:line="360" w:lineRule="auto"/>
              <w:textAlignment w:val="center"/>
              <w:rPr>
                <w:rStyle w:val="result"/>
                <w:rFonts w:ascii="Book Antiqua" w:eastAsia="宋体" w:hAnsi="Book Antiqua" w:cs="Times New Roman"/>
                <w:color w:val="auto"/>
                <w:sz w:val="24"/>
              </w:rPr>
            </w:pPr>
            <w:r>
              <w:rPr>
                <w:rFonts w:ascii="Book Antiqua" w:eastAsia="宋体" w:hAnsi="Book Antiqua" w:cs="Times New Roman"/>
                <w:kern w:val="0"/>
                <w:sz w:val="24"/>
              </w:rPr>
              <w:t>D-dimer</w:t>
            </w:r>
          </w:p>
        </w:tc>
        <w:tc>
          <w:tcPr>
            <w:tcW w:w="750" w:type="dxa"/>
            <w:tcBorders>
              <w:tl2br w:val="nil"/>
              <w:tr2bl w:val="nil"/>
            </w:tcBorders>
            <w:vAlign w:val="center"/>
          </w:tcPr>
          <w:p w:rsidR="00606EEE" w:rsidRDefault="009A50EC">
            <w:pPr>
              <w:spacing w:line="360" w:lineRule="auto"/>
              <w:rPr>
                <w:rStyle w:val="result"/>
                <w:rFonts w:ascii="Book Antiqua" w:eastAsia="宋体" w:hAnsi="Book Antiqua" w:cs="Times New Roman"/>
                <w:color w:val="auto"/>
                <w:sz w:val="24"/>
              </w:rPr>
            </w:pPr>
            <w:r>
              <w:rPr>
                <w:rFonts w:ascii="Book Antiqua" w:hAnsi="Book Antiqua" w:cs="Times New Roman"/>
                <w:sz w:val="24"/>
              </w:rPr>
              <w:t>0.879</w:t>
            </w:r>
          </w:p>
        </w:tc>
        <w:tc>
          <w:tcPr>
            <w:tcW w:w="1498" w:type="dxa"/>
            <w:tcBorders>
              <w:tl2br w:val="nil"/>
              <w:tr2bl w:val="nil"/>
            </w:tcBorders>
            <w:vAlign w:val="center"/>
          </w:tcPr>
          <w:p w:rsidR="00606EEE" w:rsidRDefault="009A50EC">
            <w:pPr>
              <w:spacing w:line="360" w:lineRule="auto"/>
              <w:rPr>
                <w:rStyle w:val="result"/>
                <w:rFonts w:ascii="Book Antiqua" w:eastAsia="宋体" w:hAnsi="Book Antiqua" w:cs="Times New Roman"/>
                <w:color w:val="auto"/>
                <w:sz w:val="24"/>
              </w:rPr>
            </w:pPr>
            <w:r>
              <w:rPr>
                <w:rFonts w:ascii="Book Antiqua" w:hAnsi="Book Antiqua" w:cs="Times New Roman"/>
                <w:sz w:val="24"/>
              </w:rPr>
              <w:t>0.841-0.911</w:t>
            </w:r>
          </w:p>
        </w:tc>
        <w:tc>
          <w:tcPr>
            <w:tcW w:w="1526"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 xml:space="preserve">0.795 </w:t>
            </w:r>
            <w:r>
              <w:rPr>
                <w:rFonts w:ascii="Book Antiqua" w:eastAsia="宋体" w:hAnsi="Book Antiqua" w:cs="Times New Roman" w:hint="eastAsia"/>
                <w:kern w:val="0"/>
                <w:sz w:val="24"/>
              </w:rPr>
              <w:t>(</w:t>
            </w:r>
            <w:r>
              <w:rPr>
                <w:rFonts w:ascii="Book Antiqua" w:eastAsia="宋体" w:hAnsi="Book Antiqua" w:cs="Times New Roman"/>
                <w:kern w:val="0"/>
                <w:sz w:val="24"/>
              </w:rPr>
              <w:t>μg/mL</w:t>
            </w:r>
            <w:r>
              <w:rPr>
                <w:rFonts w:ascii="Book Antiqua" w:eastAsia="宋体" w:hAnsi="Book Antiqua" w:cs="Times New Roman" w:hint="eastAsia"/>
                <w:kern w:val="0"/>
                <w:sz w:val="24"/>
              </w:rPr>
              <w:t>)</w:t>
            </w:r>
          </w:p>
        </w:tc>
        <w:tc>
          <w:tcPr>
            <w:tcW w:w="889"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58.02</w:t>
            </w:r>
          </w:p>
        </w:tc>
        <w:tc>
          <w:tcPr>
            <w:tcW w:w="873"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100</w:t>
            </w:r>
          </w:p>
        </w:tc>
      </w:tr>
      <w:tr w:rsidR="00606EEE">
        <w:trPr>
          <w:trHeight w:val="540"/>
        </w:trPr>
        <w:tc>
          <w:tcPr>
            <w:tcW w:w="2800" w:type="dxa"/>
            <w:tcBorders>
              <w:tl2br w:val="nil"/>
              <w:tr2bl w:val="nil"/>
            </w:tcBorders>
            <w:vAlign w:val="center"/>
          </w:tcPr>
          <w:p w:rsidR="00606EEE" w:rsidRDefault="009A50EC">
            <w:pPr>
              <w:widowControl/>
              <w:spacing w:line="360" w:lineRule="auto"/>
              <w:textAlignment w:val="center"/>
              <w:rPr>
                <w:rStyle w:val="result"/>
                <w:rFonts w:ascii="Book Antiqua" w:eastAsia="宋体" w:hAnsi="Book Antiqua" w:cs="Times New Roman"/>
                <w:color w:val="auto"/>
                <w:sz w:val="24"/>
              </w:rPr>
            </w:pPr>
            <w:r>
              <w:rPr>
                <w:rFonts w:ascii="Book Antiqua" w:eastAsia="宋体" w:hAnsi="Book Antiqua" w:cs="Times New Roman"/>
                <w:kern w:val="0"/>
                <w:sz w:val="24"/>
              </w:rPr>
              <w:t>CEA</w:t>
            </w:r>
          </w:p>
        </w:tc>
        <w:tc>
          <w:tcPr>
            <w:tcW w:w="750" w:type="dxa"/>
            <w:tcBorders>
              <w:tl2br w:val="nil"/>
              <w:tr2bl w:val="nil"/>
            </w:tcBorders>
            <w:vAlign w:val="center"/>
          </w:tcPr>
          <w:p w:rsidR="00606EEE" w:rsidRDefault="009A50EC">
            <w:pPr>
              <w:spacing w:line="360" w:lineRule="auto"/>
              <w:rPr>
                <w:rStyle w:val="result"/>
                <w:rFonts w:ascii="Book Antiqua" w:eastAsia="宋体" w:hAnsi="Book Antiqua" w:cs="Times New Roman"/>
                <w:color w:val="auto"/>
                <w:sz w:val="24"/>
              </w:rPr>
            </w:pPr>
            <w:r>
              <w:rPr>
                <w:rFonts w:ascii="Book Antiqua" w:hAnsi="Book Antiqua" w:cs="Times New Roman"/>
                <w:sz w:val="24"/>
              </w:rPr>
              <w:t>0.801</w:t>
            </w:r>
          </w:p>
        </w:tc>
        <w:tc>
          <w:tcPr>
            <w:tcW w:w="1498" w:type="dxa"/>
            <w:tcBorders>
              <w:tl2br w:val="nil"/>
              <w:tr2bl w:val="nil"/>
            </w:tcBorders>
            <w:vAlign w:val="center"/>
          </w:tcPr>
          <w:p w:rsidR="00606EEE" w:rsidRDefault="009A50EC">
            <w:pPr>
              <w:spacing w:line="360" w:lineRule="auto"/>
              <w:rPr>
                <w:rStyle w:val="result"/>
                <w:rFonts w:ascii="Book Antiqua" w:eastAsia="宋体" w:hAnsi="Book Antiqua" w:cs="Times New Roman"/>
                <w:color w:val="auto"/>
                <w:sz w:val="24"/>
              </w:rPr>
            </w:pPr>
            <w:r>
              <w:rPr>
                <w:rFonts w:ascii="Book Antiqua" w:hAnsi="Book Antiqua" w:cs="Times New Roman"/>
                <w:sz w:val="24"/>
              </w:rPr>
              <w:t>0.755-0.841</w:t>
            </w:r>
          </w:p>
        </w:tc>
        <w:tc>
          <w:tcPr>
            <w:tcW w:w="1526"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 xml:space="preserve">3.891 </w:t>
            </w:r>
            <w:r>
              <w:rPr>
                <w:rFonts w:ascii="Book Antiqua" w:eastAsia="宋体" w:hAnsi="Book Antiqua" w:cs="Times New Roman" w:hint="eastAsia"/>
                <w:kern w:val="0"/>
                <w:sz w:val="24"/>
              </w:rPr>
              <w:t>(</w:t>
            </w:r>
            <w:r>
              <w:rPr>
                <w:rFonts w:ascii="Book Antiqua" w:eastAsia="宋体" w:hAnsi="Book Antiqua" w:cs="Times New Roman"/>
                <w:kern w:val="0"/>
                <w:sz w:val="24"/>
              </w:rPr>
              <w:t>ng/mL</w:t>
            </w:r>
            <w:r>
              <w:rPr>
                <w:rFonts w:ascii="Book Antiqua" w:eastAsia="宋体" w:hAnsi="Book Antiqua" w:cs="Times New Roman" w:hint="eastAsia"/>
                <w:kern w:val="0"/>
                <w:sz w:val="24"/>
              </w:rPr>
              <w:t>)</w:t>
            </w:r>
          </w:p>
        </w:tc>
        <w:tc>
          <w:tcPr>
            <w:tcW w:w="889"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76.54</w:t>
            </w:r>
          </w:p>
        </w:tc>
        <w:tc>
          <w:tcPr>
            <w:tcW w:w="873" w:type="dxa"/>
            <w:tcBorders>
              <w:tl2br w:val="nil"/>
              <w:tr2bl w:val="nil"/>
            </w:tcBorders>
            <w:vAlign w:val="center"/>
          </w:tcPr>
          <w:p w:rsidR="00606EEE" w:rsidRDefault="009A50EC">
            <w:pPr>
              <w:spacing w:line="360" w:lineRule="auto"/>
              <w:rPr>
                <w:rFonts w:ascii="Book Antiqua" w:eastAsia="宋体" w:hAnsi="Book Antiqua" w:cs="Times New Roman"/>
                <w:sz w:val="24"/>
              </w:rPr>
            </w:pPr>
            <w:r>
              <w:rPr>
                <w:rFonts w:ascii="Book Antiqua" w:hAnsi="Book Antiqua" w:cs="Times New Roman"/>
                <w:sz w:val="24"/>
              </w:rPr>
              <w:t>64.60</w:t>
            </w:r>
          </w:p>
        </w:tc>
      </w:tr>
    </w:tbl>
    <w:p w:rsidR="00606EEE" w:rsidRDefault="009A50EC">
      <w:pPr>
        <w:spacing w:line="360" w:lineRule="auto"/>
        <w:rPr>
          <w:rFonts w:ascii="Book Antiqua" w:hAnsi="Book Antiqua" w:cs="Times New Roman"/>
          <w:sz w:val="24"/>
        </w:rPr>
      </w:pPr>
      <w:r>
        <w:rPr>
          <w:rFonts w:ascii="Book Antiqua" w:eastAsia="宋体" w:hAnsi="Book Antiqua" w:cs="Times New Roman"/>
          <w:kern w:val="0"/>
          <w:sz w:val="24"/>
        </w:rPr>
        <w:t xml:space="preserve">TNM: Tumor-node-metastasis; PCNA: Proliferating cell nuclear antigen; </w:t>
      </w:r>
      <w:r>
        <w:rPr>
          <w:rFonts w:ascii="Book Antiqua" w:eastAsia="宋体" w:hAnsi="Book Antiqua" w:cs="Times New Roman"/>
          <w:sz w:val="24"/>
        </w:rPr>
        <w:t>GPS: Glasgow prognostic score</w:t>
      </w:r>
      <w:r>
        <w:rPr>
          <w:rFonts w:ascii="Book Antiqua" w:eastAsia="宋体" w:hAnsi="Book Antiqua" w:cs="Times New Roman"/>
          <w:kern w:val="0"/>
          <w:sz w:val="24"/>
        </w:rPr>
        <w:t xml:space="preserve">; NLR: Neutrophil-lymphocyte ratio; </w:t>
      </w:r>
      <w:r>
        <w:rPr>
          <w:rFonts w:ascii="Book Antiqua" w:eastAsia="宋体" w:hAnsi="Book Antiqua" w:cs="Times New Roman"/>
          <w:sz w:val="24"/>
        </w:rPr>
        <w:t>CAR: C-reactive protein/albumin ratio;</w:t>
      </w:r>
      <w:r>
        <w:rPr>
          <w:rFonts w:ascii="Book Antiqua" w:eastAsia="宋体" w:hAnsi="Book Antiqua" w:cs="Times New Roman"/>
          <w:kern w:val="0"/>
          <w:sz w:val="24"/>
        </w:rPr>
        <w:t xml:space="preserve"> CEA: Carcinoembryonic antigen.</w:t>
      </w:r>
    </w:p>
    <w:p w:rsidR="00606EEE" w:rsidRDefault="00606EEE">
      <w:pPr>
        <w:spacing w:line="360" w:lineRule="auto"/>
        <w:rPr>
          <w:rStyle w:val="ab"/>
          <w:rFonts w:ascii="Book Antiqua" w:hAnsi="Book Antiqua" w:cs="Times New Roman"/>
          <w:sz w:val="24"/>
          <w:szCs w:val="24"/>
        </w:rPr>
      </w:pPr>
    </w:p>
    <w:p w:rsidR="00606EEE" w:rsidRDefault="00606EEE">
      <w:pPr>
        <w:spacing w:line="360" w:lineRule="auto"/>
        <w:ind w:firstLine="420"/>
        <w:rPr>
          <w:rFonts w:ascii="Book Antiqua" w:hAnsi="Book Antiqua" w:cs="Times New Roman"/>
          <w:sz w:val="24"/>
        </w:rPr>
      </w:pPr>
    </w:p>
    <w:p w:rsidR="00606EEE" w:rsidRDefault="009A50EC">
      <w:pPr>
        <w:spacing w:line="360" w:lineRule="auto"/>
        <w:ind w:firstLineChars="200" w:firstLine="480"/>
        <w:rPr>
          <w:rFonts w:ascii="Book Antiqua" w:hAnsi="Book Antiqua" w:cs="Times New Roman"/>
          <w:sz w:val="24"/>
        </w:rPr>
      </w:pPr>
      <w:r>
        <w:rPr>
          <w:rFonts w:ascii="Book Antiqua" w:hAnsi="Book Antiqua" w:cs="Times New Roman"/>
          <w:noProof/>
          <w:sz w:val="24"/>
        </w:rPr>
        <w:lastRenderedPageBreak/>
        <w:drawing>
          <wp:inline distT="0" distB="0" distL="0" distR="0">
            <wp:extent cx="3409950" cy="3270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2403" cy="3282309"/>
                    </a:xfrm>
                    <a:prstGeom prst="rect">
                      <a:avLst/>
                    </a:prstGeom>
                  </pic:spPr>
                </pic:pic>
              </a:graphicData>
            </a:graphic>
          </wp:inline>
        </w:drawing>
      </w:r>
    </w:p>
    <w:p w:rsidR="00606EEE" w:rsidRDefault="009A50EC">
      <w:pPr>
        <w:spacing w:line="360" w:lineRule="auto"/>
        <w:rPr>
          <w:rFonts w:ascii="Book Antiqua" w:hAnsi="Book Antiqua" w:cs="Times New Roman"/>
          <w:b/>
          <w:bCs/>
          <w:sz w:val="24"/>
        </w:rPr>
      </w:pPr>
      <w:r>
        <w:rPr>
          <w:rFonts w:ascii="Book Antiqua" w:hAnsi="Book Antiqua" w:cs="Times New Roman"/>
          <w:b/>
          <w:bCs/>
          <w:sz w:val="24"/>
        </w:rPr>
        <w:t xml:space="preserve">Figure 1 Survival curve analysis of patients </w:t>
      </w:r>
      <w:r>
        <w:rPr>
          <w:rFonts w:ascii="Book Antiqua" w:hAnsi="Book Antiqua" w:cs="Times New Roman"/>
          <w:b/>
          <w:bCs/>
          <w:sz w:val="24"/>
        </w:rPr>
        <w:t>with colorectal cancer (Kaplan-Meier). The poor prognosis rate was 22.82%.</w:t>
      </w:r>
    </w:p>
    <w:p w:rsidR="00606EEE" w:rsidRDefault="00606EEE">
      <w:pPr>
        <w:spacing w:line="360" w:lineRule="auto"/>
        <w:rPr>
          <w:rFonts w:ascii="Book Antiqua" w:hAnsi="Book Antiqua" w:cs="Times New Roman"/>
          <w:sz w:val="24"/>
        </w:rPr>
      </w:pPr>
    </w:p>
    <w:p w:rsidR="00606EEE" w:rsidRDefault="009A50EC">
      <w:pPr>
        <w:spacing w:line="360" w:lineRule="auto"/>
        <w:ind w:firstLine="210"/>
        <w:rPr>
          <w:rFonts w:ascii="Book Antiqua" w:hAnsi="Book Antiqua" w:cs="Times New Roman"/>
          <w:sz w:val="24"/>
        </w:rPr>
      </w:pPr>
      <w:r>
        <w:rPr>
          <w:rFonts w:ascii="Book Antiqua" w:hAnsi="Book Antiqua" w:cs="Times New Roman"/>
          <w:noProof/>
          <w:sz w:val="24"/>
        </w:rPr>
        <w:drawing>
          <wp:inline distT="0" distB="0" distL="114300" distR="114300">
            <wp:extent cx="5274310" cy="2109470"/>
            <wp:effectExtent l="0" t="0" r="8890" b="11430"/>
            <wp:docPr id="4" name="图片 6" descr="新建 PPTX 演示文2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新建 PPTX 演示文2_页面_2"/>
                    <pic:cNvPicPr>
                      <a:picLocks noChangeAspect="1"/>
                    </pic:cNvPicPr>
                  </pic:nvPicPr>
                  <pic:blipFill>
                    <a:blip r:embed="rId8"/>
                    <a:stretch>
                      <a:fillRect/>
                    </a:stretch>
                  </pic:blipFill>
                  <pic:spPr>
                    <a:xfrm>
                      <a:off x="0" y="0"/>
                      <a:ext cx="5274310" cy="2110083"/>
                    </a:xfrm>
                    <a:prstGeom prst="rect">
                      <a:avLst/>
                    </a:prstGeom>
                  </pic:spPr>
                </pic:pic>
              </a:graphicData>
            </a:graphic>
          </wp:inline>
        </w:drawing>
      </w:r>
    </w:p>
    <w:p w:rsidR="00606EEE" w:rsidRDefault="009A50EC">
      <w:pPr>
        <w:spacing w:line="360" w:lineRule="auto"/>
        <w:rPr>
          <w:rFonts w:ascii="Book Antiqua" w:hAnsi="Book Antiqua" w:cs="Times New Roman"/>
          <w:sz w:val="24"/>
        </w:rPr>
      </w:pPr>
      <w:r>
        <w:rPr>
          <w:rFonts w:ascii="Book Antiqua" w:hAnsi="Book Antiqua" w:cs="Times New Roman"/>
          <w:b/>
          <w:bCs/>
          <w:sz w:val="24"/>
        </w:rPr>
        <w:t>Figure 2 Endpoint events during postoperative follow-up of colorectal cancer patients.</w:t>
      </w:r>
      <w:r>
        <w:rPr>
          <w:rFonts w:ascii="Book Antiqua" w:hAnsi="Book Antiqua" w:cs="Times New Roman"/>
          <w:sz w:val="24"/>
        </w:rPr>
        <w:t xml:space="preserve"> A: Colorectal cancer recurrence (arrow); B: Colorectal cancer liver metastasis (arrow); C: </w:t>
      </w:r>
      <w:r>
        <w:rPr>
          <w:rFonts w:ascii="Book Antiqua" w:hAnsi="Book Antiqua" w:cs="Times New Roman"/>
          <w:sz w:val="24"/>
        </w:rPr>
        <w:t>Colorectal cancer bone metastasis (arrow).</w:t>
      </w:r>
    </w:p>
    <w:p w:rsidR="00606EEE" w:rsidRDefault="00606EEE">
      <w:pPr>
        <w:spacing w:line="360" w:lineRule="auto"/>
        <w:rPr>
          <w:rFonts w:ascii="Book Antiqua" w:hAnsi="Book Antiqua" w:cs="Times New Roman"/>
          <w:sz w:val="24"/>
        </w:rPr>
      </w:pPr>
    </w:p>
    <w:p w:rsidR="00606EEE" w:rsidRDefault="009A50EC">
      <w:pPr>
        <w:spacing w:line="360" w:lineRule="auto"/>
        <w:ind w:firstLineChars="200" w:firstLine="480"/>
        <w:rPr>
          <w:rFonts w:ascii="Book Antiqua" w:hAnsi="Book Antiqua" w:cs="Times New Roman"/>
          <w:sz w:val="24"/>
        </w:rPr>
      </w:pPr>
      <w:r>
        <w:rPr>
          <w:rFonts w:ascii="Book Antiqua" w:hAnsi="Book Antiqua" w:cs="Times New Roman"/>
          <w:noProof/>
          <w:sz w:val="24"/>
        </w:rPr>
        <w:lastRenderedPageBreak/>
        <w:drawing>
          <wp:inline distT="0" distB="0" distL="0" distR="0">
            <wp:extent cx="4591050" cy="35801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0247" cy="3587816"/>
                    </a:xfrm>
                    <a:prstGeom prst="rect">
                      <a:avLst/>
                    </a:prstGeom>
                  </pic:spPr>
                </pic:pic>
              </a:graphicData>
            </a:graphic>
          </wp:inline>
        </w:drawing>
      </w:r>
    </w:p>
    <w:p w:rsidR="00606EEE" w:rsidRDefault="009A50EC">
      <w:pPr>
        <w:spacing w:line="360" w:lineRule="auto"/>
        <w:rPr>
          <w:rFonts w:ascii="Book Antiqua" w:eastAsia="宋体" w:hAnsi="Book Antiqua" w:cs="Times New Roman"/>
          <w:b/>
          <w:bCs/>
          <w:sz w:val="24"/>
        </w:rPr>
      </w:pPr>
      <w:r>
        <w:rPr>
          <w:rFonts w:ascii="Book Antiqua" w:eastAsia="宋体" w:hAnsi="Book Antiqua" w:cs="Times New Roman"/>
          <w:b/>
          <w:bCs/>
          <w:sz w:val="24"/>
        </w:rPr>
        <w:t xml:space="preserve">Figure 3 </w:t>
      </w:r>
      <w:r>
        <w:rPr>
          <w:rFonts w:ascii="Book Antiqua" w:hAnsi="Book Antiqua" w:cs="Times New Roman"/>
          <w:b/>
          <w:bCs/>
          <w:caps/>
          <w:sz w:val="24"/>
        </w:rPr>
        <w:t>r</w:t>
      </w:r>
      <w:r>
        <w:rPr>
          <w:rFonts w:ascii="Book Antiqua" w:hAnsi="Book Antiqua" w:cs="Times New Roman"/>
          <w:b/>
          <w:bCs/>
          <w:sz w:val="24"/>
        </w:rPr>
        <w:t>eceiver operating characteristic</w:t>
      </w:r>
      <w:r>
        <w:rPr>
          <w:rFonts w:ascii="Book Antiqua" w:eastAsia="宋体" w:hAnsi="Book Antiqua" w:cs="Times New Roman"/>
          <w:b/>
          <w:bCs/>
          <w:sz w:val="24"/>
        </w:rPr>
        <w:t xml:space="preserve"> curve analysis of potential indicators for predicting the prognosis of colorectal cancer.</w:t>
      </w:r>
    </w:p>
    <w:p w:rsidR="00606EEE" w:rsidRDefault="00606EEE">
      <w:pPr>
        <w:spacing w:line="360" w:lineRule="auto"/>
        <w:ind w:firstLineChars="200" w:firstLine="480"/>
        <w:rPr>
          <w:rFonts w:ascii="Book Antiqua" w:hAnsi="Book Antiqua" w:cs="Times New Roman"/>
          <w:sz w:val="24"/>
        </w:rPr>
      </w:pPr>
    </w:p>
    <w:p w:rsidR="00606EEE" w:rsidRDefault="009A50EC">
      <w:pPr>
        <w:spacing w:line="360" w:lineRule="auto"/>
        <w:ind w:firstLineChars="200" w:firstLine="480"/>
        <w:rPr>
          <w:rFonts w:ascii="Book Antiqua" w:hAnsi="Book Antiqua" w:cs="Times New Roman"/>
          <w:sz w:val="24"/>
        </w:rPr>
      </w:pPr>
      <w:r>
        <w:rPr>
          <w:rFonts w:ascii="Book Antiqua" w:hAnsi="Book Antiqua" w:cs="Times New Roman"/>
          <w:noProof/>
          <w:sz w:val="24"/>
        </w:rPr>
        <w:drawing>
          <wp:inline distT="0" distB="0" distL="0" distR="0">
            <wp:extent cx="3390900" cy="34309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0492" cy="3440613"/>
                    </a:xfrm>
                    <a:prstGeom prst="rect">
                      <a:avLst/>
                    </a:prstGeom>
                  </pic:spPr>
                </pic:pic>
              </a:graphicData>
            </a:graphic>
          </wp:inline>
        </w:drawing>
      </w:r>
    </w:p>
    <w:p w:rsidR="00606EEE" w:rsidRDefault="009A50EC">
      <w:pPr>
        <w:spacing w:line="360" w:lineRule="auto"/>
        <w:rPr>
          <w:rStyle w:val="ab"/>
          <w:rFonts w:ascii="Book Antiqua" w:eastAsia="宋体" w:hAnsi="Book Antiqua" w:cs="Times New Roman"/>
          <w:b/>
          <w:bCs/>
          <w:sz w:val="24"/>
          <w:szCs w:val="24"/>
        </w:rPr>
      </w:pPr>
      <w:r>
        <w:rPr>
          <w:rFonts w:ascii="Book Antiqua" w:eastAsia="宋体" w:hAnsi="Book Antiqua" w:cs="Times New Roman"/>
          <w:b/>
          <w:bCs/>
          <w:sz w:val="24"/>
        </w:rPr>
        <w:t xml:space="preserve">Figure 4 </w:t>
      </w:r>
      <w:r>
        <w:rPr>
          <w:rFonts w:ascii="Book Antiqua" w:hAnsi="Book Antiqua" w:cs="Times New Roman"/>
          <w:b/>
          <w:bCs/>
          <w:caps/>
          <w:sz w:val="24"/>
        </w:rPr>
        <w:t>r</w:t>
      </w:r>
      <w:r>
        <w:rPr>
          <w:rFonts w:ascii="Book Antiqua" w:hAnsi="Book Antiqua" w:cs="Times New Roman"/>
          <w:b/>
          <w:bCs/>
          <w:sz w:val="24"/>
        </w:rPr>
        <w:t>eceiver operating characteristic</w:t>
      </w:r>
      <w:r>
        <w:rPr>
          <w:rFonts w:ascii="Book Antiqua" w:eastAsia="宋体" w:hAnsi="Book Antiqua" w:cs="Times New Roman"/>
          <w:b/>
          <w:bCs/>
          <w:sz w:val="24"/>
        </w:rPr>
        <w:t xml:space="preserve"> curve analysis of the combinati</w:t>
      </w:r>
      <w:r>
        <w:rPr>
          <w:rFonts w:ascii="Book Antiqua" w:eastAsia="宋体" w:hAnsi="Book Antiqua" w:cs="Times New Roman"/>
          <w:b/>
          <w:bCs/>
          <w:sz w:val="24"/>
        </w:rPr>
        <w:t>on assessment for predicting the prognosis of colorectal cancer.</w:t>
      </w:r>
    </w:p>
    <w:sectPr w:rsidR="00606E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EC" w:rsidRDefault="009A50EC" w:rsidP="00F2226B">
      <w:r>
        <w:separator/>
      </w:r>
    </w:p>
  </w:endnote>
  <w:endnote w:type="continuationSeparator" w:id="0">
    <w:p w:rsidR="009A50EC" w:rsidRDefault="009A50EC" w:rsidP="00F2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ItalicMT">
    <w:altName w:val="Segoe Print"/>
    <w:charset w:val="00"/>
    <w:family w:val="auto"/>
    <w:pitch w:val="default"/>
    <w:sig w:usb0="00000000" w:usb1="00000000" w:usb2="00000001" w:usb3="00000000" w:csb0="000001B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EC" w:rsidRDefault="009A50EC" w:rsidP="00F2226B">
      <w:r>
        <w:separator/>
      </w:r>
    </w:p>
  </w:footnote>
  <w:footnote w:type="continuationSeparator" w:id="0">
    <w:p w:rsidR="009A50EC" w:rsidRDefault="009A50EC" w:rsidP="00F22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D1D"/>
    <w:rsid w:val="00026075"/>
    <w:rsid w:val="00085273"/>
    <w:rsid w:val="000A4E2C"/>
    <w:rsid w:val="000D6A6B"/>
    <w:rsid w:val="001310F5"/>
    <w:rsid w:val="00172A27"/>
    <w:rsid w:val="001858CC"/>
    <w:rsid w:val="001973D9"/>
    <w:rsid w:val="001C1E3C"/>
    <w:rsid w:val="001E4A27"/>
    <w:rsid w:val="001E5525"/>
    <w:rsid w:val="002348CF"/>
    <w:rsid w:val="002375F7"/>
    <w:rsid w:val="00243771"/>
    <w:rsid w:val="00250605"/>
    <w:rsid w:val="00252DDB"/>
    <w:rsid w:val="002854BE"/>
    <w:rsid w:val="002B7913"/>
    <w:rsid w:val="002E762F"/>
    <w:rsid w:val="00336C84"/>
    <w:rsid w:val="00365764"/>
    <w:rsid w:val="003B19F4"/>
    <w:rsid w:val="003B500B"/>
    <w:rsid w:val="00403B0D"/>
    <w:rsid w:val="00414A22"/>
    <w:rsid w:val="00415AA9"/>
    <w:rsid w:val="00422FFB"/>
    <w:rsid w:val="00456384"/>
    <w:rsid w:val="00467423"/>
    <w:rsid w:val="00470108"/>
    <w:rsid w:val="00475C5E"/>
    <w:rsid w:val="004804F7"/>
    <w:rsid w:val="00485862"/>
    <w:rsid w:val="004870E2"/>
    <w:rsid w:val="00494E75"/>
    <w:rsid w:val="004A14D0"/>
    <w:rsid w:val="004A5F32"/>
    <w:rsid w:val="004C2531"/>
    <w:rsid w:val="004D34B6"/>
    <w:rsid w:val="004D5063"/>
    <w:rsid w:val="004F608F"/>
    <w:rsid w:val="004F7049"/>
    <w:rsid w:val="005117F7"/>
    <w:rsid w:val="005767CA"/>
    <w:rsid w:val="005E006F"/>
    <w:rsid w:val="005E057F"/>
    <w:rsid w:val="005E3E60"/>
    <w:rsid w:val="005F3202"/>
    <w:rsid w:val="00606EEE"/>
    <w:rsid w:val="00616BB6"/>
    <w:rsid w:val="00625082"/>
    <w:rsid w:val="00653653"/>
    <w:rsid w:val="0066693D"/>
    <w:rsid w:val="006A3ED9"/>
    <w:rsid w:val="006A50E9"/>
    <w:rsid w:val="006A7CE9"/>
    <w:rsid w:val="006B1F01"/>
    <w:rsid w:val="006D0AD1"/>
    <w:rsid w:val="0071132E"/>
    <w:rsid w:val="00716E1E"/>
    <w:rsid w:val="00721584"/>
    <w:rsid w:val="0077114B"/>
    <w:rsid w:val="00783365"/>
    <w:rsid w:val="007A5ED4"/>
    <w:rsid w:val="007F0DC9"/>
    <w:rsid w:val="007F34D9"/>
    <w:rsid w:val="007F45F1"/>
    <w:rsid w:val="00815BD5"/>
    <w:rsid w:val="00844C86"/>
    <w:rsid w:val="00861457"/>
    <w:rsid w:val="008732FE"/>
    <w:rsid w:val="008B4206"/>
    <w:rsid w:val="008B59B0"/>
    <w:rsid w:val="0091110E"/>
    <w:rsid w:val="00947F8A"/>
    <w:rsid w:val="0096544D"/>
    <w:rsid w:val="009A50EC"/>
    <w:rsid w:val="009E0457"/>
    <w:rsid w:val="009E5CCE"/>
    <w:rsid w:val="009E6AD9"/>
    <w:rsid w:val="00A26006"/>
    <w:rsid w:val="00A773D8"/>
    <w:rsid w:val="00A94146"/>
    <w:rsid w:val="00AA002D"/>
    <w:rsid w:val="00AF2180"/>
    <w:rsid w:val="00AF7BD5"/>
    <w:rsid w:val="00B03700"/>
    <w:rsid w:val="00B13A05"/>
    <w:rsid w:val="00B20FE9"/>
    <w:rsid w:val="00B339FB"/>
    <w:rsid w:val="00B42CE0"/>
    <w:rsid w:val="00B66DEC"/>
    <w:rsid w:val="00B94E8B"/>
    <w:rsid w:val="00BA68E2"/>
    <w:rsid w:val="00BD0A25"/>
    <w:rsid w:val="00C0117A"/>
    <w:rsid w:val="00C01D38"/>
    <w:rsid w:val="00C47B16"/>
    <w:rsid w:val="00CA0732"/>
    <w:rsid w:val="00CB6550"/>
    <w:rsid w:val="00CC5B4B"/>
    <w:rsid w:val="00CE2ADB"/>
    <w:rsid w:val="00CE5024"/>
    <w:rsid w:val="00D17714"/>
    <w:rsid w:val="00D55987"/>
    <w:rsid w:val="00D603B2"/>
    <w:rsid w:val="00D953F3"/>
    <w:rsid w:val="00DC2A19"/>
    <w:rsid w:val="00DC2F96"/>
    <w:rsid w:val="00DC7C90"/>
    <w:rsid w:val="00DF0138"/>
    <w:rsid w:val="00DF3D14"/>
    <w:rsid w:val="00E547E6"/>
    <w:rsid w:val="00E853E9"/>
    <w:rsid w:val="00EA47F4"/>
    <w:rsid w:val="00F00305"/>
    <w:rsid w:val="00F13367"/>
    <w:rsid w:val="00F2226B"/>
    <w:rsid w:val="00F32C69"/>
    <w:rsid w:val="010847F0"/>
    <w:rsid w:val="02DC6591"/>
    <w:rsid w:val="02E80786"/>
    <w:rsid w:val="02FC10C6"/>
    <w:rsid w:val="035A6A80"/>
    <w:rsid w:val="043506C2"/>
    <w:rsid w:val="04970532"/>
    <w:rsid w:val="05225B7A"/>
    <w:rsid w:val="059912CA"/>
    <w:rsid w:val="05A6554F"/>
    <w:rsid w:val="05AF233F"/>
    <w:rsid w:val="06306BBA"/>
    <w:rsid w:val="065512C1"/>
    <w:rsid w:val="07E26809"/>
    <w:rsid w:val="07FD0730"/>
    <w:rsid w:val="0989166D"/>
    <w:rsid w:val="09EC67E0"/>
    <w:rsid w:val="0A323F18"/>
    <w:rsid w:val="0ACA13D6"/>
    <w:rsid w:val="0AF53F4E"/>
    <w:rsid w:val="0D5E14A6"/>
    <w:rsid w:val="0D950549"/>
    <w:rsid w:val="0E356BE9"/>
    <w:rsid w:val="0EE142EC"/>
    <w:rsid w:val="0FA96B7F"/>
    <w:rsid w:val="0FF350F5"/>
    <w:rsid w:val="11D449EB"/>
    <w:rsid w:val="12120DF4"/>
    <w:rsid w:val="12235A9A"/>
    <w:rsid w:val="12504342"/>
    <w:rsid w:val="128370DD"/>
    <w:rsid w:val="138265BD"/>
    <w:rsid w:val="1654178B"/>
    <w:rsid w:val="16A760CE"/>
    <w:rsid w:val="186712AB"/>
    <w:rsid w:val="18AF662F"/>
    <w:rsid w:val="1A52528C"/>
    <w:rsid w:val="1AA12B81"/>
    <w:rsid w:val="1B2D5786"/>
    <w:rsid w:val="1B2F7436"/>
    <w:rsid w:val="1B9E6CE4"/>
    <w:rsid w:val="1C093D93"/>
    <w:rsid w:val="1C135D02"/>
    <w:rsid w:val="1C876F7B"/>
    <w:rsid w:val="1CF81FA7"/>
    <w:rsid w:val="1D07570F"/>
    <w:rsid w:val="1DA17615"/>
    <w:rsid w:val="1DE76FDC"/>
    <w:rsid w:val="1E462168"/>
    <w:rsid w:val="1EDD6141"/>
    <w:rsid w:val="1F2E2858"/>
    <w:rsid w:val="1F2F5A68"/>
    <w:rsid w:val="1F3F1866"/>
    <w:rsid w:val="1F4F22A9"/>
    <w:rsid w:val="1F535A8B"/>
    <w:rsid w:val="1FD5656D"/>
    <w:rsid w:val="1FDB2B92"/>
    <w:rsid w:val="1FDD18B3"/>
    <w:rsid w:val="1FE522F8"/>
    <w:rsid w:val="2076051A"/>
    <w:rsid w:val="2090452D"/>
    <w:rsid w:val="20A24588"/>
    <w:rsid w:val="21260517"/>
    <w:rsid w:val="21455888"/>
    <w:rsid w:val="245C4DE3"/>
    <w:rsid w:val="249F6A25"/>
    <w:rsid w:val="268E0394"/>
    <w:rsid w:val="2699659A"/>
    <w:rsid w:val="26BB038D"/>
    <w:rsid w:val="26C436D9"/>
    <w:rsid w:val="270601DC"/>
    <w:rsid w:val="27956D65"/>
    <w:rsid w:val="27AD2AA3"/>
    <w:rsid w:val="27FF3109"/>
    <w:rsid w:val="2857375B"/>
    <w:rsid w:val="28EC5400"/>
    <w:rsid w:val="28FE325E"/>
    <w:rsid w:val="291346AB"/>
    <w:rsid w:val="29687FE8"/>
    <w:rsid w:val="29D2046C"/>
    <w:rsid w:val="2A181C98"/>
    <w:rsid w:val="2BA82115"/>
    <w:rsid w:val="2BC86086"/>
    <w:rsid w:val="2BFE385D"/>
    <w:rsid w:val="2C082940"/>
    <w:rsid w:val="2C616A33"/>
    <w:rsid w:val="2C773A0A"/>
    <w:rsid w:val="2C961A0E"/>
    <w:rsid w:val="2CE022F7"/>
    <w:rsid w:val="2CEE7881"/>
    <w:rsid w:val="2D7B3F99"/>
    <w:rsid w:val="2EA73738"/>
    <w:rsid w:val="2EDE11CF"/>
    <w:rsid w:val="2EE60CC5"/>
    <w:rsid w:val="2F08186C"/>
    <w:rsid w:val="2F2E4DA0"/>
    <w:rsid w:val="2FE8625B"/>
    <w:rsid w:val="303E42EC"/>
    <w:rsid w:val="315E0077"/>
    <w:rsid w:val="32EF4028"/>
    <w:rsid w:val="33263ED1"/>
    <w:rsid w:val="33E95E9D"/>
    <w:rsid w:val="33EE1D18"/>
    <w:rsid w:val="34D9177B"/>
    <w:rsid w:val="36D50AB1"/>
    <w:rsid w:val="371A57A1"/>
    <w:rsid w:val="37D62ADB"/>
    <w:rsid w:val="37E431B9"/>
    <w:rsid w:val="37FC54E1"/>
    <w:rsid w:val="392E6BEF"/>
    <w:rsid w:val="39C20068"/>
    <w:rsid w:val="3A8D443A"/>
    <w:rsid w:val="3B8F06D9"/>
    <w:rsid w:val="3BA340A2"/>
    <w:rsid w:val="3C6E473B"/>
    <w:rsid w:val="3D784C25"/>
    <w:rsid w:val="3E0F3027"/>
    <w:rsid w:val="3EB009FB"/>
    <w:rsid w:val="3EB3204F"/>
    <w:rsid w:val="3F7423DD"/>
    <w:rsid w:val="3F88488B"/>
    <w:rsid w:val="409C645B"/>
    <w:rsid w:val="40AE3B6F"/>
    <w:rsid w:val="424F3781"/>
    <w:rsid w:val="42A27B62"/>
    <w:rsid w:val="430175FB"/>
    <w:rsid w:val="43F67FF6"/>
    <w:rsid w:val="45EE100C"/>
    <w:rsid w:val="462F464B"/>
    <w:rsid w:val="464512D5"/>
    <w:rsid w:val="4697682E"/>
    <w:rsid w:val="47323BB6"/>
    <w:rsid w:val="47683546"/>
    <w:rsid w:val="482F06FE"/>
    <w:rsid w:val="48753455"/>
    <w:rsid w:val="48827C99"/>
    <w:rsid w:val="49764388"/>
    <w:rsid w:val="4AA318E0"/>
    <w:rsid w:val="4B173B92"/>
    <w:rsid w:val="4B6F0012"/>
    <w:rsid w:val="4B7E163E"/>
    <w:rsid w:val="4C0E7C49"/>
    <w:rsid w:val="4C2A219A"/>
    <w:rsid w:val="4CE84A88"/>
    <w:rsid w:val="4D9678A4"/>
    <w:rsid w:val="4D9B5B6C"/>
    <w:rsid w:val="4DC1121D"/>
    <w:rsid w:val="4E6A5D74"/>
    <w:rsid w:val="4FDD1313"/>
    <w:rsid w:val="50D62B41"/>
    <w:rsid w:val="50F3715E"/>
    <w:rsid w:val="50F546E7"/>
    <w:rsid w:val="515C1C0A"/>
    <w:rsid w:val="530B0D0D"/>
    <w:rsid w:val="53224969"/>
    <w:rsid w:val="545F4EA1"/>
    <w:rsid w:val="55640B02"/>
    <w:rsid w:val="556567AB"/>
    <w:rsid w:val="56595105"/>
    <w:rsid w:val="572124CF"/>
    <w:rsid w:val="577308FF"/>
    <w:rsid w:val="57CD6571"/>
    <w:rsid w:val="58417411"/>
    <w:rsid w:val="58733AE3"/>
    <w:rsid w:val="58834CD5"/>
    <w:rsid w:val="59093C40"/>
    <w:rsid w:val="59761324"/>
    <w:rsid w:val="5A0D10B4"/>
    <w:rsid w:val="5AAC7E33"/>
    <w:rsid w:val="5B6A1164"/>
    <w:rsid w:val="5C7D56C9"/>
    <w:rsid w:val="5DAB2DD8"/>
    <w:rsid w:val="5E4E7EAF"/>
    <w:rsid w:val="5F257724"/>
    <w:rsid w:val="5F2F0B78"/>
    <w:rsid w:val="5FA33501"/>
    <w:rsid w:val="5FFA4E20"/>
    <w:rsid w:val="602B7764"/>
    <w:rsid w:val="61943CD6"/>
    <w:rsid w:val="62385739"/>
    <w:rsid w:val="626F252A"/>
    <w:rsid w:val="636B212A"/>
    <w:rsid w:val="63B64F88"/>
    <w:rsid w:val="63F85349"/>
    <w:rsid w:val="64C7770C"/>
    <w:rsid w:val="65384A2B"/>
    <w:rsid w:val="658B736B"/>
    <w:rsid w:val="658F712F"/>
    <w:rsid w:val="66120D5B"/>
    <w:rsid w:val="6628232E"/>
    <w:rsid w:val="66D41C30"/>
    <w:rsid w:val="679A50FE"/>
    <w:rsid w:val="6873457E"/>
    <w:rsid w:val="68AD2242"/>
    <w:rsid w:val="69A92EB6"/>
    <w:rsid w:val="6AAD5EDE"/>
    <w:rsid w:val="6AFC16BA"/>
    <w:rsid w:val="6B156462"/>
    <w:rsid w:val="6B166CD1"/>
    <w:rsid w:val="6B8F5B93"/>
    <w:rsid w:val="6C9E249F"/>
    <w:rsid w:val="6CAA7D58"/>
    <w:rsid w:val="6CB32B6D"/>
    <w:rsid w:val="6CBD4CB1"/>
    <w:rsid w:val="6CFB11A9"/>
    <w:rsid w:val="6D682B8A"/>
    <w:rsid w:val="6D7627CB"/>
    <w:rsid w:val="6D9E6D23"/>
    <w:rsid w:val="6E4D4080"/>
    <w:rsid w:val="6E8E24D2"/>
    <w:rsid w:val="6EA517AB"/>
    <w:rsid w:val="6F2A207F"/>
    <w:rsid w:val="6F442243"/>
    <w:rsid w:val="6FD43BEE"/>
    <w:rsid w:val="702F19FB"/>
    <w:rsid w:val="70AD681B"/>
    <w:rsid w:val="712E03F8"/>
    <w:rsid w:val="71CF7E59"/>
    <w:rsid w:val="71DC11C2"/>
    <w:rsid w:val="724A72B3"/>
    <w:rsid w:val="72AF05D6"/>
    <w:rsid w:val="74DC2AE6"/>
    <w:rsid w:val="754D4A1A"/>
    <w:rsid w:val="75D22D16"/>
    <w:rsid w:val="7664451A"/>
    <w:rsid w:val="76834CDF"/>
    <w:rsid w:val="76B65B0A"/>
    <w:rsid w:val="77063CD0"/>
    <w:rsid w:val="770A2BB8"/>
    <w:rsid w:val="784B5CF3"/>
    <w:rsid w:val="78BA253A"/>
    <w:rsid w:val="791F29A2"/>
    <w:rsid w:val="7A0C685B"/>
    <w:rsid w:val="7A645122"/>
    <w:rsid w:val="7A9F5679"/>
    <w:rsid w:val="7AAD4D64"/>
    <w:rsid w:val="7B1A1AF2"/>
    <w:rsid w:val="7B7F6C5D"/>
    <w:rsid w:val="7B9118A2"/>
    <w:rsid w:val="7BA3255F"/>
    <w:rsid w:val="7BB31151"/>
    <w:rsid w:val="7BB56C28"/>
    <w:rsid w:val="7C3B553F"/>
    <w:rsid w:val="7C412D0E"/>
    <w:rsid w:val="7C930825"/>
    <w:rsid w:val="7CEF5BB0"/>
    <w:rsid w:val="7DA12CEC"/>
    <w:rsid w:val="7DAD36ED"/>
    <w:rsid w:val="7DE410B8"/>
    <w:rsid w:val="7EB4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4A7FD0-6E9D-49C5-A3CB-B38D3910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widowControl w:val="0"/>
      <w:autoSpaceDE w:val="0"/>
      <w:autoSpaceDN w:val="0"/>
      <w:adjustRightInd w:val="0"/>
      <w:outlineLvl w:val="0"/>
    </w:pPr>
    <w:rPr>
      <w:rFonts w:ascii="MingLiU" w:eastAsia="MingLiU" w:hAnsi="MingLiU"/>
      <w:b/>
      <w:color w:val="000000"/>
      <w:sz w:val="32"/>
    </w:rPr>
  </w:style>
  <w:style w:type="paragraph" w:styleId="2">
    <w:name w:val="heading 2"/>
    <w:next w:val="a"/>
    <w:unhideWhenUsed/>
    <w:qFormat/>
    <w:pPr>
      <w:widowControl w:val="0"/>
      <w:autoSpaceDE w:val="0"/>
      <w:autoSpaceDN w:val="0"/>
      <w:adjustRightInd w:val="0"/>
      <w:outlineLvl w:val="1"/>
    </w:pPr>
    <w:rPr>
      <w:rFonts w:ascii="MingLiU" w:eastAsia="MingLiU" w:hAnsi="MingLiU"/>
      <w:b/>
      <w:i/>
      <w:color w:val="000000"/>
      <w:sz w:val="28"/>
    </w:rPr>
  </w:style>
  <w:style w:type="paragraph" w:styleId="3">
    <w:name w:val="heading 3"/>
    <w:next w:val="a"/>
    <w:unhideWhenUsed/>
    <w:qFormat/>
    <w:pPr>
      <w:widowControl w:val="0"/>
      <w:autoSpaceDE w:val="0"/>
      <w:autoSpaceDN w:val="0"/>
      <w:adjustRightInd w:val="0"/>
      <w:outlineLvl w:val="2"/>
    </w:pPr>
    <w:rPr>
      <w:rFonts w:ascii="MingLiU" w:eastAsia="MingLiU" w:hAnsi="MingLiU"/>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jc w:val="left"/>
    </w:pPr>
    <w:rPr>
      <w:rFonts w:ascii="Arial" w:hAnsi="Arial" w:cs="Times New Roman"/>
      <w:kern w:val="0"/>
      <w:sz w:val="20"/>
      <w:szCs w:val="20"/>
    </w:rPr>
  </w:style>
  <w:style w:type="paragraph" w:styleId="a8">
    <w:name w:val="annotation subject"/>
    <w:basedOn w:val="a3"/>
    <w:next w:val="a3"/>
    <w:link w:val="Char3"/>
    <w:unhideWhenUsed/>
    <w:qFormat/>
    <w:rPr>
      <w:b/>
      <w:bCs/>
    </w:rPr>
  </w:style>
  <w:style w:type="character" w:styleId="a9">
    <w:name w:val="Emphasis"/>
    <w:basedOn w:val="a0"/>
    <w:qFormat/>
    <w:rPr>
      <w:i/>
    </w:rPr>
  </w:style>
  <w:style w:type="character" w:styleId="aa">
    <w:name w:val="Hyperlink"/>
    <w:basedOn w:val="a0"/>
    <w:unhideWhenUsed/>
    <w:qFormat/>
    <w:rPr>
      <w:color w:val="0000FF"/>
      <w:u w:val="single"/>
    </w:rPr>
  </w:style>
  <w:style w:type="character" w:styleId="ab">
    <w:name w:val="annotation reference"/>
    <w:basedOn w:val="a0"/>
    <w:uiPriority w:val="99"/>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8"/>
    <w:semiHidden/>
    <w:qFormat/>
    <w:rPr>
      <w:rFonts w:asciiTheme="minorHAnsi" w:eastAsiaTheme="minorEastAsia" w:hAnsiTheme="minorHAnsi" w:cstheme="minorBidi"/>
      <w:b/>
      <w:bCs/>
      <w:kern w:val="2"/>
      <w:sz w:val="21"/>
      <w:szCs w:val="24"/>
    </w:rPr>
  </w:style>
  <w:style w:type="character" w:customStyle="1" w:styleId="font21">
    <w:name w:val="font21"/>
    <w:basedOn w:val="a0"/>
    <w:qFormat/>
    <w:rPr>
      <w:rFonts w:ascii="Times New Roman" w:hAnsi="Times New Roman" w:cs="Times New Roman" w:hint="default"/>
      <w:color w:val="5B9BD5"/>
      <w:sz w:val="21"/>
      <w:szCs w:val="21"/>
      <w:u w:val="none"/>
    </w:rPr>
  </w:style>
  <w:style w:type="character" w:customStyle="1" w:styleId="font11">
    <w:name w:val="font11"/>
    <w:basedOn w:val="a0"/>
    <w:qFormat/>
    <w:rPr>
      <w:rFonts w:ascii="宋体" w:eastAsia="宋体" w:hAnsi="宋体" w:cs="宋体" w:hint="eastAsia"/>
      <w:color w:val="5B9BD5"/>
      <w:sz w:val="21"/>
      <w:szCs w:val="21"/>
      <w:u w:val="none"/>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Times New Roman" w:hAnsi="Times New Roman" w:cs="Times New Roman" w:hint="default"/>
      <w:color w:val="3366FF"/>
      <w:sz w:val="24"/>
      <w:szCs w:val="24"/>
      <w:u w:val="none"/>
    </w:rPr>
  </w:style>
  <w:style w:type="character" w:customStyle="1" w:styleId="result">
    <w:name w:val="result"/>
    <w:basedOn w:val="a0"/>
    <w:qFormat/>
    <w:rPr>
      <w:color w:val="000080"/>
    </w:rPr>
  </w:style>
  <w:style w:type="character" w:customStyle="1" w:styleId="warning">
    <w:name w:val="warning"/>
    <w:basedOn w:val="a0"/>
    <w:qFormat/>
    <w:rPr>
      <w:color w:val="FF0000"/>
    </w:rPr>
  </w:style>
  <w:style w:type="character" w:customStyle="1" w:styleId="normal2">
    <w:name w:val="normal2"/>
    <w:basedOn w:val="a0"/>
    <w:qFormat/>
    <w:rPr>
      <w:color w:val="000000"/>
    </w:rPr>
  </w:style>
  <w:style w:type="character" w:customStyle="1" w:styleId="10">
    <w:name w:val="正文1"/>
    <w:basedOn w:val="a0"/>
    <w:qFormat/>
    <w:rPr>
      <w:rFonts w:ascii="Arial" w:hAnsi="Arial" w:cs="Arial" w:hint="default"/>
      <w:color w:val="000000"/>
      <w:sz w:val="20"/>
      <w:szCs w:val="20"/>
    </w:rPr>
  </w:style>
  <w:style w:type="character" w:customStyle="1" w:styleId="11">
    <w:name w:val="批注文字 字符1"/>
    <w:basedOn w:val="a0"/>
    <w:uiPriority w:val="99"/>
    <w:qFormat/>
    <w:rPr>
      <w:rFonts w:eastAsiaTheme="minorEastAsia"/>
      <w:kern w:val="2"/>
      <w:sz w:val="21"/>
    </w:rPr>
  </w:style>
  <w:style w:type="paragraph" w:styleId="ac">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7024</Words>
  <Characters>40040</Characters>
  <Application>Microsoft Office Word</Application>
  <DocSecurity>0</DocSecurity>
  <Lines>333</Lines>
  <Paragraphs>93</Paragraphs>
  <ScaleCrop>false</ScaleCrop>
  <Company>Microsoft</Company>
  <LinksUpToDate>false</LinksUpToDate>
  <CharactersWithSpaces>46971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Tianqi</cp:lastModifiedBy>
  <cp:revision>3</cp:revision>
  <dcterms:created xsi:type="dcterms:W3CDTF">2019-09-09T22:08:00Z</dcterms:created>
  <dcterms:modified xsi:type="dcterms:W3CDTF">2019-09-09T22:25:00Z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